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880"/>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2, 2018</w:t>
      </w:r>
    </w:p>
    <w:p>
      <w:pPr>
        <w:spacing w:after="0" w:line="28"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 all information herein remains strictly confidential.</w:t>
      </w:r>
    </w:p>
    <w:p>
      <w:pPr>
        <w:spacing w:after="0" w:line="26"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Dropbox,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w w:val="93"/>
              </w:rPr>
              <w:t>26-0138832</w:t>
            </w:r>
          </w:p>
        </w:tc>
      </w:tr>
      <w:tr>
        <w:trPr>
          <w:trHeight w:val="149"/>
        </w:trPr>
        <w:tc>
          <w:tcPr>
            <w:tcW w:w="29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Dropbox, Inc.</w:t>
      </w:r>
    </w:p>
    <w:p>
      <w:pPr>
        <w:jc w:val="center"/>
        <w:spacing w:after="0" w:line="226" w:lineRule="auto"/>
        <w:rPr>
          <w:sz w:val="20"/>
          <w:szCs w:val="20"/>
          <w:color w:val="auto"/>
        </w:rPr>
      </w:pPr>
      <w:r>
        <w:rPr>
          <w:rFonts w:ascii="Arial" w:cs="Arial" w:eastAsia="Arial" w:hAnsi="Arial"/>
          <w:sz w:val="14"/>
          <w:szCs w:val="14"/>
          <w:b w:val="1"/>
          <w:bCs w:val="1"/>
          <w:color w:val="auto"/>
        </w:rPr>
        <w:t>333 Brannan Street</w:t>
      </w:r>
    </w:p>
    <w:p>
      <w:pPr>
        <w:jc w:val="center"/>
        <w:spacing w:after="0" w:line="222" w:lineRule="auto"/>
        <w:rPr>
          <w:sz w:val="20"/>
          <w:szCs w:val="20"/>
          <w:color w:val="auto"/>
        </w:rPr>
      </w:pPr>
      <w:r>
        <w:rPr>
          <w:rFonts w:ascii="Arial" w:cs="Arial" w:eastAsia="Arial" w:hAnsi="Arial"/>
          <w:sz w:val="14"/>
          <w:szCs w:val="14"/>
          <w:b w:val="1"/>
          <w:bCs w:val="1"/>
          <w:color w:val="auto"/>
        </w:rPr>
        <w:t>San Francisco, California 94107</w:t>
      </w:r>
    </w:p>
    <w:p>
      <w:pPr>
        <w:jc w:val="center"/>
        <w:spacing w:after="0" w:line="221" w:lineRule="auto"/>
        <w:rPr>
          <w:sz w:val="20"/>
          <w:szCs w:val="20"/>
          <w:color w:val="auto"/>
        </w:rPr>
      </w:pPr>
      <w:r>
        <w:rPr>
          <w:rFonts w:ascii="Arial" w:cs="Arial" w:eastAsia="Arial" w:hAnsi="Arial"/>
          <w:sz w:val="14"/>
          <w:szCs w:val="14"/>
          <w:b w:val="1"/>
          <w:bCs w:val="1"/>
          <w:color w:val="auto"/>
        </w:rPr>
        <w:t>(415) 857-6800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Andrew W. Houston</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Dropbox, Inc.</w:t>
      </w:r>
    </w:p>
    <w:p>
      <w:pPr>
        <w:jc w:val="center"/>
        <w:spacing w:after="0" w:line="221" w:lineRule="auto"/>
        <w:rPr>
          <w:sz w:val="20"/>
          <w:szCs w:val="20"/>
          <w:color w:val="auto"/>
        </w:rPr>
      </w:pPr>
      <w:r>
        <w:rPr>
          <w:rFonts w:ascii="Arial" w:cs="Arial" w:eastAsia="Arial" w:hAnsi="Arial"/>
          <w:sz w:val="14"/>
          <w:szCs w:val="14"/>
          <w:b w:val="1"/>
          <w:bCs w:val="1"/>
          <w:color w:val="auto"/>
        </w:rPr>
        <w:t>333 Brannan Street</w:t>
      </w:r>
    </w:p>
    <w:p>
      <w:pPr>
        <w:jc w:val="center"/>
        <w:spacing w:after="0" w:line="222" w:lineRule="auto"/>
        <w:rPr>
          <w:sz w:val="20"/>
          <w:szCs w:val="20"/>
          <w:color w:val="auto"/>
        </w:rPr>
      </w:pPr>
      <w:r>
        <w:rPr>
          <w:rFonts w:ascii="Arial" w:cs="Arial" w:eastAsia="Arial" w:hAnsi="Arial"/>
          <w:sz w:val="14"/>
          <w:szCs w:val="14"/>
          <w:b w:val="1"/>
          <w:bCs w:val="1"/>
          <w:color w:val="auto"/>
        </w:rPr>
        <w:t>San Francisco, California 94107</w:t>
      </w:r>
    </w:p>
    <w:p>
      <w:pPr>
        <w:jc w:val="center"/>
        <w:spacing w:after="0" w:line="221" w:lineRule="auto"/>
        <w:rPr>
          <w:sz w:val="20"/>
          <w:szCs w:val="20"/>
          <w:color w:val="auto"/>
        </w:rPr>
      </w:pPr>
      <w:r>
        <w:rPr>
          <w:rFonts w:ascii="Arial" w:cs="Arial" w:eastAsia="Arial" w:hAnsi="Arial"/>
          <w:sz w:val="14"/>
          <w:szCs w:val="14"/>
          <w:b w:val="1"/>
          <w:bCs w:val="1"/>
          <w:color w:val="auto"/>
        </w:rPr>
        <w:t>(415) 857-6800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3680" w:type="dxa"/>
            <w:vAlign w:val="bottom"/>
          </w:tcPr>
          <w:p>
            <w:pPr>
              <w:ind w:left="1400"/>
              <w:spacing w:after="0"/>
              <w:rPr>
                <w:sz w:val="20"/>
                <w:szCs w:val="20"/>
                <w:color w:val="auto"/>
              </w:rPr>
            </w:pPr>
            <w:r>
              <w:rPr>
                <w:rFonts w:ascii="Arial" w:cs="Arial" w:eastAsia="Arial" w:hAnsi="Arial"/>
                <w:sz w:val="14"/>
                <w:szCs w:val="14"/>
                <w:b w:val="1"/>
                <w:bCs w:val="1"/>
                <w:i w:val="1"/>
                <w:iCs w:val="1"/>
                <w:color w:val="auto"/>
              </w:rPr>
              <w:t>Copies to:</w:t>
            </w:r>
          </w:p>
        </w:tc>
        <w:tc>
          <w:tcPr>
            <w:tcW w:w="2940" w:type="dxa"/>
            <w:vAlign w:val="bottom"/>
          </w:tcPr>
          <w:p>
            <w:pPr>
              <w:spacing w:after="0"/>
              <w:rPr>
                <w:sz w:val="15"/>
                <w:szCs w:val="15"/>
                <w:color w:val="auto"/>
              </w:rPr>
            </w:pPr>
          </w:p>
        </w:tc>
      </w:tr>
      <w:tr>
        <w:trPr>
          <w:trHeight w:val="151"/>
        </w:trPr>
        <w:tc>
          <w:tcPr>
            <w:tcW w:w="3300" w:type="dxa"/>
            <w:vAlign w:val="bottom"/>
          </w:tcPr>
          <w:p>
            <w:pPr>
              <w:jc w:val="center"/>
              <w:ind w:right="768"/>
              <w:spacing w:after="0" w:line="151" w:lineRule="exact"/>
              <w:rPr>
                <w:sz w:val="20"/>
                <w:szCs w:val="20"/>
                <w:color w:val="auto"/>
              </w:rPr>
            </w:pPr>
            <w:r>
              <w:rPr>
                <w:rFonts w:ascii="Arial" w:cs="Arial" w:eastAsia="Arial" w:hAnsi="Arial"/>
                <w:sz w:val="14"/>
                <w:szCs w:val="14"/>
                <w:b w:val="1"/>
                <w:bCs w:val="1"/>
                <w:color w:val="auto"/>
                <w:w w:val="91"/>
              </w:rPr>
              <w:t>Tony Jeffries, Esq.</w:t>
            </w:r>
          </w:p>
        </w:tc>
        <w:tc>
          <w:tcPr>
            <w:tcW w:w="36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Bart E. Volkmer, Esq.</w:t>
            </w:r>
          </w:p>
        </w:tc>
        <w:tc>
          <w:tcPr>
            <w:tcW w:w="2940" w:type="dxa"/>
            <w:vAlign w:val="bottom"/>
          </w:tcPr>
          <w:p>
            <w:pPr>
              <w:jc w:val="center"/>
              <w:ind w:left="788"/>
              <w:spacing w:after="0" w:line="151" w:lineRule="exact"/>
              <w:rPr>
                <w:sz w:val="20"/>
                <w:szCs w:val="20"/>
                <w:color w:val="auto"/>
              </w:rPr>
            </w:pPr>
            <w:r>
              <w:rPr>
                <w:rFonts w:ascii="Arial" w:cs="Arial" w:eastAsia="Arial" w:hAnsi="Arial"/>
                <w:sz w:val="14"/>
                <w:szCs w:val="14"/>
                <w:b w:val="1"/>
                <w:bCs w:val="1"/>
                <w:color w:val="auto"/>
                <w:w w:val="92"/>
              </w:rPr>
              <w:t>Kevin P. Kennedy, Esq.</w:t>
            </w:r>
          </w:p>
        </w:tc>
      </w:tr>
      <w:tr>
        <w:trPr>
          <w:trHeight w:val="149"/>
        </w:trPr>
        <w:tc>
          <w:tcPr>
            <w:tcW w:w="3300" w:type="dxa"/>
            <w:vAlign w:val="bottom"/>
          </w:tcPr>
          <w:p>
            <w:pPr>
              <w:jc w:val="center"/>
              <w:ind w:right="768"/>
              <w:spacing w:after="0" w:line="149" w:lineRule="exact"/>
              <w:rPr>
                <w:sz w:val="20"/>
                <w:szCs w:val="20"/>
                <w:color w:val="auto"/>
              </w:rPr>
            </w:pPr>
            <w:r>
              <w:rPr>
                <w:rFonts w:ascii="Arial" w:cs="Arial" w:eastAsia="Arial" w:hAnsi="Arial"/>
                <w:sz w:val="14"/>
                <w:szCs w:val="14"/>
                <w:b w:val="1"/>
                <w:bCs w:val="1"/>
                <w:color w:val="auto"/>
                <w:w w:val="94"/>
              </w:rPr>
              <w:t>Rezwan D. Pavri, Esq.</w:t>
            </w:r>
          </w:p>
        </w:tc>
        <w:tc>
          <w:tcPr>
            <w:tcW w:w="3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Mary Anne Becking, Esq.</w:t>
            </w:r>
          </w:p>
        </w:tc>
        <w:tc>
          <w:tcPr>
            <w:tcW w:w="294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6"/>
              </w:rPr>
              <w:t>Simpson Thacher &amp; Bartlett LLP</w:t>
            </w:r>
          </w:p>
        </w:tc>
      </w:tr>
      <w:tr>
        <w:trPr>
          <w:trHeight w:val="149"/>
        </w:trPr>
        <w:tc>
          <w:tcPr>
            <w:tcW w:w="330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4"/>
              </w:rPr>
              <w:t>Lisa L. Stimmell, Esq.</w:t>
            </w:r>
          </w:p>
        </w:tc>
        <w:tc>
          <w:tcPr>
            <w:tcW w:w="3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Cara M. Angelmar, Esq.</w:t>
            </w:r>
          </w:p>
        </w:tc>
        <w:tc>
          <w:tcPr>
            <w:tcW w:w="294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3"/>
              </w:rPr>
              <w:t>2475 Hanover St</w:t>
            </w:r>
          </w:p>
        </w:tc>
      </w:tr>
      <w:tr>
        <w:trPr>
          <w:trHeight w:val="149"/>
        </w:trPr>
        <w:tc>
          <w:tcPr>
            <w:tcW w:w="3300" w:type="dxa"/>
            <w:vAlign w:val="bottom"/>
          </w:tcPr>
          <w:p>
            <w:pPr>
              <w:jc w:val="center"/>
              <w:ind w:right="768"/>
              <w:spacing w:after="0" w:line="149" w:lineRule="exact"/>
              <w:rPr>
                <w:sz w:val="20"/>
                <w:szCs w:val="20"/>
                <w:color w:val="auto"/>
              </w:rPr>
            </w:pPr>
            <w:r>
              <w:rPr>
                <w:rFonts w:ascii="Arial" w:cs="Arial" w:eastAsia="Arial" w:hAnsi="Arial"/>
                <w:sz w:val="14"/>
                <w:szCs w:val="14"/>
                <w:b w:val="1"/>
                <w:bCs w:val="1"/>
                <w:color w:val="auto"/>
                <w:w w:val="91"/>
              </w:rPr>
              <w:t>Shannon R. Delahaye, Esq.</w:t>
            </w:r>
          </w:p>
        </w:tc>
        <w:tc>
          <w:tcPr>
            <w:tcW w:w="3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Dropbox, Inc.</w:t>
            </w:r>
          </w:p>
        </w:tc>
        <w:tc>
          <w:tcPr>
            <w:tcW w:w="294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49"/>
        </w:trPr>
        <w:tc>
          <w:tcPr>
            <w:tcW w:w="330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c>
          <w:tcPr>
            <w:tcW w:w="3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333 Brannan Street</w:t>
            </w:r>
          </w:p>
        </w:tc>
        <w:tc>
          <w:tcPr>
            <w:tcW w:w="2940" w:type="dxa"/>
            <w:vAlign w:val="bottom"/>
          </w:tcPr>
          <w:p>
            <w:pPr>
              <w:jc w:val="center"/>
              <w:ind w:left="768"/>
              <w:spacing w:after="0" w:line="149" w:lineRule="exact"/>
              <w:rPr>
                <w:sz w:val="20"/>
                <w:szCs w:val="20"/>
                <w:color w:val="auto"/>
              </w:rPr>
            </w:pPr>
            <w:r>
              <w:rPr>
                <w:rFonts w:ascii="Arial" w:cs="Arial" w:eastAsia="Arial" w:hAnsi="Arial"/>
                <w:sz w:val="14"/>
                <w:szCs w:val="14"/>
                <w:b w:val="1"/>
                <w:bCs w:val="1"/>
                <w:color w:val="auto"/>
                <w:w w:val="93"/>
              </w:rPr>
              <w:t>(650) 251-5000</w:t>
            </w:r>
          </w:p>
        </w:tc>
      </w:tr>
      <w:tr>
        <w:trPr>
          <w:trHeight w:val="149"/>
        </w:trPr>
        <w:tc>
          <w:tcPr>
            <w:tcW w:w="330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4"/>
              </w:rPr>
              <w:t>650 Page Mill Road</w:t>
            </w:r>
          </w:p>
        </w:tc>
        <w:tc>
          <w:tcPr>
            <w:tcW w:w="3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San Francisco, California 94107</w:t>
            </w:r>
          </w:p>
        </w:tc>
        <w:tc>
          <w:tcPr>
            <w:tcW w:w="2940" w:type="dxa"/>
            <w:vAlign w:val="bottom"/>
          </w:tcPr>
          <w:p>
            <w:pPr>
              <w:spacing w:after="0"/>
              <w:rPr>
                <w:sz w:val="12"/>
                <w:szCs w:val="12"/>
                <w:color w:val="auto"/>
              </w:rPr>
            </w:pPr>
          </w:p>
        </w:tc>
      </w:tr>
      <w:tr>
        <w:trPr>
          <w:trHeight w:val="149"/>
        </w:trPr>
        <w:tc>
          <w:tcPr>
            <w:tcW w:w="3300" w:type="dxa"/>
            <w:vAlign w:val="bottom"/>
          </w:tcPr>
          <w:p>
            <w:pPr>
              <w:jc w:val="center"/>
              <w:ind w:right="76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(415) 857-6800</w:t>
            </w:r>
          </w:p>
        </w:tc>
        <w:tc>
          <w:tcPr>
            <w:tcW w:w="2940" w:type="dxa"/>
            <w:vAlign w:val="bottom"/>
          </w:tcPr>
          <w:p>
            <w:pPr>
              <w:spacing w:after="0"/>
              <w:rPr>
                <w:sz w:val="12"/>
                <w:szCs w:val="12"/>
                <w:color w:val="auto"/>
              </w:rPr>
            </w:pPr>
          </w:p>
        </w:tc>
      </w:tr>
      <w:tr>
        <w:trPr>
          <w:trHeight w:val="186"/>
        </w:trPr>
        <w:tc>
          <w:tcPr>
            <w:tcW w:w="3300" w:type="dxa"/>
            <w:vAlign w:val="bottom"/>
          </w:tcPr>
          <w:p>
            <w:pPr>
              <w:jc w:val="center"/>
              <w:ind w:right="768"/>
              <w:spacing w:after="0"/>
              <w:rPr>
                <w:sz w:val="20"/>
                <w:szCs w:val="20"/>
                <w:color w:val="auto"/>
              </w:rPr>
            </w:pPr>
            <w:r>
              <w:rPr>
                <w:rFonts w:ascii="Arial" w:cs="Arial" w:eastAsia="Arial" w:hAnsi="Arial"/>
                <w:sz w:val="14"/>
                <w:szCs w:val="14"/>
                <w:b w:val="1"/>
                <w:bCs w:val="1"/>
                <w:color w:val="auto"/>
                <w:w w:val="93"/>
              </w:rPr>
              <w:t>(650) 493-9300</w:t>
            </w:r>
          </w:p>
        </w:tc>
        <w:tc>
          <w:tcPr>
            <w:tcW w:w="3680" w:type="dxa"/>
            <w:vAlign w:val="bottom"/>
          </w:tcPr>
          <w:p>
            <w:pPr>
              <w:spacing w:after="0"/>
              <w:rPr>
                <w:sz w:val="16"/>
                <w:szCs w:val="16"/>
                <w:color w:val="auto"/>
              </w:rPr>
            </w:pPr>
          </w:p>
        </w:tc>
        <w:tc>
          <w:tcPr>
            <w:tcW w:w="29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59055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becomes effective.</w:t>
      </w:r>
    </w:p>
    <w:p>
      <w:pPr>
        <w:spacing w:after="0" w:line="25"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right="380" w:firstLine="342"/>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40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38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8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2140"/>
              <w:spacing w:after="0"/>
              <w:rPr>
                <w:sz w:val="20"/>
                <w:szCs w:val="20"/>
                <w:color w:val="auto"/>
              </w:rPr>
            </w:pPr>
            <w:r>
              <w:rPr>
                <w:rFonts w:ascii="Arial" w:cs="Arial" w:eastAsia="Arial" w:hAnsi="Arial"/>
                <w:sz w:val="14"/>
                <w:szCs w:val="14"/>
                <w:color w:val="auto"/>
              </w:rPr>
              <w:t>Accelerated filer</w:t>
            </w:r>
          </w:p>
        </w:tc>
      </w:tr>
      <w:tr>
        <w:trPr>
          <w:trHeight w:val="243"/>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720" w:type="dxa"/>
            <w:vAlign w:val="bottom"/>
          </w:tcPr>
          <w:p>
            <w:pPr>
              <w:ind w:left="2140"/>
              <w:spacing w:after="0"/>
              <w:rPr>
                <w:sz w:val="20"/>
                <w:szCs w:val="20"/>
                <w:color w:val="auto"/>
              </w:rPr>
            </w:pPr>
            <w:r>
              <w:rPr>
                <w:rFonts w:ascii="Arial" w:cs="Arial" w:eastAsia="Arial" w:hAnsi="Arial"/>
                <w:sz w:val="14"/>
                <w:szCs w:val="14"/>
                <w:color w:val="auto"/>
                <w:w w:val="93"/>
              </w:rPr>
              <w:t>Smaller reporting company</w:t>
            </w:r>
          </w:p>
        </w:tc>
      </w:tr>
      <w:tr>
        <w:trPr>
          <w:trHeight w:val="243"/>
        </w:trPr>
        <w:tc>
          <w:tcPr>
            <w:tcW w:w="18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2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spacing w:after="0"/>
              <w:rPr>
                <w:sz w:val="21"/>
                <w:szCs w:val="21"/>
                <w:color w:val="auto"/>
              </w:rPr>
            </w:pPr>
          </w:p>
        </w:tc>
      </w:tr>
    </w:tbl>
    <w:p>
      <w:pPr>
        <w:spacing w:after="0" w:line="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66675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28" w:lineRule="exact"/>
        <w:rPr>
          <w:sz w:val="24"/>
          <w:szCs w:val="24"/>
          <w:color w:val="auto"/>
        </w:rPr>
      </w:pPr>
    </w:p>
    <w:p>
      <w:pPr>
        <w:sectPr>
          <w:pgSz w:w="11900" w:h="16838" w:orient="portrait"/>
          <w:cols w:equalWidth="0" w:num="2">
            <w:col w:w="11260" w:space="20"/>
            <w:col w:w="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(1)(2)</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2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$0.00001 per share</w:t>
            </w:r>
          </w:p>
        </w:tc>
        <w:tc>
          <w:tcPr>
            <w:tcW w:w="1600" w:type="dxa"/>
            <w:vAlign w:val="bottom"/>
            <w:tcBorders>
              <w:bottom w:val="single" w:sz="8" w:color="auto"/>
              <w:right w:val="single" w:sz="8" w:color="auto"/>
            </w:tcBorders>
          </w:tcPr>
          <w:p>
            <w:pPr>
              <w:jc w:val="right"/>
              <w:ind w:right="870"/>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color w:val="auto"/>
        </w:rPr>
        <w:t>Estimated solely for the purpose of calculating the registration fee in accordance with Rule 457(o) of the Securities Act of 1933, as amended.</w:t>
      </w: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7" w:lineRule="exact"/>
        <w:rPr>
          <w:sz w:val="24"/>
          <w:szCs w:val="24"/>
          <w:color w:val="auto"/>
        </w:rPr>
      </w:pPr>
    </w:p>
    <w:p>
      <w:pPr>
        <w:ind w:right="40" w:firstLine="342"/>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0" w:right="160"/>
        <w:spacing w:after="0" w:line="266" w:lineRule="auto"/>
        <w:rPr>
          <w:sz w:val="20"/>
          <w:szCs w:val="20"/>
          <w:color w:val="auto"/>
        </w:rPr>
      </w:pPr>
      <w:r>
        <w:rPr>
          <w:rFonts w:ascii="Arial" w:cs="Arial" w:eastAsia="Arial" w:hAnsi="Arial"/>
          <w:sz w:val="18"/>
          <w:szCs w:val="18"/>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7564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564120"/>
                    </a:xfrm>
                    <a:prstGeom prst="rect">
                      <a:avLst/>
                    </a:prstGeom>
                    <a:noFill/>
                  </pic:spPr>
                </pic:pic>
              </a:graphicData>
            </a:graphic>
          </wp:anchor>
        </w:drawing>
      </w:r>
    </w:p>
    <w:p>
      <w:pPr>
        <w:spacing w:after="0" w:line="89"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2760" w:type="dxa"/>
            <w:vAlign w:val="bottom"/>
          </w:tcPr>
          <w:p>
            <w:pPr>
              <w:spacing w:after="0"/>
              <w:rPr>
                <w:sz w:val="20"/>
                <w:szCs w:val="20"/>
                <w:color w:val="auto"/>
              </w:rPr>
            </w:pPr>
            <w:r>
              <w:rPr>
                <w:rFonts w:ascii="Arial" w:cs="Arial" w:eastAsia="Arial" w:hAnsi="Arial"/>
                <w:sz w:val="16"/>
                <w:szCs w:val="16"/>
                <w:b w:val="1"/>
                <w:bCs w:val="1"/>
                <w:color w:val="EB0029"/>
              </w:rPr>
              <w:t>Subject To Completion. Dated</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EB0029"/>
              </w:rPr>
              <w:t>, 2018.</w:t>
            </w:r>
          </w:p>
        </w:tc>
      </w:tr>
    </w:tbl>
    <w:p>
      <w:pPr>
        <w:spacing w:after="0" w:line="178" w:lineRule="exact"/>
        <w:rPr>
          <w:sz w:val="20"/>
          <w:szCs w:val="20"/>
          <w:color w:val="auto"/>
        </w:rPr>
      </w:pPr>
    </w:p>
    <w:p>
      <w:pPr>
        <w:ind w:left="1300"/>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auto"/>
        </w:rPr>
        <w:t>Class A Common Stock</w:t>
      </w: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is an initial public offering of shares of Class A common stock of Dropbox, Inc.</w:t>
      </w:r>
    </w:p>
    <w:p>
      <w:pPr>
        <w:spacing w:after="0" w:line="104" w:lineRule="exact"/>
        <w:rPr>
          <w:sz w:val="20"/>
          <w:szCs w:val="20"/>
          <w:color w:val="auto"/>
        </w:rPr>
      </w:pPr>
    </w:p>
    <w:p>
      <w:pPr>
        <w:ind w:left="180" w:right="280"/>
        <w:spacing w:after="0" w:line="234" w:lineRule="auto"/>
        <w:rPr>
          <w:sz w:val="20"/>
          <w:szCs w:val="20"/>
          <w:color w:val="auto"/>
        </w:rPr>
      </w:pPr>
      <w:r>
        <w:rPr>
          <w:rFonts w:ascii="Arial" w:cs="Arial" w:eastAsia="Arial" w:hAnsi="Arial"/>
          <w:sz w:val="18"/>
          <w:szCs w:val="18"/>
          <w:color w:val="auto"/>
        </w:rPr>
        <w:t>Dropbox, Inc. is offering to sell shares of Class A common stock in this offering. The selling stockholders identified in this prospectus are offering to sell an additional shares of Class A common stock. We will not receive any of the proceeds from</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sale of the shares being sold by the selling stockholders.</w:t>
      </w:r>
    </w:p>
    <w:p>
      <w:pPr>
        <w:spacing w:after="0" w:line="104" w:lineRule="exact"/>
        <w:rPr>
          <w:sz w:val="20"/>
          <w:szCs w:val="20"/>
          <w:color w:val="auto"/>
        </w:rPr>
      </w:pPr>
    </w:p>
    <w:p>
      <w:pPr>
        <w:ind w:left="180" w:right="20"/>
        <w:spacing w:after="0" w:line="234"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 Each share of Class A common</w:t>
      </w:r>
    </w:p>
    <w:p>
      <w:pPr>
        <w:spacing w:after="0" w:line="2" w:lineRule="exact"/>
        <w:rPr>
          <w:sz w:val="20"/>
          <w:szCs w:val="20"/>
          <w:color w:val="auto"/>
        </w:rPr>
      </w:pPr>
    </w:p>
    <w:p>
      <w:pPr>
        <w:ind w:left="180" w:right="240"/>
        <w:spacing w:after="0"/>
        <w:rPr>
          <w:sz w:val="20"/>
          <w:szCs w:val="20"/>
          <w:color w:val="auto"/>
        </w:rPr>
      </w:pPr>
      <w:r>
        <w:rPr>
          <w:rFonts w:ascii="Arial" w:cs="Arial" w:eastAsia="Arial" w:hAnsi="Arial"/>
          <w:sz w:val="18"/>
          <w:szCs w:val="18"/>
          <w:color w:val="auto"/>
        </w:rPr>
        <w:t>stock is entitled to one vote per share. Each share of Class B common stock is entitled to votes per share and is convertible at any time into one share of Class A common stock. Following this offering, outstanding shares of Class B common stock will represent approximately % of the voting power of our outstanding capital stock.</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Prior to this offering, there has been no public market for the Class A common stock. It is currently estimated that the initial public offering</w:t>
      </w:r>
    </w:p>
    <w:p>
      <w:pPr>
        <w:ind w:left="180" w:right="580"/>
        <w:spacing w:after="0" w:line="243" w:lineRule="auto"/>
        <w:rPr>
          <w:sz w:val="20"/>
          <w:szCs w:val="20"/>
          <w:color w:val="auto"/>
        </w:rPr>
      </w:pPr>
      <w:r>
        <w:rPr>
          <w:rFonts w:ascii="Arial" w:cs="Arial" w:eastAsia="Arial" w:hAnsi="Arial"/>
          <w:sz w:val="18"/>
          <w:szCs w:val="18"/>
          <w:color w:val="auto"/>
        </w:rPr>
        <w:t>price per share will be between $ and $ . We intend to apply to list the Class A common stock on under the symbol “DBX”.</w:t>
      </w:r>
    </w:p>
    <w:p>
      <w:pPr>
        <w:spacing w:after="0" w:line="304" w:lineRule="exact"/>
        <w:rPr>
          <w:sz w:val="20"/>
          <w:szCs w:val="20"/>
          <w:color w:val="auto"/>
        </w:rPr>
      </w:pPr>
    </w:p>
    <w:p>
      <w:pPr>
        <w:ind w:left="180" w:right="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may elect to comply with certain reduced public company reporting requirements in future reports after the completion of this offering.</w:t>
      </w:r>
    </w:p>
    <w:p>
      <w:pPr>
        <w:spacing w:after="0" w:line="337" w:lineRule="exact"/>
        <w:rPr>
          <w:sz w:val="20"/>
          <w:szCs w:val="20"/>
          <w:color w:val="auto"/>
        </w:rPr>
      </w:pPr>
    </w:p>
    <w:p>
      <w:pPr>
        <w:ind w:left="180" w:right="74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See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to read about factors you should consider before buying shares of our Class A common stock.</w:t>
      </w:r>
    </w:p>
    <w:p>
      <w:pPr>
        <w:spacing w:after="0" w:line="316"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9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8"/>
                <w:szCs w:val="18"/>
                <w:color w:val="auto"/>
              </w:rPr>
              <w:t>Initial public offering price</w:t>
            </w:r>
          </w:p>
        </w:tc>
        <w:tc>
          <w:tcPr>
            <w:tcW w:w="3640" w:type="dxa"/>
            <w:vAlign w:val="bottom"/>
            <w:gridSpan w:val="3"/>
          </w:tcPr>
          <w:p>
            <w:pPr>
              <w:ind w:left="2460"/>
              <w:spacing w:after="0"/>
              <w:rPr>
                <w:sz w:val="20"/>
                <w:szCs w:val="20"/>
                <w:color w:val="auto"/>
              </w:rPr>
            </w:pPr>
            <w:r>
              <w:rPr>
                <w:rFonts w:ascii="Arial" w:cs="Arial" w:eastAsia="Arial" w:hAnsi="Arial"/>
                <w:sz w:val="14"/>
                <w:szCs w:val="14"/>
                <w:color w:val="auto"/>
              </w:rPr>
              <w:t>Per share</w:t>
            </w:r>
          </w:p>
        </w:tc>
        <w:tc>
          <w:tcPr>
            <w:tcW w:w="820" w:type="dxa"/>
            <w:vAlign w:val="bottom"/>
          </w:tcPr>
          <w:p>
            <w:pPr>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800" w:type="dxa"/>
            <w:vAlign w:val="bottom"/>
            <w:tcBorders>
              <w:top w:val="single" w:sz="8" w:color="auto"/>
            </w:tcBorders>
          </w:tcPr>
          <w:p>
            <w:pPr>
              <w:jc w:val="right"/>
              <w:ind w:right="610"/>
              <w:spacing w:after="0" w:line="195" w:lineRule="exact"/>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Underwriting discount(1)</w:t>
            </w:r>
          </w:p>
        </w:tc>
        <w:tc>
          <w:tcPr>
            <w:tcW w:w="3260" w:type="dxa"/>
            <w:vAlign w:val="bottom"/>
            <w:gridSpan w:val="2"/>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Proceeds, before expenses, to Dropbox, Inc.</w:t>
            </w:r>
          </w:p>
        </w:tc>
        <w:tc>
          <w:tcPr>
            <w:tcW w:w="3260" w:type="dxa"/>
            <w:vAlign w:val="bottom"/>
            <w:gridSpan w:val="2"/>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Proceeds, before expenses, to Selling Stockholders</w:t>
            </w:r>
          </w:p>
        </w:tc>
        <w:tc>
          <w:tcPr>
            <w:tcW w:w="32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500" w:hanging="321"/>
        <w:spacing w:after="0"/>
        <w:tabs>
          <w:tab w:leader="none" w:pos="50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(Conflicts of Interest)” for a description of the compensation payable to the underwriters.</w:t>
      </w:r>
    </w:p>
    <w:p>
      <w:pPr>
        <w:spacing w:after="0" w:line="92" w:lineRule="exact"/>
        <w:rPr>
          <w:sz w:val="20"/>
          <w:szCs w:val="20"/>
          <w:color w:val="auto"/>
        </w:rPr>
      </w:pPr>
    </w:p>
    <w:p>
      <w:pPr>
        <w:ind w:left="180" w:right="180"/>
        <w:spacing w:after="0"/>
        <w:rPr>
          <w:sz w:val="20"/>
          <w:szCs w:val="20"/>
          <w:color w:val="auto"/>
        </w:rPr>
      </w:pPr>
      <w:r>
        <w:rPr>
          <w:rFonts w:ascii="Arial" w:cs="Arial" w:eastAsia="Arial" w:hAnsi="Arial"/>
          <w:sz w:val="18"/>
          <w:szCs w:val="18"/>
          <w:color w:val="auto"/>
        </w:rPr>
        <w:t>To the extent that the underwriters sell more than shares of Class A common stock, the underwriters have the option to purchase up to an additional shares from Dropbox, Inc. and the selling stockholders at the initial public offering price less the underwriting discount.</w:t>
      </w:r>
    </w:p>
    <w:p>
      <w:pPr>
        <w:sectPr>
          <w:pgSz w:w="11900" w:h="16838" w:orient="portrait"/>
          <w:cols w:equalWidth="0" w:num="1">
            <w:col w:w="11240"/>
          </w:cols>
          <w:pgMar w:left="240" w:top="459" w:right="419" w:bottom="1440" w:gutter="0" w:footer="0" w:header="0"/>
        </w:sectPr>
      </w:pPr>
    </w:p>
    <w:p>
      <w:pPr>
        <w:spacing w:after="0" w:line="3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underwriters expect to deliver the shares against payment in New York, New York, on or about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2018.</w:t>
      </w:r>
    </w:p>
    <w:p>
      <w:pPr>
        <w:spacing w:after="0" w:line="200" w:lineRule="exact"/>
        <w:rPr>
          <w:sz w:val="20"/>
          <w:szCs w:val="20"/>
          <w:color w:val="auto"/>
        </w:rPr>
      </w:pPr>
    </w:p>
    <w:p>
      <w:pPr>
        <w:sectPr>
          <w:pgSz w:w="11900" w:h="16838" w:orient="portrait"/>
          <w:cols w:equalWidth="0" w:num="2">
            <w:col w:w="8360" w:space="720"/>
            <w:col w:w="2160"/>
          </w:cols>
          <w:pgMar w:left="240" w:top="459" w:right="419" w:bottom="1440" w:gutter="0" w:footer="0" w:header="0"/>
          <w:type w:val="continuous"/>
        </w:sect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28"/>
          <w:szCs w:val="28"/>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 Morgan</w:t>
      </w:r>
    </w:p>
    <w:p>
      <w:pPr>
        <w:spacing w:after="0" w:line="105" w:lineRule="exact"/>
        <w:rPr>
          <w:sz w:val="20"/>
          <w:szCs w:val="20"/>
          <w:color w:val="auto"/>
        </w:rPr>
      </w:pPr>
    </w:p>
    <w:p>
      <w:pPr>
        <w:sectPr>
          <w:pgSz w:w="11900" w:h="16838" w:orient="portrait"/>
          <w:cols w:equalWidth="0" w:num="2">
            <w:col w:w="8920" w:space="720"/>
            <w:col w:w="1600"/>
          </w:cols>
          <w:pgMar w:left="240" w:top="459" w:right="41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2018</w:t>
      </w:r>
    </w:p>
    <w:p>
      <w:pPr>
        <w:sectPr>
          <w:pgSz w:w="11900" w:h="16838" w:orient="portrait"/>
          <w:cols w:equalWidth="0" w:num="2">
            <w:col w:w="1540" w:space="580"/>
            <w:col w:w="912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60" w:type="dxa"/>
            <w:vAlign w:val="bottom"/>
            <w:gridSpan w:val="4"/>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60" w:type="dxa"/>
            <w:vAlign w:val="bottom"/>
            <w:gridSpan w:val="4"/>
          </w:tcPr>
          <w:p>
            <w:pPr>
              <w:jc w:val="center"/>
              <w:ind w:right="348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40" w:type="dxa"/>
            <w:vAlign w:val="bottom"/>
            <w:gridSpan w:val="7"/>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Summary</w:t>
              </w:r>
            </w:hyperlink>
          </w:p>
        </w:tc>
        <w:tc>
          <w:tcPr>
            <w:tcW w:w="9500" w:type="dxa"/>
            <w:vAlign w:val="bottom"/>
            <w:gridSpan w:val="14"/>
            <w:vMerge w:val="restart"/>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0000EE"/>
            </w:tcBorders>
            <w:gridSpan w:val="7"/>
            <w:vMerge w:val="continue"/>
          </w:tcPr>
          <w:p>
            <w:pPr>
              <w:spacing w:after="0"/>
              <w:rPr>
                <w:sz w:val="13"/>
                <w:szCs w:val="13"/>
                <w:color w:val="auto"/>
              </w:rPr>
            </w:pPr>
          </w:p>
        </w:tc>
        <w:tc>
          <w:tcPr>
            <w:tcW w:w="950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10120" w:type="dxa"/>
            <w:vAlign w:val="bottom"/>
            <w:gridSpan w:val="19"/>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Special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9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Industry And Market Data</w:t>
              </w:r>
            </w:hyperlink>
          </w:p>
        </w:tc>
        <w:tc>
          <w:tcPr>
            <w:tcW w:w="1960" w:type="dxa"/>
            <w:vAlign w:val="bottom"/>
            <w:tcBorders>
              <w:top w:val="single" w:sz="8" w:color="0000EE"/>
            </w:tcBorders>
            <w:gridSpan w:val="8"/>
          </w:tcPr>
          <w:p>
            <w:pPr>
              <w:spacing w:after="0"/>
              <w:rPr>
                <w:sz w:val="17"/>
                <w:szCs w:val="17"/>
                <w:color w:val="auto"/>
              </w:rPr>
            </w:pPr>
          </w:p>
        </w:tc>
        <w:tc>
          <w:tcPr>
            <w:tcW w:w="71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Use of Proceeds</w:t>
              </w:r>
            </w:hyperlink>
          </w:p>
        </w:tc>
        <w:tc>
          <w:tcPr>
            <w:tcW w:w="98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Dividend Policy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Capitalization</w:t>
              </w:r>
            </w:hyperlink>
          </w:p>
        </w:tc>
        <w:tc>
          <w:tcPr>
            <w:tcW w:w="140" w:type="dxa"/>
            <w:vAlign w:val="bottom"/>
            <w:tcBorders>
              <w:top w:val="single" w:sz="8" w:color="0000EE"/>
            </w:tcBorders>
          </w:tcPr>
          <w:p>
            <w:pPr>
              <w:spacing w:after="0"/>
              <w:rPr>
                <w:sz w:val="17"/>
                <w:szCs w:val="17"/>
                <w:color w:val="auto"/>
              </w:rPr>
            </w:pPr>
          </w:p>
        </w:tc>
        <w:tc>
          <w:tcPr>
            <w:tcW w:w="98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Dilution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Selected Consolidated Financial and Other Data</w:t>
              </w:r>
            </w:hyperlink>
          </w:p>
        </w:tc>
        <w:tc>
          <w:tcPr>
            <w:tcW w:w="75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Business</w:t>
              </w:r>
            </w:hyperlink>
          </w:p>
        </w:tc>
        <w:tc>
          <w:tcPr>
            <w:tcW w:w="45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Executive Compensation</w:t>
              </w:r>
            </w:hyperlink>
          </w:p>
        </w:tc>
        <w:tc>
          <w:tcPr>
            <w:tcW w:w="922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Certain Relationships, Related Party Transactions, and Other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Principal and Selling Stockholders</w:t>
              </w:r>
            </w:hyperlink>
          </w:p>
        </w:tc>
        <w:tc>
          <w:tcPr>
            <w:tcW w:w="570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Description of Capital Stock</w:t>
              </w:r>
            </w:hyperlink>
          </w:p>
        </w:tc>
        <w:tc>
          <w:tcPr>
            <w:tcW w:w="854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Material U.S. Federal Income Tax Consequences to Non-U.S. Holders of Our Class A Common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7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Underwriting (Conflicts of Interest)</w:t>
              </w:r>
            </w:hyperlink>
          </w:p>
        </w:tc>
        <w:tc>
          <w:tcPr>
            <w:tcW w:w="36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70">
              <w:r>
                <w:rPr>
                  <w:rFonts w:ascii="Arial" w:cs="Arial" w:eastAsia="Arial" w:hAnsi="Arial"/>
                  <w:sz w:val="18"/>
                  <w:szCs w:val="18"/>
                  <w:color w:val="0000EE"/>
                  <w:w w:val="91"/>
                </w:rPr>
                <w:t>Legal Matters</w:t>
              </w:r>
            </w:hyperlink>
          </w:p>
        </w:tc>
        <w:tc>
          <w:tcPr>
            <w:tcW w:w="1560" w:type="dxa"/>
            <w:vAlign w:val="bottom"/>
            <w:tcBorders>
              <w:top w:val="single" w:sz="8" w:color="0000EE"/>
            </w:tcBorders>
            <w:gridSpan w:val="9"/>
          </w:tcPr>
          <w:p>
            <w:pPr>
              <w:spacing w:after="0"/>
              <w:rPr>
                <w:sz w:val="17"/>
                <w:szCs w:val="17"/>
                <w:color w:val="auto"/>
              </w:rPr>
            </w:pPr>
          </w:p>
        </w:tc>
        <w:tc>
          <w:tcPr>
            <w:tcW w:w="84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70">
              <w:r>
                <w:rPr>
                  <w:rFonts w:ascii="Arial" w:cs="Arial" w:eastAsia="Arial" w:hAnsi="Arial"/>
                  <w:sz w:val="18"/>
                  <w:szCs w:val="18"/>
                  <w:color w:val="0000EE"/>
                  <w:w w:val="91"/>
                </w:rPr>
                <w:t>Experts</w:t>
              </w:r>
            </w:hyperlink>
          </w:p>
        </w:tc>
        <w:tc>
          <w:tcPr>
            <w:tcW w:w="1044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70">
              <w:r>
                <w:rPr>
                  <w:rFonts w:ascii="Arial" w:cs="Arial" w:eastAsia="Arial" w:hAnsi="Arial"/>
                  <w:sz w:val="18"/>
                  <w:szCs w:val="18"/>
                  <w:color w:val="0000EE"/>
                  <w:w w:val="93"/>
                </w:rPr>
                <w:t>Where You Can Find Additional Information</w:t>
              </w:r>
            </w:hyperlink>
          </w:p>
        </w:tc>
        <w:tc>
          <w:tcPr>
            <w:tcW w:w="778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Through and including ,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209550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w:t>
      </w:r>
    </w:p>
    <w:p>
      <w:pPr>
        <w:spacing w:after="0" w:line="15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our initial public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7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“Dropbox,” “the Company,” “we,” “us,” and “our” in this prospectus refer to Dropbox, Inc. and its consolidated subsidiaries, and references to our “common stock” include our Class A common stock and Class B common stock.</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DROPBOX,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8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want to free up our users to spend more of their time on the work that truly matters. Our mission is to unleash the world’s creative energy by designing a more enlightened way of working.</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more than 10 million paying users.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Users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We’re constantly inspired by the diverse ways people use Dropbox to bring their ideas to life and achieve their missions faster. Here are just a few examples:</w:t>
      </w:r>
    </w:p>
    <w:p>
      <w:pPr>
        <w:spacing w:after="0" w:line="7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Nobel Prize-winning researchers sync data with collaborators to speed development of new scientific breakthroughs.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9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Designers for a sustainable apparel company iterate on new designs and coordinate store openings.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commercial construction company shares blueprints with subcontractors on job sites and sends bids to prospective clients.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Fortune 500 online travel company keeps its global workforce connected with business partners around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bono lawyers at a refugee assistance organization collect and share information across continents to save lives.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Sets Us Apart</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117"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Open ecosystem</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Trends in Our Favor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Content is increasingly scattered</w:t>
      </w:r>
    </w:p>
    <w:p>
      <w:pPr>
        <w:spacing w:after="0" w:line="117" w:lineRule="exact"/>
        <w:rPr>
          <w:sz w:val="20"/>
          <w:szCs w:val="20"/>
          <w:color w:val="auto"/>
        </w:rPr>
      </w:pPr>
    </w:p>
    <w:p>
      <w:pPr>
        <w:ind w:left="200" w:right="460" w:firstLine="441"/>
        <w:spacing w:after="0" w:line="286" w:lineRule="auto"/>
        <w:rPr>
          <w:sz w:val="20"/>
          <w:szCs w:val="20"/>
          <w:color w:val="auto"/>
        </w:rPr>
      </w:pPr>
      <w:r>
        <w:rPr>
          <w:rFonts w:ascii="Arial" w:cs="Arial" w:eastAsia="Arial" w:hAnsi="Arial"/>
          <w:sz w:val="17"/>
          <w:szCs w:val="17"/>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75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075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tools people use are fragmented</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Teams have become more fluid and global</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“Work about work” is wasteful and stifles creativity</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Individual users are changing the way software is adopted and purchased</w:t>
      </w:r>
    </w:p>
    <w:p>
      <w:pPr>
        <w:spacing w:after="0" w:line="117"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131" w:lineRule="exact"/>
        <w:rPr>
          <w:sz w:val="20"/>
          <w:szCs w:val="20"/>
          <w:color w:val="auto"/>
        </w:rPr>
      </w:pPr>
    </w:p>
    <w:p>
      <w:pPr>
        <w:ind w:left="106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w:t>
      </w:r>
      <w:r>
        <w:rPr>
          <w:rFonts w:ascii="Arial" w:cs="Arial" w:eastAsia="Arial" w:hAnsi="Arial"/>
          <w:sz w:val="17"/>
          <w:szCs w:val="17"/>
          <w:i w:val="1"/>
          <w:iCs w:val="1"/>
          <w:color w:val="auto"/>
        </w:rPr>
        <w:t xml:space="preserve"> </w:t>
      </w:r>
      <w:r>
        <w:rPr>
          <w:rFonts w:ascii="Arial" w:cs="Arial" w:eastAsia="Arial" w:hAnsi="Arial"/>
          <w:sz w:val="17"/>
          <w:szCs w:val="17"/>
          <w:color w:val="auto"/>
        </w:rPr>
        <w:t>added more than 400 billion pieces of content to Dropbox, totaling over an exabyte (more than 1,000,000,000 gigabytes)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6" w:lineRule="exact"/>
        <w:rPr>
          <w:rFonts w:ascii="Arial" w:cs="Arial" w:eastAsia="Arial" w:hAnsi="Arial"/>
          <w:sz w:val="17"/>
          <w:szCs w:val="17"/>
          <w:color w:val="auto"/>
        </w:rPr>
      </w:pPr>
    </w:p>
    <w:p>
      <w:pPr>
        <w:ind w:left="10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Global sharing network. </w:t>
      </w:r>
      <w:r>
        <w:rPr>
          <w:rFonts w:ascii="Arial" w:cs="Arial" w:eastAsia="Arial" w:hAnsi="Arial"/>
          <w:sz w:val="18"/>
          <w:szCs w:val="18"/>
          <w:color w:val="auto"/>
        </w:rPr>
        <w:t>We’ve built one of the largest collaboration platforms in the world, with more than 4.5 billion connections to shared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9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060" w:hanging="323"/>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New product experiences. </w:t>
      </w:r>
      <w:r>
        <w:rPr>
          <w:rFonts w:ascii="Arial" w:cs="Arial" w:eastAsia="Arial" w:hAnsi="Arial"/>
          <w:sz w:val="17"/>
          <w:szCs w:val="17"/>
          <w:color w:val="auto"/>
        </w:rPr>
        <w:t>The insights we glean from our community of users lead us to develop new product experiences, like Paper, Smart</w:t>
      </w:r>
      <w:r>
        <w:rPr>
          <w:rFonts w:ascii="Arial" w:cs="Arial" w:eastAsia="Arial" w:hAnsi="Arial"/>
          <w:sz w:val="17"/>
          <w:szCs w:val="17"/>
          <w:i w:val="1"/>
          <w:iCs w:val="1"/>
          <w:color w:val="auto"/>
        </w:rPr>
        <w:t xml:space="preserve"> </w:t>
      </w:r>
      <w:r>
        <w:rPr>
          <w:rFonts w:ascii="Arial" w:cs="Arial" w:eastAsia="Arial" w:hAnsi="Arial"/>
          <w:sz w:val="17"/>
          <w:szCs w:val="17"/>
          <w:color w:val="auto"/>
        </w:rPr>
        <w:t>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66"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 adoption and paid conversion</w:t>
      </w:r>
    </w:p>
    <w:p>
      <w:pPr>
        <w:spacing w:after="0" w:line="117"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designed Dropbox to be easy to try, use, and buy. Anyone can create an account and be up and running in minutes. We believe that our current registered user base represents a significant opportunity to increase our revenue. We estimate that approximately 300 million of our registered users have characteristics—including specific email domains, devices, and geographies—that make them more likely than other registered users to pay over time.</w:t>
      </w:r>
    </w:p>
    <w:p>
      <w:pPr>
        <w:ind w:left="200" w:right="100"/>
        <w:spacing w:after="0" w:line="254" w:lineRule="auto"/>
        <w:rPr>
          <w:sz w:val="20"/>
          <w:szCs w:val="20"/>
          <w:color w:val="auto"/>
        </w:rPr>
      </w:pPr>
      <w:r>
        <w:rPr>
          <w:rFonts w:ascii="Arial" w:cs="Arial" w:eastAsia="Arial" w:hAnsi="Arial"/>
          <w:sz w:val="18"/>
          <w:szCs w:val="18"/>
          <w:color w:val="auto"/>
        </w:rPr>
        <w:t>Substantially all of our paying users share at least one of these characteristics. We reach our users through in-product notifications on our website and across more than 400 million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Upgrade our paying users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the first three quarters of 2017, over 40% of new Dropbox Business teams included a member who was previously a Plus subscriber. We believe that a large majority of individual customers use Dropbox for work, which creates an opportunity to significantly increase conversion to Dropbox Business team offerings over time.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Apply insights to build new product experiences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ecosystem</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Our open and thriving ecosystem fosters deeper relationships with our users and makes Dropbox more valuable to them over time. The scale and reach of our platform is enhanced by a number of third-party applications, developers, and technology partners. As of September 30, 2017, Dropbox was receiving over 50 billion API calls per month, and more than 500,000 developers had registered and built applications on our platform.</w:t>
      </w: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6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addressable market includes collaborative applications, content management, project and portfolio management, and public cloud storage.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IDC estimates that investment in these categories will total more than $50 billion in 2019.</w:t>
      </w:r>
    </w:p>
    <w:p>
      <w:pPr>
        <w:spacing w:after="0" w:line="21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76" w:lineRule="exact"/>
        <w:rPr>
          <w:sz w:val="20"/>
          <w:szCs w:val="20"/>
          <w:color w:val="auto"/>
        </w:rPr>
      </w:pPr>
    </w:p>
    <w:p>
      <w:pPr>
        <w:ind w:left="1060" w:right="1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depends on our ability to retain and upgrade paying users, and any decline in renewals or upgrades could adversely affect our future results of operations.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growth could be harmed if we fail to attract new users or convert registered users to paying users.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 growth rate has declined in recent periods and may continue to slow in the future.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net losses, we anticipate increasing expenses in the future, and we may not be able to achieve or maintain profitability.</w:t>
      </w:r>
    </w:p>
    <w:p>
      <w:pPr>
        <w:spacing w:after="0" w:line="153" w:lineRule="exact"/>
        <w:rPr>
          <w:rFonts w:ascii="Arial" w:cs="Arial" w:eastAsia="Arial" w:hAnsi="Arial"/>
          <w:sz w:val="16"/>
          <w:szCs w:val="16"/>
          <w:color w:val="auto"/>
        </w:rPr>
      </w:pPr>
    </w:p>
    <w:p>
      <w:pPr>
        <w:ind w:left="1060" w:right="3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damaged, and we could be subject to liability if there is any unauthorized access to our data or our users’ content, including through privacy and data security breaches.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harmed by any significant disruption of service on our platform or loss of content.</w:t>
      </w:r>
    </w:p>
    <w:p>
      <w:pPr>
        <w:spacing w:after="0" w:line="130" w:lineRule="exact"/>
        <w:rPr>
          <w:rFonts w:ascii="Arial" w:cs="Arial" w:eastAsia="Arial" w:hAnsi="Arial"/>
          <w:sz w:val="18"/>
          <w:szCs w:val="18"/>
          <w:color w:val="auto"/>
        </w:rPr>
      </w:pPr>
    </w:p>
    <w:p>
      <w:pPr>
        <w:ind w:left="1060" w:right="30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content collaboration solutions in general could negatively impact our business.</w:t>
      </w:r>
    </w:p>
    <w:p>
      <w:pPr>
        <w:spacing w:after="0" w:line="75"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depends upon the interoperability of our platform across devices, operating systems, and third-party applications that we do not control.</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successfully manage our growth or plan for future growth.</w:t>
      </w:r>
    </w:p>
    <w:p>
      <w:pPr>
        <w:spacing w:after="0" w:line="130" w:lineRule="exact"/>
        <w:rPr>
          <w:rFonts w:ascii="Arial" w:cs="Arial" w:eastAsia="Arial" w:hAnsi="Arial"/>
          <w:sz w:val="18"/>
          <w:szCs w:val="18"/>
          <w:color w:val="auto"/>
        </w:rPr>
      </w:pPr>
    </w:p>
    <w:p>
      <w:pPr>
        <w:ind w:left="1060" w:right="42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dual 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Investors, the media, and others should note that, following the completion of this offering, we intend to announce material information to the public through filings with the Securities and Exchange Commission, or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411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411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SEC, the investor relations page on our website, press releases, public conference calls, webcasts, our company news site at dropbox.com/news, and our corporate blog at blogs.dropbox.com.</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were incorporated in May 2007 as Evenflow, Inc., a Delaware corporation, and changed our name to Dropbox, Inc. in October 2009. Our principal executive offices are located at 333 Brannan Street, San Francisco, California, 94107, and our telephone number is (415) 857-6800. Our website address is www.dropbox.com. Information contained on, or that can be accessed through, our website does not constitute part of this prospectus and inclusions of our website address in this prospectus are inactive textual references only.</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“Dropbox,” “Dropbox Paper,” “Dropbox Smart Sync,” “Dropbox Showcase,” our logo, and our other registered or common law trademarks, service marks, or trade names appearing in this prospectus are the property of Dropbox, Inc. We refer to Dropbox Paper as Paper, Dropbox Smart Sync as Smart Sync, and Dropbox Showcase as Showcase in this prospectus. Other trademarks and trade names referred to in this prospectus are the property of their respective owners.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We may take advantage of these exemptions for so long as we are an emerging growth company, which could be as long as five years following the completion of this offering. Our status as an “emerging growth company” will end on the last day of the fiscal year in which we have $1.07 billion or more in annual revenue. However, if we achieve the $1.07 billion revenue threshold prior to the completion of this offering, we will continue to be treated as an “emerging growth company” for certain purposes until the earlier of the date on which we complete this offering or the end of the one-year period beginning on the date we ceased to be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10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64103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Class A common stock offered by us</w:t>
      </w:r>
    </w:p>
    <w:p>
      <w:pPr>
        <w:spacing w:after="0" w:line="266" w:lineRule="exact"/>
        <w:rPr>
          <w:sz w:val="20"/>
          <w:szCs w:val="20"/>
          <w:color w:val="auto"/>
        </w:rPr>
      </w:pPr>
    </w:p>
    <w:p>
      <w:pPr>
        <w:ind w:left="280" w:right="880" w:hanging="81"/>
        <w:spacing w:after="0" w:line="277" w:lineRule="auto"/>
        <w:rPr>
          <w:sz w:val="20"/>
          <w:szCs w:val="20"/>
          <w:color w:val="auto"/>
        </w:rPr>
      </w:pPr>
      <w:r>
        <w:rPr>
          <w:rFonts w:ascii="Arial" w:cs="Arial" w:eastAsia="Arial" w:hAnsi="Arial"/>
          <w:sz w:val="18"/>
          <w:szCs w:val="18"/>
          <w:color w:val="auto"/>
        </w:rPr>
        <w:t>Class A common stock offered by the selling stockholders</w:t>
      </w:r>
    </w:p>
    <w:p>
      <w:pPr>
        <w:spacing w:after="0" w:line="211" w:lineRule="exact"/>
        <w:rPr>
          <w:sz w:val="20"/>
          <w:szCs w:val="20"/>
          <w:color w:val="auto"/>
        </w:rPr>
      </w:pPr>
    </w:p>
    <w:p>
      <w:pPr>
        <w:ind w:left="280" w:right="480" w:hanging="81"/>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11" w:lineRule="exact"/>
        <w:rPr>
          <w:sz w:val="20"/>
          <w:szCs w:val="20"/>
          <w:color w:val="auto"/>
        </w:rPr>
      </w:pPr>
    </w:p>
    <w:p>
      <w:pPr>
        <w:ind w:left="280" w:right="480" w:hanging="81"/>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11" w:lineRule="exact"/>
        <w:rPr>
          <w:sz w:val="20"/>
          <w:szCs w:val="20"/>
          <w:color w:val="auto"/>
        </w:rPr>
      </w:pPr>
    </w:p>
    <w:p>
      <w:pPr>
        <w:ind w:left="280" w:right="20" w:hanging="81"/>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Option to purchase additional shares of Class A common stock from us</w:t>
      </w:r>
    </w:p>
    <w:p>
      <w:pPr>
        <w:spacing w:after="0" w:line="211"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Option to purchase additional shares of Class A common stock from the selling stockholders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net proceeds to us from the sale of shares of our Class A common stock in</w:t>
      </w:r>
    </w:p>
    <w:p>
      <w:pPr>
        <w:spacing w:after="0" w:line="4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this offering will be approximately $ (or approximately $ if the underwriters’ option to purchase additional shares of our Class A common stock from us and the selling stockholders is exercised in full), based upon the assumed initial public offering price of</w:t>
      </w:r>
    </w:p>
    <w:p>
      <w:pPr>
        <w:spacing w:after="0" w:line="1" w:lineRule="exact"/>
        <w:rPr>
          <w:sz w:val="20"/>
          <w:szCs w:val="20"/>
          <w:color w:val="auto"/>
        </w:rPr>
      </w:pPr>
    </w:p>
    <w:p>
      <w:pPr>
        <w:ind w:right="240" w:firstLine="3"/>
        <w:spacing w:after="0" w:line="277" w:lineRule="auto"/>
        <w:tabs>
          <w:tab w:leader="none" w:pos="495"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 share, which is the midpoint of the estimated offering price range set forth on the cover page of this prospectus, and after deducting estimated underwriting discounts and commissions and estimated offering expenses payable by us.</w:t>
      </w:r>
    </w:p>
    <w:p>
      <w:pPr>
        <w:spacing w:after="0" w:line="200"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create a public market for our Class A common stock, and enable access to the public equity markets for us and our stockholders. We intend to use a portion of the net</w:t>
      </w:r>
    </w:p>
    <w:p>
      <w:pPr>
        <w:ind w:right="100"/>
        <w:spacing w:after="0" w:line="281" w:lineRule="auto"/>
        <w:rPr>
          <w:sz w:val="20"/>
          <w:szCs w:val="20"/>
          <w:color w:val="auto"/>
        </w:rPr>
      </w:pPr>
      <w:r>
        <w:rPr>
          <w:rFonts w:ascii="Arial" w:cs="Arial" w:eastAsia="Arial" w:hAnsi="Arial"/>
          <w:sz w:val="16"/>
          <w:szCs w:val="16"/>
          <w:color w:val="auto"/>
        </w:rPr>
        <w:t>proceeds we receive from this offering to repay $ that is expected to be outstanding immediately prior to the completion of this offering under our revolving credit facility, which we intend to draw down prior to the completion of this offering to satisfy tax withholding and</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remittance obligations of $ related to the settlement of certain restricted stock units, or RSUs, for which the service condition was satisfied as of September 30, 2017, and for which we expect the liquidity event-related performance vesting condition, or the Performance Vesting Condition, to be satisfied upon the effectiveness of our registration statement related to</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offering. This amount is based upon the assumed initial public offering price of $ per share, which is the midpoint of the estimated offering price range set forth on the cover page of this prospectus. We also intend to</w:t>
      </w:r>
    </w:p>
    <w:p>
      <w:pPr>
        <w:spacing w:after="0" w:line="200" w:lineRule="exact"/>
        <w:rPr>
          <w:sz w:val="20"/>
          <w:szCs w:val="20"/>
          <w:color w:val="auto"/>
        </w:rPr>
      </w:pPr>
    </w:p>
    <w:p>
      <w:pPr>
        <w:sectPr>
          <w:pgSz w:w="11900" w:h="16838" w:orient="portrait"/>
          <w:cols w:equalWidth="0" w:num="2">
            <w:col w:w="4300" w:space="80"/>
            <w:col w:w="6840"/>
          </w:cols>
          <w:pgMar w:left="240" w:top="459" w:right="4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09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right="320"/>
        <w:spacing w:after="0" w:line="272" w:lineRule="auto"/>
        <w:rPr>
          <w:sz w:val="20"/>
          <w:szCs w:val="20"/>
          <w:color w:val="auto"/>
        </w:rPr>
      </w:pPr>
      <w:r>
        <w:rPr>
          <w:rFonts w:ascii="Arial" w:cs="Arial" w:eastAsia="Arial" w:hAnsi="Arial"/>
          <w:sz w:val="17"/>
          <w:szCs w:val="17"/>
          <w:color w:val="auto"/>
        </w:rPr>
        <w:t>use the net proceeds we receive from this offering for general corporate purposes, including working capital, operating expenses, and capital expenditures. Additionally, we may use a portion of the net proceeds we receive from this offering to acquire businesses, products, services, or technologies. However, we do not have agreements or commitments for any material acquisitions at this time. We will not receive any of the proceeds from the sale of Class A common stock in this offering by the selling stockholders. See “Use of Proceeds” for additional information.</w:t>
      </w:r>
    </w:p>
    <w:p>
      <w:pPr>
        <w:sectPr>
          <w:pgSz w:w="11900" w:h="16838" w:orient="portrait"/>
          <w:cols w:equalWidth="0" w:num="1">
            <w:col w:w="11420"/>
          </w:cols>
          <w:pgMar w:left="240" w:top="459" w:right="239" w:bottom="1440" w:gutter="0" w:footer="0" w:header="0"/>
        </w:sect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are entitled to one vote per share.</w:t>
      </w:r>
    </w:p>
    <w:p>
      <w:pPr>
        <w:spacing w:after="0" w:line="200" w:lineRule="exact"/>
        <w:rPr>
          <w:sz w:val="20"/>
          <w:szCs w:val="20"/>
          <w:color w:val="auto"/>
        </w:rPr>
      </w:pPr>
    </w:p>
    <w:p>
      <w:pPr>
        <w:sectPr>
          <w:pgSz w:w="11900" w:h="16838" w:orient="portrait"/>
          <w:cols w:equalWidth="0" w:num="2">
            <w:col w:w="3660" w:space="720"/>
            <w:col w:w="7040"/>
          </w:cols>
          <w:pgMar w:left="240" w:top="459" w:right="239" w:bottom="1440" w:gutter="0" w:footer="0" w:header="0"/>
          <w:type w:val="continuous"/>
        </w:sectPr>
      </w:pPr>
    </w:p>
    <w:p>
      <w:pPr>
        <w:spacing w:after="0" w:line="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Shares of our Class B common stock are entitled to</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votes per share.</w:t>
      </w:r>
    </w:p>
    <w:p>
      <w:pPr>
        <w:spacing w:after="0" w:line="211" w:lineRule="exact"/>
        <w:rPr>
          <w:sz w:val="20"/>
          <w:szCs w:val="20"/>
          <w:color w:val="auto"/>
        </w:rPr>
      </w:pPr>
    </w:p>
    <w:p>
      <w:pPr>
        <w:sectPr>
          <w:pgSz w:w="11900" w:h="16838" w:orient="portrait"/>
          <w:cols w:equalWidth="0" w:num="2">
            <w:col w:w="8080" w:space="440"/>
            <w:col w:w="2900"/>
          </w:cols>
          <w:pgMar w:left="240" w:top="459" w:right="239" w:bottom="1440" w:gutter="0" w:footer="0" w:header="0"/>
          <w:type w:val="continuous"/>
        </w:sectPr>
      </w:pPr>
    </w:p>
    <w:p>
      <w:pPr>
        <w:spacing w:after="0" w:line="75" w:lineRule="exact"/>
        <w:rPr>
          <w:sz w:val="20"/>
          <w:szCs w:val="20"/>
          <w:color w:val="auto"/>
        </w:rPr>
      </w:pPr>
    </w:p>
    <w:p>
      <w:pPr>
        <w:ind w:left="4380" w:right="260"/>
        <w:spacing w:after="0" w:line="288" w:lineRule="auto"/>
        <w:rPr>
          <w:sz w:val="20"/>
          <w:szCs w:val="20"/>
          <w:color w:val="auto"/>
        </w:rPr>
      </w:pPr>
      <w:r>
        <w:rPr>
          <w:rFonts w:ascii="Arial" w:cs="Arial" w:eastAsia="Arial" w:hAnsi="Arial"/>
          <w:sz w:val="16"/>
          <w:szCs w:val="16"/>
          <w:color w:val="auto"/>
        </w:rPr>
        <w:t>Holders of our Class A common stock and Class B common stock will generally vote together as a single class, unless otherwise required by law or our amended and restated certificate of incorporation. The holders of our outstanding Class B common stock will hold approximately</w:t>
      </w:r>
    </w:p>
    <w:p>
      <w:pPr>
        <w:ind w:left="4380" w:right="200" w:firstLine="228"/>
        <w:spacing w:after="0" w:line="281" w:lineRule="auto"/>
        <w:tabs>
          <w:tab w:leader="none" w:pos="4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 the voting power of our outstanding capital stock following this offering and will have the ability to control the outcome of matters submitted to our stockholders for approval, including the election of our directors and the approval of any change in control transaction. Additionally, our executive officers, directors, and holders of 5% or more of our common</w:t>
      </w:r>
    </w:p>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17"/>
                <w:szCs w:val="17"/>
                <w:color w:val="auto"/>
              </w:rPr>
            </w:pPr>
          </w:p>
        </w:tc>
        <w:tc>
          <w:tcPr>
            <w:tcW w:w="4820" w:type="dxa"/>
            <w:vAlign w:val="bottom"/>
            <w:gridSpan w:val="3"/>
          </w:tcPr>
          <w:p>
            <w:pPr>
              <w:ind w:left="1240"/>
              <w:spacing w:after="0" w:line="205" w:lineRule="exact"/>
              <w:rPr>
                <w:sz w:val="20"/>
                <w:szCs w:val="20"/>
                <w:color w:val="auto"/>
              </w:rPr>
            </w:pPr>
            <w:r>
              <w:rPr>
                <w:rFonts w:ascii="Arial" w:cs="Arial" w:eastAsia="Arial" w:hAnsi="Arial"/>
                <w:sz w:val="18"/>
                <w:szCs w:val="18"/>
                <w:color w:val="auto"/>
                <w:w w:val="95"/>
              </w:rPr>
              <w:t>stock will hold, in the aggregate, approximately</w:t>
            </w:r>
          </w:p>
        </w:tc>
        <w:tc>
          <w:tcPr>
            <w:tcW w:w="3460" w:type="dxa"/>
            <w:vAlign w:val="bottom"/>
          </w:tcPr>
          <w:p>
            <w:pPr>
              <w:jc w:val="right"/>
              <w:ind w:right="270"/>
              <w:spacing w:after="0" w:line="205" w:lineRule="exact"/>
              <w:rPr>
                <w:sz w:val="20"/>
                <w:szCs w:val="20"/>
                <w:color w:val="auto"/>
              </w:rPr>
            </w:pPr>
            <w:r>
              <w:rPr>
                <w:rFonts w:ascii="Arial" w:cs="Arial" w:eastAsia="Arial" w:hAnsi="Arial"/>
                <w:sz w:val="18"/>
                <w:szCs w:val="18"/>
                <w:color w:val="auto"/>
                <w:w w:val="95"/>
              </w:rPr>
              <w:t>% of the voting power of our outstanding</w:t>
            </w:r>
          </w:p>
        </w:tc>
      </w:tr>
      <w:tr>
        <w:trPr>
          <w:trHeight w:val="216"/>
        </w:trPr>
        <w:tc>
          <w:tcPr>
            <w:tcW w:w="3140" w:type="dxa"/>
            <w:vAlign w:val="bottom"/>
          </w:tcPr>
          <w:p>
            <w:pPr>
              <w:spacing w:after="0"/>
              <w:rPr>
                <w:sz w:val="18"/>
                <w:szCs w:val="18"/>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rPr>
              <w:t>capital stock following this offering. See “Principal and Selling Stockholders” and</w:t>
            </w:r>
          </w:p>
        </w:tc>
      </w:tr>
      <w:tr>
        <w:trPr>
          <w:trHeight w:val="230"/>
        </w:trPr>
        <w:tc>
          <w:tcPr>
            <w:tcW w:w="3140" w:type="dxa"/>
            <w:vAlign w:val="bottom"/>
          </w:tcPr>
          <w:p>
            <w:pPr>
              <w:spacing w:after="0"/>
              <w:rPr>
                <w:sz w:val="20"/>
                <w:szCs w:val="20"/>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rPr>
              <w:t>“Description of Capital Stock” for additional information.</w:t>
            </w:r>
          </w:p>
        </w:tc>
      </w:tr>
      <w:tr>
        <w:trPr>
          <w:trHeight w:val="459"/>
        </w:trPr>
        <w:tc>
          <w:tcPr>
            <w:tcW w:w="3140" w:type="dxa"/>
            <w:vAlign w:val="bottom"/>
          </w:tcPr>
          <w:p>
            <w:pPr>
              <w:ind w:left="200"/>
              <w:spacing w:after="0"/>
              <w:rPr>
                <w:sz w:val="20"/>
                <w:szCs w:val="20"/>
                <w:color w:val="auto"/>
              </w:rPr>
            </w:pPr>
            <w:r>
              <w:rPr>
                <w:rFonts w:ascii="Arial" w:cs="Arial" w:eastAsia="Arial" w:hAnsi="Arial"/>
                <w:sz w:val="18"/>
                <w:szCs w:val="18"/>
                <w:color w:val="auto"/>
              </w:rPr>
              <w:t>Proposed ticker symbol</w:t>
            </w:r>
          </w:p>
        </w:tc>
        <w:tc>
          <w:tcPr>
            <w:tcW w:w="2440" w:type="dxa"/>
            <w:vAlign w:val="bottom"/>
          </w:tcPr>
          <w:p>
            <w:pPr>
              <w:ind w:left="1240"/>
              <w:spacing w:after="0"/>
              <w:rPr>
                <w:sz w:val="20"/>
                <w:szCs w:val="20"/>
                <w:color w:val="auto"/>
              </w:rPr>
            </w:pPr>
            <w:r>
              <w:rPr>
                <w:rFonts w:ascii="Arial" w:cs="Arial" w:eastAsia="Arial" w:hAnsi="Arial"/>
                <w:sz w:val="18"/>
                <w:szCs w:val="18"/>
                <w:color w:val="auto"/>
              </w:rPr>
              <w:t>“DBX”</w:t>
            </w: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58"/>
        </w:trPr>
        <w:tc>
          <w:tcPr>
            <w:tcW w:w="3140" w:type="dxa"/>
            <w:vAlign w:val="bottom"/>
          </w:tcPr>
          <w:p>
            <w:pPr>
              <w:ind w:left="200"/>
              <w:spacing w:after="0"/>
              <w:rPr>
                <w:sz w:val="20"/>
                <w:szCs w:val="20"/>
                <w:color w:val="auto"/>
              </w:rPr>
            </w:pPr>
            <w:r>
              <w:rPr>
                <w:rFonts w:ascii="Arial" w:cs="Arial" w:eastAsia="Arial" w:hAnsi="Arial"/>
                <w:sz w:val="18"/>
                <w:szCs w:val="18"/>
                <w:color w:val="auto"/>
              </w:rPr>
              <w:t>Conflict of interest</w:t>
            </w: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w w:val="96"/>
              </w:rPr>
              <w:t>Affiliates of Goldman Sachs &amp; Co. LLC and J.P. Morgan Securities LLC, underwriters in this</w:t>
            </w:r>
          </w:p>
        </w:tc>
      </w:tr>
      <w:tr>
        <w:trPr>
          <w:trHeight w:val="216"/>
        </w:trPr>
        <w:tc>
          <w:tcPr>
            <w:tcW w:w="3140" w:type="dxa"/>
            <w:vAlign w:val="bottom"/>
          </w:tcPr>
          <w:p>
            <w:pPr>
              <w:spacing w:after="0"/>
              <w:rPr>
                <w:sz w:val="18"/>
                <w:szCs w:val="18"/>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w w:val="99"/>
              </w:rPr>
              <w:t>offering, will receive at least 5% of the net proceeds of this offering in connection with the</w:t>
            </w:r>
          </w:p>
        </w:tc>
      </w:tr>
      <w:tr>
        <w:trPr>
          <w:trHeight w:val="216"/>
        </w:trPr>
        <w:tc>
          <w:tcPr>
            <w:tcW w:w="3140" w:type="dxa"/>
            <w:vAlign w:val="bottom"/>
          </w:tcPr>
          <w:p>
            <w:pPr>
              <w:spacing w:after="0"/>
              <w:rPr>
                <w:sz w:val="18"/>
                <w:szCs w:val="18"/>
                <w:color w:val="auto"/>
              </w:rPr>
            </w:pPr>
          </w:p>
        </w:tc>
        <w:tc>
          <w:tcPr>
            <w:tcW w:w="2440" w:type="dxa"/>
            <w:vAlign w:val="bottom"/>
          </w:tcPr>
          <w:p>
            <w:pPr>
              <w:ind w:left="1240"/>
              <w:spacing w:after="0"/>
              <w:rPr>
                <w:sz w:val="20"/>
                <w:szCs w:val="20"/>
                <w:color w:val="auto"/>
              </w:rPr>
            </w:pPr>
            <w:r>
              <w:rPr>
                <w:rFonts w:ascii="Arial" w:cs="Arial" w:eastAsia="Arial" w:hAnsi="Arial"/>
                <w:sz w:val="18"/>
                <w:szCs w:val="18"/>
                <w:color w:val="auto"/>
                <w:w w:val="98"/>
              </w:rPr>
              <w:t>repayment of $</w:t>
            </w:r>
          </w:p>
        </w:tc>
        <w:tc>
          <w:tcPr>
            <w:tcW w:w="5840" w:type="dxa"/>
            <w:vAlign w:val="bottom"/>
            <w:gridSpan w:val="3"/>
          </w:tcPr>
          <w:p>
            <w:pPr>
              <w:jc w:val="right"/>
              <w:ind w:right="210"/>
              <w:spacing w:after="0"/>
              <w:rPr>
                <w:sz w:val="20"/>
                <w:szCs w:val="20"/>
                <w:color w:val="auto"/>
              </w:rPr>
            </w:pPr>
            <w:r>
              <w:rPr>
                <w:rFonts w:ascii="Arial" w:cs="Arial" w:eastAsia="Arial" w:hAnsi="Arial"/>
                <w:sz w:val="18"/>
                <w:szCs w:val="18"/>
                <w:color w:val="auto"/>
                <w:w w:val="96"/>
              </w:rPr>
              <w:t>that is expected to be outstanding immediately prior to the completion of</w:t>
            </w:r>
          </w:p>
        </w:tc>
      </w:tr>
      <w:tr>
        <w:trPr>
          <w:trHeight w:val="216"/>
        </w:trPr>
        <w:tc>
          <w:tcPr>
            <w:tcW w:w="3140" w:type="dxa"/>
            <w:vAlign w:val="bottom"/>
          </w:tcPr>
          <w:p>
            <w:pPr>
              <w:spacing w:after="0"/>
              <w:rPr>
                <w:sz w:val="18"/>
                <w:szCs w:val="18"/>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rPr>
              <w:t>this offering under our revolving credit facility. See “Use of Proceeds.” Accordingly, this</w:t>
            </w:r>
          </w:p>
        </w:tc>
      </w:tr>
      <w:tr>
        <w:trPr>
          <w:trHeight w:val="216"/>
        </w:trPr>
        <w:tc>
          <w:tcPr>
            <w:tcW w:w="3140" w:type="dxa"/>
            <w:vAlign w:val="bottom"/>
          </w:tcPr>
          <w:p>
            <w:pPr>
              <w:spacing w:after="0"/>
              <w:rPr>
                <w:sz w:val="18"/>
                <w:szCs w:val="18"/>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w w:val="98"/>
              </w:rPr>
              <w:t>offering is being made in compliance with the requirements of FINRA Rule 5121. This rule</w:t>
            </w:r>
          </w:p>
        </w:tc>
      </w:tr>
      <w:tr>
        <w:trPr>
          <w:trHeight w:val="216"/>
        </w:trPr>
        <w:tc>
          <w:tcPr>
            <w:tcW w:w="3140" w:type="dxa"/>
            <w:vAlign w:val="bottom"/>
          </w:tcPr>
          <w:p>
            <w:pPr>
              <w:spacing w:after="0"/>
              <w:rPr>
                <w:sz w:val="18"/>
                <w:szCs w:val="18"/>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w w:val="93"/>
              </w:rPr>
              <w:t>requires, among other things, that a “qualified independent underwriter” has participated in the</w:t>
            </w:r>
          </w:p>
        </w:tc>
      </w:tr>
      <w:tr>
        <w:trPr>
          <w:trHeight w:val="216"/>
        </w:trPr>
        <w:tc>
          <w:tcPr>
            <w:tcW w:w="3140" w:type="dxa"/>
            <w:vAlign w:val="bottom"/>
          </w:tcPr>
          <w:p>
            <w:pPr>
              <w:spacing w:after="0"/>
              <w:rPr>
                <w:sz w:val="18"/>
                <w:szCs w:val="18"/>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w w:val="96"/>
              </w:rPr>
              <w:t>preparation of, and has exercised the usual standards of “due diligence” with respect to, the</w:t>
            </w:r>
          </w:p>
        </w:tc>
      </w:tr>
      <w:tr>
        <w:trPr>
          <w:trHeight w:val="216"/>
        </w:trPr>
        <w:tc>
          <w:tcPr>
            <w:tcW w:w="3140" w:type="dxa"/>
            <w:vAlign w:val="bottom"/>
          </w:tcPr>
          <w:p>
            <w:pPr>
              <w:spacing w:after="0"/>
              <w:rPr>
                <w:sz w:val="18"/>
                <w:szCs w:val="18"/>
                <w:color w:val="auto"/>
              </w:rPr>
            </w:pPr>
          </w:p>
        </w:tc>
        <w:tc>
          <w:tcPr>
            <w:tcW w:w="3160" w:type="dxa"/>
            <w:vAlign w:val="bottom"/>
            <w:gridSpan w:val="2"/>
          </w:tcPr>
          <w:p>
            <w:pPr>
              <w:ind w:left="1240"/>
              <w:spacing w:after="0"/>
              <w:rPr>
                <w:sz w:val="20"/>
                <w:szCs w:val="20"/>
                <w:color w:val="auto"/>
              </w:rPr>
            </w:pPr>
            <w:r>
              <w:rPr>
                <w:rFonts w:ascii="Arial" w:cs="Arial" w:eastAsia="Arial" w:hAnsi="Arial"/>
                <w:sz w:val="18"/>
                <w:szCs w:val="18"/>
                <w:color w:val="auto"/>
              </w:rPr>
              <w:t>registration statement.</w:t>
            </w:r>
          </w:p>
        </w:tc>
        <w:tc>
          <w:tcPr>
            <w:tcW w:w="5120" w:type="dxa"/>
            <w:vAlign w:val="bottom"/>
            <w:gridSpan w:val="2"/>
          </w:tcPr>
          <w:p>
            <w:pPr>
              <w:jc w:val="right"/>
              <w:ind w:right="270"/>
              <w:spacing w:after="0"/>
              <w:rPr>
                <w:sz w:val="20"/>
                <w:szCs w:val="20"/>
                <w:color w:val="auto"/>
              </w:rPr>
            </w:pPr>
            <w:r>
              <w:rPr>
                <w:rFonts w:ascii="Arial" w:cs="Arial" w:eastAsia="Arial" w:hAnsi="Arial"/>
                <w:sz w:val="18"/>
                <w:szCs w:val="18"/>
                <w:color w:val="auto"/>
                <w:w w:val="96"/>
              </w:rPr>
              <w:t>has agreed to act as qualified independent underwriter for this</w:t>
            </w:r>
          </w:p>
        </w:tc>
      </w:tr>
      <w:tr>
        <w:trPr>
          <w:trHeight w:val="216"/>
        </w:trPr>
        <w:tc>
          <w:tcPr>
            <w:tcW w:w="3140" w:type="dxa"/>
            <w:vAlign w:val="bottom"/>
          </w:tcPr>
          <w:p>
            <w:pPr>
              <w:spacing w:after="0"/>
              <w:rPr>
                <w:sz w:val="18"/>
                <w:szCs w:val="18"/>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w w:val="96"/>
              </w:rPr>
              <w:t>offering and to undertake the legal responsibilities and liabilities of an underwriter under the</w:t>
            </w:r>
          </w:p>
        </w:tc>
      </w:tr>
      <w:tr>
        <w:trPr>
          <w:trHeight w:val="230"/>
        </w:trPr>
        <w:tc>
          <w:tcPr>
            <w:tcW w:w="3140" w:type="dxa"/>
            <w:vAlign w:val="bottom"/>
          </w:tcPr>
          <w:p>
            <w:pPr>
              <w:spacing w:after="0"/>
              <w:rPr>
                <w:sz w:val="20"/>
                <w:szCs w:val="20"/>
                <w:color w:val="auto"/>
              </w:rPr>
            </w:pPr>
          </w:p>
        </w:tc>
        <w:tc>
          <w:tcPr>
            <w:tcW w:w="8280" w:type="dxa"/>
            <w:vAlign w:val="bottom"/>
            <w:gridSpan w:val="4"/>
          </w:tcPr>
          <w:p>
            <w:pPr>
              <w:ind w:left="1240"/>
              <w:spacing w:after="0"/>
              <w:rPr>
                <w:sz w:val="20"/>
                <w:szCs w:val="20"/>
                <w:color w:val="auto"/>
              </w:rPr>
            </w:pPr>
            <w:r>
              <w:rPr>
                <w:rFonts w:ascii="Arial" w:cs="Arial" w:eastAsia="Arial" w:hAnsi="Arial"/>
                <w:sz w:val="18"/>
                <w:szCs w:val="18"/>
                <w:color w:val="auto"/>
              </w:rPr>
              <w:t>Securities Act of 1933, as amended, or the Securities Act.</w:t>
            </w:r>
          </w:p>
        </w:tc>
      </w:tr>
      <w:tr>
        <w:trPr>
          <w:trHeight w:val="253"/>
        </w:trPr>
        <w:tc>
          <w:tcPr>
            <w:tcW w:w="31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r>
      <w:tr>
        <w:trPr>
          <w:trHeight w:val="604"/>
        </w:trPr>
        <w:tc>
          <w:tcPr>
            <w:tcW w:w="3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8</w:t>
            </w: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32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number of shares of our Class A common stock and Class B common stock that will be outstanding after this offering is based on 13,892,885 shares of our Class A common stock and 538,851,747 shares of our Class B common stock as of September 30, 2017, and reflects:</w:t>
      </w:r>
    </w:p>
    <w:p>
      <w:pPr>
        <w:spacing w:after="0" w:line="52" w:lineRule="exact"/>
        <w:rPr>
          <w:sz w:val="20"/>
          <w:szCs w:val="20"/>
          <w:color w:val="auto"/>
        </w:rPr>
      </w:pPr>
    </w:p>
    <w:p>
      <w:pPr>
        <w:ind w:left="1060" w:right="340" w:hanging="323"/>
        <w:spacing w:after="0" w:line="25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387,934 shares of preferred stock and 3,914,934 shares of Class B common stock that will convert into Class A common stock immediately prior to the completion of this offering pursuant to the terms of certain transfer agreements, and (ii) 220,965,979 shares of preferred stock that will automatically convert into shares of Class B common stock immediately prior to the completion of this offering pursuant to the terms of our amended and restated certificate of incorporation, which we refer to, collectively, as the Capital Stock Conversions; and</w:t>
      </w:r>
    </w:p>
    <w:p>
      <w:pPr>
        <w:spacing w:after="0" w:line="93" w:lineRule="exact"/>
        <w:rPr>
          <w:rFonts w:ascii="Arial" w:cs="Arial" w:eastAsia="Arial" w:hAnsi="Arial"/>
          <w:sz w:val="18"/>
          <w:szCs w:val="18"/>
          <w:color w:val="auto"/>
        </w:rPr>
      </w:pPr>
    </w:p>
    <w:p>
      <w:pPr>
        <w:ind w:left="1060" w:right="2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38,172,093 shares of our Class B common stock subject to RSUs, for which the service condition was satisfied as of September 30, 2017, and for which we expect the Performance Vesting Condition to be satisfied upon the effectiveness of our registration statement related to this offering (which RSUs are expected to be net settled by us), or the RSU Settlement.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shares of our Class A common stock and Class B common stock outstanding as of September 30, 2017 excludes the following:</w:t>
      </w:r>
    </w:p>
    <w:p>
      <w:pPr>
        <w:spacing w:after="0" w:line="131" w:lineRule="exact"/>
        <w:rPr>
          <w:sz w:val="20"/>
          <w:szCs w:val="20"/>
          <w:color w:val="auto"/>
        </w:rPr>
      </w:pPr>
    </w:p>
    <w:p>
      <w:pPr>
        <w:ind w:left="1060" w:right="52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7,484,830 shares of our Class B common stock issuable upon the exercise of options to purchase shares of our Class B common stock outstanding as of September 30, 2017, with a weighted-average exercise price of $7.03 per share;</w:t>
      </w:r>
    </w:p>
    <w:p>
      <w:pPr>
        <w:spacing w:after="0" w:line="75"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22,883,109 shares of our Class A common stock and 23,405,828 shares of our Class B common stock subject to RSUs outstanding, but for which the service condition was not satisfied, as of September 30, 2017;</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1,588,685 shares of our Class A common stock subject to RSUs granted after September 30, 2017; and</w:t>
      </w:r>
    </w:p>
    <w:p>
      <w:pPr>
        <w:spacing w:after="0" w:line="130" w:lineRule="exact"/>
        <w:rPr>
          <w:rFonts w:ascii="Arial" w:cs="Arial" w:eastAsia="Arial" w:hAnsi="Arial"/>
          <w:sz w:val="18"/>
          <w:szCs w:val="18"/>
          <w:color w:val="auto"/>
        </w:rPr>
      </w:pPr>
    </w:p>
    <w:p>
      <w:pPr>
        <w:ind w:left="1640" w:hanging="903"/>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620" w:right="280" w:hanging="438"/>
        <w:spacing w:after="0" w:line="277" w:lineRule="auto"/>
        <w:tabs>
          <w:tab w:leader="none" w:pos="22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Equity Incentive Plan, or our 2018 Plan, which will become effective prior to the completion of this offering;</w:t>
      </w:r>
    </w:p>
    <w:p>
      <w:pPr>
        <w:spacing w:after="0" w:line="75" w:lineRule="exact"/>
        <w:rPr>
          <w:rFonts w:ascii="Arial" w:cs="Arial" w:eastAsia="Arial" w:hAnsi="Arial"/>
          <w:sz w:val="18"/>
          <w:szCs w:val="18"/>
          <w:color w:val="auto"/>
        </w:rPr>
      </w:pPr>
    </w:p>
    <w:p>
      <w:pPr>
        <w:ind w:left="1620" w:right="160" w:hanging="438"/>
        <w:spacing w:after="0" w:line="264" w:lineRule="auto"/>
        <w:tabs>
          <w:tab w:leader="none" w:pos="22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2017 Equity Incentive Plan, or our 2017 Plan, which number of shares will be added to the shares of our Class A common stock to be reserved for future issuance under our 2018 Plan upon its effectiveness; and</w:t>
      </w:r>
    </w:p>
    <w:p>
      <w:pPr>
        <w:spacing w:after="0" w:line="86" w:lineRule="exact"/>
        <w:rPr>
          <w:rFonts w:ascii="Arial" w:cs="Arial" w:eastAsia="Arial" w:hAnsi="Arial"/>
          <w:sz w:val="18"/>
          <w:szCs w:val="18"/>
          <w:color w:val="auto"/>
        </w:rPr>
      </w:pPr>
    </w:p>
    <w:p>
      <w:pPr>
        <w:ind w:left="1620" w:hanging="438"/>
        <w:spacing w:after="0" w:line="264" w:lineRule="auto"/>
        <w:tabs>
          <w:tab w:leader="none" w:pos="22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Employee Stock Purchase Plan, or our ESPP, which will become effective prior to the completion of this offering, but no offering periods under the ESPP will commence unless and until otherwise determined by our Board of Directors.</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Capital Stock Conversions will occur immediately prior to the completion of this offering;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624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16249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0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60" w:right="74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shares of our Class B common stock held by certain selling stockholders into an equivalent number of shares of our Class A common stock upon the sale by the selling stockholders in this offering;</w:t>
      </w:r>
    </w:p>
    <w:p>
      <w:pPr>
        <w:spacing w:after="0" w:line="75" w:lineRule="exact"/>
        <w:rPr>
          <w:rFonts w:ascii="Arial" w:cs="Arial" w:eastAsia="Arial" w:hAnsi="Arial"/>
          <w:sz w:val="18"/>
          <w:szCs w:val="18"/>
          <w:color w:val="auto"/>
        </w:rPr>
      </w:pPr>
    </w:p>
    <w:p>
      <w:pPr>
        <w:ind w:left="1060" w:right="94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outstanding stock options or settlement of outstanding RSUs subsequent to September 30, 2017, other than the RSU Settlement; and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jc w:val="right"/>
              <w:ind w:right="210"/>
              <w:spacing w:after="0"/>
              <w:rPr>
                <w:sz w:val="20"/>
                <w:szCs w:val="20"/>
                <w:color w:val="auto"/>
              </w:rPr>
            </w:pPr>
            <w:r>
              <w:rPr>
                <w:rFonts w:ascii="Arial" w:cs="Arial" w:eastAsia="Arial" w:hAnsi="Arial"/>
                <w:sz w:val="18"/>
                <w:szCs w:val="18"/>
                <w:color w:val="auto"/>
              </w:rPr>
              <w:t>•   no exercise by the underwriters of their option to purchase up to an additional</w:t>
            </w:r>
          </w:p>
        </w:tc>
        <w:tc>
          <w:tcPr>
            <w:tcW w:w="4460" w:type="dxa"/>
            <w:vAlign w:val="bottom"/>
          </w:tcPr>
          <w:p>
            <w:pPr>
              <w:ind w:left="320"/>
              <w:spacing w:after="0"/>
              <w:rPr>
                <w:sz w:val="20"/>
                <w:szCs w:val="20"/>
                <w:color w:val="auto"/>
              </w:rPr>
            </w:pPr>
            <w:r>
              <w:rPr>
                <w:rFonts w:ascii="Arial" w:cs="Arial" w:eastAsia="Arial" w:hAnsi="Arial"/>
                <w:sz w:val="18"/>
                <w:szCs w:val="18"/>
                <w:color w:val="auto"/>
                <w:w w:val="97"/>
              </w:rPr>
              <w:t>shares of our Class A common stock from us and the</w:t>
            </w:r>
          </w:p>
        </w:tc>
      </w:tr>
      <w:tr>
        <w:trPr>
          <w:trHeight w:val="230"/>
        </w:trPr>
        <w:tc>
          <w:tcPr>
            <w:tcW w:w="6960" w:type="dxa"/>
            <w:vAlign w:val="bottom"/>
          </w:tcPr>
          <w:p>
            <w:pPr>
              <w:jc w:val="right"/>
              <w:ind w:right="4330"/>
              <w:spacing w:after="0"/>
              <w:rPr>
                <w:sz w:val="20"/>
                <w:szCs w:val="20"/>
                <w:color w:val="auto"/>
              </w:rPr>
            </w:pPr>
            <w:r>
              <w:rPr>
                <w:rFonts w:ascii="Arial" w:cs="Arial" w:eastAsia="Arial" w:hAnsi="Arial"/>
                <w:sz w:val="18"/>
                <w:szCs w:val="18"/>
                <w:color w:val="auto"/>
              </w:rPr>
              <w:t>selling stockholders.</w:t>
            </w:r>
          </w:p>
        </w:tc>
        <w:tc>
          <w:tcPr>
            <w:tcW w:w="4460" w:type="dxa"/>
            <w:vAlign w:val="bottom"/>
          </w:tcPr>
          <w:p>
            <w:pPr>
              <w:spacing w:after="0"/>
              <w:rPr>
                <w:sz w:val="20"/>
                <w:szCs w:val="20"/>
                <w:color w:val="auto"/>
              </w:rPr>
            </w:pPr>
          </w:p>
        </w:tc>
      </w:tr>
      <w:tr>
        <w:trPr>
          <w:trHeight w:val="253"/>
        </w:trPr>
        <w:tc>
          <w:tcPr>
            <w:tcW w:w="6960" w:type="dxa"/>
            <w:vAlign w:val="bottom"/>
            <w:tcBorders>
              <w:bottom w:val="single" w:sz="8" w:color="auto"/>
            </w:tcBorders>
          </w:tcPr>
          <w:p>
            <w:pPr>
              <w:spacing w:after="0"/>
              <w:rPr>
                <w:sz w:val="22"/>
                <w:szCs w:val="22"/>
                <w:color w:val="auto"/>
              </w:rPr>
            </w:pPr>
          </w:p>
        </w:tc>
        <w:tc>
          <w:tcPr>
            <w:tcW w:w="4460" w:type="dxa"/>
            <w:vAlign w:val="bottom"/>
            <w:tcBorders>
              <w:bottom w:val="single" w:sz="8" w:color="auto"/>
            </w:tcBorders>
          </w:tcPr>
          <w:p>
            <w:pPr>
              <w:spacing w:after="0"/>
              <w:rPr>
                <w:sz w:val="22"/>
                <w:szCs w:val="22"/>
                <w:color w:val="auto"/>
              </w:rPr>
            </w:pPr>
          </w:p>
        </w:tc>
      </w:tr>
      <w:tr>
        <w:trPr>
          <w:trHeight w:val="604"/>
        </w:trPr>
        <w:tc>
          <w:tcPr>
            <w:tcW w:w="6960" w:type="dxa"/>
            <w:vAlign w:val="bottom"/>
          </w:tcPr>
          <w:p>
            <w:pPr>
              <w:jc w:val="right"/>
              <w:ind w:right="1070"/>
              <w:spacing w:after="0"/>
              <w:rPr>
                <w:sz w:val="20"/>
                <w:szCs w:val="20"/>
                <w:color w:val="auto"/>
              </w:rPr>
            </w:pPr>
            <w:r>
              <w:rPr>
                <w:rFonts w:ascii="Arial" w:cs="Arial" w:eastAsia="Arial" w:hAnsi="Arial"/>
                <w:sz w:val="18"/>
                <w:szCs w:val="18"/>
                <w:color w:val="auto"/>
              </w:rPr>
              <w:t>10</w:t>
            </w:r>
          </w:p>
        </w:tc>
        <w:tc>
          <w:tcPr>
            <w:tcW w:w="4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200" w:firstLine="441"/>
        <w:spacing w:after="0" w:line="269" w:lineRule="auto"/>
        <w:rPr>
          <w:sz w:val="20"/>
          <w:szCs w:val="20"/>
          <w:color w:val="auto"/>
        </w:rPr>
      </w:pPr>
      <w:r>
        <w:rPr>
          <w:rFonts w:ascii="Arial" w:cs="Arial" w:eastAsia="Arial" w:hAnsi="Arial"/>
          <w:sz w:val="17"/>
          <w:szCs w:val="17"/>
          <w:color w:val="auto"/>
        </w:rPr>
        <w:t>The following summary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and 2016, are derived from our audited consolidated financial statements that are included elsewhere in this prospectus. The consolidated statements of operations data for the nine months ended September 30, 2016 and 2017, and the consolidated balance sheet data as of September 30, 2017, have been derived from our unaudited consolidated financial statements appearing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nine months ended September 30, 2017, are not necessarily indicative of the results to be expected for the full year or any other period. The summary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10"/>
          </w:tcPr>
          <w:p>
            <w:pPr>
              <w:jc w:val="right"/>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606.8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$801.3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301.3</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186.7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478.8</w:t>
            </w: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(193.5)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20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(325.6)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(177.7)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(325.9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(210.2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(181.1</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200"/>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282.3</w:t>
            </w: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5"/>
                <w:szCs w:val="15"/>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(0.13)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Weighted-average shares used in computing pro forma net loss per share attributable to common</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0" w:type="dxa"/>
            <w:vAlign w:val="bottom"/>
            <w:tcBorders>
              <w:bottom w:val="single" w:sz="8" w:color="auto"/>
            </w:tcBorders>
          </w:tcPr>
          <w:p>
            <w:pPr>
              <w:spacing w:after="0"/>
              <w:rPr>
                <w:sz w:val="21"/>
                <w:szCs w:val="21"/>
                <w:color w:val="auto"/>
              </w:rPr>
            </w:pPr>
          </w:p>
        </w:tc>
        <w:tc>
          <w:tcPr>
            <w:tcW w:w="7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7400" w:type="dxa"/>
            <w:vAlign w:val="bottom"/>
            <w:gridSpan w:val="2"/>
          </w:tcPr>
          <w:p>
            <w:pPr>
              <w:ind w:left="56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10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410325"/>
                    </a:xfrm>
                    <a:prstGeom prst="rect">
                      <a:avLst/>
                    </a:prstGeom>
                    <a:noFill/>
                  </pic:spPr>
                </pic:pic>
              </a:graphicData>
            </a:graphic>
          </wp:anchor>
        </w:drawing>
      </w:r>
    </w:p>
    <w:p>
      <w:pPr>
        <w:spacing w:after="0" w:line="368" w:lineRule="exact"/>
        <w:rPr>
          <w:sz w:val="20"/>
          <w:szCs w:val="20"/>
          <w:color w:val="auto"/>
        </w:rPr>
      </w:pPr>
    </w:p>
    <w:p>
      <w:pPr>
        <w:ind w:left="520" w:hanging="324"/>
        <w:spacing w:after="0"/>
        <w:tabs>
          <w:tab w:leader="none" w:pos="520" w:val="left"/>
        </w:tabs>
        <w:numPr>
          <w:ilvl w:val="0"/>
          <w:numId w:val="14"/>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right"/>
              <w:ind w:right="182"/>
              <w:spacing w:after="0" w:line="142" w:lineRule="exact"/>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36.1</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Sales and marketing</w:t>
            </w:r>
          </w:p>
        </w:tc>
        <w:tc>
          <w:tcPr>
            <w:tcW w:w="2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19.8</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66.1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147.6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113.6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520" w:right="60" w:hanging="324"/>
        <w:spacing w:after="0" w:line="212" w:lineRule="auto"/>
        <w:tabs>
          <w:tab w:leader="none" w:pos="520" w:val="left"/>
        </w:tabs>
        <w:numPr>
          <w:ilvl w:val="0"/>
          <w:numId w:val="15"/>
        </w:numPr>
        <w:rPr>
          <w:rFonts w:ascii="Arial" w:cs="Arial" w:eastAsia="Arial" w:hAnsi="Arial"/>
          <w:sz w:val="28"/>
          <w:szCs w:val="28"/>
          <w:color w:val="auto"/>
          <w:vertAlign w:val="superscript"/>
        </w:rPr>
      </w:pPr>
      <w:r>
        <w:rPr>
          <w:rFonts w:ascii="Arial" w:cs="Arial" w:eastAsia="Arial" w:hAnsi="Arial"/>
          <w:sz w:val="16"/>
          <w:szCs w:val="16"/>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0"/>
              </w:rPr>
              <w:t>As of September 30, 2017</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Actual</w:t>
            </w:r>
          </w:p>
        </w:tc>
        <w:tc>
          <w:tcPr>
            <w:tcW w:w="1840" w:type="dxa"/>
            <w:vAlign w:val="bottom"/>
          </w:tcPr>
          <w:p>
            <w:pPr>
              <w:jc w:val="center"/>
              <w:ind w:right="189"/>
              <w:spacing w:after="0" w:line="119" w:lineRule="exact"/>
              <w:rPr>
                <w:sz w:val="20"/>
                <w:szCs w:val="20"/>
                <w:color w:val="auto"/>
              </w:rPr>
            </w:pPr>
            <w:r>
              <w:rPr>
                <w:rFonts w:ascii="Arial" w:cs="Arial" w:eastAsia="Arial" w:hAnsi="Arial"/>
                <w:sz w:val="13"/>
                <w:szCs w:val="13"/>
                <w:b w:val="1"/>
                <w:bCs w:val="1"/>
                <w:color w:val="auto"/>
              </w:rPr>
              <w:t>Pro</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840" w:type="dxa"/>
            <w:vAlign w:val="bottom"/>
          </w:tcPr>
          <w:p>
            <w:pPr>
              <w:jc w:val="center"/>
              <w:ind w:right="169"/>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12"/>
                <w:szCs w:val="12"/>
                <w:b w:val="1"/>
                <w:bCs w:val="1"/>
                <w:color w:val="auto"/>
                <w:w w:val="92"/>
              </w:rPr>
              <w:t>(2)(3)</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jc w:val="center"/>
              <w:ind w:left="109"/>
              <w:spacing w:after="0" w:line="142" w:lineRule="exact"/>
              <w:rPr>
                <w:sz w:val="20"/>
                <w:szCs w:val="20"/>
                <w:color w:val="auto"/>
              </w:rPr>
            </w:pPr>
            <w:r>
              <w:rPr>
                <w:rFonts w:ascii="Arial" w:cs="Arial" w:eastAsia="Arial" w:hAnsi="Arial"/>
                <w:sz w:val="14"/>
                <w:szCs w:val="14"/>
                <w:i w:val="1"/>
                <w:iCs w:val="1"/>
                <w:color w:val="auto"/>
                <w:w w:val="97"/>
              </w:rPr>
              <w:t>(In millions)</w:t>
            </w:r>
          </w:p>
        </w:tc>
        <w:tc>
          <w:tcPr>
            <w:tcW w:w="10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3"/>
              </w:rPr>
              <w:t>$ 422.7</w:t>
            </w: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Working capital</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(205.5)</w:t>
            </w: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345.0</w:t>
            </w: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986.5</w:t>
            </w: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407.4</w:t>
            </w: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178.6</w:t>
            </w: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109.0</w:t>
            </w:r>
          </w:p>
        </w:tc>
        <w:tc>
          <w:tcPr>
            <w:tcW w:w="1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20" w:hanging="324"/>
        <w:spacing w:after="0"/>
        <w:tabs>
          <w:tab w:leader="none" w:pos="520"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The pro forma column in the balance sheet data table above reflects (a) the Capital Stock Conversions, as if such conversions had occurred on September 30, 2017,</w:t>
      </w:r>
    </w:p>
    <w:p>
      <w:pPr>
        <w:spacing w:after="0" w:line="10" w:lineRule="exact"/>
        <w:rPr>
          <w:rFonts w:ascii="Arial" w:cs="Arial" w:eastAsia="Arial" w:hAnsi="Arial"/>
          <w:sz w:val="23"/>
          <w:szCs w:val="23"/>
          <w:color w:val="auto"/>
          <w:vertAlign w:val="superscript"/>
        </w:rPr>
      </w:pPr>
    </w:p>
    <w:p>
      <w:pPr>
        <w:ind w:left="520"/>
        <w:spacing w:after="0"/>
        <w:rPr>
          <w:rFonts w:ascii="Arial" w:cs="Arial" w:eastAsia="Arial" w:hAnsi="Arial"/>
          <w:sz w:val="23"/>
          <w:szCs w:val="23"/>
          <w:color w:val="auto"/>
          <w:vertAlign w:val="superscript"/>
        </w:rPr>
      </w:pPr>
      <w:r>
        <w:rPr>
          <w:rFonts w:ascii="Arial" w:cs="Arial" w:eastAsia="Arial" w:hAnsi="Arial"/>
          <w:sz w:val="15"/>
          <w:szCs w:val="15"/>
          <w:color w:val="auto"/>
        </w:rPr>
        <w:t>(b) the filing and effectiveness of our amended and restated certificate of incorporation in Delaware that will become effective immediately prior to the completion</w:t>
      </w:r>
    </w:p>
    <w:p>
      <w:pPr>
        <w:spacing w:after="0" w:line="199" w:lineRule="exact"/>
        <w:rPr>
          <w:sz w:val="20"/>
          <w:szCs w:val="20"/>
          <w:color w:val="auto"/>
        </w:rPr>
      </w:pPr>
    </w:p>
    <w:p>
      <w:pPr>
        <w:ind w:left="520" w:right="60"/>
        <w:spacing w:after="0" w:line="265" w:lineRule="auto"/>
        <w:rPr>
          <w:sz w:val="20"/>
          <w:szCs w:val="20"/>
          <w:color w:val="auto"/>
        </w:rPr>
      </w:pPr>
      <w:r>
        <w:rPr>
          <w:rFonts w:ascii="Arial" w:cs="Arial" w:eastAsia="Arial" w:hAnsi="Arial"/>
          <w:sz w:val="16"/>
          <w:szCs w:val="16"/>
          <w:color w:val="auto"/>
        </w:rPr>
        <w:t>of this offering, (c) stock-based compensation expense of $415.4 million associated with the RSU Settlement, (d) the net issuance of shares of our Class B common stock upon the RSU Settlement, (e) the borrowing of $ million under our revolving credit facility to satisfy our tax withholding and remittance obligations related to the RSU Settlement, and (f) a cash payment of $ to satisfy our tax withholding and remittance obligations related to the RSU Settlement, which amounts in (e) and (f) are based upon the assumed initial public offering price of $ per share, which is the midpoint of the estimated offering price range set forth on the cover page of this prospectus.</w:t>
      </w:r>
    </w:p>
    <w:p>
      <w:pPr>
        <w:ind w:left="520" w:hanging="324"/>
        <w:spacing w:after="0" w:line="184" w:lineRule="auto"/>
        <w:tabs>
          <w:tab w:leader="none" w:pos="520" w:val="left"/>
        </w:tabs>
        <w:numPr>
          <w:ilvl w:val="0"/>
          <w:numId w:val="17"/>
        </w:numPr>
        <w:rPr>
          <w:rFonts w:ascii="Arial" w:cs="Arial" w:eastAsia="Arial" w:hAnsi="Arial"/>
          <w:sz w:val="23"/>
          <w:szCs w:val="23"/>
          <w:color w:val="auto"/>
          <w:vertAlign w:val="superscript"/>
        </w:rPr>
      </w:pPr>
      <w:r>
        <w:rPr>
          <w:rFonts w:ascii="Arial" w:cs="Arial" w:eastAsia="Arial" w:hAnsi="Arial"/>
          <w:sz w:val="14"/>
          <w:szCs w:val="14"/>
          <w:color w:val="auto"/>
        </w:rPr>
        <w:t>The pro forma as adjusted column in the balance sheet data table above gives effect to (a) the pro forma adjustments set forth above, (b) the sale and issuance by us</w:t>
      </w:r>
    </w:p>
    <w:p>
      <w:pPr>
        <w:spacing w:after="0" w:line="11" w:lineRule="exact"/>
        <w:rPr>
          <w:sz w:val="20"/>
          <w:szCs w:val="20"/>
          <w:color w:val="auto"/>
        </w:rPr>
      </w:pPr>
    </w:p>
    <w:p>
      <w:pPr>
        <w:ind w:left="520" w:right="20"/>
        <w:spacing w:after="0" w:line="274" w:lineRule="auto"/>
        <w:rPr>
          <w:sz w:val="20"/>
          <w:szCs w:val="20"/>
          <w:color w:val="auto"/>
        </w:rPr>
      </w:pPr>
      <w:r>
        <w:rPr>
          <w:rFonts w:ascii="Arial" w:cs="Arial" w:eastAsia="Arial" w:hAnsi="Arial"/>
          <w:sz w:val="15"/>
          <w:szCs w:val="15"/>
          <w:color w:val="auto"/>
        </w:rPr>
        <w:t>of shares of our Class A common stock in this offering, based upon the assumed initial public offering price of $ per share, which is the midpoint of the estimated offering price range set forth on the cover page of this prospectus, and after deducting estimated underwriting discounts and commissions and estimated</w:t>
      </w:r>
    </w:p>
    <w:p>
      <w:pPr>
        <w:spacing w:after="0" w:line="1" w:lineRule="exact"/>
        <w:rPr>
          <w:sz w:val="20"/>
          <w:szCs w:val="20"/>
          <w:color w:val="auto"/>
        </w:rPr>
      </w:pPr>
    </w:p>
    <w:p>
      <w:pPr>
        <w:ind w:left="520"/>
        <w:spacing w:after="0"/>
        <w:tabs>
          <w:tab w:leader="none" w:pos="6600" w:val="left"/>
        </w:tabs>
        <w:rPr>
          <w:sz w:val="20"/>
          <w:szCs w:val="20"/>
          <w:color w:val="auto"/>
        </w:rPr>
      </w:pPr>
      <w:r>
        <w:rPr>
          <w:rFonts w:ascii="Arial" w:cs="Arial" w:eastAsia="Arial" w:hAnsi="Arial"/>
          <w:sz w:val="16"/>
          <w:szCs w:val="16"/>
          <w:color w:val="auto"/>
        </w:rPr>
        <w:t>offering expenses payable by us, and (c) the use of proceeds from the offering to repay $</w:t>
      </w:r>
      <w:r>
        <w:rPr>
          <w:sz w:val="20"/>
          <w:szCs w:val="20"/>
          <w:color w:val="auto"/>
        </w:rPr>
        <w:tab/>
      </w:r>
      <w:r>
        <w:rPr>
          <w:rFonts w:ascii="Arial" w:cs="Arial" w:eastAsia="Arial" w:hAnsi="Arial"/>
          <w:sz w:val="15"/>
          <w:szCs w:val="15"/>
          <w:color w:val="auto"/>
        </w:rPr>
        <w:t>drawn down under our revolving credit facility to satisfy our tax</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withholding and remittance obligations related to the RSU Settlement.</w:t>
      </w:r>
    </w:p>
    <w:p>
      <w:pPr>
        <w:spacing w:after="0" w:line="19" w:lineRule="exact"/>
        <w:rPr>
          <w:sz w:val="20"/>
          <w:szCs w:val="20"/>
          <w:color w:val="auto"/>
        </w:rPr>
      </w:pPr>
    </w:p>
    <w:p>
      <w:pPr>
        <w:ind w:left="200"/>
        <w:spacing w:after="0"/>
        <w:tabs>
          <w:tab w:leader="none" w:pos="500" w:val="left"/>
          <w:tab w:leader="none" w:pos="62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6"/>
          <w:szCs w:val="16"/>
          <w:color w:val="auto"/>
        </w:rPr>
        <w:t>Each $1.00 increase or decrease in the assumed initial public offering price of $</w:t>
      </w:r>
      <w:r>
        <w:rPr>
          <w:sz w:val="20"/>
          <w:szCs w:val="20"/>
          <w:color w:val="auto"/>
        </w:rPr>
        <w:tab/>
      </w:r>
      <w:r>
        <w:rPr>
          <w:rFonts w:ascii="Arial" w:cs="Arial" w:eastAsia="Arial" w:hAnsi="Arial"/>
          <w:sz w:val="14"/>
          <w:szCs w:val="14"/>
          <w:color w:val="auto"/>
        </w:rPr>
        <w:t>per share, which is the midpoint of the estimated offering price range set</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forth on the cover page of this prospectus, would increase or decrease, as applicable, (a) the amount of our pro forma as adjusted cash and cash equivalents, working</w:t>
      </w:r>
    </w:p>
    <w:p>
      <w:pPr>
        <w:spacing w:after="0" w:line="42" w:lineRule="exact"/>
        <w:rPr>
          <w:sz w:val="20"/>
          <w:szCs w:val="20"/>
          <w:color w:val="auto"/>
        </w:rPr>
      </w:pPr>
    </w:p>
    <w:p>
      <w:pPr>
        <w:ind w:left="520" w:right="340"/>
        <w:spacing w:after="0" w:line="288" w:lineRule="auto"/>
        <w:rPr>
          <w:sz w:val="20"/>
          <w:szCs w:val="20"/>
          <w:color w:val="auto"/>
        </w:rPr>
      </w:pPr>
      <w:r>
        <w:rPr>
          <w:rFonts w:ascii="Arial" w:cs="Arial" w:eastAsia="Arial" w:hAnsi="Arial"/>
          <w:sz w:val="16"/>
          <w:szCs w:val="16"/>
          <w:color w:val="auto"/>
        </w:rPr>
        <w:t>capital, total assets, and total stockholders’ equity by $ , assuming that the number of shares offered by us, as set forth on the cover page of this prospectus, remains the same, after deducting estimated underwriting discounts and commissions payable by us, (b)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21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amount we would be required to draw down under our revolving credit facility to satisfy our tax withholding and remittance obligations related to the RSU</w:t>
      </w:r>
    </w:p>
    <w:p>
      <w:pPr>
        <w:spacing w:after="0" w:line="34" w:lineRule="exact"/>
        <w:rPr>
          <w:sz w:val="20"/>
          <w:szCs w:val="20"/>
          <w:color w:val="auto"/>
        </w:rPr>
      </w:pPr>
    </w:p>
    <w:p>
      <w:pPr>
        <w:ind w:left="520"/>
        <w:spacing w:after="0"/>
        <w:tabs>
          <w:tab w:leader="none" w:pos="1840" w:val="left"/>
        </w:tabs>
        <w:rPr>
          <w:sz w:val="20"/>
          <w:szCs w:val="20"/>
          <w:color w:val="auto"/>
        </w:rPr>
      </w:pPr>
      <w:r>
        <w:rPr>
          <w:rFonts w:ascii="Arial" w:cs="Arial" w:eastAsia="Arial" w:hAnsi="Arial"/>
          <w:sz w:val="16"/>
          <w:szCs w:val="16"/>
          <w:color w:val="auto"/>
        </w:rPr>
        <w:t>Settlement by $</w:t>
      </w:r>
      <w:r>
        <w:rPr>
          <w:sz w:val="20"/>
          <w:szCs w:val="20"/>
          <w:color w:val="auto"/>
        </w:rPr>
        <w:tab/>
      </w:r>
      <w:r>
        <w:rPr>
          <w:rFonts w:ascii="Arial" w:cs="Arial" w:eastAsia="Arial" w:hAnsi="Arial"/>
          <w:sz w:val="14"/>
          <w:szCs w:val="14"/>
          <w:color w:val="auto"/>
        </w:rPr>
        <w:t>, and (c) the amount we would be required to pay to satisfy our tax withholding and remittance obligations related to the RSU Settlement by</w:t>
      </w:r>
    </w:p>
    <w:p>
      <w:pPr>
        <w:ind w:left="920" w:hanging="399"/>
        <w:spacing w:after="0" w:line="200" w:lineRule="auto"/>
        <w:tabs>
          <w:tab w:leader="none" w:pos="920" w:val="left"/>
        </w:tabs>
        <w:numPr>
          <w:ilvl w:val="0"/>
          <w:numId w:val="18"/>
        </w:numPr>
        <w:rPr>
          <w:rFonts w:ascii="Arial" w:cs="Arial" w:eastAsia="Arial" w:hAnsi="Arial"/>
          <w:sz w:val="3"/>
          <w:szCs w:val="3"/>
          <w:color w:val="auto"/>
        </w:rPr>
      </w:pPr>
      <w:r>
        <w:rPr>
          <w:rFonts w:ascii="Arial" w:cs="Arial" w:eastAsia="Arial" w:hAnsi="Arial"/>
          <w:sz w:val="3"/>
          <w:szCs w:val="3"/>
          <w:color w:val="auto"/>
        </w:rPr>
        <w:t>. An increase or decrease of 1.0 million shares in the number of shares offered by us would increase or decrease, as applicable, the amount of our pro forma as</w:t>
      </w:r>
    </w:p>
    <w:p>
      <w:pPr>
        <w:spacing w:after="0" w:line="189" w:lineRule="exact"/>
        <w:rPr>
          <w:sz w:val="20"/>
          <w:szCs w:val="20"/>
          <w:color w:val="auto"/>
        </w:rPr>
      </w:pPr>
    </w:p>
    <w:p>
      <w:pPr>
        <w:ind w:left="520" w:right="40"/>
        <w:spacing w:after="0" w:line="293" w:lineRule="auto"/>
        <w:rPr>
          <w:sz w:val="20"/>
          <w:szCs w:val="20"/>
          <w:color w:val="auto"/>
        </w:rPr>
      </w:pPr>
      <w:r>
        <w:rPr>
          <w:rFonts w:ascii="Arial" w:cs="Arial" w:eastAsia="Arial" w:hAnsi="Arial"/>
          <w:sz w:val="16"/>
          <w:szCs w:val="16"/>
          <w:color w:val="auto"/>
        </w:rPr>
        <w:t>adjusted cash and cash equivalents, working capital, total assets, and total stockholders’ equity by $ , assuming the assumed initial public offering price remains the same, and after deducting estimated underwriting discounts and commissions payable by us.</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below table sets forth the number of paying users as of December 31, 2015, December 31, 2016, and September 30, 2017:</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As of</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6360" w:type="dxa"/>
            <w:vAlign w:val="bottom"/>
          </w:tcPr>
          <w:p>
            <w:pPr>
              <w:spacing w:after="0"/>
              <w:rPr>
                <w:sz w:val="14"/>
                <w:szCs w:val="14"/>
                <w:color w:val="auto"/>
              </w:rPr>
            </w:pPr>
          </w:p>
        </w:tc>
        <w:tc>
          <w:tcPr>
            <w:tcW w:w="19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3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2015</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2"/>
          </w:tcPr>
          <w:p>
            <w:pPr>
              <w:jc w:val="right"/>
              <w:ind w:right="180"/>
              <w:spacing w:after="0" w:line="142" w:lineRule="exact"/>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Paying users</w:t>
            </w: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below table sets forth our ARPU for the years ended December 31, 2015 and 2016, and the nine months ended September 30, 2016 and 2017.</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36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ARPU</w:t>
            </w:r>
          </w:p>
        </w:tc>
        <w:tc>
          <w:tcPr>
            <w:tcW w:w="3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$111.5</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free cash flow, or FCF, as net cash provided by operating activities less capital expenditures.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856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1856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6"/>
          </w:tcPr>
          <w:p>
            <w:pPr>
              <w:jc w:val="right"/>
              <w:ind w:right="720"/>
              <w:spacing w:after="0" w:line="142" w:lineRule="exact"/>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$ 252.6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Capital expenditures</w:t>
            </w:r>
          </w:p>
        </w:tc>
        <w:tc>
          <w:tcPr>
            <w:tcW w:w="17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(111.6)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the section titled “Management’s Discussion and Analysis of Financial Condition and Results of Operations—Non-GAAP Financial Measure”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3"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6"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2017, we served over 500 million registered users but only 10.4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anticipate increasing expenses in the future, and we may not be able to achieve or maintain profitability.</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incurred net losses on an annual basis since our inception. We incurred net losses of $325.9 million and $210.2 million in 2015 and 2016, respectively, and $74.0 million for the nine months ended September 30, 2017, and we had an accumulated deficit of $1,012.0 million as of September 30,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7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6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a cryptographic algorithm known as hashing and salting.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compromise and infiltrate our systems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As we add to our infrastructure, we may move or transfer additional content.</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6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6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87"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15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With the introduction of new technologies and market entrants, we expect competition to intensify in the future. Many of our actual and potential competitors benefit from competitive advantages over us, such as greater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introduced Paper, a new collaborative product experience, and Smart Sync, a new advanced productivity feature, to add additional functionality to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Since our founding in 2007, we have experienced rapid growth. For example, our headcount has grown from 1,420 employees as of September 30, 2015, to 1,864 employees as of September 30, 2017, with employees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salesforce may limit the potential growth of our business.</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salesforce, which has enabled us to be more efficient with our sales and marketing spend. Although we believe our business model can continue to scale without a large outbound salesforce, our word-of-mouth and user referral marketing model may not continue to be as successful as we anticipate, and our limited experience selling directly to large organizations through our outbound salesforce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6.5 million as of December 31, 2015, to 10.4 million as of September 30, 2017.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9"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capital leases;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62"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generally is recognized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If we fail to attract new personnel, or fail to retain and motivate our current personnel, our business and growth prospects could be harmed.</w:t>
      </w:r>
    </w:p>
    <w:p>
      <w:pPr>
        <w:spacing w:after="0" w:line="178"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Dropbox brand, or if we incur excessive expenses in this effort, our business, results of operations, and financial condition will be materially and adversely affected.</w:t>
      </w:r>
    </w:p>
    <w:p>
      <w:pPr>
        <w:spacing w:after="0" w:line="2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paying users across 180 countries and approximately half of our revenue in the nine months ended September 30,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0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recruiting and retaining talented and capable employees outside the United States, and maintaining our company culture across all of our offices;</w:t>
      </w:r>
    </w:p>
    <w:p>
      <w:pPr>
        <w:spacing w:after="0" w:line="153" w:lineRule="exact"/>
        <w:rPr>
          <w:rFonts w:ascii="Arial" w:cs="Arial" w:eastAsia="Arial" w:hAnsi="Arial"/>
          <w:sz w:val="16"/>
          <w:szCs w:val="16"/>
          <w:color w:val="auto"/>
        </w:rPr>
      </w:pPr>
    </w:p>
    <w:p>
      <w:pPr>
        <w:ind w:left="900" w:right="2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29" w:lineRule="exact"/>
        <w:rPr>
          <w:rFonts w:ascii="Arial" w:cs="Arial" w:eastAsia="Arial" w:hAnsi="Arial"/>
          <w:sz w:val="16"/>
          <w:szCs w:val="16"/>
          <w:color w:val="auto"/>
        </w:rPr>
      </w:pPr>
    </w:p>
    <w:p>
      <w:pPr>
        <w:jc w:val="both"/>
        <w:ind w:left="900" w:right="10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15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2016, 23%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6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September 30,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301"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w:t>
      </w:r>
    </w:p>
    <w:p>
      <w:pPr>
        <w:spacing w:after="0" w:line="18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countries that are the subject of United States sanctions. We filed an Initial Voluntary Self Disclosure in October 2017 with the Office of Foreign Assets Control, or OFAC. We are in the process of preparing the Final Voluntary Disclosure for submission to OFAC. If we are found to be in violation of U.S. sanctions or export control laws, it could result in substantial fines and penalties for us and for the individuals working for us.</w:t>
      </w:r>
    </w:p>
    <w:p>
      <w:pPr>
        <w:spacing w:after="0" w:line="18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European legislators have adopted a General Data Protection Regulation, or GDPR, that will, when effective in May 2018, supersede current European Union, or EU, data protection legislation, impose more stringent EU data protection requirements, and provide for greater penalties for noncompliance. Further, following a referendum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pending EU General Data Protection Regulation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9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Federal Communications Commission has recently announced its intention to seek to revise the “net neutrality” rules, which is expected to occur later this year. The rules were designed to ensure that all online content is treated the same by internet service providers and other companies that provide broadband services. Should the net neutrality rules be relaxed or eliminated, we could incur greater operating expenses, which could harm our results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against us grows. From time to time, we are party to litigation and disputes related to our intellectual property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550 issued patents and more than 550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7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8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1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of December 31, 2016, we had $254.8 million of federal and $94.9 million of state net operating loss carryforwards available to reduce future taxable income, which will begin to expire in 2031 for federal and 2030 for state tax purposes. As of December 31, 2016, we also had $247.9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June 30,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2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December 22, 2017, the U.S. President signed legislation commonly referred to as the Tax Cuts and Jobs Act, or the Act, which contains significant changes to U.S. tax law, including, but not limited to, a reduction in the corporate tax rate and a transition to a new territorial system of taxation. The primary impact of the new legislation on our provision for income taxes will be a reduction of the future tax benefits of existing temporary differences as a result of the reduction in the corporate tax rate. However, since we have recorded a full valuation allowance against our deferred tax assets, we do not currently anticipate that these changes will have a material impact on our consolidated financial statements. The impact of the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w:t>
      </w:r>
    </w:p>
    <w:p>
      <w:pPr>
        <w:spacing w:after="0" w:line="4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Sarbanes-Oxley Act of 2002, or the 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w:t>
      </w:r>
    </w:p>
    <w:p>
      <w:pPr>
        <w:spacing w:after="0" w:line="1" w:lineRule="exact"/>
        <w:rPr>
          <w:sz w:val="20"/>
          <w:szCs w:val="20"/>
          <w:color w:val="auto"/>
        </w:rPr>
      </w:pPr>
    </w:p>
    <w:p>
      <w:pPr>
        <w:jc w:val="both"/>
        <w:ind w:right="460"/>
        <w:spacing w:after="0" w:line="277" w:lineRule="auto"/>
        <w:rPr>
          <w:sz w:val="20"/>
          <w:szCs w:val="20"/>
          <w:color w:val="auto"/>
        </w:rPr>
      </w:pPr>
      <w:r>
        <w:rPr>
          <w:rFonts w:ascii="Arial" w:cs="Arial" w:eastAsia="Arial" w:hAnsi="Arial"/>
          <w:sz w:val="17"/>
          <w:szCs w:val="17"/>
          <w:color w:val="auto"/>
        </w:rPr>
        <w:t>Class A common stock. In addition, if we are unable to continue to meet these requirements, we may not be able to remain listed on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 required to provide an annual management report on the effectiveness of our internal control over financial reporting commencing with our second annual report on Form 10-K.</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Jumpstart Our Businesses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which could be as long as five years following the completion of this offering but we expect not to be an “emerging growth company” sooner. Our status as an “emerging growth company” will end on the last day of the fiscal year in which we have $1.07 billion or more in annual revenue. However, if we achieve the $1.07 billion revenue threshold prior to the completion of this offering, we will continue to be treated as an “emerging growth company” for certain purposes until the earlier of the date on which we complete this offering or the end of the one-year period beginning on the date we ceased to be an “emerging growth company.”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in May 2014, the FASB issued Accounting Standards Update, or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or Topic 606, which superseded nearly all existing revenue recognition guidance. We adopted the requirements of Topic 606 as of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2017, utilizing the full retrospective method of transition. As such, Topic 606 is reflected in our financial results for all periods presented in this prospectus. The adoption of Topic 606 primarily resulted in changes to our accounting policies for revenue recognition and deferred commissions, which we believe to be critical accounting policies. While the impact of adopting Topic 606 on our revenue was not material, it is difficult to predict the impact of future changes to accounting principles or our accounting policies, any of which could negatively affect our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7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Certain of our market opportunity estimates, growth forecasts, and key metrics included in this prospectus could prove to be inaccurate, and any real or perceived inaccuracies may harm our reputation and negatively affect our business.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 may prove to be inaccurate. Even if the markets in which we compete meet the size estimates and growth forecasted in this prospectus,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7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7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party to a revolving credit and guarantee agreement,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 failure by us to comply with the covenants or payment requirements specified in our credit agreement could result in an event of default under the agreement, which would give the lenders the right to terminate their commitments to provide additional loans under our revolving credit facility and to declare all borrowings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finance a significant portion of our expenditures through leasing arrangements, some of which are not required to be reflected on our balance sheet, and we may enter into additional similar arrangements in the future. As of December 31, 2016, we had an aggregate of $903.9 million of commitments to settle contractual obligations. In particular, we have used these types of arrangements to finance some of our equipment and datacenters. In addition, we may draw upon our revolving credit facility to finance our operations or for other corporate purposes, such as funding our tax withholding and remittance obligations in connection with the settlement of restricted stock units, or RSUs. If we default on these leasing or credit obligations, our leasing partners and lenders may, among other things:</w:t>
      </w:r>
    </w:p>
    <w:p>
      <w:pPr>
        <w:spacing w:after="0" w:line="9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contractual obligations described above, in October 2017, we entered into a new lease agreement to rent office space in San Francisco, California, to serve as our new corporate headquarters. The total minimum obligations under this lease agreement are expected to be approximately $827.0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with the intention of subleasing the space to a third-party for the remainder of the lease term, which terminates in the third quarter of 2027. If we are unable to find sublessors for all or a portion of our current corporate headquarters, our results of operations will be adversely impacted as a result of this additional rent expense through 2027.</w:t>
      </w:r>
    </w:p>
    <w:p>
      <w:pPr>
        <w:spacing w:after="0" w:line="18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cash generated from our operations, and debt financing for capital purchases. Although we currently anticipate that our existing cash and cash equivalents, amounts available under our existing credit facilities, and cash flow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6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have applied to list our Class A common stock on the under the symbol “DBX.”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this offering, there has been no public market for shares of our Class A common stock. The initial public offering price of our Class A common stock was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7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Class B common stock has votes per share and our Class A common stock, which is the stock we are offering in this offering, has one vote per share. Following this offering, our directors, executive officers and holders of more than 5% of our common stock, and their respective affiliates, will hold</w:t>
      </w:r>
    </w:p>
    <w:p>
      <w:pPr>
        <w:ind w:right="120"/>
        <w:spacing w:after="0" w:line="290" w:lineRule="auto"/>
        <w:rPr>
          <w:sz w:val="20"/>
          <w:szCs w:val="20"/>
          <w:color w:val="auto"/>
        </w:rPr>
      </w:pPr>
      <w:r>
        <w:rPr>
          <w:rFonts w:ascii="Arial" w:cs="Arial" w:eastAsia="Arial" w:hAnsi="Arial"/>
          <w:sz w:val="16"/>
          <w:szCs w:val="16"/>
          <w:color w:val="auto"/>
        </w:rPr>
        <w:t>in the aggregate % of the voting power of our capital stock. Because of the -to-one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individual holders of Class B common stock who retain their shares in the long term. See the section titled “Description of Capital Stock—Anti-Takeover Provisions” for additional information.</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b w:val="1"/>
          <w:bCs w:val="1"/>
          <w:i w:val="1"/>
          <w:iCs w:val="1"/>
          <w:color w:val="auto"/>
        </w:rPr>
        <w:t>A substantial portion of the outstanding shares of our Class A common stock and Class B common stock after this offering will be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in the market after this offering, and the perception that these sales could occur may also depress the market price of our Class A common stock. Based on 13,892,885 shares of our Class A common stock (including the Capital Stock Conversions) and 538,851,747 shares of our Class B common stock (including the Capital</w:t>
      </w:r>
    </w:p>
    <w:p>
      <w:pPr>
        <w:ind w:right="100"/>
        <w:spacing w:after="0" w:line="268" w:lineRule="auto"/>
        <w:rPr>
          <w:sz w:val="20"/>
          <w:szCs w:val="20"/>
          <w:color w:val="auto"/>
        </w:rPr>
      </w:pPr>
      <w:r>
        <w:rPr>
          <w:rFonts w:ascii="Arial" w:cs="Arial" w:eastAsia="Arial" w:hAnsi="Arial"/>
          <w:sz w:val="17"/>
          <w:szCs w:val="17"/>
          <w:color w:val="auto"/>
        </w:rPr>
        <w:t>Stock Conversions and the RSU Settlement) outstanding as of September 30, 2017, we will have shares of our Class A common stock and shares Class B common stock outstanding after this offering. Our executive officers, directors, and the holders of substantially all of our capital stock and securities convertible into or exchangeable for our capital stock have entered into market standoff agreements with us or have entered or will enter into lock-up agreements with the underwriters under which they have agreed or will agree, subject to specific exceptions, not to sell any of our stock for 180 days following the date of this prospectus. We refer to such period as the lock-up period. Pursuant to the lock-up agreements with the underwriters,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w:t>
      </w:r>
    </w:p>
    <w:p>
      <w:pPr>
        <w:spacing w:after="0" w:line="18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a result of these agreements and the provisions of our investors’ rights agreement described further in the section titled “Description of Capital Stock—Registration Rights,” and subject to the provisions of Rule 144 or Rule 701, shares of our Class A common stock and Class B common stock will be available for sale in the public market as follows:</w:t>
      </w:r>
    </w:p>
    <w:p>
      <w:pPr>
        <w:spacing w:after="0" w:line="87" w:lineRule="exact"/>
        <w:rPr>
          <w:sz w:val="20"/>
          <w:szCs w:val="20"/>
          <w:color w:val="auto"/>
        </w:rPr>
      </w:pPr>
    </w:p>
    <w:p>
      <w:pPr>
        <w:ind w:left="900" w:right="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Class A common stock sold in this offering will be immediately available for sale in the public market; and</w:t>
      </w:r>
    </w:p>
    <w:p>
      <w:pPr>
        <w:spacing w:after="0" w:line="75" w:lineRule="exact"/>
        <w:rPr>
          <w:rFonts w:ascii="Arial" w:cs="Arial" w:eastAsia="Arial" w:hAnsi="Arial"/>
          <w:sz w:val="18"/>
          <w:szCs w:val="18"/>
          <w:color w:val="auto"/>
        </w:rPr>
      </w:pPr>
    </w:p>
    <w:p>
      <w:pPr>
        <w:ind w:left="900" w:right="22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the terms of the lock-up agreements and market standoff agreements described above), the remainder of the shares of our Class A common stock and Class B common stock will be eligible for sale in the public market from time to time thereafter, subject in some cases to the volume and other restrictions of Rule 144, as described below.</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Upon completion of this offering, stockholders owning an aggregate of up to shares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Class A common stock in this offering, you will incur immediate and substantial dilution.</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initial public offering price is substantially higher than the pro forma net tangible book value per share of our outstanding common stock of $ per share as of September 30, 2017. Investors purchasing shares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our Class A common stock in this offering will pay a price per share that substantially exceeds the book value of our tangible assets after subtracting our</w:t>
      </w:r>
    </w:p>
    <w:p>
      <w:pPr>
        <w:spacing w:after="0" w:line="46" w:lineRule="exact"/>
        <w:rPr>
          <w:sz w:val="20"/>
          <w:szCs w:val="20"/>
          <w:color w:val="auto"/>
        </w:rPr>
      </w:pPr>
    </w:p>
    <w:p>
      <w:pPr>
        <w:spacing w:after="0"/>
        <w:tabs>
          <w:tab w:leader="none" w:pos="8780" w:val="left"/>
        </w:tabs>
        <w:rPr>
          <w:sz w:val="20"/>
          <w:szCs w:val="20"/>
          <w:color w:val="auto"/>
        </w:rPr>
      </w:pPr>
      <w:r>
        <w:rPr>
          <w:rFonts w:ascii="Arial" w:cs="Arial" w:eastAsia="Arial" w:hAnsi="Arial"/>
          <w:sz w:val="18"/>
          <w:szCs w:val="18"/>
          <w:color w:val="auto"/>
        </w:rPr>
        <w:t>liabilities. As a result, investors purchasing Class A common stock in this offering will incur immediate dilution of $</w:t>
      </w:r>
      <w:r>
        <w:rPr>
          <w:sz w:val="20"/>
          <w:szCs w:val="20"/>
          <w:color w:val="auto"/>
        </w:rPr>
        <w:tab/>
      </w:r>
      <w:r>
        <w:rPr>
          <w:rFonts w:ascii="Arial" w:cs="Arial" w:eastAsia="Arial" w:hAnsi="Arial"/>
          <w:sz w:val="15"/>
          <w:szCs w:val="15"/>
          <w:color w:val="auto"/>
        </w:rPr>
        <w:t>per share, based on the assumed</w:t>
      </w:r>
    </w:p>
    <w:p>
      <w:pPr>
        <w:spacing w:after="0" w:line="9"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which is the midpoint of the estimated offering price range set forth on the cover page of this prospectus.</w:t>
      </w:r>
    </w:p>
    <w:p>
      <w:pPr>
        <w:spacing w:after="0" w:line="21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This dilution is due to the substantially lower price paid by our investors who purchased shares prior to this offering as compared to the price offered to the public in this offering, and any previous exercise of stock options granted to our service providers. In addition, as of September 30, 2017, options to purchase 7,484,830 shares of our Class B common stock with a weighted-average exercise price of approximately $7.03 per share were outstanding as well as 22,883,109 shares of our Class A common stock and 61,577,921 shares of our Class B common stock subject to RSUs. The exercise of any of these options and settlement of any of these RSUs would result in additional dilution. Our Board of Directors intends to accelerate the Performance Vesting Condition for 38,172,093 RSUs for which the service condition was satisfied as of September 30, 2017, to occur upon the effectiveness of our registration statement related to this offering. As a result of the dilution to investors purchasing shares in this offering, investors may receive less than the purchase price paid in this offering, if anything, in the event of our liquidation.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the net proceeds from this offering and we may not use them effectively.</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proceeds effectively could adversely affect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62"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60" w:lineRule="exact"/>
        <w:rPr>
          <w:sz w:val="20"/>
          <w:szCs w:val="20"/>
          <w:color w:val="auto"/>
        </w:rPr>
      </w:pPr>
    </w:p>
    <w:p>
      <w:pPr>
        <w:ind w:left="900" w:right="2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75"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co-founders with the ability to significantly influence the outcome of matters requiring stockholder approval, even if they own significantly less than a majority of the shares of our outstanding Class A common stock and Class B common stock;</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when the outstanding shares of our Class B common stock represent less than a majority of the combined voting power of common stock:</w:t>
      </w:r>
    </w:p>
    <w:p>
      <w:pPr>
        <w:spacing w:after="0" w:line="142" w:lineRule="exact"/>
        <w:rPr>
          <w:rFonts w:ascii="Arial" w:cs="Arial" w:eastAsia="Arial" w:hAnsi="Arial"/>
          <w:sz w:val="17"/>
          <w:szCs w:val="17"/>
          <w:color w:val="auto"/>
        </w:rPr>
      </w:pPr>
    </w:p>
    <w:p>
      <w:pPr>
        <w:ind w:left="1480" w:right="80" w:hanging="446"/>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certain amendments to our restated certificate of incorporation or restated bylaws will require the approval of two-thirds of the combined vote of our then-outstanding shares of Class A common stock and Class B common stock;</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stockholders will only be able to take action at a meeting of stockholders and not by written consent;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or a majority of Board of Directors are authorized to call a special meeting of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70"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7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Our amended and restated bylaws, which will become effective immediately prior to the completion of this offering,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or any of our directors or officers arising pursuant to any provision of the Delaware General Corporation Law, or (4) any other action asserting a claim that is governed by the internal affairs doctrine shall be a state or federal court located within the State of Delaware, in all cases subject to the court’s having jurisdiction over indispensable parties named as defendants.</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amended and restated bylaws will also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Any person or entity purchasing or otherwise acquiring any interest in shares of our Class A common stock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Affiliates of two of the underwriters in this offering will receive at least 5% of the net proceeds of this offering and have an interest in this offering beyond customary underwriting discounts and commissions.</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Goldman Sachs &amp; Co. LLC and J.P. Morgan Securities LLC are underwriters in this offering and their affiliates will receive at least 5% of the net</w:t>
      </w:r>
    </w:p>
    <w:p>
      <w:pPr>
        <w:spacing w:after="0" w:line="3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proceeds of this offering in connection with our repayment of $ that is expected to be outstanding under our revolving credit facility immediately prior to the completion of this offering. As such, Goldman Sachs &amp; Co. LLC and J.P. Morgan Securities LLC are each deemed to have a “conflict of interest” under Rule 5121 of the Financial Industry Regulatory Authority Inc., or Rule 5121. Accordingly, this offering will be made in compliance with the applicable provisions of Rule 5121. This rule requires, among other things, that a “qualified independent underwriter” has participated in the preparation of, and has</w:t>
      </w:r>
    </w:p>
    <w:p>
      <w:pPr>
        <w:spacing w:after="0" w:line="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exercised the usual standards of “due diligence” with respect to, the registration statement. has agreed to act as qualified independent underwriter for this offering and to undertake the legal responsibilities and liabilities of an underwriter under the Securities Act. will not receive any additional fees for serving as qualified independent underwriter in connection with this offering. Although has, in its capacity as qualified independent underwriter,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participated in due diligence and the preparation of this prospectus and the registration statement of which this prospectus forms a part, we cannot assure you</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that this will adequately address all potential conflicts of interest. We have agreed to indemnify against liabilities incurred in connection with acting as qualified independent underwriter, including liabilities under the Securities Act. Pursuant to FINRA Rule 5121, Goldman Sachs &amp; Co. LLC and J.P. Morgan Securities LLC will not confirm sales of securities to any account over which it exercises discretionary authority without the prior written approval of the customer. See “Underwriting (Conflicts of Interest)” for additional information.</w:t>
      </w:r>
    </w:p>
    <w:p>
      <w:pPr>
        <w:spacing w:after="0" w:line="2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9"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salesforce;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7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This prospectus contains estimates and information concerning our industry, including market size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markets in which we operate are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source of certain statistical data, estimates and forecasts contained in this prospectus are the following independent industry publications or reports:</w:t>
      </w:r>
    </w:p>
    <w:p>
      <w:pPr>
        <w:spacing w:after="0" w:line="154" w:lineRule="exact"/>
        <w:rPr>
          <w:sz w:val="20"/>
          <w:szCs w:val="20"/>
          <w:color w:val="auto"/>
        </w:rPr>
      </w:pPr>
    </w:p>
    <w:p>
      <w:pPr>
        <w:ind w:left="900" w:hanging="325"/>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Gartner, Inc., Magic Quadrant for Content Collaboration Platforms, July 2017.</w:t>
      </w:r>
      <w:r>
        <w:rPr>
          <w:rFonts w:ascii="Arial" w:cs="Arial" w:eastAsia="Arial" w:hAnsi="Arial"/>
          <w:sz w:val="15"/>
          <w:szCs w:val="15"/>
          <w:color w:val="auto"/>
        </w:rPr>
        <w:t>*</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International Data Corporation, Inc., Market Forecast: Worldwide Collaborative Applications Forecast, 2017-2021: Creating Productivity Growth with Customer Experience, July 2017.</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International Data Corporation, Inc., Market Forecast: Worldwide Project and Portfolio Management Forecast, 2017-2021: Agile Governance in the Cloud Drives Market, June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International Data Corporation, Inc., Market Forecast: Worldwide Enterprise Content Management Software Forecast, 2017-2021, May 2017.</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International Data Corporation, Inc., IDC’s Forecast Scenario Assumptions for the ICT Markets and Historical Market Values and Exchange Rates, Version 1, March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International Data Corporation, Inc., Market Forecast: Worldwide Storage for Public and Private Cloud Forecast 2016-2020, December 2016.</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International Data Corporation, Inc., EFSS Evaluation Guide: Dropbox Sync Performance, July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International Data Corporation, Inc., Knowledge Worker Outlook on Content Managed Systems, June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McKinsey Global Institute, The Social Economy: Unlocking Value and Productivity Through Social Technologies, July 2012.</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Deloitte Consulting LLP, Transitioning to the Future of Work and the Workplace: Embracing Digital Culture, Tools and Approaches, A White Paper on the Future of Work Research Study, 2016.</w:t>
      </w:r>
    </w:p>
    <w:p>
      <w:pPr>
        <w:spacing w:after="0" w:line="139" w:lineRule="exact"/>
        <w:rPr>
          <w:rFonts w:ascii="Arial" w:cs="Arial" w:eastAsia="Arial" w:hAnsi="Arial"/>
          <w:sz w:val="18"/>
          <w:szCs w:val="18"/>
          <w:color w:val="auto"/>
        </w:rPr>
      </w:pPr>
    </w:p>
    <w:p>
      <w:pPr>
        <w:ind w:left="120" w:hanging="108"/>
        <w:spacing w:after="0" w:line="251" w:lineRule="auto"/>
        <w:rPr>
          <w:rFonts w:ascii="Arial" w:cs="Arial" w:eastAsia="Arial" w:hAnsi="Arial"/>
          <w:sz w:val="18"/>
          <w:szCs w:val="18"/>
          <w:color w:val="auto"/>
        </w:rPr>
      </w:pPr>
      <w:r>
        <w:rPr>
          <w:rFonts w:ascii="Arial" w:cs="Arial" w:eastAsia="Arial" w:hAnsi="Arial"/>
          <w:sz w:val="8"/>
          <w:szCs w:val="8"/>
          <w:color w:val="auto"/>
        </w:rPr>
        <w:t xml:space="preserve">* </w:t>
      </w:r>
      <w:r>
        <w:rPr>
          <w:rFonts w:ascii="Arial" w:cs="Arial" w:eastAsia="Arial" w:hAnsi="Arial"/>
          <w:sz w:val="13"/>
          <w:szCs w:val="13"/>
          <w:color w:val="auto"/>
        </w:rPr>
        <w:t>The Gartner Report described herein, or the Gartner Report, represents research opinion or viewpoints published, as part of a syndicated subscription service, by Gartner, Inc., or Gartner, and are</w:t>
      </w:r>
      <w:r>
        <w:rPr>
          <w:rFonts w:ascii="Arial" w:cs="Arial" w:eastAsia="Arial" w:hAnsi="Arial"/>
          <w:sz w:val="8"/>
          <w:szCs w:val="8"/>
          <w:color w:val="auto"/>
        </w:rPr>
        <w:t xml:space="preserve"> </w:t>
      </w:r>
      <w:r>
        <w:rPr>
          <w:rFonts w:ascii="Arial" w:cs="Arial" w:eastAsia="Arial" w:hAnsi="Arial"/>
          <w:sz w:val="13"/>
          <w:szCs w:val="13"/>
          <w:color w:val="auto"/>
        </w:rPr>
        <w:t>not representations of fact. The Gartner Report speaks as of its original publication date (and not as of the date of this prospectus), and the opinions expressed in the Gartner Report are subject to change without notice. Gartner has advised us that it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has advised us that it disclaims all warranties, expressed or implied, with respect to this research, including any warranties of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6740" w:type="dxa"/>
            <w:vAlign w:val="bottom"/>
          </w:tcPr>
          <w:p>
            <w:pPr>
              <w:ind w:left="1460"/>
              <w:spacing w:after="0"/>
              <w:rPr>
                <w:sz w:val="20"/>
                <w:szCs w:val="20"/>
                <w:color w:val="auto"/>
              </w:rPr>
            </w:pPr>
            <w:r>
              <w:rPr>
                <w:rFonts w:ascii="Arial" w:cs="Arial" w:eastAsia="Arial" w:hAnsi="Arial"/>
                <w:sz w:val="18"/>
                <w:szCs w:val="18"/>
                <w:b w:val="1"/>
                <w:bCs w:val="1"/>
                <w:color w:val="auto"/>
              </w:rPr>
              <w:t>USE OF PROCEEDS</w:t>
            </w:r>
          </w:p>
        </w:tc>
        <w:tc>
          <w:tcPr>
            <w:tcW w:w="1100" w:type="dxa"/>
            <w:vAlign w:val="bottom"/>
          </w:tcPr>
          <w:p>
            <w:pPr>
              <w:spacing w:after="0"/>
              <w:rPr>
                <w:sz w:val="24"/>
                <w:szCs w:val="24"/>
                <w:color w:val="auto"/>
              </w:rPr>
            </w:pPr>
          </w:p>
        </w:tc>
      </w:tr>
      <w:tr>
        <w:trPr>
          <w:trHeight w:val="418"/>
        </w:trPr>
        <w:tc>
          <w:tcPr>
            <w:tcW w:w="10160" w:type="dxa"/>
            <w:vAlign w:val="bottom"/>
            <w:gridSpan w:val="3"/>
          </w:tcPr>
          <w:p>
            <w:pPr>
              <w:ind w:left="460"/>
              <w:spacing w:after="0"/>
              <w:rPr>
                <w:sz w:val="20"/>
                <w:szCs w:val="20"/>
                <w:color w:val="auto"/>
              </w:rPr>
            </w:pPr>
            <w:r>
              <w:rPr>
                <w:rFonts w:ascii="Arial" w:cs="Arial" w:eastAsia="Arial" w:hAnsi="Arial"/>
                <w:sz w:val="18"/>
                <w:szCs w:val="18"/>
                <w:color w:val="auto"/>
                <w:w w:val="92"/>
              </w:rPr>
              <w:t>We estimate that the net proceeds to us from the sale of shares of our Class A common stock in this offering will be approximately $</w:t>
            </w:r>
          </w:p>
        </w:tc>
        <w:tc>
          <w:tcPr>
            <w:tcW w:w="1100" w:type="dxa"/>
            <w:vAlign w:val="bottom"/>
          </w:tcPr>
          <w:p>
            <w:pPr>
              <w:ind w:left="180"/>
              <w:spacing w:after="0"/>
              <w:rPr>
                <w:sz w:val="20"/>
                <w:szCs w:val="20"/>
                <w:color w:val="auto"/>
              </w:rPr>
            </w:pPr>
            <w:r>
              <w:rPr>
                <w:rFonts w:ascii="Arial" w:cs="Arial" w:eastAsia="Arial" w:hAnsi="Arial"/>
                <w:sz w:val="18"/>
                <w:szCs w:val="18"/>
                <w:color w:val="auto"/>
                <w:w w:val="86"/>
              </w:rPr>
              <w:t>, based upon</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w w:val="98"/>
              </w:rPr>
              <w:t>the assumed initial public offering price of $</w:t>
            </w:r>
          </w:p>
        </w:tc>
        <w:tc>
          <w:tcPr>
            <w:tcW w:w="7840" w:type="dxa"/>
            <w:vAlign w:val="bottom"/>
            <w:gridSpan w:val="2"/>
          </w:tcPr>
          <w:p>
            <w:pPr>
              <w:ind w:left="200"/>
              <w:spacing w:after="0"/>
              <w:rPr>
                <w:sz w:val="20"/>
                <w:szCs w:val="20"/>
                <w:color w:val="auto"/>
              </w:rPr>
            </w:pPr>
            <w:r>
              <w:rPr>
                <w:rFonts w:ascii="Arial" w:cs="Arial" w:eastAsia="Arial" w:hAnsi="Arial"/>
                <w:sz w:val="18"/>
                <w:szCs w:val="18"/>
                <w:color w:val="auto"/>
                <w:w w:val="93"/>
              </w:rPr>
              <w:t>per share, which is the midpoint of the estimated offering price range set forth on the cover page of this</w:t>
            </w:r>
          </w:p>
        </w:tc>
      </w:tr>
    </w:tbl>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and after deducting estimated underwriting discounts and commissions and estimated offering expenses payable by us. If the underwriters’ option to purchase additional shares of our Class A common stock from us is exercised in full, we estimate that the net proceeds to us would be approximately</w:t>
      </w:r>
    </w:p>
    <w:p>
      <w:pPr>
        <w:spacing w:after="0" w:line="1" w:lineRule="exact"/>
        <w:rPr>
          <w:sz w:val="20"/>
          <w:szCs w:val="20"/>
          <w:color w:val="auto"/>
        </w:rPr>
      </w:pPr>
    </w:p>
    <w:p>
      <w:pPr>
        <w:ind w:right="360" w:firstLine="8"/>
        <w:spacing w:after="0" w:line="261" w:lineRule="auto"/>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after deducting estimated underwriting discounts and commissions and estimated offering expenses payable by us. We will not receive any of the proceeds from the sale of Class A common stock in this offering by the selling stockholders.</w:t>
      </w:r>
    </w:p>
    <w:p>
      <w:pPr>
        <w:sectPr>
          <w:pgSz w:w="11900" w:h="16838" w:orient="portrait"/>
          <w:cols w:equalWidth="0" w:num="1">
            <w:col w:w="11360"/>
          </w:cols>
          <w:pgMar w:left="240" w:top="446" w:right="299" w:bottom="1440" w:gutter="0" w:footer="0" w:header="0"/>
        </w:sectPr>
      </w:pP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$1.00 increase or decrease in the assumed initial public offering price of $ per share, which is the midpoint of the estimated offering price range set forth on the cover page of this prospectus, would increase or decrease the net proceeds that we receive from this offering by approximately $ assuming that the number of shares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 from this offering by approximately $ , assuming the assumed initial</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717" w:lineRule="exact"/>
        <w:rPr>
          <w:sz w:val="20"/>
          <w:szCs w:val="20"/>
          <w:color w:val="auto"/>
        </w:rPr>
      </w:pPr>
    </w:p>
    <w:p>
      <w:pPr>
        <w:sectPr>
          <w:pgSz w:w="11900" w:h="16838" w:orient="portrait"/>
          <w:cols w:equalWidth="0" w:num="2">
            <w:col w:w="11160" w:space="40"/>
            <w:col w:w="160"/>
          </w:cols>
          <w:pgMar w:left="240" w:top="446" w:right="299" w:bottom="1440" w:gutter="0" w:footer="0" w:header="0"/>
          <w:type w:val="continuous"/>
        </w:sectPr>
      </w:pPr>
    </w:p>
    <w:p>
      <w:pPr>
        <w:spacing w:after="0"/>
        <w:rPr>
          <w:sz w:val="20"/>
          <w:szCs w:val="20"/>
          <w:color w:val="auto"/>
        </w:rPr>
      </w:pPr>
      <w:r>
        <w:rPr>
          <w:rFonts w:ascii="Arial" w:cs="Arial" w:eastAsia="Arial" w:hAnsi="Arial"/>
          <w:sz w:val="18"/>
          <w:szCs w:val="18"/>
          <w:color w:val="auto"/>
        </w:rPr>
        <w:t>public offering price remains the same and after deducting the estimated underwriting discounts and commissions payable by us.</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Class A common stock, and enable access to the public equity markets for us and our stockholders.</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intend to use a portion of the net proceeds we receive from this offering to repay $ that is expected to be outstanding immediately prior to the completion of this offering under our revolving credit facility, which we intend to draw down prior to the completion of this offering to satisfy tax withholding and remittance obligations of $ related to the RSU Settlement. This amount is based upon the assumed initial public offering price of $</w:t>
      </w:r>
    </w:p>
    <w:p>
      <w:pPr>
        <w:ind w:right="340"/>
        <w:spacing w:after="0" w:line="255" w:lineRule="auto"/>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 See the section titled “Management’s Discussion and Analysis of Financial Condition and Results of Operations—Liquidity and Capital Resources” for additional information regarding our revolving credit facility.</w:t>
      </w:r>
    </w:p>
    <w:p>
      <w:pPr>
        <w:spacing w:after="0" w:line="1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also intend to use the net proceeds we receive from this offering for general corporate purposes, including working capital, operating expenses, and capital expenditures. Additionally, we may use a portion of the net proceeds we receive from this offering to acquire businesses, products, services, or technologies. However, we do not have agreements or commitments for any material acquisitions at this time. We cannot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46" w:right="2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cash and cash equivalents, as well as our capitalization, as of September 30, 2017, as follows:</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40" w:hanging="325"/>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 pro forma basis, giving effect to (i) the Capital Stock Conversions, as if such conversions had occurred on September 30, 2017, (ii) the filing and effectiveness of our amended and restated certificate of incorporation in Delaware that will become effective immediately prior to the</w:t>
      </w:r>
    </w:p>
    <w:p>
      <w:pPr>
        <w:ind w:left="1480" w:right="20" w:hanging="584"/>
        <w:spacing w:after="0" w:line="281" w:lineRule="auto"/>
        <w:rPr>
          <w:sz w:val="20"/>
          <w:szCs w:val="20"/>
          <w:color w:val="auto"/>
        </w:rPr>
      </w:pPr>
      <w:r>
        <w:rPr>
          <w:rFonts w:ascii="Arial" w:cs="Arial" w:eastAsia="Arial" w:hAnsi="Arial"/>
          <w:sz w:val="16"/>
          <w:szCs w:val="16"/>
          <w:color w:val="auto"/>
        </w:rPr>
        <w:t>completion of this offering, (iii) stock-based compensation expense of $415.4 million associated with the RSU Settlement, (iv) the net issuance of shares of our Class B common stock upon the RSU Settlement, (v) the borrowing of $ under our revolving credit facility to satisfy our</w:t>
      </w:r>
    </w:p>
    <w:p>
      <w:pPr>
        <w:spacing w:after="0" w:line="1" w:lineRule="exact"/>
        <w:rPr>
          <w:sz w:val="20"/>
          <w:szCs w:val="20"/>
          <w:color w:val="auto"/>
        </w:rPr>
      </w:pPr>
    </w:p>
    <w:p>
      <w:pPr>
        <w:ind w:left="900" w:right="80"/>
        <w:spacing w:after="0" w:line="281" w:lineRule="auto"/>
        <w:rPr>
          <w:sz w:val="20"/>
          <w:szCs w:val="20"/>
          <w:color w:val="auto"/>
        </w:rPr>
      </w:pPr>
      <w:r>
        <w:rPr>
          <w:rFonts w:ascii="Arial" w:cs="Arial" w:eastAsia="Arial" w:hAnsi="Arial"/>
          <w:sz w:val="16"/>
          <w:szCs w:val="16"/>
          <w:color w:val="auto"/>
        </w:rPr>
        <w:t>tax withholding and remittance obligations related to the RSU Settlement, and (vi) a cash payment of $ to satisfy our tax withholding and remittance obligations related to the RSU Settlement, which amounts in (v) and (vi) are based upon the assumed initial public offering price of</w:t>
      </w:r>
    </w:p>
    <w:p>
      <w:pPr>
        <w:spacing w:after="0" w:line="1" w:lineRule="exact"/>
        <w:rPr>
          <w:sz w:val="20"/>
          <w:szCs w:val="20"/>
          <w:color w:val="auto"/>
        </w:rPr>
      </w:pPr>
    </w:p>
    <w:p>
      <w:pPr>
        <w:ind w:left="1220" w:hanging="321"/>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and</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 pro forma as adjusted basis, giving effect to (i) the pro forma adjustments set forth above, (ii) the sale and issuance by us of shares of our Class A common stock in this offering, based upon the assumed initial public offering price of $ per share, which is the midpoint of the estimated offering price range set forth on the cover page of this prospectus, and after deducting estimated underwriting discounts and commissions and estimated offering expenses payable by us, (iii) the conversion of shares of our Class B common stock held by certain</w:t>
      </w:r>
    </w:p>
    <w:p>
      <w:pPr>
        <w:spacing w:after="0" w:line="2"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left="900" w:right="160"/>
        <w:spacing w:after="0" w:line="255" w:lineRule="auto"/>
        <w:rPr>
          <w:sz w:val="20"/>
          <w:szCs w:val="20"/>
          <w:color w:val="auto"/>
        </w:rPr>
      </w:pPr>
      <w:r>
        <w:rPr>
          <w:rFonts w:ascii="Arial" w:cs="Arial" w:eastAsia="Arial" w:hAnsi="Arial"/>
          <w:sz w:val="18"/>
          <w:szCs w:val="18"/>
          <w:color w:val="auto"/>
        </w:rPr>
        <w:t>selling stockholders into an equivalent number of shares of our Class A common stock upon the sale by the selling stockholders in this offering, and (iv) the use of proceeds from the offering to repay $ drawn down under our revolving credit facility to satisfy our tax withholding and remittance obligations related to the RSU Settlement.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0"/>
              </w:rPr>
              <w:t>As of September 30, 2017</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Pro</w:t>
            </w:r>
          </w:p>
        </w:tc>
        <w:tc>
          <w:tcPr>
            <w:tcW w:w="66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forma as</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7"/>
          </w:tcPr>
          <w:p>
            <w:pPr>
              <w:ind w:left="340"/>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Cash and cash equivalents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gridSpan w:val="2"/>
            <w:vMerge w:val="restart"/>
          </w:tcPr>
          <w:p>
            <w:pPr>
              <w:spacing w:after="0"/>
              <w:rPr>
                <w:sz w:val="20"/>
                <w:szCs w:val="20"/>
                <w:color w:val="auto"/>
              </w:rPr>
            </w:pPr>
            <w:r>
              <w:rPr>
                <w:rFonts w:ascii="Arial" w:cs="Arial" w:eastAsia="Arial" w:hAnsi="Arial"/>
                <w:sz w:val="18"/>
                <w:szCs w:val="18"/>
                <w:color w:val="auto"/>
              </w:rPr>
              <w:t>Revolving credit facility</w:t>
            </w: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60" w:type="dxa"/>
            <w:vAlign w:val="bottom"/>
            <w:gridSpan w:val="6"/>
          </w:tcPr>
          <w:p>
            <w:pPr>
              <w:ind w:left="360"/>
              <w:spacing w:after="0" w:line="201" w:lineRule="exact"/>
              <w:rPr>
                <w:sz w:val="20"/>
                <w:szCs w:val="20"/>
                <w:color w:val="auto"/>
              </w:rPr>
            </w:pPr>
            <w:r>
              <w:rPr>
                <w:rFonts w:ascii="Arial" w:cs="Arial" w:eastAsia="Arial" w:hAnsi="Arial"/>
                <w:sz w:val="18"/>
                <w:szCs w:val="18"/>
                <w:color w:val="auto"/>
                <w:w w:val="97"/>
              </w:rPr>
              <w:t>Convertible preferred stock, par value $0.00001 per share: 226,818,439 shares authorized, 221,353,913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6"/>
          </w:tcPr>
          <w:p>
            <w:pPr>
              <w:ind w:left="540"/>
              <w:spacing w:after="0"/>
              <w:rPr>
                <w:sz w:val="20"/>
                <w:szCs w:val="20"/>
                <w:color w:val="auto"/>
              </w:rPr>
            </w:pPr>
            <w:r>
              <w:rPr>
                <w:rFonts w:ascii="Arial" w:cs="Arial" w:eastAsia="Arial" w:hAnsi="Arial"/>
                <w:sz w:val="18"/>
                <w:szCs w:val="18"/>
                <w:color w:val="auto"/>
                <w:w w:val="95"/>
              </w:rPr>
              <w:t>issued and outstanding, actual; no shares authorized, issued and outstanding, pro forma, and pro forma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as adjusted</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60" w:type="dxa"/>
            <w:vAlign w:val="bottom"/>
            <w:gridSpan w:val="6"/>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par value $0.00001 per share: no shares authorized, issued and outstanding, actual;</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20"/>
                <w:szCs w:val="20"/>
                <w:color w:val="auto"/>
              </w:rPr>
            </w:pPr>
          </w:p>
        </w:tc>
        <w:tc>
          <w:tcPr>
            <w:tcW w:w="752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shares authorized, no shares issued and outstanding, pro forma, and pro forma as adjusted</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60" w:type="dxa"/>
            <w:vAlign w:val="bottom"/>
            <w:gridSpan w:val="6"/>
          </w:tcPr>
          <w:p>
            <w:pPr>
              <w:ind w:left="360"/>
              <w:spacing w:after="0" w:line="201" w:lineRule="exact"/>
              <w:rPr>
                <w:sz w:val="20"/>
                <w:szCs w:val="20"/>
                <w:color w:val="auto"/>
              </w:rPr>
            </w:pPr>
            <w:r>
              <w:rPr>
                <w:rFonts w:ascii="Arial" w:cs="Arial" w:eastAsia="Arial" w:hAnsi="Arial"/>
                <w:sz w:val="18"/>
                <w:szCs w:val="18"/>
                <w:color w:val="auto"/>
                <w:w w:val="96"/>
              </w:rPr>
              <w:t>Class A common stock, par value $0.00001 per share: 800,000,000 shares authorized, 9,590,017 shares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540"/>
              <w:spacing w:after="0"/>
              <w:rPr>
                <w:sz w:val="20"/>
                <w:szCs w:val="20"/>
                <w:color w:val="auto"/>
              </w:rPr>
            </w:pPr>
            <w:r>
              <w:rPr>
                <w:rFonts w:ascii="Arial" w:cs="Arial" w:eastAsia="Arial" w:hAnsi="Arial"/>
                <w:sz w:val="18"/>
                <w:szCs w:val="18"/>
                <w:color w:val="auto"/>
                <w:w w:val="93"/>
              </w:rPr>
              <w:t>issued and outstanding, actual;</w:t>
            </w:r>
          </w:p>
        </w:tc>
        <w:tc>
          <w:tcPr>
            <w:tcW w:w="44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w w:val="95"/>
              </w:rPr>
              <w:t>shares authorized,</w:t>
            </w:r>
          </w:p>
        </w:tc>
        <w:tc>
          <w:tcPr>
            <w:tcW w:w="3640" w:type="dxa"/>
            <w:vAlign w:val="bottom"/>
          </w:tcPr>
          <w:p>
            <w:pPr>
              <w:ind w:left="140"/>
              <w:spacing w:after="0"/>
              <w:rPr>
                <w:sz w:val="20"/>
                <w:szCs w:val="20"/>
                <w:color w:val="auto"/>
              </w:rPr>
            </w:pPr>
            <w:r>
              <w:rPr>
                <w:rFonts w:ascii="Arial" w:cs="Arial" w:eastAsia="Arial" w:hAnsi="Arial"/>
                <w:sz w:val="18"/>
                <w:szCs w:val="18"/>
                <w:color w:val="auto"/>
              </w:rPr>
              <w:t>shares issued and outstanding, pro forma,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540"/>
              <w:spacing w:after="0"/>
              <w:rPr>
                <w:sz w:val="20"/>
                <w:szCs w:val="20"/>
                <w:color w:val="auto"/>
              </w:rPr>
            </w:pPr>
            <w:r>
              <w:rPr>
                <w:rFonts w:ascii="Arial" w:cs="Arial" w:eastAsia="Arial" w:hAnsi="Arial"/>
                <w:sz w:val="18"/>
                <w:szCs w:val="18"/>
                <w:color w:val="auto"/>
              </w:rPr>
              <w:t>and</w:t>
            </w: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shares authorized,</w:t>
            </w:r>
          </w:p>
        </w:tc>
        <w:tc>
          <w:tcPr>
            <w:tcW w:w="5580" w:type="dxa"/>
            <w:vAlign w:val="bottom"/>
            <w:gridSpan w:val="3"/>
          </w:tcPr>
          <w:p>
            <w:pPr>
              <w:ind w:left="120"/>
              <w:spacing w:after="0"/>
              <w:rPr>
                <w:sz w:val="20"/>
                <w:szCs w:val="20"/>
                <w:color w:val="auto"/>
              </w:rPr>
            </w:pPr>
            <w:r>
              <w:rPr>
                <w:rFonts w:ascii="Arial" w:cs="Arial" w:eastAsia="Arial" w:hAnsi="Arial"/>
                <w:sz w:val="18"/>
                <w:szCs w:val="18"/>
                <w:color w:val="auto"/>
              </w:rPr>
              <w:t>shares issued and outstanding, pro forma as adjusted</w:t>
            </w:r>
          </w:p>
        </w:tc>
        <w:tc>
          <w:tcPr>
            <w:tcW w:w="100" w:type="dxa"/>
            <w:vAlign w:val="bottom"/>
          </w:tcPr>
          <w:p>
            <w:pPr>
              <w:spacing w:after="0"/>
              <w:rPr>
                <w:sz w:val="20"/>
                <w:szCs w:val="20"/>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60" w:type="dxa"/>
            <w:vAlign w:val="bottom"/>
            <w:gridSpan w:val="6"/>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Class B common stock, par value $0.00001 per share: 700,000,000 shares authorized, 283,628,609 shares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3"/>
              </w:rPr>
              <w:t>issued and outstanding, actual;</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shares authorized,</w:t>
            </w:r>
          </w:p>
        </w:tc>
        <w:tc>
          <w:tcPr>
            <w:tcW w:w="3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shares issued and outstanding, pro</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forma, and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shares authorized,</w:t>
            </w:r>
          </w:p>
        </w:tc>
        <w:tc>
          <w:tcPr>
            <w:tcW w:w="5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shares issued and outstanding, pro forma as adjusted</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w w:val="98"/>
              </w:rPr>
              <w:t>Additional paid-in capital</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8"/>
              </w:rPr>
              <w:t>(1,012.0)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gridSpan w:val="4"/>
          </w:tcPr>
          <w:p>
            <w:pPr>
              <w:spacing w:after="0"/>
              <w:rPr>
                <w:sz w:val="20"/>
                <w:szCs w:val="20"/>
                <w:color w:val="auto"/>
              </w:rPr>
            </w:pPr>
            <w:r>
              <w:rPr>
                <w:rFonts w:ascii="Arial" w:cs="Arial" w:eastAsia="Arial" w:hAnsi="Arial"/>
                <w:sz w:val="18"/>
                <w:szCs w:val="18"/>
                <w:color w:val="auto"/>
                <w:w w:val="97"/>
              </w:rPr>
              <w:t>Accumulated other comprehensive income</w:t>
            </w:r>
          </w:p>
        </w:tc>
        <w:tc>
          <w:tcPr>
            <w:tcW w:w="1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gridSpan w:val="3"/>
          </w:tcPr>
          <w:p>
            <w:pPr>
              <w:ind w:left="720"/>
              <w:spacing w:after="0"/>
              <w:rPr>
                <w:sz w:val="20"/>
                <w:szCs w:val="20"/>
                <w:color w:val="auto"/>
              </w:rPr>
            </w:pPr>
            <w:r>
              <w:rPr>
                <w:rFonts w:ascii="Arial" w:cs="Arial" w:eastAsia="Arial" w:hAnsi="Arial"/>
                <w:sz w:val="18"/>
                <w:szCs w:val="18"/>
                <w:color w:val="auto"/>
              </w:rPr>
              <w:t>Total capitalization</w:t>
            </w: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The pro forma data as of September 30, 2017, gives effect to stock-based compensation expense of $415.4 million associated with the RSU Settlement. The pro forma</w:t>
      </w:r>
    </w:p>
    <w:p>
      <w:pPr>
        <w:spacing w:after="0" w:line="10"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5"/>
          <w:szCs w:val="15"/>
          <w:color w:val="auto"/>
        </w:rPr>
        <w:t>adjustment related to stock-based compensation expense of $415.4 million has been reflected as an increase to additional paid-in capital and accumulated deficit.</w:t>
      </w:r>
    </w:p>
    <w:p>
      <w:pPr>
        <w:spacing w:after="0" w:line="195" w:lineRule="exact"/>
        <w:rPr>
          <w:sz w:val="20"/>
          <w:szCs w:val="20"/>
          <w:color w:val="auto"/>
        </w:rPr>
      </w:pPr>
    </w:p>
    <w:p>
      <w:pPr>
        <w:ind w:left="340" w:right="120" w:hanging="339"/>
        <w:spacing w:after="0" w:line="285" w:lineRule="auto"/>
        <w:tabs>
          <w:tab w:leader="none" w:pos="32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5"/>
          <w:szCs w:val="15"/>
          <w:color w:val="auto"/>
        </w:rPr>
        <w:t>Each $1.00 increase or decrease in the assumed initial public offering price of $ per share, which is the midpoint of the estimated offering price range set forth on the cover page of this prospectus, would increase or decrease, as applicable, (i) the amount of our pro forma as adjusted cash and cash equivalents, additional paid-in capital, total stockholders’ equity, and total capitalization by approximately $ , assuming that the number of shares offered by us, as set forth on the cover page of</w:t>
      </w:r>
    </w:p>
    <w:p>
      <w:pPr>
        <w:ind w:left="340"/>
        <w:spacing w:after="0"/>
        <w:rPr>
          <w:sz w:val="20"/>
          <w:szCs w:val="20"/>
          <w:color w:val="auto"/>
        </w:rPr>
      </w:pPr>
      <w:r>
        <w:rPr>
          <w:rFonts w:ascii="Arial" w:cs="Arial" w:eastAsia="Arial" w:hAnsi="Arial"/>
          <w:sz w:val="15"/>
          <w:szCs w:val="15"/>
          <w:color w:val="auto"/>
        </w:rPr>
        <w:t>this prospectus, remains the same and after deducting estimated underwriting discounts and commissions payable by us, (ii) the amount we would be required to draw</w:t>
      </w:r>
    </w:p>
    <w:p>
      <w:pPr>
        <w:spacing w:after="0" w:line="371" w:lineRule="exact"/>
        <w:rPr>
          <w:sz w:val="20"/>
          <w:szCs w:val="20"/>
          <w:color w:val="auto"/>
        </w:rPr>
      </w:pPr>
    </w:p>
    <w:p>
      <w:pPr>
        <w:ind w:left="340" w:right="380"/>
        <w:spacing w:after="0" w:line="284" w:lineRule="auto"/>
        <w:rPr>
          <w:sz w:val="20"/>
          <w:szCs w:val="20"/>
          <w:color w:val="auto"/>
        </w:rPr>
      </w:pPr>
      <w:r>
        <w:rPr>
          <w:rFonts w:ascii="Arial" w:cs="Arial" w:eastAsia="Arial" w:hAnsi="Arial"/>
          <w:sz w:val="15"/>
          <w:szCs w:val="15"/>
          <w:color w:val="auto"/>
        </w:rPr>
        <w:t>down under our revolving credit facility to satisfy our tax withholding and remittance obligations related to the RSU Settlement by $ , and (iii) the amount we would be required to pay to satisfy our tax withholding and remittance obligations related to the RSU Settlement by $ . An increase or decrease of 1.0 million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shares in the number of shares offered by us would increase or decrease, as applicable, the amount of our pro forma as adjusted cash, and cash equivalents, additional</w:t>
      </w:r>
    </w:p>
    <w:p>
      <w:pPr>
        <w:spacing w:after="0" w:line="360" w:lineRule="exact"/>
        <w:rPr>
          <w:sz w:val="20"/>
          <w:szCs w:val="20"/>
          <w:color w:val="auto"/>
        </w:rPr>
      </w:pPr>
    </w:p>
    <w:p>
      <w:pPr>
        <w:ind w:left="340" w:right="280"/>
        <w:spacing w:after="0" w:line="293" w:lineRule="auto"/>
        <w:rPr>
          <w:sz w:val="20"/>
          <w:szCs w:val="20"/>
          <w:color w:val="auto"/>
        </w:rPr>
      </w:pPr>
      <w:r>
        <w:rPr>
          <w:rFonts w:ascii="Arial" w:cs="Arial" w:eastAsia="Arial" w:hAnsi="Arial"/>
          <w:sz w:val="16"/>
          <w:szCs w:val="16"/>
          <w:color w:val="auto"/>
        </w:rPr>
        <w:t>paid-in capital, total stockholders’ equity, and total capitalization by approximately $ , assuming the assumed initial public offering price remains the same, and after deducting estimated underwriting discounts and commissions payable by 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and cash equivalents, additional paid-in capital, total stockholders’ equity, total capitalization, and Class A shares outstanding as of September 30, 2017, would be</w:t>
      </w:r>
    </w:p>
    <w:p>
      <w:pPr>
        <w:spacing w:after="0"/>
        <w:tabs>
          <w:tab w:leader="none" w:pos="620" w:val="left"/>
          <w:tab w:leader="none" w:pos="1340" w:val="left"/>
          <w:tab w:leader="none" w:pos="2060" w:val="left"/>
          <w:tab w:leader="none" w:pos="2780" w:val="left"/>
          <w:tab w:leader="none" w:pos="3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respectively.</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13,892,885 shares of our Class A common stock (including the Capital Stock Conversions) and 538,851,747 shares of our Class B common stock (including the Capital Stock Conversions and the RSU Settlement) outstanding as of September 30, 2017, and excludes the following:</w:t>
      </w:r>
    </w:p>
    <w:p>
      <w:pPr>
        <w:spacing w:after="0" w:line="87" w:lineRule="exact"/>
        <w:rPr>
          <w:sz w:val="20"/>
          <w:szCs w:val="20"/>
          <w:color w:val="auto"/>
        </w:rPr>
      </w:pPr>
    </w:p>
    <w:p>
      <w:pPr>
        <w:ind w:left="900" w:right="8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7,484,830 shares of our Class B common stock issuable upon the exercise of options to purchase shares of our Class B common stock outstanding as of September 30, 2017, with a weighted-average exercise price of $7.03 per share;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22,883,109 shares of our Class A common stock and 23,405,828 shares of our Class B common stock subject to RSUs outstanding, but for which the service condition was not satisfied as of September 30,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1,588,685 shares of our Class A common stock subject to RSUs granted after September 30, 2017; and</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20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Plan, which will become effective prior to the completion of this offering;</w:t>
      </w:r>
    </w:p>
    <w:p>
      <w:pPr>
        <w:spacing w:after="0" w:line="75" w:lineRule="exact"/>
        <w:rPr>
          <w:rFonts w:ascii="Arial" w:cs="Arial" w:eastAsia="Arial" w:hAnsi="Arial"/>
          <w:sz w:val="18"/>
          <w:szCs w:val="18"/>
          <w:color w:val="auto"/>
        </w:rPr>
      </w:pPr>
    </w:p>
    <w:p>
      <w:pPr>
        <w:ind w:left="1480" w:right="120" w:hanging="446"/>
        <w:spacing w:after="0" w:line="342" w:lineRule="auto"/>
        <w:tabs>
          <w:tab w:leader="none" w:pos="2245" w:val="left"/>
        </w:tabs>
        <w:numPr>
          <w:ilvl w:val="1"/>
          <w:numId w:val="37"/>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2017 Plan, which number of shares will be added to the shares of our Class A common stock to be reserved for future issuance under our 2018 Plan upon its effectiveness; and</w:t>
      </w:r>
    </w:p>
    <w:p>
      <w:pPr>
        <w:spacing w:after="0" w:line="29" w:lineRule="exact"/>
        <w:rPr>
          <w:rFonts w:ascii="Arial" w:cs="Arial" w:eastAsia="Arial" w:hAnsi="Arial"/>
          <w:sz w:val="16"/>
          <w:szCs w:val="16"/>
          <w:color w:val="auto"/>
        </w:rPr>
      </w:pPr>
    </w:p>
    <w:p>
      <w:pPr>
        <w:jc w:val="both"/>
        <w:ind w:left="1480" w:right="100" w:hanging="446"/>
        <w:spacing w:after="0" w:line="264" w:lineRule="auto"/>
        <w:tabs>
          <w:tab w:leader="none" w:pos="20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ESPP, which will become effective prior to the completion of this offering, but no offering periods under the ESPP will commence unless and until otherwise determined by our Board of Directors.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completion of this offering.</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our common stock outstanding. Our historical net tangible book value as of September 30, 2017, was $(7.2) million, or $(0.02) per share. Our pro forma net tangible book</w:t>
      </w:r>
    </w:p>
    <w:p>
      <w:pPr>
        <w:ind w:right="540"/>
        <w:spacing w:after="0" w:line="290" w:lineRule="auto"/>
        <w:rPr>
          <w:sz w:val="20"/>
          <w:szCs w:val="20"/>
          <w:color w:val="auto"/>
        </w:rPr>
      </w:pPr>
      <w:r>
        <w:rPr>
          <w:rFonts w:ascii="Arial" w:cs="Arial" w:eastAsia="Arial" w:hAnsi="Arial"/>
          <w:sz w:val="17"/>
          <w:szCs w:val="17"/>
          <w:color w:val="auto"/>
        </w:rPr>
        <w:t>value as of September 30, 2017, was $ million, or $ per share, based on the total number of shares of our Class A common stock and Class B common stock outstanding as of September 30, 2017, after giving effect to the Capital Stock Conversions and the RSU Settlement.</w:t>
      </w:r>
    </w:p>
    <w:p>
      <w:pPr>
        <w:spacing w:after="0" w:line="162" w:lineRule="exact"/>
        <w:rPr>
          <w:sz w:val="20"/>
          <w:szCs w:val="20"/>
          <w:color w:val="auto"/>
        </w:rPr>
      </w:pPr>
    </w:p>
    <w:p>
      <w:pPr>
        <w:ind w:left="460"/>
        <w:spacing w:after="0"/>
        <w:tabs>
          <w:tab w:leader="none" w:pos="382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6"/>
          <w:szCs w:val="16"/>
          <w:color w:val="auto"/>
        </w:rPr>
        <w:t>shares of our Class A common stock in this offering at the assumed initial public offering price of</w:t>
      </w:r>
    </w:p>
    <w:p>
      <w:pPr>
        <w:spacing w:after="0" w:line="23" w:lineRule="exact"/>
        <w:rPr>
          <w:sz w:val="20"/>
          <w:szCs w:val="20"/>
          <w:color w:val="auto"/>
        </w:rPr>
      </w:pPr>
    </w:p>
    <w:p>
      <w:pPr>
        <w:ind w:right="260" w:firstLine="8"/>
        <w:spacing w:after="0" w:line="281" w:lineRule="auto"/>
        <w:tabs>
          <w:tab w:leader="none" w:pos="6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w:t>
      </w:r>
    </w:p>
    <w:tbl>
      <w:tblPr>
        <w:tblLayout w:type="fixed"/>
        <w:tblInd w:w="0" w:type="dxa"/>
        <w:tblCellMar>
          <w:top w:w="0" w:type="dxa"/>
          <w:left w:w="0" w:type="dxa"/>
          <w:bottom w:w="0" w:type="dxa"/>
          <w:right w:w="0" w:type="dxa"/>
        </w:tblCellMar>
      </w:tblPr>
      <w:tr>
        <w:trPr>
          <w:trHeight w:val="203"/>
        </w:trPr>
        <w:tc>
          <w:tcPr>
            <w:tcW w:w="3160" w:type="dxa"/>
            <w:vAlign w:val="bottom"/>
            <w:gridSpan w:val="3"/>
          </w:tcPr>
          <w:p>
            <w:pPr>
              <w:spacing w:after="0" w:line="203" w:lineRule="exact"/>
              <w:rPr>
                <w:sz w:val="20"/>
                <w:szCs w:val="20"/>
                <w:color w:val="auto"/>
              </w:rPr>
            </w:pPr>
            <w:r>
              <w:rPr>
                <w:rFonts w:ascii="Arial" w:cs="Arial" w:eastAsia="Arial" w:hAnsi="Arial"/>
                <w:sz w:val="18"/>
                <w:szCs w:val="18"/>
                <w:color w:val="auto"/>
                <w:w w:val="96"/>
              </w:rPr>
              <w:t>September 30, 2017, would have been $</w:t>
            </w:r>
          </w:p>
        </w:tc>
        <w:tc>
          <w:tcPr>
            <w:tcW w:w="1180" w:type="dxa"/>
            <w:vAlign w:val="bottom"/>
          </w:tcPr>
          <w:p>
            <w:pPr>
              <w:ind w:left="280"/>
              <w:spacing w:after="0" w:line="203" w:lineRule="exact"/>
              <w:rPr>
                <w:sz w:val="20"/>
                <w:szCs w:val="20"/>
                <w:color w:val="auto"/>
              </w:rPr>
            </w:pPr>
            <w:r>
              <w:rPr>
                <w:rFonts w:ascii="Arial" w:cs="Arial" w:eastAsia="Arial" w:hAnsi="Arial"/>
                <w:sz w:val="18"/>
                <w:szCs w:val="18"/>
                <w:color w:val="auto"/>
              </w:rPr>
              <w:t>, or $</w:t>
            </w:r>
          </w:p>
        </w:tc>
        <w:tc>
          <w:tcPr>
            <w:tcW w:w="6980" w:type="dxa"/>
            <w:vAlign w:val="bottom"/>
            <w:gridSpan w:val="6"/>
          </w:tcPr>
          <w:p>
            <w:pPr>
              <w:ind w:left="60"/>
              <w:spacing w:after="0" w:line="203" w:lineRule="exact"/>
              <w:rPr>
                <w:sz w:val="20"/>
                <w:szCs w:val="20"/>
                <w:color w:val="auto"/>
              </w:rPr>
            </w:pPr>
            <w:r>
              <w:rPr>
                <w:rFonts w:ascii="Arial" w:cs="Arial" w:eastAsia="Arial" w:hAnsi="Arial"/>
                <w:sz w:val="18"/>
                <w:szCs w:val="18"/>
                <w:color w:val="auto"/>
                <w:w w:val="97"/>
              </w:rPr>
              <w:t>per share. This represents an immediate increase in pro forma net tangible book value of</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460" w:type="dxa"/>
            <w:vAlign w:val="bottom"/>
            <w:gridSpan w:val="5"/>
          </w:tcPr>
          <w:p>
            <w:pPr>
              <w:ind w:left="400"/>
              <w:spacing w:after="0"/>
              <w:rPr>
                <w:sz w:val="20"/>
                <w:szCs w:val="20"/>
                <w:color w:val="auto"/>
              </w:rPr>
            </w:pPr>
            <w:r>
              <w:rPr>
                <w:rFonts w:ascii="Arial" w:cs="Arial" w:eastAsia="Arial" w:hAnsi="Arial"/>
                <w:sz w:val="18"/>
                <w:szCs w:val="18"/>
                <w:color w:val="auto"/>
                <w:w w:val="96"/>
              </w:rPr>
              <w:t>per share to our existing stockholders and an immediate dilution in pro forma net tangible book value of $</w:t>
            </w:r>
          </w:p>
        </w:tc>
        <w:tc>
          <w:tcPr>
            <w:tcW w:w="2580" w:type="dxa"/>
            <w:vAlign w:val="bottom"/>
            <w:gridSpan w:val="4"/>
          </w:tcPr>
          <w:p>
            <w:pPr>
              <w:ind w:left="160"/>
              <w:spacing w:after="0"/>
              <w:rPr>
                <w:sz w:val="20"/>
                <w:szCs w:val="20"/>
                <w:color w:val="auto"/>
              </w:rPr>
            </w:pPr>
            <w:r>
              <w:rPr>
                <w:rFonts w:ascii="Arial" w:cs="Arial" w:eastAsia="Arial" w:hAnsi="Arial"/>
                <w:sz w:val="18"/>
                <w:szCs w:val="18"/>
                <w:color w:val="auto"/>
                <w:w w:val="90"/>
              </w:rPr>
              <w:t>per share to investors purchasing</w:t>
            </w:r>
          </w:p>
        </w:tc>
      </w:tr>
      <w:tr>
        <w:trPr>
          <w:trHeight w:val="230"/>
        </w:trPr>
        <w:tc>
          <w:tcPr>
            <w:tcW w:w="11320" w:type="dxa"/>
            <w:vAlign w:val="bottom"/>
            <w:gridSpan w:val="10"/>
          </w:tcPr>
          <w:p>
            <w:pPr>
              <w:spacing w:after="0"/>
              <w:rPr>
                <w:sz w:val="20"/>
                <w:szCs w:val="20"/>
                <w:color w:val="auto"/>
              </w:rPr>
            </w:pPr>
            <w:r>
              <w:rPr>
                <w:rFonts w:ascii="Arial" w:cs="Arial" w:eastAsia="Arial" w:hAnsi="Arial"/>
                <w:sz w:val="18"/>
                <w:szCs w:val="18"/>
                <w:color w:val="auto"/>
              </w:rPr>
              <w:t>shares of our Class A common stock in this offering at the assumed initial public offering price. The following table illustrates this dilution:</w:t>
            </w:r>
          </w:p>
        </w:tc>
      </w:tr>
      <w:tr>
        <w:trPr>
          <w:trHeight w:val="243"/>
        </w:trPr>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20" w:type="dxa"/>
            <w:vAlign w:val="bottom"/>
            <w:gridSpan w:val="2"/>
          </w:tcPr>
          <w:p>
            <w:pPr>
              <w:spacing w:after="0"/>
              <w:rPr>
                <w:sz w:val="21"/>
                <w:szCs w:val="21"/>
                <w:color w:val="auto"/>
              </w:rPr>
            </w:pPr>
          </w:p>
        </w:tc>
        <w:tc>
          <w:tcPr>
            <w:tcW w:w="22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Assumed initial public offering price per share</w:t>
            </w:r>
          </w:p>
        </w:tc>
        <w:tc>
          <w:tcPr>
            <w:tcW w:w="2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6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40" w:type="dxa"/>
            <w:vAlign w:val="bottom"/>
            <w:gridSpan w:val="3"/>
          </w:tcPr>
          <w:p>
            <w:pPr>
              <w:ind w:left="360"/>
              <w:spacing w:after="0"/>
              <w:rPr>
                <w:sz w:val="20"/>
                <w:szCs w:val="20"/>
                <w:color w:val="auto"/>
              </w:rPr>
            </w:pPr>
            <w:r>
              <w:rPr>
                <w:rFonts w:ascii="Arial" w:cs="Arial" w:eastAsia="Arial" w:hAnsi="Arial"/>
                <w:sz w:val="18"/>
                <w:szCs w:val="18"/>
                <w:color w:val="auto"/>
                <w:w w:val="93"/>
              </w:rPr>
              <w:t>Pro forma net tangible book value per share as of September 30, 2017</w:t>
            </w:r>
          </w:p>
        </w:tc>
        <w:tc>
          <w:tcPr>
            <w:tcW w:w="218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2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Increase in pro forma net tangible book value per share attributable to new investors purchasing</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shares of Class A common stock in this offering</w:t>
            </w:r>
          </w:p>
        </w:tc>
        <w:tc>
          <w:tcPr>
            <w:tcW w:w="21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280" w:type="dxa"/>
            <w:vAlign w:val="bottom"/>
            <w:gridSpan w:val="4"/>
          </w:tcPr>
          <w:p>
            <w:pPr>
              <w:ind w:left="18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760" w:type="dxa"/>
            <w:vAlign w:val="bottom"/>
            <w:gridSpan w:val="5"/>
          </w:tcPr>
          <w:p>
            <w:pPr>
              <w:ind w:left="220"/>
              <w:spacing w:after="0"/>
              <w:rPr>
                <w:sz w:val="20"/>
                <w:szCs w:val="20"/>
                <w:color w:val="auto"/>
              </w:rPr>
            </w:pPr>
            <w:r>
              <w:rPr>
                <w:rFonts w:ascii="Arial" w:cs="Arial" w:eastAsia="Arial" w:hAnsi="Arial"/>
                <w:sz w:val="18"/>
                <w:szCs w:val="18"/>
                <w:color w:val="auto"/>
                <w:w w:val="91"/>
              </w:rPr>
              <w:t>per share, which is the midpoint of the estimated offering price</w:t>
            </w:r>
          </w:p>
        </w:tc>
      </w:tr>
    </w:tbl>
    <w:p>
      <w:pPr>
        <w:spacing w:after="0"/>
        <w:rPr>
          <w:sz w:val="20"/>
          <w:szCs w:val="20"/>
          <w:color w:val="auto"/>
        </w:rPr>
      </w:pPr>
      <w:r>
        <w:rPr>
          <w:rFonts w:ascii="Arial" w:cs="Arial" w:eastAsia="Arial" w:hAnsi="Arial"/>
          <w:sz w:val="16"/>
          <w:szCs w:val="16"/>
          <w:color w:val="auto"/>
        </w:rPr>
        <w:t>range set forth on the cover page of this prospectus, would increase or decrease, as applicable, our pro forma as adjusted net tangible book value per share to</w:t>
      </w:r>
    </w:p>
    <w:p>
      <w:pPr>
        <w:spacing w:after="0" w:line="3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new investors by $ , and would increase or decrease, as applicable, dilution per share to new investors purchasing shares of our Class A common stock in this offering by $ , assuming that the number of shares offered by us, as set forth on the cover page of this prospectus, remains the same and after</w:t>
      </w:r>
    </w:p>
    <w:p>
      <w:pPr>
        <w:spacing w:after="0"/>
        <w:rPr>
          <w:sz w:val="20"/>
          <w:szCs w:val="20"/>
          <w:color w:val="auto"/>
        </w:rPr>
      </w:pPr>
      <w:r>
        <w:rPr>
          <w:rFonts w:ascii="Arial" w:cs="Arial" w:eastAsia="Arial" w:hAnsi="Arial"/>
          <w:sz w:val="17"/>
          <w:szCs w:val="17"/>
          <w:color w:val="auto"/>
        </w:rPr>
        <w:t>deducting estimated underwriting discounts and commissions and estimated offering expenses payable by us. Similarly, each increase or decrease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shares in the number of shares of our Class A common stock offered by us would increase or decrease, as applicable, our pro forma as adjusted net</w:t>
      </w:r>
    </w:p>
    <w:p>
      <w:pPr>
        <w:spacing w:after="0" w:line="38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tangible book value by approximately $ per share and increase or decrease, as applicable, the dilution to new investors purchasing shares of our Class A common stock in this offering by $ per share, assuming the assumed initial public offering price remains the same, and after deducting underwriting discounts and commissions and estimated offering expenses payable by us.</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If the underwriters’ option to purchase additional shares of our Class A common stock from us is exercised in full, the pro forma as adjusted net tangible book value per share of our common stock, as adjusted to give effect to this offering, would be $ per share, and the dilution in pro forma net tangible book value per share to new investors purchasing shares of our Class A common stock in this offering would be $ per share.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following table presents, as of September 30, 2017, after giving effect to the Capital Stock Conversions and the RSU Settlement,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our Class A common stock and</w:t>
      </w:r>
    </w:p>
    <w:p>
      <w:pPr>
        <w:ind w:right="20"/>
        <w:spacing w:after="0" w:line="255" w:lineRule="auto"/>
        <w:rPr>
          <w:sz w:val="20"/>
          <w:szCs w:val="20"/>
          <w:color w:val="auto"/>
        </w:rPr>
      </w:pPr>
      <w:r>
        <w:rPr>
          <w:rFonts w:ascii="Arial" w:cs="Arial" w:eastAsia="Arial" w:hAnsi="Arial"/>
          <w:sz w:val="18"/>
          <w:szCs w:val="18"/>
          <w:color w:val="auto"/>
        </w:rPr>
        <w:t>the average price per share paid or to be paid to us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4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vMerge w:val="restart"/>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vMerge w:val="restart"/>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4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44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78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price per</w:t>
            </w:r>
          </w:p>
        </w:tc>
        <w:tc>
          <w:tcPr>
            <w:tcW w:w="0" w:type="dxa"/>
            <w:vAlign w:val="bottom"/>
          </w:tcPr>
          <w:p>
            <w:pPr>
              <w:spacing w:after="0"/>
              <w:rPr>
                <w:sz w:val="1"/>
                <w:szCs w:val="1"/>
                <w:color w:val="auto"/>
              </w:rPr>
            </w:pPr>
          </w:p>
        </w:tc>
      </w:tr>
      <w:tr>
        <w:trPr>
          <w:trHeight w:val="52"/>
        </w:trPr>
        <w:tc>
          <w:tcPr>
            <w:tcW w:w="44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4"/>
                <w:szCs w:val="4"/>
                <w:color w:val="auto"/>
              </w:rPr>
            </w:pP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Percent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4"/>
                <w:szCs w:val="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7"/>
              </w:rPr>
              <w:t>Percentage</w:t>
            </w: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60" w:type="dxa"/>
            <w:vAlign w:val="bottom"/>
            <w:tcBorders>
              <w:top w:val="single" w:sz="8" w:color="auto"/>
            </w:tcBorders>
            <w:gridSpan w:val="6"/>
          </w:tcPr>
          <w:p>
            <w:pPr>
              <w:jc w:val="right"/>
              <w:ind w:right="660"/>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New investors</w:t>
            </w:r>
          </w:p>
        </w:tc>
        <w:tc>
          <w:tcPr>
            <w:tcW w:w="18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ind w:right="461"/>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Totals</w:t>
            </w: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00" w:type="dxa"/>
            <w:vAlign w:val="bottom"/>
            <w:gridSpan w:val="2"/>
          </w:tcPr>
          <w:p>
            <w:pPr>
              <w:ind w:left="460"/>
              <w:spacing w:after="0"/>
              <w:rPr>
                <w:sz w:val="20"/>
                <w:szCs w:val="20"/>
                <w:color w:val="auto"/>
              </w:rPr>
            </w:pPr>
            <w:r>
              <w:rPr>
                <w:rFonts w:ascii="Arial" w:cs="Arial" w:eastAsia="Arial" w:hAnsi="Arial"/>
                <w:sz w:val="18"/>
                <w:szCs w:val="18"/>
                <w:color w:val="auto"/>
                <w:w w:val="91"/>
              </w:rPr>
              <w:t>Each $1.00 increase or decrease in the assumed initial public offering price of $</w:t>
            </w:r>
          </w:p>
        </w:tc>
        <w:tc>
          <w:tcPr>
            <w:tcW w:w="5120" w:type="dxa"/>
            <w:vAlign w:val="bottom"/>
            <w:gridSpan w:val="10"/>
          </w:tcPr>
          <w:p>
            <w:pPr>
              <w:ind w:left="480"/>
              <w:spacing w:after="0"/>
              <w:rPr>
                <w:sz w:val="20"/>
                <w:szCs w:val="20"/>
                <w:color w:val="auto"/>
              </w:rPr>
            </w:pPr>
            <w:r>
              <w:rPr>
                <w:rFonts w:ascii="Arial" w:cs="Arial" w:eastAsia="Arial" w:hAnsi="Arial"/>
                <w:sz w:val="18"/>
                <w:szCs w:val="18"/>
                <w:color w:val="auto"/>
                <w:w w:val="93"/>
              </w:rPr>
              <w:t>per share, which is the midpoint of the estimated offering price</w:t>
            </w:r>
          </w:p>
        </w:tc>
        <w:tc>
          <w:tcPr>
            <w:tcW w:w="0" w:type="dxa"/>
            <w:vAlign w:val="bottom"/>
          </w:tcPr>
          <w:p>
            <w:pPr>
              <w:spacing w:after="0"/>
              <w:rPr>
                <w:sz w:val="1"/>
                <w:szCs w:val="1"/>
                <w:color w:val="auto"/>
              </w:rPr>
            </w:pPr>
          </w:p>
        </w:tc>
      </w:tr>
      <w:tr>
        <w:trPr>
          <w:trHeight w:val="216"/>
        </w:trPr>
        <w:tc>
          <w:tcPr>
            <w:tcW w:w="10720" w:type="dxa"/>
            <w:vAlign w:val="bottom"/>
            <w:gridSpan w:val="10"/>
          </w:tcPr>
          <w:p>
            <w:pPr>
              <w:spacing w:after="0"/>
              <w:rPr>
                <w:sz w:val="20"/>
                <w:szCs w:val="20"/>
                <w:color w:val="auto"/>
              </w:rPr>
            </w:pPr>
            <w:r>
              <w:rPr>
                <w:rFonts w:ascii="Arial" w:cs="Arial" w:eastAsia="Arial" w:hAnsi="Arial"/>
                <w:sz w:val="18"/>
                <w:szCs w:val="18"/>
                <w:color w:val="auto"/>
                <w:w w:val="89"/>
              </w:rPr>
              <w:t>range set forth on the cover page of this prospectus, would increase or decrease, as applicable, the total consideration paid by new investors and total</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w w:val="97"/>
              </w:rPr>
              <w:t>consideration paid by all stockholders by approximately $</w:t>
            </w:r>
          </w:p>
        </w:tc>
        <w:tc>
          <w:tcPr>
            <w:tcW w:w="6940" w:type="dxa"/>
            <w:vAlign w:val="bottom"/>
            <w:gridSpan w:val="11"/>
          </w:tcPr>
          <w:p>
            <w:pPr>
              <w:ind w:left="280"/>
              <w:spacing w:after="0"/>
              <w:rPr>
                <w:sz w:val="20"/>
                <w:szCs w:val="20"/>
                <w:color w:val="auto"/>
              </w:rPr>
            </w:pPr>
            <w:r>
              <w:rPr>
                <w:rFonts w:ascii="Arial" w:cs="Arial" w:eastAsia="Arial" w:hAnsi="Arial"/>
                <w:sz w:val="18"/>
                <w:szCs w:val="18"/>
                <w:color w:val="auto"/>
                <w:w w:val="94"/>
              </w:rPr>
              <w:t>, assuming that the number of shares of our Class A common stock offered by us, as set</w:t>
            </w:r>
          </w:p>
        </w:tc>
        <w:tc>
          <w:tcPr>
            <w:tcW w:w="0" w:type="dxa"/>
            <w:vAlign w:val="bottom"/>
          </w:tcPr>
          <w:p>
            <w:pPr>
              <w:spacing w:after="0"/>
              <w:rPr>
                <w:sz w:val="1"/>
                <w:szCs w:val="1"/>
                <w:color w:val="auto"/>
              </w:rPr>
            </w:pPr>
          </w:p>
        </w:tc>
      </w:tr>
    </w:tbl>
    <w:p>
      <w:pPr>
        <w:jc w:val="both"/>
        <w:spacing w:after="0" w:line="281" w:lineRule="auto"/>
        <w:rPr>
          <w:sz w:val="20"/>
          <w:szCs w:val="20"/>
          <w:color w:val="auto"/>
        </w:rPr>
      </w:pPr>
      <w:r>
        <w:rPr>
          <w:rFonts w:ascii="Arial" w:cs="Arial" w:eastAsia="Arial" w:hAnsi="Arial"/>
          <w:sz w:val="16"/>
          <w:szCs w:val="16"/>
          <w:color w:val="auto"/>
        </w:rPr>
        <w:t>forth on the cover page of this prospectus, remains the same and after deducting estimated underwriting discounts and commissions and estimated offering expenses payable by us. Similarly, each increase or decrease of 1.0 million in the number of shares of our Class A common stock offered by us would increase</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or decrease the total consideration paid by new investors and total consideration paid by all stockholders by approximately $ , assuming the assumed initial public offering price remains the same and after deducting the estimated underwriting discounts and commissions payable by us.</w:t>
      </w:r>
    </w:p>
    <w:p>
      <w:pPr>
        <w:spacing w:after="0" w:line="1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 and our new investors would own % of the total number of shares of our common stock outstanding upon completion of this offering.</w:t>
      </w:r>
    </w:p>
    <w:p>
      <w:pPr>
        <w:spacing w:after="0" w:line="187" w:lineRule="exact"/>
        <w:rPr>
          <w:sz w:val="20"/>
          <w:szCs w:val="20"/>
          <w:color w:val="auto"/>
        </w:rPr>
      </w:pPr>
    </w:p>
    <w:p>
      <w:pPr>
        <w:ind w:left="540" w:right="300" w:hanging="83"/>
        <w:spacing w:after="0" w:line="258" w:lineRule="auto"/>
        <w:rPr>
          <w:sz w:val="20"/>
          <w:szCs w:val="20"/>
          <w:color w:val="auto"/>
        </w:rPr>
      </w:pPr>
      <w:r>
        <w:rPr>
          <w:rFonts w:ascii="Arial" w:cs="Arial" w:eastAsia="Arial" w:hAnsi="Arial"/>
          <w:sz w:val="18"/>
          <w:szCs w:val="18"/>
          <w:color w:val="auto"/>
        </w:rPr>
        <w:t>Sales by the selling stockholders in this offering will cause the number of shares held by existing stockholders to be reduced to</w:t>
      </w:r>
      <w:r>
        <w:rPr>
          <w:sz w:val="20"/>
          <w:szCs w:val="20"/>
          <w:color w:val="auto"/>
        </w:rPr>
        <w:t xml:space="preserve"> </w:t>
      </w:r>
      <w:r>
        <w:rPr>
          <w:rFonts w:ascii="Arial" w:cs="Arial" w:eastAsia="Arial" w:hAnsi="Arial"/>
          <w:sz w:val="18"/>
          <w:szCs w:val="18"/>
          <w:color w:val="auto"/>
        </w:rPr>
        <w:t>shares, or % of the total number of shares of our common stock outstanding following the completion of this offering, and will increase the number of shares</w:t>
      </w:r>
    </w:p>
    <w:p>
      <w:pPr>
        <w:spacing w:after="0" w:line="1" w:lineRule="exact"/>
        <w:rPr>
          <w:sz w:val="20"/>
          <w:szCs w:val="20"/>
          <w:color w:val="auto"/>
        </w:rPr>
      </w:pPr>
    </w:p>
    <w:p>
      <w:pPr>
        <w:spacing w:after="0"/>
        <w:tabs>
          <w:tab w:leader="none" w:pos="2380" w:val="left"/>
          <w:tab w:leader="none" w:pos="3660" w:val="left"/>
        </w:tabs>
        <w:rPr>
          <w:sz w:val="20"/>
          <w:szCs w:val="20"/>
          <w:color w:val="auto"/>
        </w:rPr>
      </w:pPr>
      <w:r>
        <w:rPr>
          <w:rFonts w:ascii="Arial" w:cs="Arial" w:eastAsia="Arial" w:hAnsi="Arial"/>
          <w:sz w:val="18"/>
          <w:szCs w:val="18"/>
          <w:color w:val="auto"/>
        </w:rPr>
        <w:t>held by new investors to</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the total number of shares outstanding following the completion of this offering.</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13,892,885 shares of our Class A common stock (including the Capital Stock Conversions) and 538,851,747 shares of our Class B common stock (including the Capital Stock Conversions and the RSU Settlement) outstanding as of September 30, 2017, and excludes the following:</w:t>
      </w:r>
    </w:p>
    <w:p>
      <w:pPr>
        <w:spacing w:after="0" w:line="87" w:lineRule="exact"/>
        <w:rPr>
          <w:sz w:val="20"/>
          <w:szCs w:val="20"/>
          <w:color w:val="auto"/>
        </w:rPr>
      </w:pPr>
    </w:p>
    <w:p>
      <w:pPr>
        <w:ind w:left="900" w:right="8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7,484,830 shares of our Class B common stock issuable upon the exercise of options to purchase shares of our Class B common stock outstanding as of September 30, 2017, with a weighted-average exercise price of $7.03 per share;</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22,883,109 shares of our Class A common stock and 23,405,828 shares of our Class B common stock subject to RSUs outstanding, but for which the service condition was not satisfied, as of September 30,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1,588,685 shares of our Class A common stock subject to RSUs granted after September 30, 2017;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905"/>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equity compensation plans, consisting of:</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20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2018 Equity Incentive Plan, or our 2018 Plan, which will become effective prior to the completion of this offering;</w:t>
      </w:r>
    </w:p>
    <w:p>
      <w:pPr>
        <w:spacing w:after="0" w:line="75" w:lineRule="exact"/>
        <w:rPr>
          <w:rFonts w:ascii="Arial" w:cs="Arial" w:eastAsia="Arial" w:hAnsi="Arial"/>
          <w:sz w:val="18"/>
          <w:szCs w:val="18"/>
          <w:color w:val="auto"/>
        </w:rPr>
      </w:pPr>
    </w:p>
    <w:p>
      <w:pPr>
        <w:ind w:left="1480" w:hanging="446"/>
        <w:spacing w:after="0" w:line="264" w:lineRule="auto"/>
        <w:tabs>
          <w:tab w:leader="none" w:pos="20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2017 Equity Incentive Plan, or our 2017 Plan, which number of shares will be added to the shares of our Class A common stock to be reserved for future issuance under our 2018 Plan upon its effectiveness; and</w:t>
      </w:r>
    </w:p>
    <w:p>
      <w:pPr>
        <w:spacing w:after="0" w:line="86" w:lineRule="exact"/>
        <w:rPr>
          <w:rFonts w:ascii="Arial" w:cs="Arial" w:eastAsia="Arial" w:hAnsi="Arial"/>
          <w:sz w:val="18"/>
          <w:szCs w:val="18"/>
          <w:color w:val="auto"/>
        </w:rPr>
      </w:pPr>
    </w:p>
    <w:p>
      <w:pPr>
        <w:jc w:val="both"/>
        <w:ind w:left="1480" w:right="20" w:hanging="446"/>
        <w:spacing w:after="0" w:line="264" w:lineRule="auto"/>
        <w:tabs>
          <w:tab w:leader="none" w:pos="20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Class A common stock to be reserved for future issuance under our ESPP, which will become effective prior to the completion of this offering, but no offering periods under the ESPP will commence unless and until otherwise determined by our Board of Directors.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To the extent that any outstanding options to purchase our common stock are exercised, RSUs are settled or new awards are granted under our equity compensation plans,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and 2016, and the consolidated balance sheet data as of December 31, 2015 and 2016, are derived from our audited consolidated financial statements that are included elsewhere in this prospectus. The consolidated statements of operations data for the nine months ended September 30, 2016 and 2017, and the consolidated balance sheet data as of September 30, 2017, have been derived from our unaudited consolidated financial statements appearing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nine months ended September 30, 2017 are not necessarily indicative of the results to be expected for the full year or any other period. The selected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10"/>
          </w:tcPr>
          <w:p>
            <w:pPr>
              <w:jc w:val="right"/>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606.8</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301.3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196.4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201.6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215.6</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186.7</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502.6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(193.5)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(173.3)</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(325.6)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(205.0)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(177.7)</w:t>
            </w:r>
          </w:p>
        </w:tc>
        <w:tc>
          <w:tcPr>
            <w:tcW w:w="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(325.9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(210.2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(181.1</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(0.25)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shares used in computing net loss per share attributable to common stockholders,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276.8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283.7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282.3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(0.13)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shares used in computing pro forma net loss per share attributable to common</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535.4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562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19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vMerge w:val="restart"/>
          </w:tcPr>
          <w:p>
            <w:pPr>
              <w:jc w:val="right"/>
              <w:ind w:right="202"/>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83"/>
              </w:rPr>
              <w:t>2016</w:t>
            </w:r>
          </w:p>
        </w:tc>
        <w:tc>
          <w:tcPr>
            <w:tcW w:w="44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tcPr>
          <w:p>
            <w:pPr>
              <w:ind w:left="280"/>
              <w:spacing w:after="0" w:line="142" w:lineRule="exact"/>
              <w:rPr>
                <w:sz w:val="20"/>
                <w:szCs w:val="20"/>
                <w:color w:val="auto"/>
              </w:rPr>
            </w:pPr>
            <w:r>
              <w:rPr>
                <w:rFonts w:ascii="Arial" w:cs="Arial" w:eastAsia="Arial" w:hAnsi="Arial"/>
                <w:sz w:val="14"/>
                <w:szCs w:val="14"/>
                <w:i w:val="1"/>
                <w:iCs w:val="1"/>
                <w:color w:val="auto"/>
              </w:rPr>
              <w:t>(In millions)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revenue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6"/>
                <w:szCs w:val="16"/>
                <w:color w:val="auto"/>
                <w:w w:val="89"/>
              </w:rPr>
              <w:t>36.1</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52.8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2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9"/>
              </w:rPr>
              <w:t>19.8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2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9"/>
              </w:rPr>
              <w:t>66.1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4"/>
              </w:rPr>
              <w:t>113.6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117.2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hanging="332"/>
        <w:spacing w:after="0" w:line="212" w:lineRule="auto"/>
        <w:tabs>
          <w:tab w:leader="none" w:pos="340" w:val="left"/>
        </w:tabs>
        <w:numPr>
          <w:ilvl w:val="0"/>
          <w:numId w:val="42"/>
        </w:numPr>
        <w:rPr>
          <w:rFonts w:ascii="Arial" w:cs="Arial" w:eastAsia="Arial" w:hAnsi="Arial"/>
          <w:sz w:val="28"/>
          <w:szCs w:val="28"/>
          <w:color w:val="auto"/>
          <w:vertAlign w:val="superscript"/>
        </w:rPr>
      </w:pPr>
      <w:r>
        <w:rPr>
          <w:rFonts w:ascii="Arial" w:cs="Arial" w:eastAsia="Arial" w:hAnsi="Arial"/>
          <w:sz w:val="16"/>
          <w:szCs w:val="16"/>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40" w:type="dxa"/>
            <w:vAlign w:val="bottom"/>
            <w:gridSpan w:val="3"/>
          </w:tcPr>
          <w:p>
            <w:pPr>
              <w:jc w:val="right"/>
              <w:ind w:right="1380"/>
              <w:spacing w:after="0"/>
              <w:rPr>
                <w:sz w:val="20"/>
                <w:szCs w:val="20"/>
                <w:color w:val="auto"/>
              </w:rPr>
            </w:pPr>
            <w:r>
              <w:rPr>
                <w:rFonts w:ascii="Arial" w:cs="Arial" w:eastAsia="Arial" w:hAnsi="Arial"/>
                <w:sz w:val="14"/>
                <w:szCs w:val="14"/>
                <w:b w:val="1"/>
                <w:bCs w:val="1"/>
                <w:color w:val="auto"/>
              </w:rPr>
              <w:t>As of December 31,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8"/>
              </w:rPr>
              <w:t>As of September 30,</w:t>
            </w:r>
          </w:p>
        </w:tc>
      </w:tr>
      <w:tr>
        <w:trPr>
          <w:trHeight w:val="142"/>
        </w:trPr>
        <w:tc>
          <w:tcPr>
            <w:tcW w:w="3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40" w:type="dxa"/>
            <w:vAlign w:val="bottom"/>
            <w:gridSpan w:val="2"/>
          </w:tcPr>
          <w:p>
            <w:pPr>
              <w:jc w:val="right"/>
              <w:ind w:right="540"/>
              <w:spacing w:after="0" w:line="142" w:lineRule="exact"/>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  356.9</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  352.7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Working capital</w:t>
            </w:r>
          </w:p>
        </w:tc>
        <w:tc>
          <w:tcPr>
            <w:tcW w:w="2880" w:type="dxa"/>
            <w:vAlign w:val="bottom"/>
            <w:gridSpan w:val="2"/>
          </w:tcPr>
          <w:p>
            <w:pPr>
              <w:jc w:val="right"/>
              <w:ind w:right="348"/>
              <w:spacing w:after="0"/>
              <w:rPr>
                <w:sz w:val="20"/>
                <w:szCs w:val="20"/>
                <w:color w:val="auto"/>
              </w:rPr>
            </w:pPr>
            <w:r>
              <w:rPr>
                <w:rFonts w:ascii="Arial" w:cs="Arial" w:eastAsia="Arial" w:hAnsi="Arial"/>
                <w:sz w:val="18"/>
                <w:szCs w:val="18"/>
                <w:color w:val="auto"/>
              </w:rPr>
              <w:t>(105.7)</w:t>
            </w:r>
          </w:p>
        </w:tc>
        <w:tc>
          <w:tcPr>
            <w:tcW w:w="1940" w:type="dxa"/>
            <w:vAlign w:val="bottom"/>
            <w:gridSpan w:val="2"/>
          </w:tcPr>
          <w:p>
            <w:pPr>
              <w:jc w:val="right"/>
              <w:ind w:right="820"/>
              <w:spacing w:after="0"/>
              <w:rPr>
                <w:sz w:val="20"/>
                <w:szCs w:val="20"/>
                <w:color w:val="auto"/>
              </w:rPr>
            </w:pPr>
            <w:r>
              <w:rPr>
                <w:rFonts w:ascii="Arial" w:cs="Arial" w:eastAsia="Arial" w:hAnsi="Arial"/>
                <w:sz w:val="18"/>
                <w:szCs w:val="18"/>
                <w:color w:val="auto"/>
              </w:rPr>
              <w:t>(221.9)</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(205.5)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437.6</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444.0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2880" w:type="dxa"/>
            <w:vAlign w:val="bottom"/>
            <w:gridSpan w:val="2"/>
          </w:tcPr>
          <w:p>
            <w:pPr>
              <w:jc w:val="right"/>
              <w:ind w:right="408"/>
              <w:spacing w:after="0"/>
              <w:rPr>
                <w:sz w:val="20"/>
                <w:szCs w:val="20"/>
                <w:color w:val="auto"/>
              </w:rPr>
            </w:pPr>
            <w:r>
              <w:rPr>
                <w:rFonts w:ascii="Arial" w:cs="Arial" w:eastAsia="Arial" w:hAnsi="Arial"/>
                <w:sz w:val="18"/>
                <w:szCs w:val="18"/>
                <w:color w:val="auto"/>
              </w:rPr>
              <w:t>1,010.5</w:t>
            </w:r>
          </w:p>
        </w:tc>
        <w:tc>
          <w:tcPr>
            <w:tcW w:w="1060" w:type="dxa"/>
            <w:vAlign w:val="bottom"/>
          </w:tcPr>
          <w:p>
            <w:pPr>
              <w:jc w:val="right"/>
              <w:spacing w:after="0"/>
              <w:rPr>
                <w:sz w:val="20"/>
                <w:szCs w:val="20"/>
                <w:color w:val="auto"/>
              </w:rPr>
            </w:pPr>
            <w:r>
              <w:rPr>
                <w:rFonts w:ascii="Arial" w:cs="Arial" w:eastAsia="Arial" w:hAnsi="Arial"/>
                <w:sz w:val="18"/>
                <w:szCs w:val="18"/>
                <w:color w:val="auto"/>
              </w:rPr>
              <w:t>1,004.2</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986.5</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8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267.3</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354.9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2880" w:type="dxa"/>
            <w:vAlign w:val="bottom"/>
            <w:gridSpan w:val="2"/>
          </w:tcPr>
          <w:p>
            <w:pPr>
              <w:jc w:val="right"/>
              <w:ind w:right="408"/>
              <w:spacing w:after="0"/>
              <w:rPr>
                <w:sz w:val="20"/>
                <w:szCs w:val="20"/>
                <w:color w:val="auto"/>
              </w:rPr>
            </w:pPr>
            <w:r>
              <w:rPr>
                <w:rFonts w:ascii="Arial" w:cs="Arial" w:eastAsia="Arial" w:hAnsi="Arial"/>
                <w:sz w:val="18"/>
                <w:szCs w:val="18"/>
                <w:color w:val="auto"/>
              </w:rPr>
              <w:t>304.2</w:t>
            </w: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257.2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185.6</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122.8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r>
      <w:tr>
        <w:trPr>
          <w:trHeight w:val="365"/>
        </w:trPr>
        <w:tc>
          <w:tcPr>
            <w:tcW w:w="3420" w:type="dxa"/>
            <w:vAlign w:val="bottom"/>
          </w:tcPr>
          <w:p>
            <w:pPr>
              <w:spacing w:after="0"/>
              <w:rPr>
                <w:sz w:val="24"/>
                <w:szCs w:val="24"/>
                <w:color w:val="auto"/>
              </w:rPr>
            </w:pPr>
          </w:p>
        </w:tc>
        <w:tc>
          <w:tcPr>
            <w:tcW w:w="178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Additionally, our results for the nine months ended September 30, 2017 may not be indicative of the results to be expected for the full year or any other period. Factors that could cause or contribute to such differences include, but are not limited to, those identified below and those discussed in the section titled “Risk Factors” included elsewhere in this prospectus.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2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We’ve built a thriving global business with more than 10 million paying users. Our revenue was $603.8 million and $844.8 million in 2015 and 2016, respectively, representing a growth rate of 40%. We generated net losses of $325.9 million and $210.2 million in 2015 and 2016, respectively. We also generated positive free cash flow of $137.4 million in 2016 compared to negative free cash flow of $63.9 million in 2015.</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our founding, we’ve built one of the largest collaboration platforms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246380</wp:posOffset>
            </wp:positionV>
            <wp:extent cx="5034280" cy="5385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34280" cy="538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which serves the varying needs of our diverse customer base. Of our 10 million paying users, approximately 80% use Dropbox for work, including approximately 30% on a Dropbox Business team plan, and we estimate an additional 50% on an Individual plan. As of September 30, 2017, we had more than 290,000 paying Dropbox Business teams. Customers can choose between an annual or monthly plan, with a small number of large organizations on multi-year plans. A majority of our customers opt for our annual plans. We typically bill our</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customers at the beginning of their respective terms and recognize revenue ratably over the term of the subscription period. International customers can pay in U.S. dollars or a select number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134620</wp:posOffset>
            </wp:positionV>
            <wp:extent cx="5188585" cy="5531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88585" cy="553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Standard and Advanced subscription plans offer robust capabilities for business uses, and the vast majority of Dropbox Business teams, including those at Fortune 500 companies, purchase our Standard or Advanced subscription plans. While our Enterprise subscription plan offers more opportunities for customization, companies can subscribe to any of these team plans for their business needs.</w:t>
      </w:r>
    </w:p>
    <w:p>
      <w:pPr>
        <w:sectPr>
          <w:pgSz w:w="11900" w:h="16838" w:orient="portrait"/>
          <w:cols w:equalWidth="0" w:num="1">
            <w:col w:w="11400"/>
          </w:cols>
          <w:pgMar w:left="240" w:top="459"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9019"/>
          </w:cols>
          <w:pgMar w:left="1440" w:top="301"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w:t>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Anyone can create a Dropbox account for free through our website or app and be up and running in minutes. These users often share and collaborate with other non-registered users, attracting new signups into our network. For example, many people use Dropbox for work and spread our platform by collaborating on projects or sharing content externally. We also acquire a small proportion of our registered users through paid marketing and distribution partnerships in which hardware manufacturers pre-install our software on their devices.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over 500 million registered users on our platform, of which nearly 100 million signed up in the past year.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Dropbox Basic, the free version of our product, serves as a major funnel for conversions to our paid subscription plans. It fosters brand awareness, product familiarity, and organic adoption of Dropbox. When they purchase a subscription, our users gain access to premium features such as richer collaboration tools, administrative controls, and advanced security features, as well as larger storage capacity. We believe that our current registered user base represents a significant opportunity to increase our revenue. We estimate that approximately 300 million of our registered users have at least one characteristic that we believe makes them more likely than other registered users to pay over time. These characteristics include: (i) having signed up for Dropbox with a business domain email; (ii) having used specific types of computers or mobile devices to access our platform; or (iii) having signed up from certain countries in more developed markets in North America, Europe, and Asia Pacific, and having linked a desktop or laptop to our platform. Substantially all of our paying users share at least one of these characteristics. We’ve found that aggregate user activity metrics aren’t leading indicators of revenue or conversion. For that reason, we don’t comprehensively track user activity across the Dropbox platform for financial planning and forecasting purposes.</w:t>
      </w:r>
    </w:p>
    <w:p>
      <w:pPr>
        <w:spacing w:after="0" w:line="16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In the third quarter of 2017, more than 400 million devices—including computers, phones, and tablets—were actively connected to the Dropbox platform. Because our users have installed Dropbox on many devices, we have multiple opportunities to inform them about new product experiences and premium subscription plans via in-product notifications, without any external marketing spend.</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scale enables us to experiment and optimize the conversion marketing process. We run hundreds of product tests and targeted marketing campaigns simultaneously, and analyze usage patterns within our network to continually improve our user targeting and marketing messaging.</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They can do this by either joining an existing Dropbox Business team or by creating a new Dropbox Business team and inviting others to join. In the first three quarters of 2017, over 40% of new Dropbox Business teams included a member who was previously a Plus subscriber.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believe that a large majority of individual customers use Dropbox for work, which creates an opportunity to significantly increase conversion to Dropbox Business team offerings over time. We also encourage existing Dropbox Business teams to purchase additional licenses or to upgrade to premium subscription plans.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Within an organization, Dropbox usage may be spread between a mix of Basic users, Plus and Professional subscribers, and one or more Dropbox Business teams. Our outbound sales team focuses on converting and consolidating these separate pockets of usage into a centralized deployment. Nearly all of our largest outbound deals originated as smaller self-serve deployments.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Attractive Cohort Economics</w:t>
      </w:r>
    </w:p>
    <w:p>
      <w:pPr>
        <w:spacing w:after="0" w:line="121"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We define a cohort as all registered users who signed up for Dropbox in a given period of time. We track the total monthly subscription amount of all paying users in each cohort as of the end of the month, or the monthly subscription amount. For paying users who opt for our monthly plans, the monthly subscription amount is equal to the price of the monthly plan. For paying users who opt for our annual plans, which a majority of our users do, the monthly subscription amount is equal to the price of the annual plan divided by twelve. These amounts increase as more registered users in each cohort convert to paying users, paying users upgrade to premium subscription offerings, and team administrators purchase additional licenses. These amounts decrease when paying users terminate their subscriptions, downgrade their subscriptions to a lower tier, or team administrators reduce the number of licenses on their subscription plans. We continuously focus on adding new users and increasing the value we offer to them. As a result, each cohort of new users typically generates higher subscription amounts over time.</w:t>
      </w:r>
    </w:p>
    <w:p>
      <w:pPr>
        <w:spacing w:after="0" w:line="17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chart below reflects the monthly subscription amount from January 2013 to September 2017 of all paying users in each quarterly cohort, including those who signed up for our platform 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134620</wp:posOffset>
            </wp:positionV>
            <wp:extent cx="4528185" cy="2984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2818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continuously focus on adding new users and increasing the value we offer to them. As a result, each cohort of new users typically generates higher subscription amounts over time. For example, the monthly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subscription amount generated by the January 2015 cohort doubled in less than three years after signup. We believe this cohort is representative of a typical cohort in recent periods.</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Moreover, as we continue to innovate and optimize our go-to-market strategy, we have successfully increased monetization for subsequent cohorts. Comparing January cohorts from the last three years, at virtually every point in time after signup, the January 2017 cohort generated a higher monthly subscription amount than the January 2016 cohort, which in turn generated a higher monthly subscription amount than the January 2015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-34290</wp:posOffset>
            </wp:positionV>
            <wp:extent cx="4528185" cy="2735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2818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Diversified Customer Base</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growing need for a unified home for content and the viral nature of our business have allowed us to scale globally. We have paying users across 180 countries, and we generated approximately half of our revenue in the first nine months of 2017 from customers outside the United States.</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customer base is highly diversified, and in the periods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80"/>
          </w:cols>
          <w:pgMar w:left="240" w:top="459"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Predictable Subscription Revenue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Taken together, our subscription revenue model, consistent cohort trends, self-serve monetization engine, and large and diversified global customer base resulted in linear and predictable revenue generation over the duration of the quarters 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154295" cy="3567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5429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September 30, 2017, more than 80% of our annualized revenue came from existing individual users and Dropbox Business teams who were on our platform as of September 30, 2016.</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of , our Annualized Net Revenue Retention for paying Dropbox Business customers was approximately %. Annualized Net Revenue Retention is the percentage of annualized revenue retained over a 365-day period, inclusive of changes in price, changes in number of licenses, upgrades and downgrades to different subscription plans, and churn. We calculate Annualized Net Revenue Retention by aggregating the annualized revenue from all paying Dropbox Business customers subscribing to a Dropbox Business plan at the beginning of the period, then aggregating the annualized revenue from those same Dropbox Business customers at the end of the period. For customers whose renewal is pending at the end of the period, we include their annualized revenue in the ending total if they resume payment within 30 days from the end of that period. Annualized Net Revenue Retention is equal to ending annualized revenue divided by beginning annualized revenue.</w:t>
      </w:r>
    </w:p>
    <w:p>
      <w:pPr>
        <w:sectPr>
          <w:pgSz w:w="11900" w:h="16838" w:orient="portrait"/>
          <w:cols w:equalWidth="0" w:num="1">
            <w:col w:w="11320"/>
          </w:cols>
          <w:pgMar w:left="240" w:top="459" w:right="339" w:bottom="1440" w:gutter="0" w:footer="0" w:header="0"/>
        </w:sectPr>
      </w:pP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our blended Annualized Net Revenue Retention across the entire business, including individuals and Dropbox Business customers,</w:t>
      </w:r>
    </w:p>
    <w:p>
      <w:pPr>
        <w:spacing w:after="0" w:line="46" w:lineRule="exact"/>
        <w:rPr>
          <w:sz w:val="20"/>
          <w:szCs w:val="20"/>
          <w:color w:val="auto"/>
        </w:rPr>
      </w:pPr>
    </w:p>
    <w:p>
      <w:pPr>
        <w:sectPr>
          <w:pgSz w:w="11900" w:h="16838" w:orient="portrait"/>
          <w:cols w:equalWidth="0" w:num="2">
            <w:col w:w="1080" w:space="720"/>
            <w:col w:w="952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was 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660" w:space="400"/>
            <w:col w:w="10260"/>
          </w:cols>
          <w:pgMar w:left="240" w:top="459" w:right="3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459" w:right="3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Attract Users and Expand Relationships with Them. </w:t>
      </w:r>
      <w:r>
        <w:rPr>
          <w:rFonts w:ascii="Arial" w:cs="Arial" w:eastAsia="Arial" w:hAnsi="Arial"/>
          <w:sz w:val="18"/>
          <w:szCs w:val="18"/>
          <w:color w:val="auto"/>
        </w:rPr>
        <w:t>Our business model is based on attracting new users to our platform, converting registered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paying users, and retaining and expanding paying users’ subscriptions over time. Our continued success depends in part on our ability to offer compelling subscription plans with valuable capabilities, and to market these plans effectively to users. In addition, we must continue to provide a quality user experience to retain paying customers and encourage existing Dropbox Business teams to purchase additional licenses for their organizations over time. We intend to continue driving organic adoption by individual users and Dropbox Business teams through our self-serve model, and supplement this with our outbound salesforce.</w:t>
      </w:r>
    </w:p>
    <w:p>
      <w:pPr>
        <w:spacing w:after="0" w:line="19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Continued Investment in Growth. </w:t>
      </w:r>
      <w:r>
        <w:rPr>
          <w:rFonts w:ascii="Arial" w:cs="Arial" w:eastAsia="Arial" w:hAnsi="Arial"/>
          <w:sz w:val="17"/>
          <w:szCs w:val="17"/>
          <w:color w:val="auto"/>
        </w:rPr>
        <w:t>We intend to continue to make focused investments to increase revenue and scale operations to support the growth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business, and therefore expect expenses to increase. We plan to further invest in research and development as we hire employees in engineering, product, and design to enhance our platform and support the needs of our growing user base. We also plan to invest in sales and marketing activities to drive our self-serve business model and increase our brand awareness. We expect to incur additional general and administrative expenses to support our growth and our transition to being a publicly traded company. Further, we continue to make investments in our technical infrastructure to support user growth, and in our office locations to support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Ongoing Innovation in a Rapidly Changing Environment</w:t>
      </w:r>
      <w:r>
        <w:rPr>
          <w:rFonts w:ascii="Arial" w:cs="Arial" w:eastAsia="Arial" w:hAnsi="Arial"/>
          <w:sz w:val="18"/>
          <w:szCs w:val="18"/>
          <w:color w:val="auto"/>
        </w:rPr>
        <w:t>. The market for content collaboration platforms is characterized by rapid technological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and frequent new product and service introductions. Our ability to acquire, retain, and upgrade paying users will depend in part on our ability to enhance our platform, introduce new features, and interoperate across an increasing range of devices, operating systems, and third-party applications. Certain features of our platform compete directly with products offered by Amazon, Apple, Atlassian, Box, Google, and Microsoft. We will need to continue to innovate in the face of this rapidly changing landscape to remain competitive.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vast majority of paying users for the periods presented coming from our self-serve channels.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below table sets forth the number of paying users as of December 31, 2015, December 31, 2016, and September 30, 2017:</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700" w:type="dxa"/>
            <w:vAlign w:val="bottom"/>
            <w:gridSpan w:val="3"/>
          </w:tcPr>
          <w:p>
            <w:pPr>
              <w:ind w:left="3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As of September 30,</w:t>
            </w:r>
          </w:p>
        </w:tc>
      </w:tr>
      <w:tr>
        <w:trPr>
          <w:trHeight w:val="142"/>
        </w:trPr>
        <w:tc>
          <w:tcPr>
            <w:tcW w:w="28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40" w:type="dxa"/>
            <w:vAlign w:val="bottom"/>
            <w:gridSpan w:val="2"/>
          </w:tcPr>
          <w:p>
            <w:pPr>
              <w:ind w:left="640"/>
              <w:spacing w:after="0" w:line="142" w:lineRule="exact"/>
              <w:rPr>
                <w:sz w:val="20"/>
                <w:szCs w:val="20"/>
                <w:color w:val="auto"/>
              </w:rPr>
            </w:pPr>
            <w:r>
              <w:rPr>
                <w:rFonts w:ascii="Arial" w:cs="Arial" w:eastAsia="Arial" w:hAnsi="Arial"/>
                <w:sz w:val="14"/>
                <w:szCs w:val="14"/>
                <w:i w:val="1"/>
                <w:iCs w:val="1"/>
                <w:color w:val="auto"/>
              </w:rPr>
              <w:t>(In millions)</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Paying users</w:t>
            </w:r>
          </w:p>
        </w:tc>
        <w:tc>
          <w:tcPr>
            <w:tcW w:w="3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6.5</w:t>
            </w:r>
          </w:p>
        </w:tc>
        <w:tc>
          <w:tcPr>
            <w:tcW w:w="1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365"/>
        </w:trPr>
        <w:tc>
          <w:tcPr>
            <w:tcW w:w="2820" w:type="dxa"/>
            <w:vAlign w:val="bottom"/>
          </w:tcPr>
          <w:p>
            <w:pPr>
              <w:spacing w:after="0"/>
              <w:rPr>
                <w:sz w:val="24"/>
                <w:szCs w:val="24"/>
                <w:color w:val="auto"/>
              </w:rPr>
            </w:pPr>
          </w:p>
        </w:tc>
        <w:tc>
          <w:tcPr>
            <w:tcW w:w="2780" w:type="dxa"/>
            <w:vAlign w:val="bottom"/>
          </w:tcPr>
          <w:p>
            <w:pPr>
              <w:jc w:val="right"/>
              <w:ind w:right="630"/>
              <w:spacing w:after="0"/>
              <w:rPr>
                <w:sz w:val="20"/>
                <w:szCs w:val="20"/>
                <w:color w:val="auto"/>
              </w:rPr>
            </w:pPr>
            <w:r>
              <w:rPr>
                <w:rFonts w:ascii="Arial" w:cs="Arial" w:eastAsia="Arial" w:hAnsi="Arial"/>
                <w:sz w:val="18"/>
                <w:szCs w:val="18"/>
                <w:color w:val="auto"/>
              </w:rPr>
              <w:t>63</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300" w:firstLine="456"/>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ARPU declined for the year ended December 31, 2016, compared to the year ended December 31, 2015, primarily due to foreign currency fluctuations related to our sales that are denominated in foreign currencies. Our ARPU increased for the nine months ended September 30, 2017, compared to the nine months ended September 30, 2016, primarily due to an increased mix of sales towards our higher priced subscription plans, including our new Dropbox Business Advanced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below table sets forth our ARPU for the years ended December 31, 2015 and 2016, and the nine months ended September 30, 2016 and 2017.</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Year ended</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3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7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ARPU</w:t>
            </w:r>
          </w:p>
        </w:tc>
        <w:tc>
          <w:tcPr>
            <w:tcW w:w="3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$113.5</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$109.5</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presented differently by other companies in our industry, limiting its usefulness as a comparative measure.</w:t>
      </w:r>
    </w:p>
    <w:p>
      <w:pPr>
        <w:spacing w:after="0" w:line="1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experienced an increase in our FCF as a result of an increase in net cash provided by operating activities, primarily due to our Infrastructure Optimization discussed below in “ —Recent Initiative,” increased sales in the periods presented, and a decrease in capital expenditures relating to infrastructure equipment and leasehold improvements for our office spaces. 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5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5"/>
          </w:tcPr>
          <w:p>
            <w:pPr>
              <w:jc w:val="right"/>
              <w:ind w:right="720"/>
              <w:spacing w:after="0" w:line="142" w:lineRule="exact"/>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$ 14.8</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186.7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Capital expenditures</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(78.7)</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(111.6)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(63.9)</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$ 137.4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Initiative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Infrastructure Optimization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recent years, we have taken several steps to improve the efficiency of the infrastructure that supports our platform. These efforts include an initiative that focused on migrating the vast majority of user data stored on the infrastructure of third-party service providers to our own lower cost, custom-built infrastructure in co-location facilities that we directly lease and operate. In order to host user data on our own infrastructure, we leased or purchased infrastructure that is depreciated within our cost of revenue. During the migration to our internal infrastructure, we duplicated our users’ data between our internal infrastructure and that of our third-party service providers, resulting in higher storage costs. We reduced this practice over time until we completed the migration in the fourth quarter of 2016. Related to this initiative, we no longer duplicate data between our internal infrastructure and that of any third-party service providers. We expect to continue to realize benefits from expanding our internal infrastructure due to our operating scale and lower unit costs.</w:t>
      </w:r>
    </w:p>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Throughout 2016, we also took measures to manage the storage footprint of certain long-inactive Basic users, freeing up additional storage capacity. Specifically, we closed the accounts of certain Basic users who had not engaged in any activity on the Dropbox platform in the last year and did not respond to multiple e-mail inquiries from us regarding their inactivity. We continue to regularly take similar measures to manage long-inactive and non-responsive Basic user accounts, and our total registered user numbers do not include accounts that have been closed. This effort, along with additional usage optimizations, enabled us to continue operating our business within our existing infrastructure base without a need for extensive incremental capital expenditures and leasing activity.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efforts are collectively referred to as our Infrastructure Optimization, and some are ongoing.</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Infrastructure Optimization reduced unit costs and helped limit capital expenditures and associated depreciation. Combined with the concurrent increase in our base of paying users, we experienced a reduction in our cost of revenue, an increase in our gross margins, and an improvement in our free cash flow in the periods presented.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25"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cost of revenue consists primarily of expenses associated with the storage, delivery, and distribution of our platform for both</w:t>
      </w:r>
      <w:r>
        <w:rPr>
          <w:rFonts w:ascii="Arial" w:cs="Arial" w:eastAsia="Arial" w:hAnsi="Arial"/>
          <w:sz w:val="17"/>
          <w:szCs w:val="17"/>
          <w:i w:val="1"/>
          <w:iCs w:val="1"/>
          <w:color w:val="auto"/>
        </w:rPr>
        <w:t xml:space="preserve"> </w:t>
      </w:r>
      <w:r>
        <w:rPr>
          <w:rFonts w:ascii="Arial" w:cs="Arial" w:eastAsia="Arial" w:hAnsi="Arial"/>
          <w:sz w:val="17"/>
          <w:szCs w:val="17"/>
          <w:color w:val="auto"/>
        </w:rPr>
        <w:t>paying users and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8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to increase in future periods, although we expect it to increase at a slower rate than it increased in prior periods.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consist primarily of employee-related costs for our engineering,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We plan to continue to hire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24"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relate to both self-serve and outbound sales activities, and consist primarily of employee-related costs, lead generation fees, brand campaign fees, and allocated overhead. Sales commissions earned by our outbound sales team and the related payroll taxes, as well as commissions earned by third-party resellers that we consider to be incremental and recoverable costs of 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7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The trend and timing of sales and marketing expenses will depend in part on the timing of marketing campaigns. We expect that sales and marketing expenses will increase in absolute dollars in future periods and vary from period to period as a percentage of revenue.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employee-related costs for our legal, finance,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expect to incur additional general and administrative expenses to support the growth of the Company as well as our transition to being a publicly traded company. We expect that general and administrative expenses will increase in absolute dollars in future periods and vary from period to period as a percentage of revenue.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Interest expense, net consists primarily of interest expense related to our capital lease obligations for infrastructure and our imputed financing obligation for our obligation to the legal owner of our previous corporate headquarters, partially offset by interest income earned on our money market funds classified as cash and cash equivalents.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Other income (expense), net consists of other non-operating gains or losses, including those related to ongoing subleases and foreign currency transaction gains and losses.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of December 31, 2016, we had $254.8 million of federal and $94.9 million of state net operating loss carryforwards available to reduce future taxable income, which will begin to expire in 2031 for federal and 2030 for state tax purposes. As of December 31, 2016, we also had $247.9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In addition, 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June 30, 2017, and determined that no ownership changes exceeding 50 percentage points have occurred. Our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7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60" w:type="dxa"/>
            <w:vAlign w:val="bottom"/>
            <w:gridSpan w:val="4"/>
          </w:tcPr>
          <w:p>
            <w:pPr>
              <w:jc w:val="right"/>
              <w:ind w:right="720"/>
              <w:spacing w:after="0" w:line="142" w:lineRule="exact"/>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89"/>
              </w:rPr>
              <w:t>$ 603.8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$ 844.8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$ 606.8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407.4</w:t>
            </w:r>
          </w:p>
        </w:tc>
        <w:tc>
          <w:tcPr>
            <w:tcW w:w="520" w:type="dxa"/>
            <w:vAlign w:val="bottom"/>
            <w:gridSpan w:val="2"/>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390.6</w:t>
            </w:r>
          </w:p>
        </w:tc>
        <w:tc>
          <w:tcPr>
            <w:tcW w:w="5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301.3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5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080" w:type="dxa"/>
            <w:vAlign w:val="bottom"/>
            <w:gridSpan w:val="4"/>
          </w:tcPr>
          <w:p>
            <w:pPr>
              <w:jc w:val="right"/>
              <w:ind w:right="520"/>
              <w:spacing w:after="0"/>
              <w:rPr>
                <w:sz w:val="20"/>
                <w:szCs w:val="20"/>
                <w:color w:val="auto"/>
              </w:rPr>
            </w:pPr>
            <w:r>
              <w:rPr>
                <w:rFonts w:ascii="Arial" w:cs="Arial" w:eastAsia="Arial" w:hAnsi="Arial"/>
                <w:sz w:val="18"/>
                <w:szCs w:val="18"/>
                <w:color w:val="auto"/>
              </w:rPr>
              <w:t>193.1</w:t>
            </w:r>
          </w:p>
        </w:tc>
        <w:tc>
          <w:tcPr>
            <w:tcW w:w="580" w:type="dxa"/>
            <w:vAlign w:val="bottom"/>
          </w:tcPr>
          <w:p>
            <w:pPr>
              <w:jc w:val="right"/>
              <w:spacing w:after="0"/>
              <w:rPr>
                <w:sz w:val="20"/>
                <w:szCs w:val="20"/>
                <w:color w:val="auto"/>
              </w:rPr>
            </w:pPr>
            <w:r>
              <w:rPr>
                <w:rFonts w:ascii="Arial" w:cs="Arial" w:eastAsia="Arial" w:hAnsi="Arial"/>
                <w:sz w:val="18"/>
                <w:szCs w:val="18"/>
                <w:color w:val="auto"/>
              </w:rPr>
              <w:t>250.6</w:t>
            </w:r>
          </w:p>
        </w:tc>
        <w:tc>
          <w:tcPr>
            <w:tcW w:w="5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186.7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107.9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5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(306.2)</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gridSpan w:val="4"/>
          </w:tcPr>
          <w:p>
            <w:pPr>
              <w:jc w:val="right"/>
              <w:ind w:right="460"/>
              <w:spacing w:after="0"/>
              <w:rPr>
                <w:sz w:val="20"/>
                <w:szCs w:val="20"/>
                <w:color w:val="auto"/>
              </w:rPr>
            </w:pPr>
            <w:r>
              <w:rPr>
                <w:rFonts w:ascii="Arial" w:cs="Arial" w:eastAsia="Arial" w:hAnsi="Arial"/>
                <w:sz w:val="18"/>
                <w:szCs w:val="18"/>
                <w:color w:val="auto"/>
              </w:rPr>
              <w:t>(15.2)</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(325.6)</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(205.0)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(177.7)</w:t>
            </w:r>
          </w:p>
        </w:tc>
        <w:tc>
          <w:tcPr>
            <w:tcW w:w="24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(325.9</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(210.2</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(74.0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expense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Year ended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5"/>
          </w:tcPr>
          <w:p>
            <w:pPr>
              <w:ind w:left="1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46"/>
              <w:spacing w:after="0" w:line="129" w:lineRule="exact"/>
              <w:rPr>
                <w:sz w:val="20"/>
                <w:szCs w:val="20"/>
                <w:color w:val="auto"/>
              </w:rPr>
            </w:pPr>
            <w:r>
              <w:rPr>
                <w:rFonts w:ascii="Arial" w:cs="Arial" w:eastAsia="Arial" w:hAnsi="Arial"/>
                <w:sz w:val="13"/>
                <w:szCs w:val="13"/>
                <w:b w:val="1"/>
                <w:bCs w:val="1"/>
                <w:color w:val="auto"/>
                <w:w w:val="82"/>
              </w:rPr>
              <w:t>2015</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42"/>
              <w:spacing w:after="0" w:line="129" w:lineRule="exact"/>
              <w:rPr>
                <w:sz w:val="20"/>
                <w:szCs w:val="20"/>
                <w:color w:val="auto"/>
              </w:rPr>
            </w:pPr>
            <w:r>
              <w:rPr>
                <w:rFonts w:ascii="Arial" w:cs="Arial" w:eastAsia="Arial" w:hAnsi="Arial"/>
                <w:sz w:val="13"/>
                <w:szCs w:val="13"/>
                <w:b w:val="1"/>
                <w:bCs w:val="1"/>
                <w:color w:val="auto"/>
                <w:w w:val="75"/>
              </w:rPr>
              <w:t>2016</w:t>
            </w: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6"/>
              <w:spacing w:after="0" w:line="129" w:lineRule="exact"/>
              <w:rPr>
                <w:sz w:val="20"/>
                <w:szCs w:val="20"/>
                <w:color w:val="auto"/>
              </w:rPr>
            </w:pPr>
            <w:r>
              <w:rPr>
                <w:rFonts w:ascii="Arial" w:cs="Arial" w:eastAsia="Arial" w:hAnsi="Arial"/>
                <w:sz w:val="13"/>
                <w:szCs w:val="13"/>
                <w:b w:val="1"/>
                <w:bCs w:val="1"/>
                <w:color w:val="auto"/>
                <w:w w:val="82"/>
              </w:rPr>
              <w:t>2016</w:t>
            </w: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2"/>
              <w:spacing w:after="0" w:line="129" w:lineRule="exact"/>
              <w:rPr>
                <w:sz w:val="20"/>
                <w:szCs w:val="20"/>
                <w:color w:val="auto"/>
              </w:rPr>
            </w:pPr>
            <w:r>
              <w:rPr>
                <w:rFonts w:ascii="Arial" w:cs="Arial" w:eastAsia="Arial" w:hAnsi="Arial"/>
                <w:sz w:val="13"/>
                <w:szCs w:val="13"/>
                <w:b w:val="1"/>
                <w:bCs w:val="1"/>
                <w:color w:val="auto"/>
                <w:w w:val="82"/>
              </w:rPr>
              <w:t>2017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3"/>
                <w:szCs w:val="13"/>
                <w:i w:val="1"/>
                <w:iCs w:val="1"/>
                <w:color w:val="auto"/>
                <w:w w:val="93"/>
              </w:rPr>
              <w:t>(In millions)</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revenue</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36.1</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72.7</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52.8</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44.6</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7.6</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22.1</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17.2</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 expense</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4"/>
              </w:rPr>
              <w:t>147.6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99"/>
              </w:rPr>
              <w:t>113.6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240" w:top="459" w:right="6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6"/>
          </w:tcPr>
          <w:p>
            <w:pPr>
              <w:jc w:val="right"/>
              <w:ind w:right="55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7"/>
          </w:tcPr>
          <w:p>
            <w:pPr>
              <w:jc w:val="right"/>
              <w:ind w:right="610"/>
              <w:spacing w:after="0" w:line="142" w:lineRule="exact"/>
              <w:rPr>
                <w:sz w:val="20"/>
                <w:szCs w:val="20"/>
                <w:color w:val="auto"/>
              </w:rPr>
            </w:pPr>
            <w:r>
              <w:rPr>
                <w:rFonts w:ascii="Arial" w:cs="Arial" w:eastAsia="Arial" w:hAnsi="Arial"/>
                <w:sz w:val="14"/>
                <w:szCs w:val="14"/>
                <w:i w:val="1"/>
                <w:iCs w:val="1"/>
                <w:color w:val="auto"/>
              </w:rPr>
              <w:t>(As a % of revenue)</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gridSpan w:val="4"/>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c>
          <w:tcPr>
            <w:tcW w:w="11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380" w:type="dxa"/>
            <w:vAlign w:val="bottom"/>
            <w:gridSpan w:val="4"/>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revenue</w:t>
            </w:r>
          </w:p>
        </w:tc>
        <w:tc>
          <w:tcPr>
            <w:tcW w:w="880" w:type="dxa"/>
            <w:vAlign w:val="bottom"/>
            <w:gridSpan w:val="2"/>
          </w:tcPr>
          <w:p>
            <w:pPr>
              <w:spacing w:after="0"/>
              <w:rPr>
                <w:sz w:val="18"/>
                <w:szCs w:val="18"/>
                <w:color w:val="auto"/>
              </w:rPr>
            </w:pPr>
          </w:p>
        </w:tc>
        <w:tc>
          <w:tcPr>
            <w:tcW w:w="660" w:type="dxa"/>
            <w:vAlign w:val="bottom"/>
            <w:gridSpan w:val="2"/>
          </w:tcPr>
          <w:p>
            <w:pPr>
              <w:jc w:val="right"/>
              <w:ind w:right="259"/>
              <w:spacing w:after="0"/>
              <w:rPr>
                <w:sz w:val="20"/>
                <w:szCs w:val="20"/>
                <w:color w:val="auto"/>
              </w:rPr>
            </w:pPr>
            <w:r>
              <w:rPr>
                <w:rFonts w:ascii="Arial" w:cs="Arial" w:eastAsia="Arial" w:hAnsi="Arial"/>
                <w:sz w:val="18"/>
                <w:szCs w:val="18"/>
                <w:color w:val="auto"/>
              </w:rPr>
              <w:t>67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380" w:type="dxa"/>
            <w:vAlign w:val="bottom"/>
            <w:gridSpan w:val="4"/>
          </w:tcPr>
          <w:p>
            <w:pPr>
              <w:jc w:val="right"/>
              <w:ind w:right="530"/>
              <w:spacing w:after="0"/>
              <w:rPr>
                <w:sz w:val="20"/>
                <w:szCs w:val="20"/>
                <w:color w:val="auto"/>
              </w:rPr>
            </w:pPr>
            <w:r>
              <w:rPr>
                <w:rFonts w:ascii="Arial" w:cs="Arial" w:eastAsia="Arial" w:hAnsi="Arial"/>
                <w:sz w:val="18"/>
                <w:szCs w:val="18"/>
                <w:color w:val="auto"/>
              </w:rPr>
              <w:t>50</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33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color w:val="auto"/>
              </w:rPr>
              <w:t>50</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4"/>
            <w:shd w:val="clear" w:color="auto" w:fill="CCEEFF"/>
          </w:tcPr>
          <w:p>
            <w:pPr>
              <w:jc w:val="right"/>
              <w:ind w:right="259"/>
              <w:spacing w:after="0"/>
              <w:rPr>
                <w:sz w:val="20"/>
                <w:szCs w:val="20"/>
                <w:color w:val="auto"/>
              </w:rPr>
            </w:pPr>
            <w:r>
              <w:rPr>
                <w:rFonts w:ascii="Arial" w:cs="Arial" w:eastAsia="Arial" w:hAnsi="Arial"/>
                <w:sz w:val="18"/>
                <w:szCs w:val="18"/>
                <w:color w:val="auto"/>
              </w:rPr>
              <w:t>33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color w:val="auto"/>
              </w:rPr>
              <w:t>36</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540" w:type="dxa"/>
            <w:vAlign w:val="bottom"/>
            <w:gridSpan w:val="4"/>
          </w:tcPr>
          <w:p>
            <w:pPr>
              <w:jc w:val="right"/>
              <w:ind w:right="259"/>
              <w:spacing w:after="0"/>
              <w:rPr>
                <w:sz w:val="20"/>
                <w:szCs w:val="20"/>
                <w:color w:val="auto"/>
              </w:rPr>
            </w:pPr>
            <w:r>
              <w:rPr>
                <w:rFonts w:ascii="Arial" w:cs="Arial" w:eastAsia="Arial" w:hAnsi="Arial"/>
                <w:sz w:val="18"/>
                <w:szCs w:val="18"/>
                <w:color w:val="auto"/>
              </w:rPr>
              <w:t>32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380" w:type="dxa"/>
            <w:vAlign w:val="bottom"/>
            <w:gridSpan w:val="4"/>
          </w:tcPr>
          <w:p>
            <w:pPr>
              <w:jc w:val="right"/>
              <w:ind w:right="530"/>
              <w:spacing w:after="0"/>
              <w:rPr>
                <w:sz w:val="20"/>
                <w:szCs w:val="20"/>
                <w:color w:val="auto"/>
              </w:rPr>
            </w:pPr>
            <w:r>
              <w:rPr>
                <w:rFonts w:ascii="Arial" w:cs="Arial" w:eastAsia="Arial" w:hAnsi="Arial"/>
                <w:sz w:val="18"/>
                <w:szCs w:val="18"/>
                <w:color w:val="auto"/>
              </w:rPr>
              <w:t>31</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540" w:type="dxa"/>
            <w:vAlign w:val="bottom"/>
            <w:gridSpan w:val="4"/>
            <w:shd w:val="clear" w:color="auto" w:fill="CCEEFF"/>
          </w:tcPr>
          <w:p>
            <w:pPr>
              <w:jc w:val="right"/>
              <w:ind w:right="259"/>
              <w:spacing w:after="0"/>
              <w:rPr>
                <w:sz w:val="20"/>
                <w:szCs w:val="20"/>
                <w:color w:val="auto"/>
              </w:rPr>
            </w:pPr>
            <w:r>
              <w:rPr>
                <w:rFonts w:ascii="Arial" w:cs="Arial" w:eastAsia="Arial" w:hAnsi="Arial"/>
                <w:sz w:val="18"/>
                <w:szCs w:val="18"/>
                <w:color w:val="auto"/>
              </w:rPr>
              <w:t>18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color w:val="auto"/>
              </w:rPr>
              <w:t>13</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gridSpan w:val="4"/>
            <w:shd w:val="clear" w:color="auto" w:fill="CCEEFF"/>
          </w:tcPr>
          <w:p>
            <w:pPr>
              <w:jc w:val="right"/>
              <w:ind w:right="199"/>
              <w:spacing w:after="0"/>
              <w:rPr>
                <w:sz w:val="20"/>
                <w:szCs w:val="20"/>
                <w:color w:val="auto"/>
              </w:rPr>
            </w:pPr>
            <w:r>
              <w:rPr>
                <w:rFonts w:ascii="Arial" w:cs="Arial" w:eastAsia="Arial" w:hAnsi="Arial"/>
                <w:sz w:val="18"/>
                <w:szCs w:val="18"/>
                <w:color w:val="auto"/>
              </w:rPr>
              <w:t>(51)</w:t>
            </w:r>
          </w:p>
        </w:tc>
        <w:tc>
          <w:tcPr>
            <w:tcW w:w="110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380" w:type="dxa"/>
            <w:vAlign w:val="bottom"/>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(29)</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1540" w:type="dxa"/>
            <w:vAlign w:val="bottom"/>
            <w:gridSpan w:val="4"/>
          </w:tcPr>
          <w:p>
            <w:pPr>
              <w:jc w:val="right"/>
              <w:ind w:right="199"/>
              <w:spacing w:after="0"/>
              <w:rPr>
                <w:sz w:val="20"/>
                <w:szCs w:val="20"/>
                <w:color w:val="auto"/>
              </w:rPr>
            </w:pPr>
            <w:r>
              <w:rPr>
                <w:rFonts w:ascii="Arial" w:cs="Arial" w:eastAsia="Arial" w:hAnsi="Arial"/>
                <w:sz w:val="18"/>
                <w:szCs w:val="18"/>
                <w:color w:val="auto"/>
              </w:rPr>
              <w:t>(3)</w:t>
            </w:r>
          </w:p>
        </w:tc>
        <w:tc>
          <w:tcPr>
            <w:tcW w:w="1100" w:type="dxa"/>
            <w:vAlign w:val="bottom"/>
            <w:gridSpan w:val="4"/>
          </w:tcPr>
          <w:p>
            <w:pPr>
              <w:jc w:val="right"/>
              <w:ind w:right="210"/>
              <w:spacing w:after="0"/>
              <w:rPr>
                <w:sz w:val="20"/>
                <w:szCs w:val="20"/>
                <w:color w:val="auto"/>
              </w:rPr>
            </w:pPr>
            <w:r>
              <w:rPr>
                <w:rFonts w:ascii="Arial" w:cs="Arial" w:eastAsia="Arial" w:hAnsi="Arial"/>
                <w:sz w:val="18"/>
                <w:szCs w:val="18"/>
                <w:color w:val="auto"/>
              </w:rPr>
              <w:t>(2)</w:t>
            </w:r>
          </w:p>
        </w:tc>
        <w:tc>
          <w:tcPr>
            <w:tcW w:w="1380" w:type="dxa"/>
            <w:vAlign w:val="bottom"/>
            <w:gridSpan w:val="4"/>
          </w:tcPr>
          <w:p>
            <w:pPr>
              <w:jc w:val="right"/>
              <w:ind w:right="470"/>
              <w:spacing w:after="0"/>
              <w:rPr>
                <w:sz w:val="20"/>
                <w:szCs w:val="20"/>
                <w:color w:val="auto"/>
              </w:rPr>
            </w:pPr>
            <w:r>
              <w:rPr>
                <w:rFonts w:ascii="Arial" w:cs="Arial" w:eastAsia="Arial" w:hAnsi="Arial"/>
                <w:sz w:val="18"/>
                <w:szCs w:val="18"/>
                <w:color w:val="auto"/>
              </w:rPr>
              <w:t>(2)</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w:t>
            </w:r>
          </w:p>
        </w:tc>
        <w:tc>
          <w:tcPr>
            <w:tcW w:w="110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38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color w:val="auto"/>
              </w:rPr>
              <w:t>1</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5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(54)</w:t>
            </w:r>
          </w:p>
        </w:tc>
        <w:tc>
          <w:tcPr>
            <w:tcW w:w="3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(24)</w:t>
            </w:r>
          </w:p>
        </w:tc>
        <w:tc>
          <w:tcPr>
            <w:tcW w:w="3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380" w:type="dxa"/>
            <w:vAlign w:val="bottom"/>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(54)</w:t>
            </w:r>
          </w:p>
        </w:tc>
        <w:tc>
          <w:tcPr>
            <w:tcW w:w="3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(25)</w:t>
            </w:r>
          </w:p>
        </w:tc>
        <w:tc>
          <w:tcPr>
            <w:tcW w:w="3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5"/>
              </w:rPr>
              <w:t>Comparison of the nine months ended September 30, 2016 and 2017</w:t>
            </w: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gridSpan w:val="7"/>
          </w:tcPr>
          <w:p>
            <w:pPr>
              <w:jc w:val="center"/>
              <w:ind w:right="350"/>
              <w:spacing w:after="0"/>
              <w:rPr>
                <w:sz w:val="20"/>
                <w:szCs w:val="20"/>
                <w:color w:val="auto"/>
              </w:rPr>
            </w:pPr>
            <w:r>
              <w:rPr>
                <w:rFonts w:ascii="Arial" w:cs="Arial" w:eastAsia="Arial" w:hAnsi="Arial"/>
                <w:sz w:val="14"/>
                <w:szCs w:val="14"/>
                <w:b w:val="1"/>
                <w:bCs w:val="1"/>
                <w:color w:val="auto"/>
                <w:w w:val="90"/>
              </w:rPr>
              <w:t>Nine months ended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6"/>
          </w:tcPr>
          <w:p>
            <w:pPr>
              <w:jc w:val="center"/>
              <w:ind w:right="71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0" w:type="dxa"/>
            <w:vAlign w:val="bottom"/>
            <w:gridSpan w:val="3"/>
            <w:vMerge w:val="restart"/>
          </w:tcPr>
          <w:p>
            <w:pPr>
              <w:jc w:val="right"/>
              <w:ind w:right="530"/>
              <w:spacing w:after="0"/>
              <w:rPr>
                <w:sz w:val="20"/>
                <w:szCs w:val="20"/>
                <w:color w:val="auto"/>
              </w:rPr>
            </w:pPr>
            <w:r>
              <w:rPr>
                <w:rFonts w:ascii="Arial" w:cs="Arial" w:eastAsia="Arial" w:hAnsi="Arial"/>
                <w:sz w:val="14"/>
                <w:szCs w:val="14"/>
                <w:b w:val="1"/>
                <w:bCs w:val="1"/>
                <w:color w:val="auto"/>
                <w:w w:val="88"/>
              </w:rPr>
              <w:t>$ Change</w:t>
            </w:r>
          </w:p>
        </w:tc>
        <w:tc>
          <w:tcPr>
            <w:tcW w:w="8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center"/>
              <w:ind w:right="274"/>
              <w:spacing w:after="0" w:line="142" w:lineRule="exact"/>
              <w:rPr>
                <w:sz w:val="20"/>
                <w:szCs w:val="20"/>
                <w:color w:val="auto"/>
              </w:rPr>
            </w:pPr>
            <w:r>
              <w:rPr>
                <w:rFonts w:ascii="Arial" w:cs="Arial" w:eastAsia="Arial" w:hAnsi="Arial"/>
                <w:sz w:val="14"/>
                <w:szCs w:val="14"/>
                <w:i w:val="1"/>
                <w:iCs w:val="1"/>
                <w:color w:val="auto"/>
              </w:rPr>
              <w:t>(In millions)</w:t>
            </w:r>
          </w:p>
        </w:tc>
        <w:tc>
          <w:tcPr>
            <w:tcW w:w="4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0" w:type="dxa"/>
            <w:vAlign w:val="bottom"/>
            <w:gridSpan w:val="3"/>
            <w:shd w:val="clear" w:color="auto" w:fill="CCEEFF"/>
          </w:tcPr>
          <w:p>
            <w:pPr>
              <w:jc w:val="right"/>
              <w:ind w:right="77"/>
              <w:spacing w:after="0"/>
              <w:rPr>
                <w:sz w:val="20"/>
                <w:szCs w:val="20"/>
                <w:color w:val="auto"/>
              </w:rPr>
            </w:pPr>
            <w:r>
              <w:rPr>
                <w:rFonts w:ascii="Arial" w:cs="Arial" w:eastAsia="Arial" w:hAnsi="Arial"/>
                <w:sz w:val="18"/>
                <w:szCs w:val="18"/>
                <w:color w:val="auto"/>
              </w:rPr>
              <w:t>$606.8</w:t>
            </w: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$ 801.3</w:t>
            </w:r>
          </w:p>
        </w:tc>
        <w:tc>
          <w:tcPr>
            <w:tcW w:w="3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$ 194.5</w:t>
            </w:r>
          </w:p>
        </w:tc>
        <w:tc>
          <w:tcPr>
            <w:tcW w:w="6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 increased $194.5 million or 32% for the nine months ended September 30, 2017, as compared to the nine months ended September 30, 2016. This increase was primarily due to a 25% increase in the number of paying users between periods. The average revenue per paying user also increased slightly between periods primarily due to an increased mix of sales towards our higher priced subscription plans, including our new Dropbox Business Advanced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00" w:type="dxa"/>
            <w:vAlign w:val="bottom"/>
            <w:tcBorders>
              <w:top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w w:val="97"/>
              </w:rPr>
              <w:t>(In millions)</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$301.3</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Gross profit</w:t>
            </w:r>
          </w:p>
        </w:tc>
        <w:tc>
          <w:tcPr>
            <w:tcW w:w="3480" w:type="dxa"/>
            <w:vAlign w:val="bottom"/>
            <w:gridSpan w:val="2"/>
          </w:tcPr>
          <w:p>
            <w:pPr>
              <w:jc w:val="right"/>
              <w:ind w:right="328"/>
              <w:spacing w:after="0"/>
              <w:rPr>
                <w:sz w:val="20"/>
                <w:szCs w:val="20"/>
                <w:color w:val="auto"/>
              </w:rPr>
            </w:pPr>
            <w:r>
              <w:rPr>
                <w:rFonts w:ascii="Arial" w:cs="Arial" w:eastAsia="Arial" w:hAnsi="Arial"/>
                <w:sz w:val="18"/>
                <w:szCs w:val="18"/>
                <w:color w:val="auto"/>
              </w:rPr>
              <w:t>305.5</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218.6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Cost of revenue decreased $24.1 million or 8% for the nine months ended September 30, 2017, as compared to the nine months ended September 30, 2016, primarily due to a $33.8 million decrease in our infrastructure costs due to our Infrastructure Optimization. Further, the decrease in cost of revenue was due to a $5.6 million decrease in depreciation and amortization primarily of developed technologies, as certain intangible assets became fully amortized during 2016. The decrease in cost of revenue was partially offset by an increase of $9.8 million in employee-related expenses, which was due to headcount growth, as well as an increase of $3.9 million in credit card transaction fees due to higher sales.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gross margin increased from 50% for the nine months ended September 30, 2016, to 65% for the nine months ended September 30, 2017, primarily due to a 32% increase in our revenue during the period and our Infrastructure Optimization.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2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0" w:type="dxa"/>
            <w:vAlign w:val="bottom"/>
            <w:tcBorders>
              <w:top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7"/>
              </w:rPr>
              <w:t>$215.6</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Research and development expenses increased $60.7 million or 28% for the nine months ended September 30, 2017, as compared to the nine months ended September 30, 2016, primarily due to an increase of $44.9 million in employee-related expenses, which was due to headcount growth. Further, the increase in research and development expense was due to an increase of $8.2 million in overhead-related costs and an increase of $3.8 million in internal development-related third-party hosting fees.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2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0" w:type="dxa"/>
            <w:vAlign w:val="bottom"/>
            <w:tcBorders>
              <w:top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7"/>
              </w:rPr>
              <w:t>$186.7</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Sales and marketing expenses increased $24.4 million or 13% for the nine months ended September 30, 2017, as compared to the nine months ended September 30, 2016, primarily due to an increase of $13.0 million in employee-related expenses excluding stock-based compensation, which was due to headcount growth. Stock-based compensation decreased $14.8 million due to the modification of an executive stock grant during the nine months ended September 30, 2016, that resulted in a charge of $18.8 million in that prior period. Further, the increase in sales and marketing expense was due to an increase of $16.7 million for brand campaign fees, third-party sales representative fees, and lead generation fees. Sales and marketing expenses also increased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$5.1 million due to overhead-related costs and $4.7 million due to app store fees.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11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382"/>
              <w:spacing w:after="0" w:line="142" w:lineRule="exact"/>
              <w:rPr>
                <w:sz w:val="20"/>
                <w:szCs w:val="20"/>
                <w:color w:val="auto"/>
              </w:rPr>
            </w:pPr>
            <w:r>
              <w:rPr>
                <w:rFonts w:ascii="Arial" w:cs="Arial" w:eastAsia="Arial" w:hAnsi="Arial"/>
                <w:sz w:val="14"/>
                <w:szCs w:val="14"/>
                <w:i w:val="1"/>
                <w:iCs w:val="1"/>
                <w:color w:val="auto"/>
              </w:rPr>
              <w:t>(In millions)</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$ 76.5</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$ 113.1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General and administrative expenses increased $36.6 million or 48% for the nine months ended September 30, 2017, as compared to the nine months ended September 30, 2016, primarily due to a $12.4 million benefit relating to a non-income based tax ruling during the nine months ended September 30, 2016, and the initial funding of the Dropbox Charitable Foundation during the nine months ended September 30, 2017, which included an equity-based charitable contribution of $9.4 million, and cash contributions of $0.8 million. Further, the increase in general and administrative expenses was due to an increase of $8.3 million in employee-related expenses, which was due to headcount growth.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expense, net decreased $3.3 million for the nine months ended September 30, 2017, as compared to the nine months ended September 30, 2016, primarily due to a decrease in interest expense of $3.2 million due to fewer assets acquired under capital leases.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Other income (expense), net increased $4.7 million for the nine months ended September 30, 2017, as compared to the nine months ended September 30, 2016, primarily due to an increase of $4.8 million in foreign currency gains.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Provision for income taxes decreased by $2.2 million for the nine months ended September 30, 2017, as compared to the nine months ended September 30, 2016, primarily due to a decrease in federal taxes since we were subject to the U.S. alternative minimum tax during 2016 and we do not expect to be subject to the U.S. alternative minimum tax during 2017.</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2015 and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$603.8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$844.8</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$ 241.0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20" w:firstLine="456"/>
        <w:spacing w:after="0" w:line="277" w:lineRule="auto"/>
        <w:rPr>
          <w:sz w:val="20"/>
          <w:szCs w:val="20"/>
          <w:color w:val="auto"/>
        </w:rPr>
      </w:pPr>
      <w:r>
        <w:rPr>
          <w:rFonts w:ascii="Arial" w:cs="Arial" w:eastAsia="Arial" w:hAnsi="Arial"/>
          <w:sz w:val="18"/>
          <w:szCs w:val="18"/>
          <w:color w:val="auto"/>
        </w:rPr>
        <w:t>Revenue increased $241.0 million or 40% during 2016 as compared to 2015. This increase was primarily due to a 35% increase in the number of paying users between periods. The average revenue per paying user also decreased slightly between periods.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920" w:type="dxa"/>
            <w:vAlign w:val="bottom"/>
            <w:tcBorders>
              <w:top w:val="single" w:sz="8" w:color="auto"/>
            </w:tcBorders>
          </w:tcPr>
          <w:p>
            <w:pPr>
              <w:jc w:val="right"/>
              <w:ind w:right="440"/>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w w:val="87"/>
              </w:rPr>
              <w:t>$407.4</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jc w:val="right"/>
              <w:ind w:right="340"/>
              <w:spacing w:after="0"/>
              <w:rPr>
                <w:sz w:val="20"/>
                <w:szCs w:val="20"/>
                <w:color w:val="auto"/>
              </w:rPr>
            </w:pPr>
            <w:r>
              <w:rPr>
                <w:rFonts w:ascii="Arial" w:cs="Arial" w:eastAsia="Arial" w:hAnsi="Arial"/>
                <w:sz w:val="18"/>
                <w:szCs w:val="18"/>
                <w:color w:val="auto"/>
              </w:rPr>
              <w:t>196.4</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257.8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Cost of revenue decreased $16.8 million or 4% during 2016, as compared to 2015, primarily due to a net decrease of $39.5 million in our infrastructure costs due to our Infrastructure Optimization. The net decrease of $39.5 million included a $92.5 million decrease in expense related to our third-party datacenter service provider, offset by a $53.0 million increase in depreciation, facilities, and support expense related to our infrastructure equipment in co-location facilities that we directly lease and operate. Further, the decrease in cost of revenue was due to a $6.3 million decrease in depreciation and amortization primarily of developed technologies, as certain intangible assets became fully amortized during 2016. These decreases in cost of revenue were also partially offset by an increase of $13.8 million in employee-related expenses due to headcount growth, an increase of $5.5 million in credit card transaction fees due to higher sales, an increase of $9.9 million related to property taxes for our co-location facilities, professional fees for user support, and overhead-related costs primarily due to the completion of construction on our new corporate headquarters.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gross margin increased from 33% during 2015 to 54% during 2016 primarily due to our Infrastructure Optimization and a 40% increase in our revenue during the period.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0" w:type="dxa"/>
            <w:vAlign w:val="bottom"/>
            <w:tcBorders>
              <w:top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7"/>
              </w:rPr>
              <w:t>$201.6</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Research and development expenses increased $88.1 million or 44% during 2016, as compared to 2015, primarily due to an increase of $66.9 million in employee-related expenses due to headcount growth. Further, the increase in research and development expense was due to an increase of $17.7 million in overhead-related costs primarily due to the completion of construction on our new corporate headquarters, and an increase of $5.3 million in internal development-related third-party hosting fees.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800" w:type="dxa"/>
            <w:vAlign w:val="bottom"/>
            <w:tcBorders>
              <w:top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jc w:val="right"/>
              <w:ind w:right="224"/>
              <w:spacing w:after="0"/>
              <w:rPr>
                <w:sz w:val="20"/>
                <w:szCs w:val="20"/>
                <w:color w:val="auto"/>
              </w:rPr>
            </w:pPr>
            <w:r>
              <w:rPr>
                <w:rFonts w:ascii="Arial" w:cs="Arial" w:eastAsia="Arial" w:hAnsi="Arial"/>
                <w:sz w:val="18"/>
                <w:szCs w:val="18"/>
                <w:color w:val="auto"/>
                <w:w w:val="87"/>
              </w:rPr>
              <w:t>$193.1</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Sales and marketing expenses increased $57.5 million or 30% during 2016, as compared to 2015, primarily due to an increase of $53.4 million in employee-related expenses. This increase in employee-related expenses was primarily due to an increase in stock-based compensation of $24.8 million, which included a charge of $18.8 million due to the modification of an executive stock grant, headcount growth, and an increase in commission and bonus expense. In addition, the increase in sales and marketing expense was due to an increase of $10.1 million in overhead-related costs primarily due to the completion of construction on our new corporate headquarters. The increase in sales and marketing expense was partially offset by a decrease of $11.8 million in marketing expenses primarily due to a reduction in brand campaign fees.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$107.9</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decreased $0.5 million during 2016, as compared to 2015, primarily due to a decrease of $12.4 million resulting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a non-income based tax ruling and a decrease of $7.3 million in other non-income based taxes in 2016. These decreases were offset by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 million in employee-related expenses, which was due to headcount growth. Further, the decrease in general and administrative expense was offset by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of $8.0 million in overhead-related costs primarily due to the completion of construction on our new corporate headquarters, and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$3.4 million in professional fees for increased legal and accounting services.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expense, net increased $1.2 million during 2016, as compared to 2015, primarily due to an increase of $1.9 million in interest expense primarily due to assets acquired under capital leases, offset by $0.7 million of interest income from our money market funds.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Other income (expense), net increased $9.1 million during 2016, as compared to 2015, primarily due to the commencement of sublease income of $7.0 million and a net gain of $1.6 million related to fixed asset disposals.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Provision for income taxes increased by $4.9 million during 2016, as compared to 2015, primarily due to an increase in taxes as a result of being subject to the U.S. alternative minimum tax and foreign taxes related to our foreign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seven quarters ended September 30, 2017. The information for each of these quarters has been prepared on the same basis as the audited annual financial statements included elsewhere in this prospectus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prospectus. These quarterly results of operations are not necessarily indicative of our future results of operations that may be expected for any future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7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80"/>
              <w:spacing w:after="0" w:line="142" w:lineRule="exact"/>
              <w:rPr>
                <w:sz w:val="20"/>
                <w:szCs w:val="20"/>
                <w:color w:val="auto"/>
              </w:rPr>
            </w:pPr>
            <w:r>
              <w:rPr>
                <w:rFonts w:ascii="Arial" w:cs="Arial" w:eastAsia="Arial" w:hAnsi="Arial"/>
                <w:sz w:val="14"/>
                <w:szCs w:val="14"/>
                <w:i w:val="1"/>
                <w:iCs w:val="1"/>
                <w:color w:val="auto"/>
                <w:w w:val="97"/>
              </w:rPr>
              <w:t>(In millions)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185.0</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221.0</w:t>
            </w:r>
          </w:p>
        </w:tc>
        <w:tc>
          <w:tcPr>
            <w:tcW w:w="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247.9</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$266.7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99.8</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93.5</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85.2</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154.4</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73.8</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67.2</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(50.4)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(26.7)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4"/>
          <w:szCs w:val="14"/>
          <w:color w:val="auto"/>
        </w:rPr>
        <w:t>Includes stock-based compensation expense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6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5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June 30,</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6"/>
              </w:rPr>
              <w:t>2017</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2" w:lineRule="exact"/>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19.3</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21.8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21.7</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38.8</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120" w:hanging="332"/>
        <w:spacing w:after="0" w:line="253" w:lineRule="auto"/>
        <w:tabs>
          <w:tab w:leader="none" w:pos="340" w:val="left"/>
        </w:tabs>
        <w:numPr>
          <w:ilvl w:val="0"/>
          <w:numId w:val="45"/>
        </w:numPr>
        <w:rPr>
          <w:rFonts w:ascii="Arial" w:cs="Arial" w:eastAsia="Arial" w:hAnsi="Arial"/>
          <w:sz w:val="12"/>
          <w:szCs w:val="12"/>
          <w:color w:val="auto"/>
        </w:rPr>
      </w:pPr>
      <w:r>
        <w:rPr>
          <w:rFonts w:ascii="Arial" w:cs="Arial" w:eastAsia="Arial" w:hAnsi="Arial"/>
          <w:sz w:val="14"/>
          <w:szCs w:val="14"/>
          <w:color w:val="auto"/>
        </w:rPr>
        <w:t>Stock-based compensation included in sales and marketing expenses for the three months ended March 31, 2016 includes $18.8 million related to a stock option modification for an executive officer.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1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10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6"/>
              </w:rPr>
              <w:t>June 30,</w:t>
            </w:r>
          </w:p>
        </w:tc>
        <w:tc>
          <w:tcPr>
            <w:tcW w:w="11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9"/>
              </w:rPr>
              <w:t>March 31,</w:t>
            </w:r>
          </w:p>
        </w:tc>
        <w:tc>
          <w:tcPr>
            <w:tcW w:w="104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2"/>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175"/>
              <w:spacing w:after="0"/>
              <w:rPr>
                <w:sz w:val="20"/>
                <w:szCs w:val="20"/>
                <w:color w:val="auto"/>
              </w:rPr>
            </w:pPr>
            <w:r>
              <w:rPr>
                <w:rFonts w:ascii="Arial" w:cs="Arial" w:eastAsia="Arial" w:hAnsi="Arial"/>
                <w:sz w:val="14"/>
                <w:szCs w:val="14"/>
                <w:b w:val="1"/>
                <w:bCs w:val="1"/>
                <w:color w:val="auto"/>
                <w:w w:val="89"/>
              </w:rPr>
              <w:t>2016</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right="260"/>
              <w:spacing w:after="0" w:line="142" w:lineRule="exact"/>
              <w:rPr>
                <w:sz w:val="20"/>
                <w:szCs w:val="20"/>
                <w:color w:val="auto"/>
              </w:rPr>
            </w:pPr>
            <w:r>
              <w:rPr>
                <w:rFonts w:ascii="Arial" w:cs="Arial" w:eastAsia="Arial" w:hAnsi="Arial"/>
                <w:sz w:val="14"/>
                <w:szCs w:val="14"/>
                <w:i w:val="1"/>
                <w:iCs w:val="1"/>
                <w:color w:val="auto"/>
                <w:w w:val="92"/>
              </w:rPr>
              <w:t>(As a % of revenue)</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Cost of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38</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27</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revenue increased sequentially in each of the quarters presented primarily due to increases in the number of paying users. Seasonality in our revenue is not material.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cost of revenue and gross margin trends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cost of revenue fluctuated in each of the quarters presented primarily due to the timing of our Infrastructure Optimization, which combined with increases in our revenue caused our gross margins to increase or remain constant.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Except for the three months ended June 30, 2016, our total quarterly operating expenses increased sequentially in the quarters presented primarily due to headcount growth in connection with the expansion of our business and other events that are discussed herein. Our research and development expenses increased at a faster rate during the three months ended March 31, 2017, comparatively to other quarters, primarily due to headcount growth and employee-related costs. Our sales and marketing expenses generally increased in the quarters presented primarily due to employee-related expenses and brand advertising expenses. The sequential decline during the three months ended June 30, 2016, was due to a stock-based compensation charge of $18.8 million related to the modification of an executive stock grant recorded in the three months ended March 31, 2016. The sequential decline during the three months ended September 30, 2016, was due to a decrease in brand advertising expenses during the period. Our general and administrative expenses fluctuated in the quarters presented, primarily due to increases in employee-related expenses and legal, accounting, and other professional fees. Our general and administrative expenses for certain quarters included certain charges and benefits as follows: our general and administrative expenses for the three months ended June 30, 2016, included a benefit of $12.4 million resulting from a non-income based tax ruling, and our general and administrative expenses for the three months ended June 30, 2017, included expense of $9.4 million for a non-cash charitable donation of shares of our common stock as initial funding for the Dropbox Charitable Foundation.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As of September 30, 2017, we had cash and cash equivalents of $422.7 million. Our cash and cash equivalents consist primarily of cash and money market funds. As of September 30, 2017, we had $87.1 million of our cash and cash equivalents held by our foreign subsidiaries. We do not expect to incur material taxes in the event we repatriate any of these amounts.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154"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Our principal uses of cash in recent periods have been funding our operations, making principal payments on our capital lease obligations, the satisfaction of tax withholdings in connection with the settlement of restricted stock units, and making capital expenditures.</w:t>
      </w:r>
    </w:p>
    <w:p>
      <w:pPr>
        <w:spacing w:after="0" w:line="14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The revolving credit facility has an accordion option, which, if exercised, would allow us to increase the aggregate commitments by up to $150.0 million, subject to obtaining additional lender commitments and satisfying certain conditions. Pursuant to the terms of the revolving credit facility, we may issue letters of credit under the revolving credit facility, which reduce the total amount available for borrowing under such facility. The revolving credit facility terminates on April 4, 2022.</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to be drawn under such letters of credit outstanding. There is an additional fronting fee of 0.125% per annum multiplied by the average aggregate daily maximum amount available to be drawn under all letters of credit.</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September 30, 2017.</w:t>
      </w:r>
    </w:p>
    <w:p>
      <w:pPr>
        <w:spacing w:after="0" w:line="17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As of September 30, 2017, we had no amounts outstanding under the revolving credit facility and an aggregate of $47.8 million in letters of credit outstanding under the revolving credit facility. Our total available borrowing capacity under the revolving credit facility was $552.2 million as of September 30, 2017.</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our existing cash and cash equivalents, together with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2015</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right"/>
              <w:ind w:right="660"/>
              <w:spacing w:after="0" w:line="142" w:lineRule="exact"/>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252.6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186.7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(161.3)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the nine months ended September 30, 2017, net cash provided by operating activities was $259.2 million, which mostly consisted of our net loss of $74.0 million, adjusted for depreciation and amortization expenses of $138.9 million and stock-based compensation expense of $117.2 million, and net cash inflow of $64.0 million from operating assets and liabilities. The inflow from operating assets and liabilities was primarily due to the increase of $52.5 million in deferred revenue from increased subscription sales, as a majority of our paying users are invoiced in advance. The increase in net cash provided by operating activities during the nine months ended September 30, 2017, compared to the nine months ended September 30, 2016, was primarily due to a reduction of our net loss, as adjusted for stock-based compensation and depreciation and amortization expenses.</w:t>
      </w:r>
    </w:p>
    <w:p>
      <w:pPr>
        <w:spacing w:after="0" w:line="16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For the nine months ended September 30, 2016, net cash provided by operating activities was $186.7 million, which mostly consisted of our net loss of $181.1 million, adjusted for depreciation and amortization expenses of $143.7 million and stock-based compensation expense of $113.6 million, as well as a net cash inflow of $110.0 million from operating assets and liabilities. The inflow from operating assets and liabilities was primarily due to the increase of $70.4 million in deferred revenue from increased subscription sales, as a majority of our paying users are invoiced in advance, and the increase of $28.3 million in accrued compensation and benefits due to the introduction of our annual bonus plan.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2016, net cash provided by operating activities was $252.6 million, which primarily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$210.2 million, adjusted for depreciation and amortization expenses of $191.6 million and stock-based compensation expense of $147.6 million, as well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cash inflow of $118.8 million from operating assets and liabilities. The inflow from operating assets and liabilities was primarily due to the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$87.6 million in deferred revenue from increased subscription sales, as a majority of our paying users are invoiced in advance, and the increase of $35.6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accrued compensation and benefits due to the introduction of our annual bonus plan. The increase in net cash from operating activities during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2015 was primarily due to a reduction of our net loss, as adjusted for stock-based compensation and depreciation and amortization expenses,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cash inflow from changes in working capital.</w:t>
      </w:r>
    </w:p>
    <w:p>
      <w:pPr>
        <w:spacing w:after="0" w:line="21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For the year ended December 31, 2015, net cash provided by operating activities was $14.8 million, which mostly consisted of our net loss of $325.9 million, adjusted for depreciation and amortization expenses of $149.6 million and stock-based compensation expense of $66.1 million, as well as a net cash inflow of $123.6 million from operating assets and liabilities. The inflow from operating assets and liabilities was primarily due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increase of $82.0 million in deferred revenue from increased subscription sales, as a majority of our paying users are invoiced in advance and the increase of $50.6 million in current and non-current liabilities.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Net cash used in investing activities is primarily impacted by purchases of property and equipment, particularly for purchasing infrastructure equipment in co-location facilities that we directly lease and operate, and for making improvements to existing and new office spaces.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nine months ended September 30, 2017, net cash used in investing activities was $10.9 million, which mostly consisted of capital expenditures related to our infrastructure and office build-outs. The decrease in cash used in investing activities during the nine months ended September 30, 2017, compared to the nine months ended September 30, 2016, was primarily due to decreases in capital expenditures for infrastructure equipment and leasehold improvements related to our current corporate headquarters.</w:t>
      </w:r>
    </w:p>
    <w:p>
      <w:pPr>
        <w:spacing w:after="0" w:line="18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nine months ended September 30, 2016, net cash used in investing activities was $114.7 million, which mostly consisted of capital expenditures related to our infrastructure and office build-outs. Additionally, we purchased various intangible assets related to our patent portfolio.</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the year ended December 31, 2016, net cash used in investing activities was $118.0 million, which mostly consisted of capital expenditures related to our infrastructure and office build-outs. The increase in cash used in investing activities during 2016 compared to 2015 was primarily due to increases in capital expenditures and patent purchases.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year ended December 31, 2015, net cash used in investing activities was $85.6 million, which mostly consisted of capital expenditures related to our infrastructure and office build-outs.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Net cash used in financing activities is primarily impacted by capital lease obligations for our infrastructure equipment and repurchases of common stock to satisfy the tax withholding obligation for the release of restricted stock units.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the nine months ended September 30, 2017, net cash used in financing activities was $181.1 million, which primarily consisted of $102.3 million in principal payments against capital lease obligations and $72.2 million for the satisfaction of tax withholding obligations for the release of restricted stock units. The increase in cash used by financing activities during the nine months ended September 30, 2017, compared to the nine months ended September 30, 2016, was primarily due to an increase of $72.2 million related to the satisfaction of tax withholding obligations for the release of restricted stock units, partially offset by a decrease of $8.8 million in cash received in a sale lease-back agreement during the nine months ended September 30, 2016.</w:t>
      </w:r>
    </w:p>
    <w:p>
      <w:pPr>
        <w:spacing w:after="0" w:line="15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For the nine months ended September 30, 2016, net cash used in financing activities was $98.2 million, which primarily consisted of $103.1 million in principal payments against capital lease obligations, offset by $8.8 million in proceeds received for a sale-leaseback agreement.</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year ended December 31, 2016, net cash used in financing activities was $134.5 million, which primarily consisted of $137.9 million in principal payments against capital lease obligations and $3.8 million in principal payments against the note payable issued in 2015 as described below, offset by $8.8 million in proceeds received for a sale-leaseback agreement. The increase in cash used in financing activities during 2016 compared to 2015 was primarily due to an increase of $36.7 million in principal payments on capital leases for our infrastructure, a decrease of $11.9 million in cash received through the issuance of a note payable issued in 2015, as well as an increase of $3.8 million in payments against the note payable in 2016, partially offset by $8.8 million in cash received in a sale lease-back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the year ended December 31, 2015, net cash used in financing activities was $89.6 million, which primarily consisted of $101.2 million in principal payments against capital lease obligations, offset by $11.9 million in cash received through the issuance of a note payable to finance our infrastructure.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Our principal commitments consist of obligations under operating leases for office space and datacenter operations, and capital leases for datacenter equipment. The following table summarizes our commitments to settle contractual obligations in cash as of December 31, 2016, for the periods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3 - 5 years</w:t>
            </w:r>
          </w:p>
        </w:tc>
        <w:tc>
          <w:tcPr>
            <w:tcW w:w="4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i w:val="1"/>
                <w:iCs w:val="1"/>
                <w:color w:val="auto"/>
              </w:rPr>
              <w:t>(In millions)</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$557.2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Capital lease commitments</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271.4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136.9</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commitments</w:t>
            </w:r>
            <w:r>
              <w:rPr>
                <w:rFonts w:ascii="Arial" w:cs="Arial" w:eastAsia="Arial" w:hAnsi="Arial"/>
                <w:sz w:val="15"/>
                <w:szCs w:val="15"/>
                <w:color w:val="auto"/>
              </w:rPr>
              <w:t>(3)</w:t>
            </w:r>
          </w:p>
        </w:tc>
        <w:tc>
          <w:tcPr>
            <w:tcW w:w="9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903.9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140.3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340" w:hanging="332"/>
        <w:spacing w:after="0" w:line="193" w:lineRule="auto"/>
        <w:tabs>
          <w:tab w:leader="none" w:pos="340" w:val="left"/>
        </w:tabs>
        <w:numPr>
          <w:ilvl w:val="0"/>
          <w:numId w:val="46"/>
        </w:numPr>
        <w:rPr>
          <w:rFonts w:ascii="Arial" w:cs="Arial" w:eastAsia="Arial" w:hAnsi="Arial"/>
          <w:sz w:val="28"/>
          <w:szCs w:val="28"/>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sublease income and variable operating expenses. Non-cancelable sublease income as of December 31, 2016, for the next seven years is expected to be $15.6 million.</w:t>
      </w:r>
    </w:p>
    <w:p>
      <w:pPr>
        <w:spacing w:after="0" w:line="2"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46"/>
        </w:numPr>
        <w:rPr>
          <w:rFonts w:ascii="Arial" w:cs="Arial" w:eastAsia="Arial" w:hAnsi="Arial"/>
          <w:sz w:val="23"/>
          <w:szCs w:val="23"/>
          <w:color w:val="auto"/>
          <w:vertAlign w:val="superscript"/>
        </w:rPr>
      </w:pPr>
      <w:r>
        <w:rPr>
          <w:rFonts w:ascii="Arial" w:cs="Arial" w:eastAsia="Arial" w:hAnsi="Arial"/>
          <w:sz w:val="14"/>
          <w:szCs w:val="14"/>
          <w:color w:val="auto"/>
        </w:rPr>
        <w:t>Consists of future non-cancelable minimum rental payments under capital leases primarily for our infrastructure.</w:t>
      </w:r>
    </w:p>
    <w:p>
      <w:pPr>
        <w:spacing w:after="0" w:line="11" w:lineRule="exact"/>
        <w:rPr>
          <w:rFonts w:ascii="Arial" w:cs="Arial" w:eastAsia="Arial" w:hAnsi="Arial"/>
          <w:sz w:val="23"/>
          <w:szCs w:val="23"/>
          <w:color w:val="auto"/>
          <w:vertAlign w:val="superscript"/>
        </w:rPr>
      </w:pPr>
    </w:p>
    <w:p>
      <w:pPr>
        <w:ind w:left="340" w:right="400" w:hanging="332"/>
        <w:spacing w:after="0" w:line="187" w:lineRule="auto"/>
        <w:tabs>
          <w:tab w:leader="none" w:pos="340" w:val="left"/>
        </w:tabs>
        <w:numPr>
          <w:ilvl w:val="0"/>
          <w:numId w:val="46"/>
        </w:numPr>
        <w:rPr>
          <w:rFonts w:ascii="Arial" w:cs="Arial" w:eastAsia="Arial" w:hAnsi="Arial"/>
          <w:sz w:val="28"/>
          <w:szCs w:val="28"/>
          <w:color w:val="auto"/>
          <w:vertAlign w:val="superscript"/>
        </w:rPr>
      </w:pPr>
      <w:r>
        <w:rPr>
          <w:rFonts w:ascii="Arial" w:cs="Arial" w:eastAsia="Arial" w:hAnsi="Arial"/>
          <w:sz w:val="16"/>
          <w:szCs w:val="16"/>
          <w:color w:val="auto"/>
        </w:rPr>
        <w:t>Consists of lease payments for our previous corporate headquarters, infrastructure warranty contracts, commitments to third-party vendors for services related to our infrastructure, and a note payable related to financing of our infrastructure.</w:t>
      </w:r>
    </w:p>
    <w:p>
      <w:pPr>
        <w:spacing w:after="0" w:line="20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the contractual obligations set forth above, as of September 30, 2017, we had an aggregate of $47.8 million in letters of credit outstanding under our revolving credit facility.</w:t>
      </w:r>
    </w:p>
    <w:p>
      <w:pPr>
        <w:spacing w:after="0" w:line="17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Additionally, in October 2017, we entered into a new lease agreement in San Francisco, California, to serve as our new corporate headquarters. We expect to start making payments under the lease in the third quarter of 2019. The total minimum obligations under the lease agreement are expected to be approximately $827.0 million, which does not include expected tenant improvement reimbursements from the landlord of approximately $73.6 million and variable operating expenses. Our obligations under the lease will be supported by a $34.2 million letter of credit, which will reduce the borrowing capacity under our revolving credit facility.</w:t>
      </w:r>
    </w:p>
    <w:p>
      <w:pPr>
        <w:spacing w:after="0" w:line="18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plan to take possession of our new corporate headquarters over several phases. We expect to take initial possession in mid-2018, after which time we plan to incur capital expenditures on leasehold improvements and to begin recording rent expense for the portion of the new corporate headquarters that we possess. Capital expenditures will continue to increase as we take possession of the remaining space over the next few years. We will continue to operate in our current corporate headquarters until the new corporate headquarters is ready for occupancy, which is expected to be in 2019. We intend to sublease our current corporate headquarters once we occupy the new corporate headquarters. However, unless we transfer our contractual obligation, we will include the committed lease payments for our current corporate headquarters in the table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of December 31, 2016,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Stock-Based Compensation for Restricted Stock Units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Plan, and our 2017 Equity Incentive Plan, or 2017 Plan. We have two types of RSUs outstanding as of September 30, 2017:</w:t>
      </w:r>
    </w:p>
    <w:p>
      <w:pPr>
        <w:spacing w:after="0" w:line="116" w:lineRule="exact"/>
        <w:rPr>
          <w:sz w:val="20"/>
          <w:szCs w:val="20"/>
          <w:color w:val="auto"/>
        </w:rPr>
      </w:pPr>
    </w:p>
    <w:p>
      <w:pPr>
        <w:ind w:left="900" w:right="100" w:hanging="325"/>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86" w:lineRule="exact"/>
        <w:rPr>
          <w:rFonts w:ascii="Arial" w:cs="Arial" w:eastAsia="Arial" w:hAnsi="Arial"/>
          <w:sz w:val="18"/>
          <w:szCs w:val="18"/>
          <w:color w:val="auto"/>
        </w:rPr>
      </w:pPr>
    </w:p>
    <w:p>
      <w:pPr>
        <w:ind w:left="900" w:hanging="325"/>
        <w:spacing w:after="0" w:line="276"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 (b) March 15 of the year following our initial public offering. Our last grant date for two-tier RSUs was May 2015.</w:t>
      </w:r>
    </w:p>
    <w:p>
      <w:pPr>
        <w:spacing w:after="0" w:line="17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As of September 30, 2017, all compensation expense related to two-tier RSUs remained unrecognized because the Performance Vesting Condition was not satisfied. At the time the Performance Vesting Condition becomes probable, we will recognize the cumulative stock-based compensation expense for the two-tier RSUs that have met their service-based vesting condition using the accelerated attribution method. If the Performance Vesting Condition had occurred on September 30, 2017, we would have recorded $415.4 million of stock-based compensation expense. As of September 30, 2017, 42.5 million two-tier RSUs were outstanding, of which 38.2 million had met their service condition. We expect to recognize approximately $9.4 million of additional stock-based compensation expense related to unvested two-tier RSUs, if the service and performance conditions are met, over the remaining service periods through 2019. See Note 1, “Description of the Business and Summary of Significant Accounting Policies” and Note 11, “Stockholders’ Equity” to our consolidated financial statements included elsewhere in this prospectus for further discussion.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1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Our consolidated financial statements and the related notes thereto included elsewhere in this prospectus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or Topic 606. Topic 606 supersedes the revenue recognition requirements in Accounting Standards Codification,</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or Topic 605, and requires the recognition of revenue when promised goods or services are transferred to customers in an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reflects the consideration to which the entity expects to be entitled to in exchange for those goods or services. Topic 606 also includes Subtopic 340-40,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Deferred Costs—Contracts with Customers</w:t>
      </w:r>
      <w:r>
        <w:rPr>
          <w:rFonts w:ascii="Arial" w:cs="Arial" w:eastAsia="Arial" w:hAnsi="Arial"/>
          <w:sz w:val="16"/>
          <w:szCs w:val="16"/>
          <w:color w:val="auto"/>
        </w:rPr>
        <w:t>, which requires the deferral of incremental costs of obtaining a contract with a customer.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adopted the requirements of Topic 606 as of January 1, 2017, utilizing the full retrospective method of transition. As such, Topic 606 is reflected in our financial results for all periods presented in this prospectus. The adoption of Topic 606 resulted in changes to our accounting policies for revenue recognition and deferred commissions.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impact of adopting Topic 606 on our revenue was not material to any of the periods presented. The primary impact of adopting Topic 606 relates to the deferral of incremental costs of customer contracts and the amortization of those costs over a longer period of benefit.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generate revenue from sales of subscriptions to our platform. Subscription fees exclude sales and other indirect taxes. We determine revenue recognition through the following steps:</w:t>
      </w:r>
    </w:p>
    <w:p>
      <w:pPr>
        <w:spacing w:after="0" w:line="76"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Sales commissions and the related payroll taxes earned by our outbound sales team, as well as commissions earned by third-party resellers, are considered to be incremental and recoverable costs of obtaining a contract with a user.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 Changing the period of benefit by one year would result in a change to expense of approximately $1.0 million or less in each of the periods presented. Amortization of deferred commissions is included in sales and marketing expenses.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Since August 2015, we have granted RSUs as the only stock-based payment awards to our employees. While we stopped granting stock options in August 2015, we currently have stock options outstanding that will continue to vest through 2019.</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fair values of the common stock underlying the RSUs were determined by our Board of Directors, with input from management and contemporaneous third-party valuations, which were performed at least quarterly. If RSUs were granted a short period of time prior to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Given the absence of a public trading market for our common stock, and in accordance with the American Institute of Certified Public Accountants Practice Guide, </w:t>
      </w:r>
      <w:r>
        <w:rPr>
          <w:rFonts w:ascii="Arial" w:cs="Arial" w:eastAsia="Arial" w:hAnsi="Arial"/>
          <w:sz w:val="18"/>
          <w:szCs w:val="18"/>
          <w:i w:val="1"/>
          <w:iCs w:val="1"/>
          <w:color w:val="auto"/>
        </w:rPr>
        <w:t>Valuation of Privately-Held-Company Equity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Issued as Compensation, </w:t>
      </w:r>
      <w:r>
        <w:rPr>
          <w:rFonts w:ascii="Arial" w:cs="Arial" w:eastAsia="Arial" w:hAnsi="Arial"/>
          <w:sz w:val="18"/>
          <w:szCs w:val="18"/>
          <w:color w:val="auto"/>
        </w:rPr>
        <w:t>or AICPA Guide, our Board of Directors exercised reasonable judgment and considered numerous objective and subjective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the best estimate of the fair value of our common stock including:</w:t>
      </w:r>
    </w:p>
    <w:p>
      <w:pPr>
        <w:spacing w:after="0" w:line="7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contemporaneous valuations of our common stock by unrelated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our industry as indicated by their market capitalization and guideline merger and acquisition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performance and market position relative to our competitors, who may change from time to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historical financial results and estimated trends and prospects for our future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our capital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likelihood and timeline of achieving a liquidity event, such as an initial public offering or sale, given prevailing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our common stock;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Precedent sales of or offers to purchase our capital stock.</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valuing our common stock, our Board of Directors determined the fair value of our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 average cost of capital,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valuations prior to August 31, 2017, the equity valuation was based on both the income and the market approach valuation methods, in addition to giving consideration to recent secondary sales of our common stock. The Option Pricing Method was selected as the principal equity allocation method. These methods were consistent with prior valuations.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valuations as of and subsequent to August 31, 2017, we have used a hybrid method to determine the fair value of our common stock, in addition to giving consideration to recent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the company.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For valuations after the completion of this initial public offering, our Board of Directors will determine the fair value of each share of underlying common stock based on the closing price of our Class A common stock as reported on the date of the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 and valuation of goodwill and other acquired intangible assets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we acquire a business, we allocate the purchase price to the net tangible and identifiable intangible assets acquired based on their fair values. Any residual purchase price is recorded as goodwill. The estimation of the fair value of acquired assets and assumed liabilities requires management to apply significant judgment, especially with respect to intangible assets, which consist primarily of developed technologies.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These estimates are based upon a number of factors, including historical experience, market conditions, and information obtained from the management of acquired companies. To determine the fair value of acquired intangible assets, we make estimates that can include, but are not limited to, the cash flows that an asset is expected to generate in the future, the appropriate weighted-average cost of capital to utilize, the cost savings expected to be derived from acquiring an asset, and the expected use of the asset. These same factors are also considered in determining the useful life of acquired intangible assets, which impacts the timing of future amortization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We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We are in the initial stage of our assessment of the new standard and are currently evaluating the timing of adoption, the quantitative impact of adoption, and the related disclosure requirements. We anticipate the adoption of this standard will result in a substantial increase in our non-current assets and liabilities recorded on the consolidated balance sheets. The adoption of the standard is not expected to have a material impact on the consolidated statement of operations. While we are assessing all potential impacts of the adoption of the standard, we currently expect the most significant impact to be the capitalization of right-to-use assets and lease liabilities for our office space and datacenter operating leases. We expect our accounting for capital leases related to infrastructure equipment to remain substantially unchanged under the new standard.</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See Note 1, “Description of the Business and Summary of Significant Accounting Policies” to our consolidated financial statements included elsewhere in this prospectus for more information about other recent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had cash and cash equivalents of $422.7 million as of September 30, 2017. We hold our cash and cash equivalents for working capital purposes. Our cash and cash equivalents are held in cash deposits and money market funds.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September 30, 2017, we had no amounts outstanding under the revolving credit facility. We do not have any other long-term debt or financial liabilities with floating interest rates that would subject us to interest rate fluctuations.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hypothetical 10% change in interest rates during any of the periods presented would not have had a material impact on our financial statements.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 In 2016, 23%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w:t>
      </w:r>
    </w:p>
    <w:p>
      <w:pPr>
        <w:spacing w:after="0" w:line="18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recorded $2.1 million and $6.9 million in net foreign currency transaction gains in the nine months ended September 30, 2016 and 2017, respectively. Further, we recorded $4.6 million and $3.6 million in net foreign currency transaction losses in the years ended December 31, 2015 and 2016, respectively. A hypothetical 10% change in foreign currency rates would not have resulted in material gains or losses for both the nine months ended September 30, 2016 and 2017, or both the years ended December 31, 2015 and 2016.</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2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want to free up our users to spend more of their time on the work that truly matters. Our mission is to unleash the world’s creative energy by designing a more enlightened way of working.</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more than 10 million paying users.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revenue was $603.8 million and $844.8 million in 2015 and 2016, respectively, representing a growth rate of 40%. We generated net losses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$325.9 million and $210.2 million in 2015 and 2016, respectively. We also generated positive free cash flow of $137.4 million in 2016 compared to negative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free cash flow of $63.9 million in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Users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We’re constantly inspired by the diverse ways people use Dropbox to bring their ideas to life and achieve their missions faster. Here are just a few examples:</w:t>
      </w:r>
    </w:p>
    <w:p>
      <w:pPr>
        <w:spacing w:after="0" w:line="76"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Nobel Prize-winning researchers sync data with collaborators to speed development of new scientific breakthroughs.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Designers for a sustainable apparel company iterate on new designs and coordinate store openings.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commercial construction company shares blueprints with subcontractors on job sites and sends bids to prospective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Fortune 500 online travel company keeps its global workforce connected with business partners around the world.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 bono lawyers at a refugee assistance organization collect and share information across continents to save lives.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21"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11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Open ecosystem</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11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in Our Favor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Content is increasingly scattered</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tools people use are fragmented</w:t>
      </w:r>
    </w:p>
    <w:p>
      <w:pPr>
        <w:spacing w:after="0" w:line="11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have become more fluid and global</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Technology hasn’t kept up with a modern workforce that’s increasingly fluid and mobile. People work together on teams that span different functions, organizations, and geographies. A 2016 study by Deloitte found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 about work” is wasteful and stifles creativity</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Individual users are changing the way software is adopted and purchased</w:t>
      </w:r>
    </w:p>
    <w:p>
      <w:pPr>
        <w:spacing w:after="0" w:line="117"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131" w:lineRule="exact"/>
        <w:rPr>
          <w:sz w:val="20"/>
          <w:szCs w:val="20"/>
          <w:color w:val="auto"/>
        </w:rPr>
      </w:pPr>
    </w:p>
    <w:p>
      <w:pPr>
        <w:ind w:left="900" w:right="280" w:hanging="325"/>
        <w:spacing w:after="0" w:line="279"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 added</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400 billion pieces of content to Dropbox, totaling over an exabyte (more than 1,000,000,000 gigabytes)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6" w:lineRule="exact"/>
        <w:rPr>
          <w:rFonts w:ascii="Arial" w:cs="Arial" w:eastAsia="Arial" w:hAnsi="Arial"/>
          <w:sz w:val="17"/>
          <w:szCs w:val="17"/>
          <w:color w:val="auto"/>
        </w:rPr>
      </w:pPr>
    </w:p>
    <w:p>
      <w:pPr>
        <w:ind w:left="900" w:right="12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Global sharing network. </w:t>
      </w:r>
      <w:r>
        <w:rPr>
          <w:rFonts w:ascii="Arial" w:cs="Arial" w:eastAsia="Arial" w:hAnsi="Arial"/>
          <w:sz w:val="18"/>
          <w:szCs w:val="18"/>
          <w:color w:val="auto"/>
        </w:rPr>
        <w:t>We’ve built one of the largest collaboration platforms in the world, with more than 4.5 billion connections to shared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92" w:lineRule="exact"/>
        <w:rPr>
          <w:rFonts w:ascii="Arial" w:cs="Arial" w:eastAsia="Arial" w:hAnsi="Arial"/>
          <w:sz w:val="18"/>
          <w:szCs w:val="18"/>
          <w:color w:val="auto"/>
        </w:rPr>
      </w:pPr>
    </w:p>
    <w:p>
      <w:pPr>
        <w:jc w:val="both"/>
        <w:ind w:left="900" w:right="360" w:hanging="325"/>
        <w:spacing w:after="0" w:line="286"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New product experiences. </w:t>
      </w:r>
      <w:r>
        <w:rPr>
          <w:rFonts w:ascii="Arial" w:cs="Arial" w:eastAsia="Arial" w:hAnsi="Arial"/>
          <w:sz w:val="17"/>
          <w:szCs w:val="17"/>
          <w:color w:val="auto"/>
        </w:rPr>
        <w:t>The insights we glean from our community of users lead us to develop new product experiences, like Paper, Smart</w:t>
      </w:r>
      <w:r>
        <w:rPr>
          <w:rFonts w:ascii="Arial" w:cs="Arial" w:eastAsia="Arial" w:hAnsi="Arial"/>
          <w:sz w:val="17"/>
          <w:szCs w:val="17"/>
          <w:i w:val="1"/>
          <w:iCs w:val="1"/>
          <w:color w:val="auto"/>
        </w:rPr>
        <w:t xml:space="preserve"> </w:t>
      </w:r>
      <w:r>
        <w:rPr>
          <w:rFonts w:ascii="Arial" w:cs="Arial" w:eastAsia="Arial" w:hAnsi="Arial"/>
          <w:sz w:val="17"/>
          <w:szCs w:val="17"/>
          <w:color w:val="auto"/>
        </w:rPr>
        <w:t>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66"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adoption and paid conversion</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designed Dropbox to be easy to try, use, and buy. Anyone can create an account and be up and running in minutes. We believe that our current registered user base represents a significant opportunity to increase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revenue. We estimate that approximately 300 million of our registered users have characteristics—including specific email domains, devices, and geographies —that make them more likely than other registered users to pay over time. Substantially all of our paying users share at least one of these characteristics. We reach our users through in-product notifications on our website and across more than 400 million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our paying users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the first three quarters of 2017, over 40% of new Dropbox Business teams included a member who was previously a Plus subscriber. We believe that a large majority of individual customers use Dropbox for work, which creates an opportunity to significantly increase conversion to Dropbox Business team offerings over time.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Apply insights to build new product experiences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ecosystem</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Our open and thriving ecosystem fosters deeper relationships with our users and makes Dropbox more valuable to them over time. The scale and reach of our platform is enhanced by a number of third-party applications, developers, and technology partners. As of September 30, 2017, Dropbox was receiving over 50 billion API calls per month, and more than 500,000 developers had registered and built applications on our platform.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addressable market includes collaborative applications, content management, project and portfolio management, and public cloud storage. IDC estimates that investment in these categories will total more than $50 billion in 2019.</w:t>
      </w:r>
    </w:p>
    <w:p>
      <w:pPr>
        <w:spacing w:after="0" w:line="170"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Capabilities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218440</wp:posOffset>
            </wp:positionV>
            <wp:extent cx="5188585" cy="55829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88585" cy="558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Create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Paper</w:t>
      </w:r>
      <w:r>
        <w:rPr>
          <w:rFonts w:ascii="Arial" w:cs="Arial" w:eastAsia="Arial" w:hAnsi="Arial"/>
          <w:sz w:val="18"/>
          <w:szCs w:val="18"/>
          <w:color w:val="auto"/>
        </w:rPr>
        <w:t>. We introduced Paper in January 2017 as a collaborative surface to bring people and ideas together. With Paper, users can co-author content, tag</w:t>
      </w:r>
      <w:r>
        <w:rPr>
          <w:rFonts w:ascii="Arial" w:cs="Arial" w:eastAsia="Arial" w:hAnsi="Arial"/>
          <w:sz w:val="18"/>
          <w:szCs w:val="18"/>
          <w:i w:val="1"/>
          <w:iCs w:val="1"/>
          <w:color w:val="auto"/>
        </w:rPr>
        <w:t xml:space="preserve"> </w:t>
      </w:r>
      <w:r>
        <w:rPr>
          <w:rFonts w:ascii="Arial" w:cs="Arial" w:eastAsia="Arial" w:hAnsi="Arial"/>
          <w:sz w:val="18"/>
          <w:szCs w:val="18"/>
          <w:color w:val="auto"/>
        </w:rPr>
        <w:t>others, assign tasks with due dates, embed and comment on files,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tables, checklists, code snippets, and rich media—all in real-time. We designed Paper to be simple and beautiful so users can focus on the most important ideas and tasks at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-19050</wp:posOffset>
            </wp:positionV>
            <wp:extent cx="4656455" cy="6028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656455" cy="602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Doc scanner</w:t>
      </w:r>
      <w:r>
        <w:rPr>
          <w:rFonts w:ascii="Arial" w:cs="Arial" w:eastAsia="Arial" w:hAnsi="Arial"/>
          <w:sz w:val="17"/>
          <w:szCs w:val="17"/>
          <w:color w:val="auto"/>
        </w:rPr>
        <w:t>. The doc scanner in our mobile app lets users create content in Dropbox from hard copies. This includes transforming everything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 the contrast, and save it as a PDF or image file. For Dropbox Business teams, scanned content is analyzed using Optical Character Recognition so text within these scans is searchable in Dropbox.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-19050</wp:posOffset>
            </wp:positionV>
            <wp:extent cx="5188585" cy="3936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8858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00"/>
          </w:cols>
          <w:pgMar w:left="24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Access and organize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Search</w:t>
      </w:r>
      <w:r>
        <w:rPr>
          <w:rFonts w:ascii="Arial" w:cs="Arial" w:eastAsia="Arial" w:hAnsi="Arial"/>
          <w:sz w:val="18"/>
          <w:szCs w:val="18"/>
          <w:color w:val="auto"/>
        </w:rPr>
        <w:t>. Dropbox has powerful search capabilities that allow users to quickly find the files and folders they need. Our autocomplete technology surfaces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prioritizes content based on users’ previous activity. For Dropbox Professional subscribers and Dropbox Business teams, full text search allows users to scan the entire content of their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-12065</wp:posOffset>
            </wp:positionV>
            <wp:extent cx="5188585" cy="2804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8858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i w:val="1"/>
          <w:iCs w:val="1"/>
          <w:color w:val="auto"/>
        </w:rPr>
        <w:t>Rich previews</w:t>
      </w:r>
      <w:r>
        <w:rPr>
          <w:rFonts w:ascii="Arial" w:cs="Arial" w:eastAsia="Arial" w:hAnsi="Arial"/>
          <w:sz w:val="18"/>
          <w:szCs w:val="18"/>
          <w:color w:val="auto"/>
        </w:rPr>
        <w:t>. Rich previews allow users to easily interact with files across any device without having to open different applications. Users can</w:t>
      </w:r>
      <w:r>
        <w:rPr>
          <w:rFonts w:ascii="Arial" w:cs="Arial" w:eastAsia="Arial" w:hAnsi="Arial"/>
          <w:sz w:val="18"/>
          <w:szCs w:val="18"/>
          <w:i w:val="1"/>
          <w:iCs w:val="1"/>
          <w:color w:val="auto"/>
        </w:rPr>
        <w:t xml:space="preserve"> </w:t>
      </w:r>
      <w:r>
        <w:rPr>
          <w:rFonts w:ascii="Arial" w:cs="Arial" w:eastAsia="Arial" w:hAnsi="Arial"/>
          <w:sz w:val="18"/>
          <w:szCs w:val="18"/>
          <w:color w:val="auto"/>
        </w:rPr>
        <w:t>comment on, annotate, review, and present files, and see who viewed and edited them. We support previews of over 280 file types, and Dropbox users currently preview files tens of millions of times every day.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i w:val="1"/>
          <w:iCs w:val="1"/>
          <w:color w:val="auto"/>
        </w:rPr>
        <w:t>Smart Sync</w:t>
      </w:r>
      <w:r>
        <w:rPr>
          <w:rFonts w:ascii="Arial" w:cs="Arial" w:eastAsia="Arial" w:hAnsi="Arial"/>
          <w:sz w:val="17"/>
          <w:szCs w:val="17"/>
          <w:color w:val="auto"/>
        </w:rPr>
        <w:t>. With Smart Sync, users can access all of their content natively on their computers without taking up storage space on their local hard</w:t>
      </w:r>
      <w:r>
        <w:rPr>
          <w:rFonts w:ascii="Arial" w:cs="Arial" w:eastAsia="Arial" w:hAnsi="Arial"/>
          <w:sz w:val="17"/>
          <w:szCs w:val="17"/>
          <w:i w:val="1"/>
          <w:iCs w:val="1"/>
          <w:color w:val="auto"/>
        </w:rPr>
        <w:t xml:space="preserve"> </w:t>
      </w:r>
      <w:r>
        <w:rPr>
          <w:rFonts w:ascii="Arial" w:cs="Arial" w:eastAsia="Arial" w:hAnsi="Arial"/>
          <w:sz w:val="17"/>
          <w:szCs w:val="17"/>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Professional subscribers and Dropbox Business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-18415</wp:posOffset>
            </wp:positionV>
            <wp:extent cx="5188585" cy="35159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8585" cy="351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i w:val="1"/>
          <w:iCs w:val="1"/>
          <w:color w:val="auto"/>
        </w:rPr>
        <w:t>Version history</w:t>
      </w:r>
      <w:r>
        <w:rPr>
          <w:rFonts w:ascii="Arial" w:cs="Arial" w:eastAsia="Arial" w:hAnsi="Arial"/>
          <w:sz w:val="16"/>
          <w:szCs w:val="16"/>
          <w:color w:val="auto"/>
        </w:rPr>
        <w:t>. As paying users work on files, our servers keep snapshots of all their changes. Users can see a file’s complete version history so they</w:t>
      </w:r>
      <w:r>
        <w:rPr>
          <w:rFonts w:ascii="Arial" w:cs="Arial" w:eastAsia="Arial" w:hAnsi="Arial"/>
          <w:sz w:val="16"/>
          <w:szCs w:val="16"/>
          <w:i w:val="1"/>
          <w:iCs w:val="1"/>
          <w:color w:val="auto"/>
        </w:rPr>
        <w:t xml:space="preserve"> </w:t>
      </w:r>
      <w:r>
        <w:rPr>
          <w:rFonts w:ascii="Arial" w:cs="Arial" w:eastAsia="Arial" w:hAnsi="Arial"/>
          <w:sz w:val="16"/>
          <w:szCs w:val="16"/>
          <w:color w:val="auto"/>
        </w:rPr>
        <w:t>can reference and retrieve older versions if needed. Version histories are kept between 30 to 120 days for paying users, depending on subscription plan.</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Third-party ecosystem</w:t>
      </w:r>
      <w:r>
        <w:rPr>
          <w:rFonts w:ascii="Arial" w:cs="Arial" w:eastAsia="Arial" w:hAnsi="Arial"/>
          <w:sz w:val="16"/>
          <w:szCs w:val="16"/>
          <w:color w:val="auto"/>
        </w:rPr>
        <w:t>. Our open and thriving ecosystem fosters deeper relationships with our users and developers. Developers can build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connect to Dropbox through our DBX Developer Platform. For example, email apps can plug into Dropbox to send attachments or shared links, and note-taking apps can allow users to save to Dropbox so they can open their notes on another device. As of September 30, 2017, Dropbox was receiving over</w:t>
      </w:r>
    </w:p>
    <w:p>
      <w:pPr>
        <w:ind w:right="300"/>
        <w:spacing w:after="0" w:line="261" w:lineRule="auto"/>
        <w:rPr>
          <w:sz w:val="20"/>
          <w:szCs w:val="20"/>
          <w:color w:val="auto"/>
        </w:rPr>
      </w:pPr>
      <w:r>
        <w:rPr>
          <w:rFonts w:ascii="Arial" w:cs="Arial" w:eastAsia="Arial" w:hAnsi="Arial"/>
          <w:sz w:val="18"/>
          <w:szCs w:val="18"/>
          <w:color w:val="auto"/>
        </w:rPr>
        <w:t>50 billion API calls per month and over 500,000 developers had registered and built applications on our platform. In addition, more than 75% of Dropbox Business teams have linked to one or more third-party applications.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Folders</w:t>
      </w:r>
      <w:r>
        <w:rPr>
          <w:rFonts w:ascii="Arial" w:cs="Arial" w:eastAsia="Arial" w:hAnsi="Arial"/>
          <w:sz w:val="18"/>
          <w:szCs w:val="18"/>
          <w:color w:val="auto"/>
        </w:rPr>
        <w:t>. There are three types of folders in Dropbox: private, shared, and team folders. A private folder allows an individual to sync files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Shared links</w:t>
      </w:r>
      <w:r>
        <w:rPr>
          <w:rFonts w:ascii="Arial" w:cs="Arial" w:eastAsia="Arial" w:hAnsi="Arial"/>
          <w:sz w:val="18"/>
          <w:szCs w:val="18"/>
          <w:color w:val="auto"/>
        </w:rPr>
        <w:t>. Users can share files and folders with anyone, including non-Dropbox users, by creating a Dropbox link. Once created, the link can be</w:t>
      </w:r>
      <w:r>
        <w:rPr>
          <w:rFonts w:ascii="Arial" w:cs="Arial" w:eastAsia="Arial" w:hAnsi="Arial"/>
          <w:sz w:val="18"/>
          <w:szCs w:val="18"/>
          <w:i w:val="1"/>
          <w:iCs w:val="1"/>
          <w:color w:val="auto"/>
        </w:rPr>
        <w:t xml:space="preserve"> </w:t>
      </w:r>
      <w:r>
        <w:rPr>
          <w:rFonts w:ascii="Arial" w:cs="Arial" w:eastAsia="Arial" w:hAnsi="Arial"/>
          <w:sz w:val="18"/>
          <w:szCs w:val="18"/>
          <w:color w:val="auto"/>
        </w:rPr>
        <w:t>sent 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Showcase</w:t>
      </w:r>
      <w:r>
        <w:rPr>
          <w:rFonts w:ascii="Arial" w:cs="Arial" w:eastAsia="Arial" w:hAnsi="Arial"/>
          <w:sz w:val="18"/>
          <w:szCs w:val="18"/>
          <w:color w:val="auto"/>
        </w:rPr>
        <w:t>. Showcase gives users a way to present their work to clients and business partners through a customizable, professionally branded webpage.</w:t>
      </w:r>
      <w:r>
        <w:rPr>
          <w:rFonts w:ascii="Arial" w:cs="Arial" w:eastAsia="Arial" w:hAnsi="Arial"/>
          <w:sz w:val="18"/>
          <w:szCs w:val="18"/>
          <w:i w:val="1"/>
          <w:iCs w:val="1"/>
          <w:color w:val="auto"/>
        </w:rPr>
        <w:t xml:space="preserve"> </w:t>
      </w:r>
      <w:r>
        <w:rPr>
          <w:rFonts w:ascii="Arial" w:cs="Arial" w:eastAsia="Arial" w:hAnsi="Arial"/>
          <w:sz w:val="18"/>
          <w:szCs w:val="18"/>
          <w:color w:val="auto"/>
        </w:rPr>
        <w:t>Users can display visual previews of multiple files on the same page and add relevant context with introductory text and captions and an introduction. Showcase also lets users track how recipients engage with their content, including analytics on who has viewed, commented, or downloaded content on a per-person and per-file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88585" cy="512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8585" cy="512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4648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8585"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Collaborate</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i w:val="1"/>
          <w:iCs w:val="1"/>
          <w:color w:val="auto"/>
        </w:rPr>
        <w:t>Comments and annotations</w:t>
      </w:r>
      <w:r>
        <w:rPr>
          <w:rFonts w:ascii="Arial" w:cs="Arial" w:eastAsia="Arial" w:hAnsi="Arial"/>
          <w:sz w:val="18"/>
          <w:szCs w:val="18"/>
          <w:color w:val="auto"/>
        </w:rPr>
        <w:t>. Dropbox comments and annotations marry content with the conversations and relevant context around it. Instead of being</w:t>
      </w:r>
      <w:r>
        <w:rPr>
          <w:rFonts w:ascii="Arial" w:cs="Arial" w:eastAsia="Arial" w:hAnsi="Arial"/>
          <w:sz w:val="18"/>
          <w:szCs w:val="18"/>
          <w:i w:val="1"/>
          <w:iCs w:val="1"/>
          <w:color w:val="auto"/>
        </w:rPr>
        <w:t xml:space="preserve"> </w:t>
      </w:r>
      <w:r>
        <w:rPr>
          <w:rFonts w:ascii="Arial" w:cs="Arial" w:eastAsia="Arial" w:hAnsi="Arial"/>
          <w:sz w:val="18"/>
          <w:szCs w:val="18"/>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-12065</wp:posOffset>
            </wp:positionV>
            <wp:extent cx="5188585" cy="3464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858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File activity stream. </w:t>
      </w:r>
      <w:r>
        <w:rPr>
          <w:rFonts w:ascii="Arial" w:cs="Arial" w:eastAsia="Arial" w:hAnsi="Arial"/>
          <w:sz w:val="18"/>
          <w:szCs w:val="18"/>
          <w:color w:val="auto"/>
        </w:rPr>
        <w:t>An activity feed lives next to every file preview on our web interface, telling users what’s happening with a file. The feed shows</w:t>
      </w:r>
      <w:r>
        <w:rPr>
          <w:rFonts w:ascii="Arial" w:cs="Arial" w:eastAsia="Arial" w:hAnsi="Arial"/>
          <w:sz w:val="18"/>
          <w:szCs w:val="18"/>
          <w:i w:val="1"/>
          <w:iCs w:val="1"/>
          <w:color w:val="auto"/>
        </w:rPr>
        <w:t xml:space="preserve"> </w:t>
      </w:r>
      <w:r>
        <w:rPr>
          <w:rFonts w:ascii="Arial" w:cs="Arial" w:eastAsia="Arial" w:hAnsi="Arial"/>
          <w:sz w:val="18"/>
          <w:szCs w:val="18"/>
          <w:color w:val="auto"/>
        </w:rPr>
        <w:t>when someone opens a file, edits a file, or shares a file.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Notifications</w:t>
      </w:r>
      <w:r>
        <w:rPr>
          <w:rFonts w:ascii="Arial" w:cs="Arial" w:eastAsia="Arial" w:hAnsi="Arial"/>
          <w:sz w:val="18"/>
          <w:szCs w:val="18"/>
          <w:color w:val="auto"/>
        </w:rPr>
        <w:t>. We use real-time notifications across all our channels—web, desktop, email, and mobile—to keep users up-to-date on what’s happening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their work. Users can choose to be notified when someone opens, edits, shares, or comments on a file, or adds a file to their shared folders. These notifications keep collaborators in sync without having to open the file or doc.</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Viewer information and presence</w:t>
      </w:r>
      <w:r>
        <w:rPr>
          <w:rFonts w:ascii="Arial" w:cs="Arial" w:eastAsia="Arial" w:hAnsi="Arial"/>
          <w:sz w:val="18"/>
          <w:szCs w:val="18"/>
          <w:color w:val="auto"/>
        </w:rPr>
        <w:t>. On both file previews and Paper docs, Dropbox shows users in real-time who’s viewing a doc and when a doc was</w:t>
      </w:r>
      <w:r>
        <w:rPr>
          <w:rFonts w:ascii="Arial" w:cs="Arial" w:eastAsia="Arial" w:hAnsi="Arial"/>
          <w:sz w:val="18"/>
          <w:szCs w:val="18"/>
          <w:i w:val="1"/>
          <w:iCs w:val="1"/>
          <w:color w:val="auto"/>
        </w:rPr>
        <w:t xml:space="preserve"> </w:t>
      </w:r>
      <w:r>
        <w:rPr>
          <w:rFonts w:ascii="Arial" w:cs="Arial" w:eastAsia="Arial" w:hAnsi="Arial"/>
          <w:sz w:val="18"/>
          <w:szCs w:val="18"/>
          <w:color w:val="auto"/>
        </w:rPr>
        <w:t>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Security protections. </w:t>
      </w:r>
      <w:r>
        <w:rPr>
          <w:rFonts w:ascii="Arial" w:cs="Arial" w:eastAsia="Arial" w:hAnsi="Arial"/>
          <w:sz w:val="18"/>
          <w:szCs w:val="18"/>
          <w:color w:val="auto"/>
        </w:rPr>
        <w:t>We employ strong protections for all of the data on our platform.</w:t>
      </w:r>
    </w:p>
    <w:p>
      <w:pPr>
        <w:spacing w:after="0" w:line="131" w:lineRule="exact"/>
        <w:rPr>
          <w:sz w:val="20"/>
          <w:szCs w:val="20"/>
          <w:color w:val="auto"/>
        </w:rPr>
      </w:pPr>
    </w:p>
    <w:p>
      <w:pPr>
        <w:ind w:left="900" w:right="54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Encryption</w:t>
      </w:r>
      <w:r>
        <w:rPr>
          <w:rFonts w:ascii="Arial" w:cs="Arial" w:eastAsia="Arial" w:hAnsi="Arial"/>
          <w:sz w:val="18"/>
          <w:szCs w:val="18"/>
          <w:color w:val="auto"/>
        </w:rPr>
        <w:t>. Dropbox file data at rest is encrypted using 256-bit Advanced Encryption Standard, or AES. To protect data in transit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Dropbox apps such as desktop, mobile, API, or web and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servers, Dropbox uses Secure Sockets Layer, or SSL, and Transport Layer Security, or TLS, for data transfer, creating a secure tunnel protected by 128-bit or higher AES encryption.</w:t>
      </w:r>
    </w:p>
    <w:p>
      <w:pPr>
        <w:spacing w:after="0" w:line="76" w:lineRule="exact"/>
        <w:rPr>
          <w:sz w:val="20"/>
          <w:szCs w:val="20"/>
          <w:color w:val="auto"/>
        </w:rPr>
      </w:pPr>
    </w:p>
    <w:p>
      <w:pPr>
        <w:ind w:left="90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File recovery</w:t>
      </w:r>
      <w:r>
        <w:rPr>
          <w:rFonts w:ascii="Arial" w:cs="Arial" w:eastAsia="Arial" w:hAnsi="Arial"/>
          <w:sz w:val="18"/>
          <w:szCs w:val="18"/>
          <w:color w:val="auto"/>
        </w:rPr>
        <w:t>. Every deletion event in Dropbox is recorded, including when groups of files are deleted. Users can easily recover files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web interface. Dropbox Plus subscribers may recover prior versions for up to 30 days after deletion, and Dropbox Professional and Dropbox Business subscribers may recover prior versions for up to 120 days after deletion.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Administrator controls</w:t>
      </w:r>
      <w:r>
        <w:rPr>
          <w:rFonts w:ascii="Arial" w:cs="Arial" w:eastAsia="Arial" w:hAnsi="Arial"/>
          <w:sz w:val="17"/>
          <w:szCs w:val="17"/>
          <w:color w:val="auto"/>
        </w:rPr>
        <w:t>. Dropbox Business team administrators have many ways to customize security settings in both global and granular ways.</w:t>
      </w:r>
    </w:p>
    <w:p>
      <w:pPr>
        <w:spacing w:after="0" w:line="142" w:lineRule="exact"/>
        <w:rPr>
          <w:sz w:val="20"/>
          <w:szCs w:val="20"/>
          <w:color w:val="auto"/>
        </w:rPr>
      </w:pPr>
    </w:p>
    <w:p>
      <w:pPr>
        <w:ind w:left="900" w:right="1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Sharing permissions</w:t>
      </w:r>
      <w:r>
        <w:rPr>
          <w:rFonts w:ascii="Arial" w:cs="Arial" w:eastAsia="Arial" w:hAnsi="Arial"/>
          <w:sz w:val="18"/>
          <w:szCs w:val="18"/>
          <w:color w:val="auto"/>
        </w:rPr>
        <w:t>: Team administrators can set up and monitor how their members share team folders, and can set sharing permissions on all</w:t>
      </w:r>
      <w:r>
        <w:rPr>
          <w:rFonts w:ascii="Arial" w:cs="Arial" w:eastAsia="Arial" w:hAnsi="Arial"/>
          <w:sz w:val="18"/>
          <w:szCs w:val="18"/>
          <w:i w:val="1"/>
          <w:iCs w:val="1"/>
          <w:color w:val="auto"/>
        </w:rPr>
        <w:t xml:space="preserve"> </w:t>
      </w:r>
      <w:r>
        <w:rPr>
          <w:rFonts w:ascii="Arial" w:cs="Arial" w:eastAsia="Arial" w:hAnsi="Arial"/>
          <w:sz w:val="18"/>
          <w:szCs w:val="18"/>
          <w:color w:val="auto"/>
        </w:rPr>
        <w:t>folders, sub-folders, and links through the sharing tab.</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Remote device wipe</w:t>
      </w:r>
      <w:r>
        <w:rPr>
          <w:rFonts w:ascii="Arial" w:cs="Arial" w:eastAsia="Arial" w:hAnsi="Arial"/>
          <w:sz w:val="18"/>
          <w:szCs w:val="18"/>
          <w:color w:val="auto"/>
        </w:rPr>
        <w:t>: Team administrators can delete their organization’s Dropbox content from a member’s linked devices, which is especially</w:t>
      </w:r>
      <w:r>
        <w:rPr>
          <w:rFonts w:ascii="Arial" w:cs="Arial" w:eastAsia="Arial" w:hAnsi="Arial"/>
          <w:sz w:val="18"/>
          <w:szCs w:val="18"/>
          <w:i w:val="1"/>
          <w:iCs w:val="1"/>
          <w:color w:val="auto"/>
        </w:rPr>
        <w:t xml:space="preserve"> </w:t>
      </w:r>
      <w:r>
        <w:rPr>
          <w:rFonts w:ascii="Arial" w:cs="Arial" w:eastAsia="Arial" w:hAnsi="Arial"/>
          <w:sz w:val="18"/>
          <w:szCs w:val="18"/>
          <w:color w:val="auto"/>
        </w:rPr>
        <w:t>useful should someone lose a device or leave the team.</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Audit log</w:t>
      </w:r>
      <w:r>
        <w:rPr>
          <w:rFonts w:ascii="Arial" w:cs="Arial" w:eastAsia="Arial" w:hAnsi="Arial"/>
          <w:sz w:val="18"/>
          <w:szCs w:val="18"/>
          <w:color w:val="auto"/>
        </w:rPr>
        <w:t>: Team administrators can monitor which members are sharing files and logging into Dropbox, among other events. They can review</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logs, create full reports for specific time ranges, and pull activity reports on specific members. Advanced and Enterprise team administrators have access to audit logs with file-event tracking.</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Device approvals</w:t>
      </w:r>
      <w:r>
        <w:rPr>
          <w:rFonts w:ascii="Arial" w:cs="Arial" w:eastAsia="Arial" w:hAnsi="Arial"/>
          <w:sz w:val="18"/>
          <w:szCs w:val="18"/>
          <w:color w:val="auto"/>
        </w:rPr>
        <w:t>: Advanced and Enterprise team administrators can manage how members access Dropbox on their devices.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Tiered administrator roles</w:t>
      </w:r>
      <w:r>
        <w:rPr>
          <w:rFonts w:ascii="Arial" w:cs="Arial" w:eastAsia="Arial" w:hAnsi="Arial"/>
          <w:sz w:val="18"/>
          <w:szCs w:val="18"/>
          <w:color w:val="auto"/>
        </w:rPr>
        <w:t>: Advanced and Enterprise teams have the ability to set multiple administrator roles, each with a different set of</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Network control</w:t>
      </w:r>
      <w:r>
        <w:rPr>
          <w:rFonts w:ascii="Arial" w:cs="Arial" w:eastAsia="Arial" w:hAnsi="Arial"/>
          <w:sz w:val="18"/>
          <w:szCs w:val="18"/>
          <w:color w:val="auto"/>
        </w:rPr>
        <w:t>: Enterprise team administrators can restrict personal Dropbox usage on their organization’s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5188585" cy="27698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8858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Third-party security integrations</w:t>
      </w:r>
      <w:r>
        <w:rPr>
          <w:rFonts w:ascii="Arial" w:cs="Arial" w:eastAsia="Arial" w:hAnsi="Arial"/>
          <w:sz w:val="18"/>
          <w:szCs w:val="18"/>
          <w:color w:val="auto"/>
        </w:rPr>
        <w:t>. We’ve partnered with industry-leading third parties to enable us to provide a wide range of IT processes and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compliance standards, including:</w:t>
      </w:r>
    </w:p>
    <w:p>
      <w:pPr>
        <w:spacing w:after="0" w:line="76" w:lineRule="exact"/>
        <w:rPr>
          <w:sz w:val="20"/>
          <w:szCs w:val="20"/>
          <w:color w:val="auto"/>
        </w:rPr>
      </w:pPr>
    </w:p>
    <w:p>
      <w:pPr>
        <w:ind w:left="900" w:right="3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Security information and event management</w:t>
      </w:r>
      <w:r>
        <w:rPr>
          <w:rFonts w:ascii="Arial" w:cs="Arial" w:eastAsia="Arial" w:hAnsi="Arial"/>
          <w:sz w:val="18"/>
          <w:szCs w:val="18"/>
          <w:color w:val="auto"/>
        </w:rPr>
        <w:t>: Allows Dropbox Business administrators to oversee and manage employee activity, and access</w:t>
      </w:r>
      <w:r>
        <w:rPr>
          <w:rFonts w:ascii="Arial" w:cs="Arial" w:eastAsia="Arial" w:hAnsi="Arial"/>
          <w:sz w:val="18"/>
          <w:szCs w:val="18"/>
          <w:i w:val="1"/>
          <w:iCs w:val="1"/>
          <w:color w:val="auto"/>
        </w:rPr>
        <w:t xml:space="preserve"> </w:t>
      </w:r>
      <w:r>
        <w:rPr>
          <w:rFonts w:ascii="Arial" w:cs="Arial" w:eastAsia="Arial" w:hAnsi="Arial"/>
          <w:sz w:val="18"/>
          <w:szCs w:val="18"/>
          <w:color w:val="auto"/>
        </w:rPr>
        <w:t>sensitive data through the administrator page.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Data loss prevention</w:t>
      </w:r>
      <w:r>
        <w:rPr>
          <w:rFonts w:ascii="Arial" w:cs="Arial" w:eastAsia="Arial" w:hAnsi="Arial"/>
          <w:sz w:val="18"/>
          <w:szCs w:val="18"/>
          <w:color w:val="auto"/>
        </w:rPr>
        <w:t>: Protects sensitive data like personally identifiable information and payment card industry data stored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eDiscovery and legal hold</w:t>
      </w:r>
      <w:r>
        <w:rPr>
          <w:rFonts w:ascii="Arial" w:cs="Arial" w:eastAsia="Arial" w:hAnsi="Arial"/>
          <w:sz w:val="18"/>
          <w:szCs w:val="18"/>
          <w:color w:val="auto"/>
        </w:rPr>
        <w:t>: Enables secure search and the ability to collect and preserve electronically stored information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Digital rights management</w:t>
      </w:r>
      <w:r>
        <w:rPr>
          <w:rFonts w:ascii="Arial" w:cs="Arial" w:eastAsia="Arial" w:hAnsi="Arial"/>
          <w:sz w:val="18"/>
          <w:szCs w:val="18"/>
          <w:color w:val="auto"/>
        </w:rPr>
        <w:t>: Provides third-party encryption for company data stored in Dropbox Business accounts.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Data migration and on-premises backup</w:t>
      </w:r>
      <w:r>
        <w:rPr>
          <w:rFonts w:ascii="Arial" w:cs="Arial" w:eastAsia="Arial" w:hAnsi="Arial"/>
          <w:sz w:val="18"/>
          <w:szCs w:val="18"/>
          <w:color w:val="auto"/>
        </w:rPr>
        <w:t>: Assists in transferring large amounts of data between locations and securing sensitive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on-site data backup.</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Identity management</w:t>
      </w:r>
      <w:r>
        <w:rPr>
          <w:rFonts w:ascii="Arial" w:cs="Arial" w:eastAsia="Arial" w:hAnsi="Arial"/>
          <w:sz w:val="18"/>
          <w:szCs w:val="18"/>
          <w:color w:val="auto"/>
        </w:rPr>
        <w:t>: Allows companies to keep their Dropbox Business team authenticated with an external identity provider like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offer subscription plans to serve the varying needs of our diverse customer base, which includes individuals, teams, and organizations of all 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184150</wp:posOffset>
            </wp:positionV>
            <wp:extent cx="5188585" cy="5531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88585" cy="553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We’ve built a thriving global business with more than 10 million paying users. Of these subscribers, approximately 30% use Dropbox for work on a Dropbox Business team plan, and we estimate that an additional 50% use Dropbox for work on an individual plan, collectively totaling approximately 80% of paying subscribers. As of September 30, 2017, we had more than 290,000 paying Dropbox Business teams, and approximately 56%</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of Fortune 500 companies had at least one Dropbox Business team within their organization. Our customer base is highly diversified, and in 2015, 2016, and the first nine months of 2017,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we support our customers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users can access support through the following resources:</w:t>
      </w:r>
    </w:p>
    <w:p>
      <w:pPr>
        <w:spacing w:after="0" w:line="131" w:lineRule="exact"/>
        <w:rPr>
          <w:sz w:val="20"/>
          <w:szCs w:val="20"/>
          <w:color w:val="auto"/>
        </w:rPr>
      </w:pPr>
    </w:p>
    <w:p>
      <w:pPr>
        <w:ind w:left="900" w:right="6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Help center</w:t>
      </w:r>
      <w:r>
        <w:rPr>
          <w:rFonts w:ascii="Arial" w:cs="Arial" w:eastAsia="Arial" w:hAnsi="Arial"/>
          <w:sz w:val="18"/>
          <w:szCs w:val="18"/>
          <w:color w:val="auto"/>
        </w:rPr>
        <w:t>: Provides an online repository of helpful information about our platform, responses to frequently asked questions, and best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use.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Twitter support</w:t>
      </w:r>
      <w:r>
        <w:rPr>
          <w:rFonts w:ascii="Arial" w:cs="Arial" w:eastAsia="Arial" w:hAnsi="Arial"/>
          <w:sz w:val="18"/>
          <w:szCs w:val="18"/>
          <w:color w:val="auto"/>
        </w:rPr>
        <w:t>: Provides users real-time product and service updates, and offers tips and troubleshooting information.</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Guided troubleshooting</w:t>
      </w:r>
      <w:r>
        <w:rPr>
          <w:rFonts w:ascii="Arial" w:cs="Arial" w:eastAsia="Arial" w:hAnsi="Arial"/>
          <w:sz w:val="18"/>
          <w:szCs w:val="18"/>
          <w:color w:val="auto"/>
        </w:rPr>
        <w:t>: Offers step-by-step instructions to resolve common questions and provides a portal to submit help requests for questions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aren’t otherwise available.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additional support for our paying users as described above in “Our Subscription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customer examples below illustrate how businesses from different industries benefit from our platform.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49855" cy="41509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4985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45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67919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679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219"/>
          </w:cols>
          <w:pgMar w:left="240" w:top="459" w:right="1440"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49855" cy="385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49855"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219"/>
          </w:cols>
          <w:pgMar w:left="240" w:top="45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67919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3985" cy="679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219"/>
          </w:cols>
          <w:pgMar w:left="240" w:top="459" w:right="1440"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205740</wp:posOffset>
            </wp:positionV>
            <wp:extent cx="2641600" cy="4098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41600"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219"/>
          </w:cols>
          <w:pgMar w:left="240" w:top="459" w:right="1440"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67919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679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219"/>
          </w:cols>
          <w:pgMar w:left="240" w:top="459" w:right="1440"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49855" cy="40735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4985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219"/>
          </w:cols>
          <w:pgMar w:left="240" w:top="459"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67919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679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459" w:right="1440"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 Approach</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users share content and collaborate on our platform, they introduce and invite new users, driving viral growth. We generate 90% of our revenue from self-serve channels, which reduces customer acquisition costs.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We’ve developed an efficient marketing function that’s focused on building brand awareness and reinforcing our self-serve model. 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In the third quarter of 2017, over 400 million devices—including computers, phones, and tablets—were actively connected to the Dropbox platform, representing a large number of touchpoints to communicate with our users.</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complement our self-serve strategy with a focused outbound sales effort targeted at organizations with existing organic adoption of Dropbox. 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 and Operations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Texas, and Virginia.</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also utilize Amazon Web Services, or AWS, for the remainder of our users’ storage needs and to help deliver our services. These AWS datacenters are located in the United States and Europe, which allows us to localize where content is stored. Our technology infrastructure, combined with select use of AWS resources, provides us with a distributed and scalable architecture on a global scale.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Approach</w:t>
      </w:r>
    </w:p>
    <w:p>
      <w:pPr>
        <w:spacing w:after="0" w:line="12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We invest substantial resources in research and development to enhance our platform, develop new products and features, and improve our infrastructure.</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research and development organization consists of world-class engineering, product, and design teams. As of September 30, 2017, we had more than 840 professionals across these teams, representing approximately 45% of our full-time employees. They have a diverse set of skills and industry experience, including expertise in massively distributed systems and user-centric application engineering.</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engineering, product, and design teams work together to bring our products to life, from conception and validation to implementation. We continually improve our existing products, update them to work with the latest platforms and technologies, and launch new and innovative products and features.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Since our founding, we’ve focused on building a culture of innovation and teamwork. As our company grew, we developed five core values that are critical to our success. Our values are a compass and part of everyday life for Dropboxers. Each one guides how we treat each other and our users.</w:t>
      </w:r>
    </w:p>
    <w:p>
      <w:pPr>
        <w:spacing w:after="0" w:line="29"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Be worthy of trust</w:t>
      </w:r>
    </w:p>
    <w:p>
      <w:pPr>
        <w:spacing w:after="0" w:line="117"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i w:val="1"/>
          <w:iCs w:val="1"/>
          <w:color w:val="auto"/>
        </w:rPr>
        <w:t xml:space="preserve">Take care of each other and our users, and keep their best interests at heart. </w:t>
      </w:r>
      <w:r>
        <w:rPr>
          <w:rFonts w:ascii="Arial" w:cs="Arial" w:eastAsia="Arial" w:hAnsi="Arial"/>
          <w:sz w:val="18"/>
          <w:szCs w:val="18"/>
          <w:color w:val="auto"/>
        </w:rPr>
        <w:t>Millions of people and businesses trust us to safeguard their most</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information. We strive to be as transparent as possible with them and each other.</w:t>
      </w:r>
    </w:p>
    <w:p>
      <w:pPr>
        <w:spacing w:after="0" w:line="7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Sweat the details</w:t>
      </w:r>
    </w:p>
    <w:p>
      <w:pPr>
        <w:spacing w:after="0" w:line="117"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i w:val="1"/>
          <w:iCs w:val="1"/>
          <w:color w:val="auto"/>
        </w:rPr>
        <w:t xml:space="preserve">Obsess over quality and strive to master your craft. </w:t>
      </w:r>
      <w:r>
        <w:rPr>
          <w:rFonts w:ascii="Arial" w:cs="Arial" w:eastAsia="Arial" w:hAnsi="Arial"/>
          <w:sz w:val="16"/>
          <w:szCs w:val="16"/>
          <w:color w:val="auto"/>
        </w:rPr>
        <w:t>We believe that truly insightful solutions emerge from a deep understanding of problems and</w:t>
      </w:r>
      <w:r>
        <w:rPr>
          <w:rFonts w:ascii="Arial" w:cs="Arial" w:eastAsia="Arial" w:hAnsi="Arial"/>
          <w:sz w:val="16"/>
          <w:szCs w:val="16"/>
          <w:i w:val="1"/>
          <w:iCs w:val="1"/>
          <w:color w:val="auto"/>
        </w:rPr>
        <w:t xml:space="preserve"> </w:t>
      </w:r>
      <w:r>
        <w:rPr>
          <w:rFonts w:ascii="Arial" w:cs="Arial" w:eastAsia="Arial" w:hAnsi="Arial"/>
          <w:sz w:val="16"/>
          <w:szCs w:val="16"/>
          <w:color w:val="auto"/>
        </w:rPr>
        <w:t>a dedication to iteration. We push ourselves (and each other) to get to the root of problems, and we don’t accept sloppy solutions or band-aids.</w:t>
      </w:r>
    </w:p>
    <w:p>
      <w:pPr>
        <w:spacing w:after="0" w:line="29"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Aim higher</w:t>
      </w:r>
    </w:p>
    <w:p>
      <w:pPr>
        <w:spacing w:after="0" w:line="117" w:lineRule="exact"/>
        <w:rPr>
          <w:sz w:val="20"/>
          <w:szCs w:val="20"/>
          <w:color w:val="auto"/>
        </w:rPr>
      </w:pPr>
    </w:p>
    <w:p>
      <w:pPr>
        <w:ind w:left="920"/>
        <w:spacing w:after="0" w:line="342" w:lineRule="auto"/>
        <w:rPr>
          <w:sz w:val="20"/>
          <w:szCs w:val="20"/>
          <w:color w:val="auto"/>
        </w:rPr>
      </w:pPr>
      <w:r>
        <w:rPr>
          <w:rFonts w:ascii="Arial" w:cs="Arial" w:eastAsia="Arial" w:hAnsi="Arial"/>
          <w:sz w:val="16"/>
          <w:szCs w:val="16"/>
          <w:i w:val="1"/>
          <w:iCs w:val="1"/>
          <w:color w:val="auto"/>
        </w:rPr>
        <w:t xml:space="preserve">Set audacious goals. </w:t>
      </w:r>
      <w:r>
        <w:rPr>
          <w:rFonts w:ascii="Arial" w:cs="Arial" w:eastAsia="Arial" w:hAnsi="Arial"/>
          <w:sz w:val="16"/>
          <w:szCs w:val="16"/>
          <w:color w:val="auto"/>
        </w:rPr>
        <w:t>We believe in taking risks and being willing to disrupt ourselves, so we don’t squander an opportunity to build something</w:t>
      </w:r>
      <w:r>
        <w:rPr>
          <w:rFonts w:ascii="Arial" w:cs="Arial" w:eastAsia="Arial" w:hAnsi="Arial"/>
          <w:sz w:val="16"/>
          <w:szCs w:val="16"/>
          <w:i w:val="1"/>
          <w:iCs w:val="1"/>
          <w:color w:val="auto"/>
        </w:rPr>
        <w:t xml:space="preserve"> </w:t>
      </w:r>
      <w:r>
        <w:rPr>
          <w:rFonts w:ascii="Arial" w:cs="Arial" w:eastAsia="Arial" w:hAnsi="Arial"/>
          <w:sz w:val="16"/>
          <w:szCs w:val="16"/>
          <w:color w:val="auto"/>
        </w:rPr>
        <w:t>much bigger. With the density of incredible talent at Dropbox and the size of the opportunity in front of us, we owe it to each other to push limits.</w:t>
      </w:r>
    </w:p>
    <w:p>
      <w:pPr>
        <w:spacing w:after="0" w:line="29"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We, not I</w:t>
      </w:r>
    </w:p>
    <w:p>
      <w:pPr>
        <w:spacing w:after="0" w:line="117"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i w:val="1"/>
          <w:iCs w:val="1"/>
          <w:color w:val="auto"/>
        </w:rPr>
        <w:t xml:space="preserve">We’re a village, and as members, we each need to do our part for the village to thrive. </w:t>
      </w:r>
      <w:r>
        <w:rPr>
          <w:rFonts w:ascii="Arial" w:cs="Arial" w:eastAsia="Arial" w:hAnsi="Arial"/>
          <w:sz w:val="18"/>
          <w:szCs w:val="18"/>
          <w:color w:val="auto"/>
        </w:rPr>
        <w:t>We tackle a never-ending stream of people,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challenges, many of which are far too hard to be solved by a single person or team. We believe in people really knowing each other and in putting the welfare of the company and our users before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64135</wp:posOffset>
            </wp:positionV>
            <wp:extent cx="368935" cy="445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8935" cy="445770"/>
                    </a:xfrm>
                    <a:prstGeom prst="rect">
                      <a:avLst/>
                    </a:prstGeom>
                    <a:noFill/>
                  </pic:spPr>
                </pic:pic>
              </a:graphicData>
            </a:graphic>
          </wp:anchor>
        </w:drawing>
      </w:r>
    </w:p>
    <w:p>
      <w:pPr>
        <w:spacing w:after="0" w:line="3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920" w:right="20"/>
        <w:spacing w:after="0" w:line="312" w:lineRule="auto"/>
        <w:rPr>
          <w:sz w:val="20"/>
          <w:szCs w:val="20"/>
          <w:color w:val="auto"/>
        </w:rPr>
      </w:pPr>
      <w:r>
        <w:rPr>
          <w:rFonts w:ascii="Arial" w:cs="Arial" w:eastAsia="Arial" w:hAnsi="Arial"/>
          <w:sz w:val="16"/>
          <w:szCs w:val="16"/>
          <w:i w:val="1"/>
          <w:iCs w:val="1"/>
          <w:color w:val="auto"/>
        </w:rPr>
        <w:t xml:space="preserve">Surprise and delight each other and our users. </w:t>
      </w:r>
      <w:r>
        <w:rPr>
          <w:rFonts w:ascii="Arial" w:cs="Arial" w:eastAsia="Arial" w:hAnsi="Arial"/>
          <w:sz w:val="16"/>
          <w:szCs w:val="16"/>
          <w:color w:val="auto"/>
        </w:rPr>
        <w:t>Cupcake is about adding an authentic, human touch to everything we do. But more than that, it’s</w:t>
      </w:r>
      <w:r>
        <w:rPr>
          <w:rFonts w:ascii="Arial" w:cs="Arial" w:eastAsia="Arial" w:hAnsi="Arial"/>
          <w:sz w:val="16"/>
          <w:szCs w:val="16"/>
          <w:i w:val="1"/>
          <w:iCs w:val="1"/>
          <w:color w:val="auto"/>
        </w:rPr>
        <w:t xml:space="preserve"> </w:t>
      </w:r>
      <w:r>
        <w:rPr>
          <w:rFonts w:ascii="Arial" w:cs="Arial" w:eastAsia="Arial" w:hAnsi="Arial"/>
          <w:sz w:val="16"/>
          <w:szCs w:val="16"/>
          <w:color w:val="auto"/>
        </w:rPr>
        <w:t>about finding creative ways to make our users (and each other) smile—whether it’s our quirky illustrations, or bringing a roving ice cream cart to the office to celebrate a product launch. We believe that the magic we create together as Dropboxers translates into magic for our users.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September 30, 2017, we had 1,864 full-time employees. We also engage contractors and consultants. None of our employees are represented by a labor union. We have not experienced any work stoppages, and we believe that our employee relations are strong.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Security and Privacy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 is the foundation of our relationship with our users, and we take significant measures every day to protect their privacy and security.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w:t>
      </w:r>
    </w:p>
    <w:p>
      <w:pPr>
        <w:spacing w:after="0" w:line="18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voluntarily engage third-party security auditors to test our systems and controls at least annually against the most widely recognized security standards and regulations. Our Dropbox Trust Program consists of key infrastructure processes such as change management, access control, security management, and human resource management. Our program also serves as an Information Security Management System, or ISMS, as prescribed by the International Organization for Standardization, or ISO, and the International Electrotechnical Commission 27001:2013 international information security standard. It also qualifies as a Business Continuity Management System, or BCMS, as prescribed by the ISO 22301:2012 international business continuity standard.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ISO has developed a series of standards for information security and related areas. We’ve received the following ISO certifications:</w:t>
      </w:r>
    </w:p>
    <w:p>
      <w:pPr>
        <w:spacing w:after="0" w:line="131"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27001 (Information Security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27017 (Cloud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27018 (Cloud Privacy and Data Protection)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ISO 22301 (Business Continuity Management)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We’ve also completed a SOC 1, SOC 2, and SOC 3 examination. Service Organization Controls, or SOC, are standards established by the American Institute of Certified Public Accountants for reporting on internal control environments implemented within an organization. Our datacenter facilities and services providers also regularly undergo ISO 27001, SOC 1, and/or SOC 2 audits to verify their security practices. The ISO 27001 security standard specifies the requirements for establishing, implementing, operating, monitoring, reviewing, maintaining, and improving a documented Information Security Management System within the context of the organization’s overall business risks. This standard addresses confidentiality, access control, vulnerability, and risk assessment.</w:t>
      </w:r>
    </w:p>
    <w:p>
      <w:pPr>
        <w:spacing w:after="0" w:line="1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we have CSA STAR Level 1 and Level 2 certifications from the Cloud Security Alliance, or CSA, a security assurance program for cloud services. CSA Security, Trust &amp; Assurance Registry, or STAR, is a free, publicly-accessible registry that offers a security assurance program for cloud services, helping users assess the security posture of cloud providers they currently use or are considering contracting with. CSA STAR Level 2 Certification requires a third-party independent assessment of our security controls based on the requirements of ISO 27001 and the CSA Cloud Controls Matrix, or CCM, v.3.0.1, a set of criteria that measures the capability levels of cloud services. The CSA STAR Level 1 Self-Assessment is a rigorous survey based on CSA’s Consensus Assessments Initiative Questionnaire, which aligns with the CCM, and provides answers to almost 300 questions a cloud customer or a cloud security auditor may ask. We’re also listed in the UK Digital Marketplace for government cloud services procurement under the current framework, known as G-Cloud 9.</w:t>
      </w:r>
    </w:p>
    <w:p>
      <w:pPr>
        <w:spacing w:after="0" w:line="192"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Privacy</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is working towards compliance with the EU General Data Protection Regulation, or GDPR, framework.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believe in transparency with our users and have adopted guiding principles regarding how we handle requests from government and law enforcement agencies seeking information about our users and their content. These guiding principles are:</w:t>
      </w:r>
    </w:p>
    <w:p>
      <w:pPr>
        <w:spacing w:after="0" w:line="7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Be transparent</w:t>
      </w:r>
    </w:p>
    <w:p>
      <w:pPr>
        <w:spacing w:after="0" w:line="130" w:lineRule="exact"/>
        <w:rPr>
          <w:rFonts w:ascii="Arial" w:cs="Arial" w:eastAsia="Arial" w:hAnsi="Arial"/>
          <w:sz w:val="18"/>
          <w:szCs w:val="18"/>
          <w:color w:val="auto"/>
        </w:rPr>
      </w:pPr>
    </w:p>
    <w:p>
      <w:pPr>
        <w:jc w:val="both"/>
        <w:ind w:left="1480" w:right="320" w:hanging="446"/>
        <w:spacing w:after="0" w:line="264"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We believe that online services should be allowed to publish the number and types of government requests they receive, and to notify individuals when information about them has been requested. We’ll continue to publish detailed information about these requests and advocate for the right to provide more information.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Fight overly broad requests</w:t>
      </w:r>
    </w:p>
    <w:p>
      <w:pPr>
        <w:spacing w:after="0" w:line="130" w:lineRule="exact"/>
        <w:rPr>
          <w:rFonts w:ascii="Arial" w:cs="Arial" w:eastAsia="Arial" w:hAnsi="Arial"/>
          <w:sz w:val="18"/>
          <w:szCs w:val="18"/>
          <w:color w:val="auto"/>
        </w:rPr>
      </w:pPr>
    </w:p>
    <w:p>
      <w:pPr>
        <w:ind w:left="1480" w:right="340" w:hanging="446"/>
        <w:spacing w:after="0" w:line="277"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We believe that government data requests should be limited in the information they seek and narrowly tailored to specific people and legitimate investigations. We’ll resist blanket and overly broad requests.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Provide trusted services</w:t>
      </w:r>
    </w:p>
    <w:p>
      <w:pPr>
        <w:spacing w:after="0" w:line="130" w:lineRule="exact"/>
        <w:rPr>
          <w:rFonts w:ascii="Arial" w:cs="Arial" w:eastAsia="Arial" w:hAnsi="Arial"/>
          <w:sz w:val="18"/>
          <w:szCs w:val="18"/>
          <w:color w:val="auto"/>
        </w:rPr>
      </w:pPr>
    </w:p>
    <w:p>
      <w:pPr>
        <w:ind w:left="1480" w:right="140" w:hanging="446"/>
        <w:spacing w:after="0" w:line="308"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We believe that governments should never install backdoors into online services or compromise infrastructure to obtain user data. We’ll continue to work to protect our systems and to change laws to make it clear that this type of activity is illegal.</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Protect all users</w:t>
      </w:r>
    </w:p>
    <w:p>
      <w:pPr>
        <w:spacing w:after="0" w:line="130" w:lineRule="exact"/>
        <w:rPr>
          <w:rFonts w:ascii="Arial" w:cs="Arial" w:eastAsia="Arial" w:hAnsi="Arial"/>
          <w:sz w:val="18"/>
          <w:szCs w:val="18"/>
          <w:color w:val="auto"/>
        </w:rPr>
      </w:pPr>
    </w:p>
    <w:p>
      <w:pPr>
        <w:ind w:left="1480" w:hanging="446"/>
        <w:spacing w:after="0" w:line="286"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We believe that laws that give people different protections based on where they live or their citizenship are antiquated and don’t reflect the global nature of online services. We’re committed to providing the same level of protection to all of our users. That means that we use our guiding principles to scrutinize all the requests we receive, regardless of the origin of the request or user.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markets include the following:</w:t>
      </w:r>
    </w:p>
    <w:p>
      <w:pPr>
        <w:spacing w:after="0" w:line="13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over 550 issued patents and more than 550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and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179"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corporate headquarters is located in San Francisco, California, pursuant to operating leases that expire in 2027. We lease additional offices in San Francisco and around the world, including in Austin, Texas; Dublin, Ireland; London, United Kingdom; New York, New York; Seattle, Washington; Sydney, Australia; and Tokyo, Japan. We have datacenter co-location facilities in California, Texas, and Virginia. We believe that these facilities are generally suitable to meet our needs.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December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Age</w:t>
            </w:r>
          </w:p>
        </w:tc>
        <w:tc>
          <w:tcPr>
            <w:tcW w:w="7060" w:type="dxa"/>
            <w:vAlign w:val="bottom"/>
          </w:tcPr>
          <w:p>
            <w:pPr>
              <w:ind w:left="32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60" w:type="dxa"/>
            <w:vAlign w:val="bottom"/>
            <w:gridSpan w:val="2"/>
          </w:tcPr>
          <w:p>
            <w:pPr>
              <w:spacing w:after="0" w:line="175" w:lineRule="exact"/>
              <w:rPr>
                <w:sz w:val="20"/>
                <w:szCs w:val="20"/>
                <w:color w:val="auto"/>
              </w:rPr>
            </w:pPr>
            <w:r>
              <w:rPr>
                <w:rFonts w:ascii="Arial" w:cs="Arial" w:eastAsia="Arial" w:hAnsi="Arial"/>
                <w:sz w:val="18"/>
                <w:szCs w:val="18"/>
                <w:i w:val="1"/>
                <w:iCs w:val="1"/>
                <w:color w:val="auto"/>
              </w:rPr>
              <w:t>Executive officers: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Andrew W. Houston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Executive Officer, Co-Founder, and Chairman</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Arash Ferdowsi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Co-Founder and Director</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Quentin J. Clark</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Senior Vice President of Engineering, Product, and Design</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Ajay V. Vashee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Bart E. Volkmer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Dennis M. Woodside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69"/>
        </w:trPr>
        <w:tc>
          <w:tcPr>
            <w:tcW w:w="3880" w:type="dxa"/>
            <w:vAlign w:val="bottom"/>
            <w:gridSpan w:val="3"/>
          </w:tcPr>
          <w:p>
            <w:pPr>
              <w:spacing w:after="0"/>
              <w:rPr>
                <w:sz w:val="20"/>
                <w:szCs w:val="20"/>
                <w:color w:val="auto"/>
              </w:rPr>
            </w:pPr>
            <w:r>
              <w:rPr>
                <w:rFonts w:ascii="Arial" w:cs="Arial" w:eastAsia="Arial" w:hAnsi="Arial"/>
                <w:sz w:val="18"/>
                <w:szCs w:val="18"/>
                <w:i w:val="1"/>
                <w:iCs w:val="1"/>
                <w:color w:val="auto"/>
              </w:rPr>
              <w:t>Non-executive directors</w:t>
            </w: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Donald W. Blair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Paul E. Jacobs</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Robert J. Mylod, Jr.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Condoleezza Rice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R. Bryan Schreier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Margaret C. Whitman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i w:val="1"/>
          <w:iCs w:val="1"/>
          <w:color w:val="auto"/>
        </w:rPr>
        <w:t>Andrew W. Houston</w:t>
      </w:r>
      <w:r>
        <w:rPr>
          <w:rFonts w:ascii="Arial" w:cs="Arial" w:eastAsia="Arial" w:hAnsi="Arial"/>
          <w:sz w:val="18"/>
          <w:szCs w:val="18"/>
          <w:color w:val="auto"/>
        </w:rPr>
        <w:t>. Mr. Houston is one of our co-founders and has served as a member of our Board of Directors and our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2007. Mr. Houston holds a B.S. in Computer Science from the Massachusetts Institute of Technology.</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Mr. Houston was selected to serve on our Board of Directors because of the perspective and experience he brings as our Chief Executive Officer and as one of our co-founders.</w:t>
      </w:r>
    </w:p>
    <w:p>
      <w:pPr>
        <w:spacing w:after="0" w:line="170"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i w:val="1"/>
          <w:iCs w:val="1"/>
          <w:color w:val="auto"/>
        </w:rPr>
        <w:t>Arash Ferdowsi</w:t>
      </w:r>
      <w:r>
        <w:rPr>
          <w:rFonts w:ascii="Arial" w:cs="Arial" w:eastAsia="Arial" w:hAnsi="Arial"/>
          <w:sz w:val="17"/>
          <w:szCs w:val="17"/>
          <w:color w:val="auto"/>
        </w:rPr>
        <w:t>. Mr. Ferdowsi is one of our co-founders and has served as a member of our Board of Directors since June 2007. From June 2007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2016, Mr. Ferdowsi served as our Chief Technology Officer. Mr. Ferdowsi attended the Massachusetts Institute of Technology.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Mr. Ferdowsi was selected to serve on our Board of Directors because of the perspective and experience he brings as one of our co-founders.</w:t>
      </w:r>
    </w:p>
    <w:p>
      <w:pPr>
        <w:spacing w:after="0" w:line="23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Quentin J. Clark</w:t>
      </w:r>
      <w:r>
        <w:rPr>
          <w:rFonts w:ascii="Arial" w:cs="Arial" w:eastAsia="Arial" w:hAnsi="Arial"/>
          <w:sz w:val="16"/>
          <w:szCs w:val="16"/>
          <w:color w:val="auto"/>
        </w:rPr>
        <w:t>. Mr. Clark has served as our Senior Vice President of Engineering, Product, and Design since September 2017. From November 2014</w:t>
      </w:r>
      <w:r>
        <w:rPr>
          <w:rFonts w:ascii="Arial" w:cs="Arial" w:eastAsia="Arial" w:hAnsi="Arial"/>
          <w:sz w:val="16"/>
          <w:szCs w:val="16"/>
          <w:i w:val="1"/>
          <w:iCs w:val="1"/>
          <w:color w:val="auto"/>
        </w:rPr>
        <w:t xml:space="preserve"> </w:t>
      </w:r>
      <w:r>
        <w:rPr>
          <w:rFonts w:ascii="Arial" w:cs="Arial" w:eastAsia="Arial" w:hAnsi="Arial"/>
          <w:sz w:val="16"/>
          <w:szCs w:val="16"/>
          <w:color w:val="auto"/>
        </w:rPr>
        <w:t>to September 2016, Mr. Clark served as Executive Vice President for SAP America, Inc., a developer of business software solutions, as its Chief Business Officer from October 2015 to September 2016, and as its Chief Technology Officer from November 2014 to October 2015. Prior to joining SAP, Mr. Clark served at Microsoft Corporation, a global technology company, and as a Corporate Vice President of enterprise business units since 2011, and held various engineering and product leadership roles at Microsoft since 1994. Mr. Clark holds a B.S. in Physics from the University of Massachusetts Amherst.</w:t>
      </w:r>
    </w:p>
    <w:p>
      <w:pPr>
        <w:spacing w:after="0" w:line="15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Ajay V. Vashee</w:t>
      </w:r>
      <w:r>
        <w:rPr>
          <w:rFonts w:ascii="Arial" w:cs="Arial" w:eastAsia="Arial" w:hAnsi="Arial"/>
          <w:sz w:val="18"/>
          <w:szCs w:val="18"/>
          <w:color w:val="auto"/>
        </w:rPr>
        <w:t>. Mr. Vashee has served as our Chief Financial Officer since September 2016. From February 2015 to September 2016, Mr. Vashee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Head of Corporate Development. From April 2012 to February 2015, Mr. Vashee served as our Head of Finance. Mr. Vashee holds a B.A. in Economics-Political Science from Columbia University.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i w:val="1"/>
          <w:iCs w:val="1"/>
          <w:color w:val="auto"/>
        </w:rPr>
        <w:t>Bart E. Volkmer</w:t>
      </w:r>
      <w:r>
        <w:rPr>
          <w:rFonts w:ascii="Arial" w:cs="Arial" w:eastAsia="Arial" w:hAnsi="Arial"/>
          <w:sz w:val="17"/>
          <w:szCs w:val="17"/>
          <w:color w:val="auto"/>
        </w:rPr>
        <w:t>. Mr. Volkmer has served as our General Counsel since June 2016. From August 2011 to June 2016, Mr. Volkmer served as our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&amp; Regulatory. Mr. Volkmer holds a J.D. from Santa Clara University School of Law and a B.A. in English from Creighton University.</w:t>
      </w:r>
    </w:p>
    <w:p>
      <w:pPr>
        <w:spacing w:after="0" w:line="147"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i w:val="1"/>
          <w:iCs w:val="1"/>
          <w:color w:val="auto"/>
        </w:rPr>
        <w:t>Dennis M. Woodside</w:t>
      </w:r>
      <w:r>
        <w:rPr>
          <w:rFonts w:ascii="Arial" w:cs="Arial" w:eastAsia="Arial" w:hAnsi="Arial"/>
          <w:sz w:val="17"/>
          <w:szCs w:val="17"/>
          <w:color w:val="auto"/>
        </w:rPr>
        <w:t>. Mr. Woodside has served as our Chief Operating Officer since April 2014. From May 2012 to April 2014, Mr. Woodside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Executive Officer for Motorola Mobility LLC, a consumer electronics and telecommunications company now owned by Lenovo Group Ltd. From March 2009 to September 2011, Mr. Woodside served as President, Americas &amp; Senior Vice President for Google Inc., a global technology company. Mr. Woodside holds a J.D. from Stanford Law School and a B.S. in Industrial Relations from Cornell University.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Donald W. Blair. </w:t>
      </w:r>
      <w:r>
        <w:rPr>
          <w:rFonts w:ascii="Arial" w:cs="Arial" w:eastAsia="Arial" w:hAnsi="Arial"/>
          <w:sz w:val="17"/>
          <w:szCs w:val="17"/>
          <w:color w:val="auto"/>
        </w:rPr>
        <w:t>Mr. Blair has served as a member of our Board of Directors since December 2017. From November 1999 to October 2015, Mr. Blair</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Mr. Blair was selected to serve on our Board of Directors because of his extensive financial expertise, and business management and governance experience.</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i w:val="1"/>
          <w:iCs w:val="1"/>
          <w:color w:val="auto"/>
        </w:rPr>
        <w:t>Paul E. Jacobs, Ph.D</w:t>
      </w:r>
      <w:r>
        <w:rPr>
          <w:rFonts w:ascii="Arial" w:cs="Arial" w:eastAsia="Arial" w:hAnsi="Arial"/>
          <w:sz w:val="17"/>
          <w:szCs w:val="17"/>
          <w:color w:val="auto"/>
        </w:rPr>
        <w:t>. Dr. Jacobs has served as a member of our Board of Directors since April 2016. Dr. Jacobs has served as the Executive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for Qualcomm Inc., a semiconductor and telecommunications equipment company, since March 2014 and as the Chairman of its board of directors since March 2009. From July 2005 to March 2017, Dr. Jacobs served as Chief Executive Officer for Qualcomm Inc. Dr. Jacobs also currently serves as a member of the board of directors for a number of private companies. Dr. Jacobs holds a Ph.D. in Electrical Engineering and Computer Science, a M.S. in Electrical Engineering, and a B.S. in Electrical Engineering and Computer Science from the University of California, Berkeley.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Jacobs was selected to serve on our Board of Directors because of his extensive business, operations, and management experience.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Robert J. Mylod Jr</w:t>
      </w:r>
      <w:r>
        <w:rPr>
          <w:rFonts w:ascii="Arial" w:cs="Arial" w:eastAsia="Arial" w:hAnsi="Arial"/>
          <w:sz w:val="18"/>
          <w:szCs w:val="18"/>
          <w:color w:val="auto"/>
        </w:rPr>
        <w:t>. Mr. Mylod has served as a member of our Board of Directors since September 2014. Mr. Mylod has served as Managing Partner for</w:t>
      </w:r>
      <w:r>
        <w:rPr>
          <w:rFonts w:ascii="Arial" w:cs="Arial" w:eastAsia="Arial" w:hAnsi="Arial"/>
          <w:sz w:val="18"/>
          <w:szCs w:val="18"/>
          <w:i w:val="1"/>
          <w:iCs w:val="1"/>
          <w:color w:val="auto"/>
        </w:rPr>
        <w:t xml:space="preserve"> </w:t>
      </w:r>
      <w:r>
        <w:rPr>
          <w:rFonts w:ascii="Arial" w:cs="Arial" w:eastAsia="Arial" w:hAnsi="Arial"/>
          <w:sz w:val="18"/>
          <w:szCs w:val="18"/>
          <w:color w:val="auto"/>
        </w:rPr>
        <w:t>Annox Capital Management, a venture capital firm that he founded, since January 2013. Mr. Mylod served as Head of Worldwide Strategy &amp; Planning and Vice Chairman for The Priceline Group Inc.,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The Priceline Group, Inc. and a number of private companies. Mr. Mylod holds an M.B.A. from the University of Chicago Booth School of Business and an A.B. in English from the University of Michigan.</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Mr. Mylod was selected to serve on our Board of Directors because of his financial expertise and extensive business, operations, and management experience.</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Condoleezza Rice, Ph.D. </w:t>
      </w:r>
      <w:r>
        <w:rPr>
          <w:rFonts w:ascii="Arial" w:cs="Arial" w:eastAsia="Arial" w:hAnsi="Arial"/>
          <w:sz w:val="18"/>
          <w:szCs w:val="18"/>
          <w:color w:val="auto"/>
        </w:rPr>
        <w:t>Dr. Rice has served as a member of our Board of Directors since April 2014. Since September 2010, Dr. Rice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Denning Professor of Global Business and the Economy for the Stanford Graduate School of Business. Since March 2009, Dr. Rice has served as a Senior Fellow of Public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Dr. Rice was selected to serve on our Board of Directors because of her deep global expertise and business experience from her prior roles as a director of multiple public companies and her background in policymaking, education, and innovation.</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i w:val="1"/>
          <w:iCs w:val="1"/>
          <w:color w:val="auto"/>
        </w:rPr>
        <w:t>R. Bryan Schreier</w:t>
      </w:r>
      <w:r>
        <w:rPr>
          <w:rFonts w:ascii="Arial" w:cs="Arial" w:eastAsia="Arial" w:hAnsi="Arial"/>
          <w:sz w:val="18"/>
          <w:szCs w:val="18"/>
          <w:color w:val="auto"/>
        </w:rPr>
        <w:t>. Mr. Schreier has served as a member of our Board of Directors since July 2009. Since March 2008, Mr. Schreier has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Sequoia Capital, a venture capital firm. Mr. Schreier currently serves as a member of the board of directors for a number of private companies. Mr. Schreier holds a B.A. in Computer Science from Princeton University.</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Mr. Schreier was selected to serve on our Board of Directors because of his financial and managerial experience and because he represents our largest stockholder.</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 xml:space="preserve">Margaret C. Whitman. </w:t>
      </w:r>
      <w:r>
        <w:rPr>
          <w:rFonts w:ascii="Arial" w:cs="Arial" w:eastAsia="Arial" w:hAnsi="Arial"/>
          <w:sz w:val="17"/>
          <w:szCs w:val="17"/>
          <w:color w:val="auto"/>
        </w:rPr>
        <w:t>Ms. Whitman has served as a member of our Board of Directors since September 2017. Since February 2018, Ms. Whitman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Chief Executive Officer for NewTV, a mobile media company. From June 2017 to January 2018, Ms. Whitman 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Hewlett Packard Enterprise Company,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Hewlett Packard Enterprise Company, and DXC Technology Company, an information technology and consulting services company. Ms. Whitman previously served as a member of the board of directors for HP Inc. and for a number of private companies. Ms. Whitman holds an M.B.A from Harvard Business School and an A.B. in Economics from Princeton University.</w:t>
      </w:r>
    </w:p>
    <w:p>
      <w:pPr>
        <w:spacing w:after="0" w:line="18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Ms. Whitman was selected to serve on our Board of Directors because of her extensive leadership, strategy, risk management, and consumer industry experience.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investor relations page on our website. We intend to disclose any amendments to our code of business conduct and ethics, or waivers of its requirements, on our website or in filings under the Exchange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eight directors, of whom qualify as “independent” under the listing standards of the . Pursuant to our current certificate of incorporation and amended and restated voting agreement, our current directors were elected as follows:</w:t>
      </w:r>
    </w:p>
    <w:p>
      <w:pPr>
        <w:spacing w:after="0" w:line="87" w:lineRule="exact"/>
        <w:rPr>
          <w:sz w:val="20"/>
          <w:szCs w:val="20"/>
          <w:color w:val="auto"/>
        </w:rPr>
      </w:pPr>
    </w:p>
    <w:p>
      <w:pPr>
        <w:ind w:left="900" w:right="26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Messrs. Ferdowsi, Houston, Blair, Jacobs, and Mylod and Mses. Rice and Whitman were elected as the designees nominated by holders of our common stock, excluding the common stock issued upon conversion of our convertible preferred stock;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Schreier was elected as the preferred stock designee nominated by entities affiliated with Sequoia Capital.</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intend to adopt an amended and restated certificate of incorporation that will become effective immediately prior to the completion of this offering. Our amended and restated certificate of incorporation will provide that, immediately after the completion of this offering,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 directors will be</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ind w:left="220"/>
              <w:spacing w:after="0"/>
              <w:rPr>
                <w:sz w:val="20"/>
                <w:szCs w:val="20"/>
                <w:color w:val="auto"/>
              </w:rPr>
            </w:pPr>
            <w:r>
              <w:rPr>
                <w:rFonts w:ascii="Arial" w:cs="Arial" w:eastAsia="Arial" w:hAnsi="Arial"/>
                <w:sz w:val="18"/>
                <w:szCs w:val="18"/>
                <w:color w:val="auto"/>
              </w:rPr>
              <w:t>, and</w:t>
            </w:r>
          </w:p>
        </w:tc>
        <w:tc>
          <w:tcPr>
            <w:tcW w:w="6480" w:type="dxa"/>
            <w:vAlign w:val="bottom"/>
          </w:tcPr>
          <w:p>
            <w:pPr>
              <w:ind w:left="240"/>
              <w:spacing w:after="0"/>
              <w:rPr>
                <w:sz w:val="20"/>
                <w:szCs w:val="20"/>
                <w:color w:val="auto"/>
              </w:rPr>
            </w:pPr>
            <w:r>
              <w:rPr>
                <w:rFonts w:ascii="Arial" w:cs="Arial" w:eastAsia="Arial" w:hAnsi="Arial"/>
                <w:sz w:val="18"/>
                <w:szCs w:val="18"/>
                <w:color w:val="auto"/>
                <w:w w:val="92"/>
              </w:rPr>
              <w:t>, and their terms will expire at the annual meeting of stockholders to be held in 2019;</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II directors will be</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280"/>
              <w:spacing w:after="0"/>
              <w:rPr>
                <w:sz w:val="20"/>
                <w:szCs w:val="20"/>
                <w:color w:val="auto"/>
              </w:rPr>
            </w:pPr>
            <w:r>
              <w:rPr>
                <w:rFonts w:ascii="Arial" w:cs="Arial" w:eastAsia="Arial" w:hAnsi="Arial"/>
                <w:sz w:val="18"/>
                <w:szCs w:val="18"/>
                <w:color w:val="auto"/>
              </w:rPr>
              <w:t>, and</w:t>
            </w:r>
          </w:p>
        </w:tc>
        <w:tc>
          <w:tcPr>
            <w:tcW w:w="6480" w:type="dxa"/>
            <w:vAlign w:val="bottom"/>
          </w:tcPr>
          <w:p>
            <w:pPr>
              <w:ind w:left="300"/>
              <w:spacing w:after="0"/>
              <w:rPr>
                <w:sz w:val="20"/>
                <w:szCs w:val="20"/>
                <w:color w:val="auto"/>
              </w:rPr>
            </w:pPr>
            <w:r>
              <w:rPr>
                <w:rFonts w:ascii="Arial" w:cs="Arial" w:eastAsia="Arial" w:hAnsi="Arial"/>
                <w:sz w:val="18"/>
                <w:szCs w:val="18"/>
                <w:color w:val="auto"/>
                <w:w w:val="91"/>
              </w:rPr>
              <w:t>, and their terms will expire at the annual meeting of stockholders to be held in 2020;</w:t>
            </w:r>
          </w:p>
        </w:tc>
      </w:tr>
      <w:tr>
        <w:trPr>
          <w:trHeight w:val="230"/>
        </w:trPr>
        <w:tc>
          <w:tcPr>
            <w:tcW w:w="180" w:type="dxa"/>
            <w:vAlign w:val="bottom"/>
          </w:tcPr>
          <w:p>
            <w:pPr>
              <w:spacing w:after="0"/>
              <w:rPr>
                <w:sz w:val="20"/>
                <w:szCs w:val="20"/>
                <w:color w:val="auto"/>
              </w:rPr>
            </w:pPr>
          </w:p>
        </w:tc>
        <w:tc>
          <w:tcPr>
            <w:tcW w:w="2460" w:type="dxa"/>
            <w:vAlign w:val="bottom"/>
          </w:tcPr>
          <w:p>
            <w:pPr>
              <w:ind w:left="140"/>
              <w:spacing w:after="0"/>
              <w:rPr>
                <w:sz w:val="20"/>
                <w:szCs w:val="20"/>
                <w:color w:val="auto"/>
              </w:rPr>
            </w:pPr>
            <w:r>
              <w:rPr>
                <w:rFonts w:ascii="Arial" w:cs="Arial" w:eastAsia="Arial" w:hAnsi="Arial"/>
                <w:sz w:val="18"/>
                <w:szCs w:val="18"/>
                <w:color w:val="auto"/>
              </w:rPr>
              <w:t>and</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80" w:type="dxa"/>
            <w:vAlign w:val="bottom"/>
          </w:tcPr>
          <w:p>
            <w:pPr>
              <w:spacing w:after="0"/>
              <w:rPr>
                <w:sz w:val="20"/>
                <w:szCs w:val="20"/>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the Class III directors will be</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ind w:left="340"/>
              <w:spacing w:after="0"/>
              <w:rPr>
                <w:sz w:val="20"/>
                <w:szCs w:val="20"/>
                <w:color w:val="auto"/>
              </w:rPr>
            </w:pPr>
            <w:r>
              <w:rPr>
                <w:rFonts w:ascii="Arial" w:cs="Arial" w:eastAsia="Arial" w:hAnsi="Arial"/>
                <w:sz w:val="18"/>
                <w:szCs w:val="18"/>
                <w:color w:val="auto"/>
              </w:rPr>
              <w:t>, and</w:t>
            </w:r>
          </w:p>
        </w:tc>
        <w:tc>
          <w:tcPr>
            <w:tcW w:w="6480" w:type="dxa"/>
            <w:vAlign w:val="bottom"/>
          </w:tcPr>
          <w:p>
            <w:pPr>
              <w:ind w:left="360"/>
              <w:spacing w:after="0"/>
              <w:rPr>
                <w:sz w:val="20"/>
                <w:szCs w:val="20"/>
                <w:color w:val="auto"/>
              </w:rPr>
            </w:pPr>
            <w:r>
              <w:rPr>
                <w:rFonts w:ascii="Arial" w:cs="Arial" w:eastAsia="Arial" w:hAnsi="Arial"/>
                <w:sz w:val="18"/>
                <w:szCs w:val="18"/>
                <w:color w:val="auto"/>
                <w:w w:val="90"/>
              </w:rPr>
              <w:t>, and their terms will expire at the annual meeting of stockholders to be held in 2021.</w:t>
            </w:r>
          </w:p>
        </w:tc>
      </w:tr>
    </w:tbl>
    <w:p>
      <w:pPr>
        <w:spacing w:after="0" w:line="20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our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519"/>
        </w:trPr>
        <w:tc>
          <w:tcPr>
            <w:tcW w:w="1720" w:type="dxa"/>
            <w:vAlign w:val="bottom"/>
            <w:gridSpan w:val="2"/>
          </w:tcPr>
          <w:p>
            <w:pPr>
              <w:spacing w:after="0"/>
              <w:rPr>
                <w:sz w:val="20"/>
                <w:szCs w:val="20"/>
                <w:color w:val="auto"/>
              </w:rPr>
            </w:pPr>
            <w:r>
              <w:rPr>
                <w:rFonts w:ascii="Arial" w:cs="Arial" w:eastAsia="Arial" w:hAnsi="Arial"/>
                <w:sz w:val="18"/>
                <w:szCs w:val="18"/>
                <w:color w:val="auto"/>
              </w:rPr>
              <w:t>has determined that</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ind w:left="300"/>
              <w:spacing w:after="0"/>
              <w:rPr>
                <w:sz w:val="20"/>
                <w:szCs w:val="20"/>
                <w:color w:val="auto"/>
              </w:rPr>
            </w:pPr>
            <w:r>
              <w:rPr>
                <w:rFonts w:ascii="Arial" w:cs="Arial" w:eastAsia="Arial" w:hAnsi="Arial"/>
                <w:sz w:val="18"/>
                <w:szCs w:val="18"/>
                <w:color w:val="auto"/>
              </w:rPr>
              <w:t>, and</w:t>
            </w:r>
          </w:p>
        </w:tc>
        <w:tc>
          <w:tcPr>
            <w:tcW w:w="8120" w:type="dxa"/>
            <w:vAlign w:val="bottom"/>
            <w:gridSpan w:val="2"/>
          </w:tcPr>
          <w:p>
            <w:pPr>
              <w:jc w:val="right"/>
              <w:spacing w:after="0"/>
              <w:rPr>
                <w:sz w:val="20"/>
                <w:szCs w:val="20"/>
                <w:color w:val="auto"/>
              </w:rPr>
            </w:pPr>
            <w:r>
              <w:rPr>
                <w:rFonts w:ascii="Arial" w:cs="Arial" w:eastAsia="Arial" w:hAnsi="Arial"/>
                <w:sz w:val="18"/>
                <w:szCs w:val="18"/>
                <w:color w:val="auto"/>
                <w:w w:val="94"/>
              </w:rPr>
              <w:t>do not have a relationship that would interfere with the exercise of independent judgment in carrying out the</w:t>
            </w:r>
          </w:p>
        </w:tc>
      </w:tr>
      <w:tr>
        <w:trPr>
          <w:trHeight w:val="230"/>
        </w:trPr>
        <w:tc>
          <w:tcPr>
            <w:tcW w:w="9880" w:type="dxa"/>
            <w:vAlign w:val="bottom"/>
            <w:gridSpan w:val="5"/>
          </w:tcPr>
          <w:p>
            <w:pPr>
              <w:spacing w:after="0"/>
              <w:rPr>
                <w:sz w:val="20"/>
                <w:szCs w:val="20"/>
                <w:color w:val="auto"/>
              </w:rPr>
            </w:pPr>
            <w:r>
              <w:rPr>
                <w:rFonts w:ascii="Arial" w:cs="Arial" w:eastAsia="Arial" w:hAnsi="Arial"/>
                <w:sz w:val="18"/>
                <w:szCs w:val="18"/>
                <w:color w:val="auto"/>
                <w:w w:val="93"/>
              </w:rPr>
              <w:t>responsibilities of a director and that each of these directors is “independent” as that term is defined under the listing standards of the</w:t>
            </w:r>
          </w:p>
        </w:tc>
        <w:tc>
          <w:tcPr>
            <w:tcW w:w="1540" w:type="dxa"/>
            <w:vAlign w:val="bottom"/>
          </w:tcPr>
          <w:p>
            <w:pPr>
              <w:jc w:val="right"/>
              <w:spacing w:after="0"/>
              <w:rPr>
                <w:sz w:val="20"/>
                <w:szCs w:val="20"/>
                <w:color w:val="auto"/>
              </w:rPr>
            </w:pPr>
            <w:r>
              <w:rPr>
                <w:rFonts w:ascii="Arial" w:cs="Arial" w:eastAsia="Arial" w:hAnsi="Arial"/>
                <w:sz w:val="18"/>
                <w:szCs w:val="18"/>
                <w:color w:val="auto"/>
              </w:rPr>
              <w:t>. In making these</w:t>
            </w:r>
          </w:p>
        </w:tc>
      </w:tr>
    </w:tbl>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intends to adopt corporate governance guidelines that will provide that one of our independent directors should serve as our</w:t>
      </w:r>
    </w:p>
    <w:p>
      <w:pPr>
        <w:sectPr>
          <w:pgSz w:w="11900" w:h="16838" w:orient="portrait"/>
          <w:cols w:equalWidth="0" w:num="1">
            <w:col w:w="11420"/>
          </w:cols>
          <w:pgMar w:left="240" w:top="446" w:right="239" w:bottom="1440" w:gutter="0" w:footer="0" w:header="0"/>
        </w:sectPr>
      </w:pP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Lead Independent Director at any time when our Chief Executive Officer serves as the Chairman of our Board of Directors or if the Chairman is not otherwise independent. Because Andrew W. Houston is our Chairman and is not an “independent” director as defined in the listing standards of Board of Directors has appointed to serve as our Lead Independent Director. As Lead Independent Director, will preside over periodic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our</w:t>
      </w:r>
    </w:p>
    <w:p>
      <w:pPr>
        <w:spacing w:after="0" w:line="262" w:lineRule="exact"/>
        <w:rPr>
          <w:sz w:val="20"/>
          <w:szCs w:val="20"/>
          <w:color w:val="auto"/>
        </w:rPr>
      </w:pPr>
    </w:p>
    <w:p>
      <w:pPr>
        <w:sectPr>
          <w:pgSz w:w="11900" w:h="16838" w:orient="portrait"/>
          <w:cols w:equalWidth="0" w:num="2">
            <w:col w:w="10840" w:space="80"/>
            <w:col w:w="500"/>
          </w:cols>
          <w:pgMar w:left="240" w:top="446" w:right="239" w:bottom="1440" w:gutter="0" w:footer="0" w:header="0"/>
          <w:type w:val="continuous"/>
        </w:sectPr>
      </w:pPr>
    </w:p>
    <w:p>
      <w:pPr>
        <w:ind w:right="420"/>
        <w:spacing w:after="0" w:line="261" w:lineRule="auto"/>
        <w:rPr>
          <w:sz w:val="20"/>
          <w:szCs w:val="20"/>
          <w:color w:val="auto"/>
        </w:rPr>
      </w:pPr>
      <w:r>
        <w:rPr>
          <w:rFonts w:ascii="Arial" w:cs="Arial" w:eastAsia="Arial" w:hAnsi="Arial"/>
          <w:sz w:val="18"/>
          <w:szCs w:val="18"/>
          <w:color w:val="auto"/>
        </w:rPr>
        <w:t>meetings of our independent directors, serve as a liaison between our Chairman and our independent directors, and perform such additional duties as our Board of Directors may otherwise determine and delegate.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20" w:firstLine="456"/>
        <w:spacing w:after="0" w:line="343" w:lineRule="auto"/>
        <w:rPr>
          <w:sz w:val="20"/>
          <w:szCs w:val="20"/>
          <w:color w:val="auto"/>
        </w:rPr>
      </w:pPr>
      <w:r>
        <w:rPr>
          <w:rFonts w:ascii="Arial" w:cs="Arial" w:eastAsia="Arial" w:hAnsi="Arial"/>
          <w:sz w:val="18"/>
          <w:szCs w:val="18"/>
          <w:color w:val="auto"/>
        </w:rPr>
        <w:t>Following the completion of this offering, our audit committee will consist of , , and , with serving as Chairperson, each of whom will meet the requirements for independence under the listing standards of the and SEC rules and regulations. Each member of our audit committee also meets the financial literacy and sophistication requirements of the listing standards of the . In addition, our Board of Directors has completion of this offering, our audit committee will be responsible for, among other things:</w:t>
      </w:r>
    </w:p>
    <w:p>
      <w:pPr>
        <w:spacing w:after="0" w:line="19"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policies and estimates;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internal accounting controls, or audit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46" w:right="2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that satisfies the applicable rules and</w:t>
      </w:r>
    </w:p>
    <w:p>
      <w:pPr>
        <w:spacing w:after="0" w:line="35"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regulations of the SEC and the listing standards of the</w:t>
      </w:r>
      <w:r>
        <w:rPr>
          <w:sz w:val="20"/>
          <w:szCs w:val="20"/>
          <w:color w:val="auto"/>
        </w:rPr>
        <w:tab/>
      </w:r>
      <w:r>
        <w:rPr>
          <w:rFonts w:ascii="Arial" w:cs="Arial" w:eastAsia="Arial" w:hAnsi="Arial"/>
          <w:sz w:val="14"/>
          <w:szCs w:val="14"/>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440" w:firstLine="456"/>
        <w:spacing w:after="0" w:line="258" w:lineRule="auto"/>
        <w:rPr>
          <w:sz w:val="20"/>
          <w:szCs w:val="20"/>
          <w:color w:val="auto"/>
        </w:rPr>
      </w:pPr>
      <w:r>
        <w:rPr>
          <w:rFonts w:ascii="Arial" w:cs="Arial" w:eastAsia="Arial" w:hAnsi="Arial"/>
          <w:sz w:val="18"/>
          <w:szCs w:val="18"/>
          <w:color w:val="auto"/>
        </w:rPr>
        <w:t>Following the completion of this offering, our compensation committee will consist of , , and , with serving as Chairperson, each of whom will meet the requirements for independence under the listing standards of the and SEC rules and regulations. Each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member of our compensation committee will also be a non-employee director, as defined pursuant to Rule 16b-3 promulgated under the Exchange Act,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Rule 16b-3. Following the completion of this offering, our compensation committee will be responsible for, among other things:</w:t>
      </w:r>
    </w:p>
    <w:p>
      <w:pPr>
        <w:spacing w:after="0" w:line="116" w:lineRule="exact"/>
        <w:rPr>
          <w:sz w:val="20"/>
          <w:szCs w:val="20"/>
          <w:color w:val="auto"/>
        </w:rPr>
      </w:pPr>
    </w:p>
    <w:p>
      <w:pPr>
        <w:ind w:left="900" w:right="34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our Board of Directors regarding, the compensation of our executive officers;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reviewing, approving, and making recommendations to our Board of Directors regarding incentive compensation and equity compensation plans;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making recommendations regarding non-employee director compensation to our full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will operate under a written charter, to be effective prior to the completion of this offering, that satisfies the applicable</w:t>
      </w:r>
    </w:p>
    <w:p>
      <w:pPr>
        <w:spacing w:after="0" w:line="46"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rules and regulations of the SEC and the listing standards of the</w:t>
      </w:r>
      <w:r>
        <w:rPr>
          <w:sz w:val="20"/>
          <w:szCs w:val="20"/>
          <w:color w:val="auto"/>
        </w:rPr>
        <w:tab/>
      </w:r>
      <w:r>
        <w:rPr>
          <w:rFonts w:ascii="Arial" w:cs="Arial" w:eastAsia="Arial" w:hAnsi="Arial"/>
          <w:sz w:val="14"/>
          <w:szCs w:val="14"/>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right"/>
        <w:ind w:left="460" w:right="380"/>
        <w:spacing w:after="0" w:line="291" w:lineRule="auto"/>
        <w:rPr>
          <w:sz w:val="20"/>
          <w:szCs w:val="20"/>
          <w:color w:val="auto"/>
        </w:rPr>
      </w:pPr>
      <w:r>
        <w:rPr>
          <w:rFonts w:ascii="Arial" w:cs="Arial" w:eastAsia="Arial" w:hAnsi="Arial"/>
          <w:sz w:val="16"/>
          <w:szCs w:val="16"/>
          <w:color w:val="auto"/>
        </w:rPr>
        <w:t>Following the completion of this offering, our nominating and corporate governance committee will consist of       ,       , and       , with serving as Chairperson, each of whom will meet the requirements for independence under the listing standards of the       and SEC rules and</w:t>
      </w:r>
    </w:p>
    <w:p>
      <w:pPr>
        <w:spacing w:after="0"/>
        <w:rPr>
          <w:sz w:val="20"/>
          <w:szCs w:val="20"/>
          <w:color w:val="auto"/>
        </w:rPr>
      </w:pPr>
      <w:r>
        <w:rPr>
          <w:rFonts w:ascii="Arial" w:cs="Arial" w:eastAsia="Arial" w:hAnsi="Arial"/>
          <w:sz w:val="17"/>
          <w:szCs w:val="17"/>
          <w:color w:val="auto"/>
        </w:rPr>
        <w:t>regulations. Following the completion of this offering, our nominating and corporate governance committee will be responsible for, among other things:</w:t>
      </w:r>
    </w:p>
    <w:p>
      <w:pPr>
        <w:spacing w:after="0" w:line="128" w:lineRule="exact"/>
        <w:rPr>
          <w:sz w:val="20"/>
          <w:szCs w:val="20"/>
          <w:color w:val="auto"/>
        </w:rPr>
      </w:pPr>
    </w:p>
    <w:p>
      <w:pPr>
        <w:ind w:left="900" w:right="24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approving our committee charters;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compliance with our code of business conduct and ethics;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contributing to succession planning;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actual and potential conflicts of interest of our directors and officers other than related party transactions reviewed by our audit committee;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corporate governance committee will operate under a written charter, to be effective prior to the completion of this offering, that</w:t>
      </w:r>
    </w:p>
    <w:p>
      <w:pPr>
        <w:spacing w:after="0" w:line="46"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satisfies the applicable listing standards of the</w:t>
      </w:r>
      <w:r>
        <w:rPr>
          <w:sz w:val="20"/>
          <w:szCs w:val="20"/>
          <w:color w:val="auto"/>
        </w:rPr>
        <w:tab/>
      </w:r>
      <w:r>
        <w:rPr>
          <w:rFonts w:ascii="Arial" w:cs="Arial" w:eastAsia="Arial" w:hAnsi="Arial"/>
          <w:sz w:val="14"/>
          <w:szCs w:val="14"/>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employee directors, Messrs. Houston and Ferdowsi, have not received any compensation as directors.</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2017. In 2017, we did not pay any compensation to any person who served as a non-employee member of our Board of Directors who is affiliated with our greater than 5% stockholders.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320" w:type="dxa"/>
            <w:vAlign w:val="bottom"/>
            <w:vMerge w:val="restart"/>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0" w:type="dxa"/>
            <w:vAlign w:val="bottom"/>
            <w:tcBorders>
              <w:bottom w:val="single" w:sz="8" w:color="auto"/>
            </w:tcBorders>
            <w:vMerge w:val="continue"/>
          </w:tcPr>
          <w:p>
            <w:pPr>
              <w:spacing w:after="0"/>
              <w:rPr>
                <w:sz w:val="16"/>
                <w:szCs w:val="16"/>
                <w:color w:val="auto"/>
              </w:rPr>
            </w:pPr>
          </w:p>
        </w:tc>
        <w:tc>
          <w:tcPr>
            <w:tcW w:w="63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Donald W. Blair</w:t>
            </w:r>
            <w:r>
              <w:rPr>
                <w:rFonts w:ascii="Arial" w:cs="Arial" w:eastAsia="Arial" w:hAnsi="Arial"/>
                <w:sz w:val="15"/>
                <w:szCs w:val="15"/>
                <w:color w:val="auto"/>
              </w:rPr>
              <w:t>(2)</w:t>
            </w:r>
          </w:p>
        </w:tc>
        <w:tc>
          <w:tcPr>
            <w:tcW w:w="78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Paul E. Jacobs</w:t>
            </w:r>
          </w:p>
        </w:tc>
        <w:tc>
          <w:tcPr>
            <w:tcW w:w="12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Mylod, Jr.</w:t>
            </w: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Condoleezza Rice</w:t>
            </w:r>
          </w:p>
        </w:tc>
        <w:tc>
          <w:tcPr>
            <w:tcW w:w="12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C. Whitman</w:t>
            </w:r>
            <w:r>
              <w:rPr>
                <w:rFonts w:ascii="Arial" w:cs="Arial" w:eastAsia="Arial" w:hAnsi="Arial"/>
                <w:sz w:val="15"/>
                <w:szCs w:val="15"/>
                <w:color w:val="auto"/>
              </w:rPr>
              <w:t>(3)</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908,800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908,800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Arial" w:cs="Arial" w:eastAsia="Arial" w:hAnsi="Arial"/>
                <w:sz w:val="18"/>
                <w:szCs w:val="18"/>
                <w:color w:val="auto"/>
              </w:rPr>
              <w:t>R. Bryan Schreier</w:t>
            </w:r>
          </w:p>
        </w:tc>
        <w:tc>
          <w:tcPr>
            <w:tcW w:w="12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340" w:hanging="332"/>
        <w:spacing w:after="0" w:line="212" w:lineRule="auto"/>
        <w:tabs>
          <w:tab w:leader="none" w:pos="340" w:val="left"/>
        </w:tabs>
        <w:numPr>
          <w:ilvl w:val="0"/>
          <w:numId w:val="71"/>
        </w:numPr>
        <w:rPr>
          <w:rFonts w:ascii="Arial" w:cs="Arial" w:eastAsia="Arial" w:hAnsi="Arial"/>
          <w:sz w:val="28"/>
          <w:szCs w:val="28"/>
          <w:color w:val="auto"/>
          <w:vertAlign w:val="superscript"/>
        </w:rPr>
      </w:pPr>
      <w:r>
        <w:rPr>
          <w:rFonts w:ascii="Arial" w:cs="Arial" w:eastAsia="Arial" w:hAnsi="Arial"/>
          <w:sz w:val="16"/>
          <w:szCs w:val="16"/>
          <w:color w:val="auto"/>
        </w:rPr>
        <w:t>The amounts reported represent the aggregate grant-date fair value of the RSUs awarded to the director in 2017,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spacing w:after="0" w:line="2"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71"/>
        </w:numPr>
        <w:rPr>
          <w:rFonts w:ascii="Arial" w:cs="Arial" w:eastAsia="Arial" w:hAnsi="Arial"/>
          <w:sz w:val="23"/>
          <w:szCs w:val="23"/>
          <w:color w:val="auto"/>
          <w:vertAlign w:val="superscript"/>
        </w:rPr>
      </w:pPr>
      <w:r>
        <w:rPr>
          <w:rFonts w:ascii="Arial" w:cs="Arial" w:eastAsia="Arial" w:hAnsi="Arial"/>
          <w:sz w:val="14"/>
          <w:szCs w:val="14"/>
          <w:color w:val="auto"/>
        </w:rPr>
        <w:t>Mr. Blair became a member of our Board of Directors in December 2017.</w:t>
      </w:r>
    </w:p>
    <w:p>
      <w:pPr>
        <w:spacing w:after="0" w:line="11"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Ms. Whitman became a member of our Board of Directors in September 2017.</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2017:</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00" w:type="dxa"/>
            <w:vAlign w:val="bottom"/>
            <w:vMerge w:val="restart"/>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Date of</w:t>
            </w:r>
          </w:p>
        </w:tc>
        <w:tc>
          <w:tcPr>
            <w:tcW w:w="2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Number of shares underlying</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450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grant</w:t>
            </w:r>
          </w:p>
        </w:tc>
        <w:tc>
          <w:tcPr>
            <w:tcW w:w="7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7"/>
              </w:rPr>
              <w:t>unvested stock awards</w:t>
            </w:r>
            <w:r>
              <w:rPr>
                <w:rFonts w:ascii="Arial" w:cs="Arial" w:eastAsia="Arial" w:hAnsi="Arial"/>
                <w:sz w:val="12"/>
                <w:szCs w:val="12"/>
                <w:b w:val="1"/>
                <w:bCs w:val="1"/>
                <w:color w:val="auto"/>
                <w:w w:val="97"/>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W. Blair</w:t>
            </w:r>
            <w:r>
              <w:rPr>
                <w:rFonts w:ascii="Arial" w:cs="Arial" w:eastAsia="Arial" w:hAnsi="Arial"/>
                <w:sz w:val="15"/>
                <w:szCs w:val="15"/>
                <w:color w:val="auto"/>
              </w:rPr>
              <w:t>(2)</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Paul E. Jacobs</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5/24/16</w:t>
            </w:r>
            <w:r>
              <w:rPr>
                <w:rFonts w:ascii="Arial" w:cs="Arial" w:eastAsia="Arial" w:hAnsi="Arial"/>
                <w:sz w:val="15"/>
                <w:szCs w:val="15"/>
                <w:color w:val="auto"/>
              </w:rPr>
              <w:t>(3)</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Mylod, Jr.</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10/27/14</w:t>
            </w:r>
            <w:r>
              <w:rPr>
                <w:rFonts w:ascii="Arial" w:cs="Arial" w:eastAsia="Arial" w:hAnsi="Arial"/>
                <w:sz w:val="15"/>
                <w:szCs w:val="15"/>
                <w:color w:val="auto"/>
                <w:w w:val="94"/>
              </w:rPr>
              <w:t>(4)</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5/24/16</w:t>
            </w:r>
            <w:r>
              <w:rPr>
                <w:rFonts w:ascii="Arial" w:cs="Arial" w:eastAsia="Arial" w:hAnsi="Arial"/>
                <w:sz w:val="15"/>
                <w:szCs w:val="15"/>
                <w:color w:val="auto"/>
              </w:rPr>
              <w:t>(5)</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Condoleezza Rice</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7/29/14</w:t>
            </w:r>
            <w:r>
              <w:rPr>
                <w:rFonts w:ascii="Arial" w:cs="Arial" w:eastAsia="Arial" w:hAnsi="Arial"/>
                <w:sz w:val="15"/>
                <w:szCs w:val="15"/>
                <w:color w:val="auto"/>
              </w:rPr>
              <w:t>(6)</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5/24/16</w:t>
            </w:r>
            <w:r>
              <w:rPr>
                <w:rFonts w:ascii="Arial" w:cs="Arial" w:eastAsia="Arial" w:hAnsi="Arial"/>
                <w:sz w:val="15"/>
                <w:szCs w:val="15"/>
                <w:color w:val="auto"/>
              </w:rPr>
              <w:t>(7)</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C. Whitman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9/8/17</w:t>
            </w:r>
            <w:r>
              <w:rPr>
                <w:rFonts w:ascii="Arial" w:cs="Arial" w:eastAsia="Arial" w:hAnsi="Arial"/>
                <w:sz w:val="15"/>
                <w:szCs w:val="15"/>
                <w:color w:val="auto"/>
              </w:rPr>
              <w:t>(8)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R. Bryan Schreier</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340" w:right="100" w:hanging="332"/>
        <w:spacing w:after="0" w:line="193" w:lineRule="auto"/>
        <w:tabs>
          <w:tab w:leader="none" w:pos="340" w:val="left"/>
        </w:tabs>
        <w:numPr>
          <w:ilvl w:val="0"/>
          <w:numId w:val="72"/>
        </w:numPr>
        <w:rPr>
          <w:rFonts w:ascii="Arial" w:cs="Arial" w:eastAsia="Arial" w:hAnsi="Arial"/>
          <w:sz w:val="28"/>
          <w:szCs w:val="28"/>
          <w:color w:val="auto"/>
          <w:vertAlign w:val="superscript"/>
        </w:rPr>
      </w:pPr>
      <w:r>
        <w:rPr>
          <w:rFonts w:ascii="Arial" w:cs="Arial" w:eastAsia="Arial" w:hAnsi="Arial"/>
          <w:sz w:val="16"/>
          <w:szCs w:val="16"/>
          <w:color w:val="auto"/>
        </w:rPr>
        <w:t>As further described in the footnotes below, the RSUs granted prior to August 1, 2015, which we refer to as two-tier RSUs, will generally vest upon the satisfaction of a service-based vesting condition and the occurrence of the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Performance Vesting Condition. The Performance Vesting Condition occurs on the earlier of (i) an acquisition or change in control of the Company or (ii) the earlier of</w:t>
      </w:r>
    </w:p>
    <w:p>
      <w:pPr>
        <w:spacing w:after="0" w:line="34" w:lineRule="exact"/>
        <w:rPr>
          <w:sz w:val="20"/>
          <w:szCs w:val="20"/>
          <w:color w:val="auto"/>
        </w:rPr>
      </w:pPr>
    </w:p>
    <w:p>
      <w:pPr>
        <w:ind w:left="340" w:right="780"/>
        <w:spacing w:after="0" w:line="281" w:lineRule="auto"/>
        <w:rPr>
          <w:sz w:val="20"/>
          <w:szCs w:val="20"/>
          <w:color w:val="auto"/>
        </w:rPr>
      </w:pPr>
      <w:r>
        <w:rPr>
          <w:rFonts w:ascii="Arial" w:cs="Arial" w:eastAsia="Arial" w:hAnsi="Arial"/>
          <w:sz w:val="15"/>
          <w:szCs w:val="15"/>
          <w:color w:val="auto"/>
        </w:rPr>
        <w:t>(a) six months after our initial public offering or (b) March 15 of the year following our initial public offering. Our Board of Directors intends to accelerate the Performance Vesting Condition such that it will occur upon the effectiveness of our registration statement of which this prospectus forms a part.</w:t>
      </w:r>
    </w:p>
    <w:p>
      <w:pPr>
        <w:spacing w:after="0" w:line="1" w:lineRule="exact"/>
        <w:rPr>
          <w:sz w:val="20"/>
          <w:szCs w:val="20"/>
          <w:color w:val="auto"/>
        </w:rPr>
      </w:pPr>
    </w:p>
    <w:p>
      <w:pPr>
        <w:ind w:left="340" w:hanging="332"/>
        <w:spacing w:after="0" w:line="183" w:lineRule="auto"/>
        <w:tabs>
          <w:tab w:leader="none" w:pos="340" w:val="left"/>
        </w:tabs>
        <w:numPr>
          <w:ilvl w:val="0"/>
          <w:numId w:val="73"/>
        </w:numPr>
        <w:rPr>
          <w:rFonts w:ascii="Arial" w:cs="Arial" w:eastAsia="Arial" w:hAnsi="Arial"/>
          <w:sz w:val="23"/>
          <w:szCs w:val="23"/>
          <w:color w:val="auto"/>
          <w:vertAlign w:val="superscript"/>
        </w:rPr>
      </w:pPr>
      <w:r>
        <w:rPr>
          <w:rFonts w:ascii="Arial" w:cs="Arial" w:eastAsia="Arial" w:hAnsi="Arial"/>
          <w:sz w:val="14"/>
          <w:szCs w:val="14"/>
          <w:color w:val="auto"/>
        </w:rPr>
        <w:t>Mr. Blair became a member of our Board of Directors in December 2017.</w:t>
      </w:r>
    </w:p>
    <w:p>
      <w:pPr>
        <w:spacing w:after="0" w:line="11" w:lineRule="exact"/>
        <w:rPr>
          <w:rFonts w:ascii="Arial" w:cs="Arial" w:eastAsia="Arial" w:hAnsi="Arial"/>
          <w:sz w:val="23"/>
          <w:szCs w:val="23"/>
          <w:color w:val="auto"/>
          <w:vertAlign w:val="superscript"/>
        </w:rPr>
      </w:pPr>
    </w:p>
    <w:p>
      <w:pPr>
        <w:ind w:left="340" w:right="40" w:hanging="332"/>
        <w:spacing w:after="0" w:line="207" w:lineRule="auto"/>
        <w:tabs>
          <w:tab w:leader="none" w:pos="340" w:val="left"/>
        </w:tabs>
        <w:numPr>
          <w:ilvl w:val="0"/>
          <w:numId w:val="73"/>
        </w:numPr>
        <w:rPr>
          <w:rFonts w:ascii="Arial" w:cs="Arial" w:eastAsia="Arial" w:hAnsi="Arial"/>
          <w:sz w:val="28"/>
          <w:szCs w:val="28"/>
          <w:color w:val="auto"/>
          <w:vertAlign w:val="superscript"/>
        </w:rPr>
      </w:pPr>
      <w:r>
        <w:rPr>
          <w:rFonts w:ascii="Arial" w:cs="Arial" w:eastAsia="Arial" w:hAnsi="Arial"/>
          <w:sz w:val="16"/>
          <w:szCs w:val="16"/>
          <w:color w:val="auto"/>
        </w:rPr>
        <w:t>50% of the shares of our Class B common stock underlying the RSUs vested on each of May 1, 2017 and the remainder will vest on May 1, 2018, subject to continued service through such vesting date; provided, however, that as a result of amendments approved by our Board of Directors on September 8, 2017 applicable to all RSUs, or the September 2017 RSU Amendment, the May 1, 2018 vesting date is being accelerated to February 15, 2018.</w:t>
      </w:r>
    </w:p>
    <w:p>
      <w:pPr>
        <w:spacing w:after="0" w:line="2" w:lineRule="exact"/>
        <w:rPr>
          <w:rFonts w:ascii="Arial" w:cs="Arial" w:eastAsia="Arial" w:hAnsi="Arial"/>
          <w:sz w:val="28"/>
          <w:szCs w:val="28"/>
          <w:color w:val="auto"/>
          <w:vertAlign w:val="superscript"/>
        </w:rPr>
      </w:pPr>
    </w:p>
    <w:p>
      <w:pPr>
        <w:ind w:left="340" w:right="200" w:hanging="332"/>
        <w:spacing w:after="0" w:line="192" w:lineRule="auto"/>
        <w:tabs>
          <w:tab w:leader="none" w:pos="340" w:val="left"/>
        </w:tabs>
        <w:numPr>
          <w:ilvl w:val="0"/>
          <w:numId w:val="73"/>
        </w:numPr>
        <w:rPr>
          <w:rFonts w:ascii="Arial" w:cs="Arial" w:eastAsia="Arial" w:hAnsi="Arial"/>
          <w:sz w:val="28"/>
          <w:szCs w:val="28"/>
          <w:color w:val="auto"/>
          <w:vertAlign w:val="superscript"/>
        </w:rPr>
      </w:pPr>
      <w:r>
        <w:rPr>
          <w:rFonts w:ascii="Arial" w:cs="Arial" w:eastAsia="Arial" w:hAnsi="Arial"/>
          <w:sz w:val="16"/>
          <w:szCs w:val="16"/>
          <w:color w:val="auto"/>
        </w:rPr>
        <w:t>The service condition was satisfied as to 100% of the shares of Class B common stock underlying the RSUs on September 1, 2016. The Performance Vesting Condition has not been satisfied.</w:t>
      </w:r>
    </w:p>
    <w:p>
      <w:pPr>
        <w:ind w:left="340" w:right="420" w:hanging="332"/>
        <w:spacing w:after="0" w:line="211" w:lineRule="auto"/>
        <w:tabs>
          <w:tab w:leader="none" w:pos="340" w:val="left"/>
        </w:tabs>
        <w:numPr>
          <w:ilvl w:val="0"/>
          <w:numId w:val="73"/>
        </w:numPr>
        <w:rPr>
          <w:rFonts w:ascii="Arial" w:cs="Arial" w:eastAsia="Arial" w:hAnsi="Arial"/>
          <w:sz w:val="25"/>
          <w:szCs w:val="25"/>
          <w:color w:val="auto"/>
          <w:vertAlign w:val="superscript"/>
        </w:rPr>
      </w:pPr>
      <w:r>
        <w:rPr>
          <w:rFonts w:ascii="Arial" w:cs="Arial" w:eastAsia="Arial" w:hAnsi="Arial"/>
          <w:sz w:val="15"/>
          <w:szCs w:val="15"/>
          <w:color w:val="auto"/>
        </w:rPr>
        <w:t>100% of the shares of our Class B common stock underlying the RSUs vest on September 1, 2018, subject to continued service through such vesting date; provided, however, that as a result of the September 2017 RSU Amendment, the September 1, 2018 vesting date is being accelerated to August 15, 2018.</w:t>
      </w:r>
    </w:p>
    <w:p>
      <w:pPr>
        <w:ind w:left="340" w:hanging="332"/>
        <w:spacing w:after="0" w:line="192" w:lineRule="auto"/>
        <w:tabs>
          <w:tab w:leader="none" w:pos="340" w:val="left"/>
        </w:tabs>
        <w:numPr>
          <w:ilvl w:val="0"/>
          <w:numId w:val="73"/>
        </w:numPr>
        <w:rPr>
          <w:rFonts w:ascii="Arial" w:cs="Arial" w:eastAsia="Arial" w:hAnsi="Arial"/>
          <w:sz w:val="28"/>
          <w:szCs w:val="28"/>
          <w:color w:val="auto"/>
          <w:vertAlign w:val="superscript"/>
        </w:rPr>
      </w:pPr>
      <w:r>
        <w:rPr>
          <w:rFonts w:ascii="Arial" w:cs="Arial" w:eastAsia="Arial" w:hAnsi="Arial"/>
          <w:sz w:val="16"/>
          <w:szCs w:val="16"/>
          <w:color w:val="auto"/>
        </w:rPr>
        <w:t>The service condition was satisfied as to 100% of the shares of Class B common stock underlying the RSUs on May 15, 2016. The Performance Vesting Condition has not been satisfied.</w:t>
      </w:r>
    </w:p>
    <w:p>
      <w:pPr>
        <w:ind w:left="340" w:hanging="332"/>
        <w:spacing w:after="0" w:line="183" w:lineRule="auto"/>
        <w:tabs>
          <w:tab w:leader="none" w:pos="340" w:val="left"/>
        </w:tabs>
        <w:numPr>
          <w:ilvl w:val="0"/>
          <w:numId w:val="73"/>
        </w:numPr>
        <w:rPr>
          <w:rFonts w:ascii="Arial" w:cs="Arial" w:eastAsia="Arial" w:hAnsi="Arial"/>
          <w:sz w:val="23"/>
          <w:szCs w:val="23"/>
          <w:color w:val="auto"/>
          <w:vertAlign w:val="superscript"/>
        </w:rPr>
      </w:pPr>
      <w:r>
        <w:rPr>
          <w:rFonts w:ascii="Arial" w:cs="Arial" w:eastAsia="Arial" w:hAnsi="Arial"/>
          <w:sz w:val="14"/>
          <w:szCs w:val="14"/>
          <w:color w:val="auto"/>
        </w:rPr>
        <w:t>100% of the shares of our Class B common stock underlying the RSUs vest on May 15, 2018, subject to continued service through such vesting date.</w:t>
      </w:r>
    </w:p>
    <w:p>
      <w:pPr>
        <w:spacing w:after="0" w:line="11" w:lineRule="exact"/>
        <w:rPr>
          <w:rFonts w:ascii="Arial" w:cs="Arial" w:eastAsia="Arial" w:hAnsi="Arial"/>
          <w:sz w:val="23"/>
          <w:szCs w:val="23"/>
          <w:color w:val="auto"/>
          <w:vertAlign w:val="superscript"/>
        </w:rPr>
      </w:pPr>
    </w:p>
    <w:p>
      <w:pPr>
        <w:ind w:left="340" w:right="400" w:hanging="332"/>
        <w:spacing w:after="0" w:line="187" w:lineRule="auto"/>
        <w:tabs>
          <w:tab w:leader="none" w:pos="340" w:val="left"/>
        </w:tabs>
        <w:numPr>
          <w:ilvl w:val="0"/>
          <w:numId w:val="73"/>
        </w:numPr>
        <w:rPr>
          <w:rFonts w:ascii="Arial" w:cs="Arial" w:eastAsia="Arial" w:hAnsi="Arial"/>
          <w:sz w:val="28"/>
          <w:szCs w:val="28"/>
          <w:color w:val="auto"/>
          <w:vertAlign w:val="superscript"/>
        </w:rPr>
      </w:pPr>
      <w:r>
        <w:rPr>
          <w:rFonts w:ascii="Arial" w:cs="Arial" w:eastAsia="Arial" w:hAnsi="Arial"/>
          <w:sz w:val="16"/>
          <w:szCs w:val="16"/>
          <w:color w:val="auto"/>
        </w:rPr>
        <w:t>Ms. Whitman became a member of our Board of Directors in September 2017. 50% of the shares of our Class B common stock underlying the RSUs vest on each of August 15, 2018 and August 15, 2019, subject to continued service through each such vesting date.</w:t>
      </w:r>
    </w:p>
    <w:p>
      <w:pPr>
        <w:spacing w:after="0" w:line="20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also have reimbursed our directors for expenses associated with attending meetings of our Board of Directors and committees of our Board of Directors. We anticipate adopting a formal compensation policy for our non-employee directors to provide cash and equity compensation to them following the completion of this offering.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named executive officers, consisting of our principal executive officer and the next two most highly compensated executive officers,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w:t>
      </w:r>
    </w:p>
    <w:p>
      <w:pPr>
        <w:spacing w:after="0" w:line="116"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Andrew W. Houston, our Chief Executive Officer and co-founder;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Arash Ferdowsi, our co-founder;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Quentin J. Clark, our Senior Vice President of Engineering, Product, and Design.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below represent the estimated compensation paid to our named executive officers for 2017.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Summary Compensation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Non-equity</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incentive</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Non-qualified</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Option</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plan</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deferred</w:t>
            </w:r>
          </w:p>
        </w:tc>
        <w:tc>
          <w:tcPr>
            <w:tcW w:w="11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0"/>
              </w:rPr>
              <w:t>All other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right"/>
              <w:ind w:right="544"/>
              <w:spacing w:after="0" w:line="135" w:lineRule="exact"/>
              <w:rPr>
                <w:sz w:val="20"/>
                <w:szCs w:val="20"/>
                <w:color w:val="auto"/>
              </w:rPr>
            </w:pPr>
            <w:r>
              <w:rPr>
                <w:rFonts w:ascii="Arial" w:cs="Arial" w:eastAsia="Arial" w:hAnsi="Arial"/>
                <w:sz w:val="13"/>
                <w:szCs w:val="13"/>
                <w:b w:val="1"/>
                <w:bCs w:val="1"/>
                <w:color w:val="auto"/>
              </w:rPr>
              <w:t>Stock</w:t>
            </w:r>
          </w:p>
        </w:tc>
        <w:tc>
          <w:tcPr>
            <w:tcW w:w="6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11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3"/>
              </w:rPr>
              <w:t>compensation</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gridSpan w:val="3"/>
          </w:tcPr>
          <w:p>
            <w:pPr>
              <w:spacing w:after="0"/>
              <w:rPr>
                <w:sz w:val="20"/>
                <w:szCs w:val="20"/>
                <w:color w:val="auto"/>
              </w:rPr>
            </w:pPr>
            <w:r>
              <w:rPr>
                <w:rFonts w:ascii="Arial" w:cs="Arial" w:eastAsia="Arial" w:hAnsi="Arial"/>
                <w:sz w:val="13"/>
                <w:szCs w:val="13"/>
                <w:b w:val="1"/>
                <w:bCs w:val="1"/>
                <w:color w:val="auto"/>
              </w:rPr>
              <w:t>Name and principal position</w:t>
            </w:r>
          </w:p>
        </w:tc>
        <w:tc>
          <w:tcPr>
            <w:tcW w:w="18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Year</w:t>
            </w:r>
          </w:p>
        </w:tc>
        <w:tc>
          <w:tcPr>
            <w:tcW w:w="640" w:type="dxa"/>
            <w:vAlign w:val="bottom"/>
            <w:gridSpan w:val="2"/>
          </w:tcPr>
          <w:p>
            <w:pPr>
              <w:spacing w:after="0"/>
              <w:rPr>
                <w:sz w:val="20"/>
                <w:szCs w:val="20"/>
                <w:color w:val="auto"/>
              </w:rPr>
            </w:pPr>
            <w:r>
              <w:rPr>
                <w:rFonts w:ascii="Arial" w:cs="Arial" w:eastAsia="Arial" w:hAnsi="Arial"/>
                <w:sz w:val="13"/>
                <w:szCs w:val="13"/>
                <w:b w:val="1"/>
                <w:bCs w:val="1"/>
                <w:u w:val="single" w:color="auto"/>
                <w:color w:val="auto"/>
              </w:rPr>
              <w:t>Salary($</w:t>
            </w:r>
            <w:r>
              <w:rPr>
                <w:rFonts w:ascii="Arial" w:cs="Arial" w:eastAsia="Arial" w:hAnsi="Arial"/>
                <w:sz w:val="13"/>
                <w:szCs w:val="13"/>
                <w:b w:val="1"/>
                <w:bCs w:val="1"/>
                <w:color w:val="auto"/>
              </w:rPr>
              <w:t>)</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u w:val="single" w:color="auto"/>
                <w:color w:val="auto"/>
              </w:rPr>
              <w:t>Bonus($</w:t>
            </w:r>
            <w:r>
              <w:rPr>
                <w:rFonts w:ascii="Arial" w:cs="Arial" w:eastAsia="Arial" w:hAnsi="Arial"/>
                <w:sz w:val="13"/>
                <w:szCs w:val="13"/>
                <w:b w:val="1"/>
                <w:bCs w:val="1"/>
                <w:color w:val="auto"/>
              </w:rPr>
              <w:t>)</w:t>
            </w:r>
          </w:p>
        </w:tc>
        <w:tc>
          <w:tcPr>
            <w:tcW w:w="1140" w:type="dxa"/>
            <w:vAlign w:val="bottom"/>
            <w:gridSpan w:val="2"/>
          </w:tcPr>
          <w:p>
            <w:pPr>
              <w:jc w:val="right"/>
              <w:ind w:right="424"/>
              <w:spacing w:after="0"/>
              <w:rPr>
                <w:sz w:val="20"/>
                <w:szCs w:val="20"/>
                <w:color w:val="auto"/>
              </w:rPr>
            </w:pPr>
            <w:r>
              <w:rPr>
                <w:rFonts w:ascii="Arial" w:cs="Arial" w:eastAsia="Arial" w:hAnsi="Arial"/>
                <w:sz w:val="13"/>
                <w:szCs w:val="13"/>
                <w:b w:val="1"/>
                <w:bCs w:val="1"/>
                <w:color w:val="auto"/>
              </w:rPr>
              <w:t>awards($)</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(1)</w:t>
            </w:r>
          </w:p>
        </w:tc>
        <w:tc>
          <w:tcPr>
            <w:tcW w:w="2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 xml:space="preserve">earnings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6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52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1"/>
                <w:szCs w:val="11"/>
                <w:color w:val="auto"/>
              </w:rPr>
              <w:t>Andrew W. Houston</w:t>
            </w:r>
          </w:p>
        </w:tc>
        <w:tc>
          <w:tcPr>
            <w:tcW w:w="2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ind w:left="60"/>
              <w:spacing w:after="0" w:line="104" w:lineRule="exact"/>
              <w:rPr>
                <w:sz w:val="20"/>
                <w:szCs w:val="20"/>
                <w:color w:val="auto"/>
              </w:rPr>
            </w:pPr>
            <w:r>
              <w:rPr>
                <w:rFonts w:ascii="Arial" w:cs="Arial" w:eastAsia="Arial" w:hAnsi="Arial"/>
                <w:sz w:val="11"/>
                <w:szCs w:val="11"/>
                <w:color w:val="auto"/>
              </w:rPr>
              <w:t>2017</w:t>
            </w:r>
          </w:p>
        </w:tc>
        <w:tc>
          <w:tcPr>
            <w:tcW w:w="2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400,000</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ind w:left="300"/>
              <w:spacing w:after="0" w:line="104" w:lineRule="exact"/>
              <w:rPr>
                <w:sz w:val="20"/>
                <w:szCs w:val="20"/>
                <w:color w:val="auto"/>
              </w:rPr>
            </w:pPr>
            <w:r>
              <w:rPr>
                <w:rFonts w:ascii="Arial" w:cs="Arial" w:eastAsia="Arial" w:hAnsi="Arial"/>
                <w:sz w:val="11"/>
                <w:szCs w:val="11"/>
                <w:color w:val="auto"/>
              </w:rPr>
              <w:t>—</w:t>
            </w:r>
          </w:p>
        </w:tc>
        <w:tc>
          <w:tcPr>
            <w:tcW w:w="2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109,569,500</w:t>
            </w:r>
          </w:p>
        </w:tc>
        <w:tc>
          <w:tcPr>
            <w:tcW w:w="360" w:type="dxa"/>
            <w:vAlign w:val="bottom"/>
            <w:tcBorders>
              <w:top w:val="single" w:sz="8" w:color="CCEEFF"/>
            </w:tcBorders>
            <w:shd w:val="clear" w:color="auto" w:fill="CCEEFF"/>
          </w:tcPr>
          <w:p>
            <w:pPr>
              <w:jc w:val="right"/>
              <w:ind w:right="164"/>
              <w:spacing w:after="0" w:line="104" w:lineRule="exact"/>
              <w:rPr>
                <w:sz w:val="20"/>
                <w:szCs w:val="20"/>
                <w:color w:val="auto"/>
              </w:rPr>
            </w:pPr>
            <w:r>
              <w:rPr>
                <w:rFonts w:ascii="Arial" w:cs="Arial" w:eastAsia="Arial" w:hAnsi="Arial"/>
                <w:sz w:val="11"/>
                <w:szCs w:val="11"/>
                <w:color w:val="auto"/>
                <w:w w:val="88"/>
              </w:rPr>
              <w:t>(2)</w:t>
            </w:r>
          </w:p>
        </w:tc>
        <w:tc>
          <w:tcPr>
            <w:tcW w:w="400" w:type="dxa"/>
            <w:vAlign w:val="bottom"/>
            <w:tcBorders>
              <w:top w:val="single" w:sz="8" w:color="auto"/>
            </w:tcBorders>
            <w:shd w:val="clear" w:color="auto" w:fill="CCEEFF"/>
          </w:tcPr>
          <w:p>
            <w:pPr>
              <w:ind w:left="180"/>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284,700</w:t>
            </w:r>
          </w:p>
        </w:tc>
        <w:tc>
          <w:tcPr>
            <w:tcW w:w="2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ind w:left="520"/>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3,000</w:t>
            </w:r>
          </w:p>
        </w:tc>
        <w:tc>
          <w:tcPr>
            <w:tcW w:w="3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110,257,200</w:t>
            </w: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Executive Officer and Co-Founder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60" w:type="dxa"/>
            <w:vAlign w:val="bottom"/>
            <w:gridSpan w:val="3"/>
          </w:tcPr>
          <w:p>
            <w:pPr>
              <w:spacing w:after="0"/>
              <w:rPr>
                <w:sz w:val="20"/>
                <w:szCs w:val="20"/>
                <w:color w:val="auto"/>
              </w:rPr>
            </w:pPr>
            <w:r>
              <w:rPr>
                <w:rFonts w:ascii="Arial" w:cs="Arial" w:eastAsia="Arial" w:hAnsi="Arial"/>
                <w:sz w:val="14"/>
                <w:szCs w:val="14"/>
                <w:color w:val="auto"/>
              </w:rPr>
              <w:t>Arash Ferdowsi</w:t>
            </w:r>
          </w:p>
        </w:tc>
        <w:tc>
          <w:tcPr>
            <w:tcW w:w="740" w:type="dxa"/>
            <w:vAlign w:val="bottom"/>
            <w:gridSpan w:val="3"/>
          </w:tcPr>
          <w:p>
            <w:pPr>
              <w:ind w:left="240"/>
              <w:spacing w:after="0"/>
              <w:rPr>
                <w:sz w:val="20"/>
                <w:szCs w:val="20"/>
                <w:color w:val="auto"/>
              </w:rPr>
            </w:pPr>
            <w:r>
              <w:rPr>
                <w:rFonts w:ascii="Arial" w:cs="Arial" w:eastAsia="Arial" w:hAnsi="Arial"/>
                <w:sz w:val="14"/>
                <w:szCs w:val="14"/>
                <w:color w:val="auto"/>
              </w:rPr>
              <w:t>2017</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400,000</w:t>
            </w:r>
          </w:p>
        </w:tc>
        <w:tc>
          <w:tcPr>
            <w:tcW w:w="8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4"/>
              <w:spacing w:after="0"/>
              <w:rPr>
                <w:sz w:val="20"/>
                <w:szCs w:val="20"/>
                <w:color w:val="auto"/>
              </w:rPr>
            </w:pPr>
            <w:r>
              <w:rPr>
                <w:rFonts w:ascii="Arial" w:cs="Arial" w:eastAsia="Arial" w:hAnsi="Arial"/>
                <w:sz w:val="14"/>
                <w:szCs w:val="14"/>
                <w:color w:val="auto"/>
              </w:rPr>
              <w:t>46,655,400</w:t>
            </w:r>
            <w:r>
              <w:rPr>
                <w:rFonts w:ascii="Arial" w:cs="Arial" w:eastAsia="Arial" w:hAnsi="Arial"/>
                <w:sz w:val="12"/>
                <w:szCs w:val="12"/>
                <w:color w:val="auto"/>
              </w:rPr>
              <w:t>(2)</w:t>
            </w:r>
          </w:p>
        </w:tc>
        <w:tc>
          <w:tcPr>
            <w:tcW w:w="6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284,700</w:t>
            </w:r>
          </w:p>
        </w:tc>
        <w:tc>
          <w:tcPr>
            <w:tcW w:w="96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3,000</w:t>
            </w:r>
          </w:p>
        </w:tc>
        <w:tc>
          <w:tcPr>
            <w:tcW w:w="760" w:type="dxa"/>
            <w:vAlign w:val="bottom"/>
          </w:tcPr>
          <w:p>
            <w:pPr>
              <w:jc w:val="right"/>
              <w:spacing w:after="0"/>
              <w:rPr>
                <w:sz w:val="20"/>
                <w:szCs w:val="20"/>
                <w:color w:val="auto"/>
              </w:rPr>
            </w:pPr>
            <w:r>
              <w:rPr>
                <w:rFonts w:ascii="Arial" w:cs="Arial" w:eastAsia="Arial" w:hAnsi="Arial"/>
                <w:sz w:val="14"/>
                <w:szCs w:val="14"/>
                <w:color w:val="auto"/>
              </w:rPr>
              <w:t>47,343,100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140"/>
              <w:spacing w:after="0"/>
              <w:rPr>
                <w:sz w:val="20"/>
                <w:szCs w:val="20"/>
                <w:color w:val="auto"/>
              </w:rPr>
            </w:pPr>
            <w:r>
              <w:rPr>
                <w:rFonts w:ascii="Arial" w:cs="Arial" w:eastAsia="Arial" w:hAnsi="Arial"/>
                <w:sz w:val="14"/>
                <w:szCs w:val="14"/>
                <w:i w:val="1"/>
                <w:iCs w:val="1"/>
                <w:color w:val="auto"/>
              </w:rPr>
              <w:t>Co-Founder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Quentin J. Clark</w:t>
            </w:r>
            <w:r>
              <w:rPr>
                <w:rFonts w:ascii="Arial" w:cs="Arial" w:eastAsia="Arial" w:hAnsi="Arial"/>
                <w:sz w:val="12"/>
                <w:szCs w:val="12"/>
                <w:color w:val="auto"/>
              </w:rPr>
              <w:t>(3)</w:t>
            </w:r>
          </w:p>
        </w:tc>
        <w:tc>
          <w:tcPr>
            <w:tcW w:w="740" w:type="dxa"/>
            <w:vAlign w:val="bottom"/>
            <w:gridSpan w:val="3"/>
            <w:shd w:val="clear" w:color="auto" w:fill="CCEEFF"/>
          </w:tcPr>
          <w:p>
            <w:pPr>
              <w:ind w:left="240"/>
              <w:spacing w:after="0" w:line="130" w:lineRule="exact"/>
              <w:rPr>
                <w:sz w:val="20"/>
                <w:szCs w:val="20"/>
                <w:color w:val="auto"/>
              </w:rPr>
            </w:pPr>
            <w:r>
              <w:rPr>
                <w:rFonts w:ascii="Arial" w:cs="Arial" w:eastAsia="Arial" w:hAnsi="Arial"/>
                <w:sz w:val="14"/>
                <w:szCs w:val="14"/>
                <w:color w:val="auto"/>
              </w:rPr>
              <w:t>2017</w:t>
            </w:r>
          </w:p>
        </w:tc>
        <w:tc>
          <w:tcPr>
            <w:tcW w:w="6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8"/>
              </w:rPr>
              <w:t>130,513</w:t>
            </w:r>
          </w:p>
        </w:tc>
        <w:tc>
          <w:tcPr>
            <w:tcW w:w="80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w w:val="97"/>
              </w:rPr>
              <w:t>340,000</w:t>
            </w:r>
            <w:r>
              <w:rPr>
                <w:rFonts w:ascii="Arial" w:cs="Arial" w:eastAsia="Arial" w:hAnsi="Arial"/>
                <w:sz w:val="12"/>
                <w:szCs w:val="12"/>
                <w:color w:val="auto"/>
                <w:w w:val="97"/>
              </w:rPr>
              <w:t>(4)</w:t>
            </w:r>
          </w:p>
        </w:tc>
        <w:tc>
          <w:tcPr>
            <w:tcW w:w="1140" w:type="dxa"/>
            <w:vAlign w:val="bottom"/>
            <w:gridSpan w:val="2"/>
            <w:shd w:val="clear" w:color="auto" w:fill="CCEEFF"/>
          </w:tcPr>
          <w:p>
            <w:pPr>
              <w:jc w:val="right"/>
              <w:ind w:right="164"/>
              <w:spacing w:after="0" w:line="130" w:lineRule="exact"/>
              <w:rPr>
                <w:sz w:val="20"/>
                <w:szCs w:val="20"/>
                <w:color w:val="auto"/>
              </w:rPr>
            </w:pPr>
            <w:r>
              <w:rPr>
                <w:rFonts w:ascii="Arial" w:cs="Arial" w:eastAsia="Arial" w:hAnsi="Arial"/>
                <w:sz w:val="14"/>
                <w:szCs w:val="14"/>
                <w:color w:val="auto"/>
              </w:rPr>
              <w:t>34,080,000</w:t>
            </w:r>
            <w:r>
              <w:rPr>
                <w:rFonts w:ascii="Arial" w:cs="Arial" w:eastAsia="Arial" w:hAnsi="Arial"/>
                <w:sz w:val="12"/>
                <w:szCs w:val="12"/>
                <w:color w:val="auto"/>
              </w:rPr>
              <w:t>(5)</w:t>
            </w:r>
          </w:p>
        </w:tc>
        <w:tc>
          <w:tcPr>
            <w:tcW w:w="62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91,260</w:t>
            </w:r>
          </w:p>
        </w:tc>
        <w:tc>
          <w:tcPr>
            <w:tcW w:w="96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16,136</w:t>
            </w:r>
            <w:r>
              <w:rPr>
                <w:rFonts w:ascii="Arial" w:cs="Arial" w:eastAsia="Arial" w:hAnsi="Arial"/>
                <w:sz w:val="12"/>
                <w:szCs w:val="12"/>
                <w:color w:val="auto"/>
              </w:rPr>
              <w:t>(6)</w:t>
            </w:r>
          </w:p>
        </w:tc>
        <w:tc>
          <w:tcPr>
            <w:tcW w:w="7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34,657,909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w w:val="95"/>
              </w:rPr>
              <w:t>Senior Vice President of Engineering, Product, and Design</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240" w:hanging="332"/>
        <w:spacing w:after="0" w:line="213" w:lineRule="auto"/>
        <w:tabs>
          <w:tab w:leader="none" w:pos="340" w:val="left"/>
        </w:tabs>
        <w:numPr>
          <w:ilvl w:val="0"/>
          <w:numId w:val="75"/>
        </w:numPr>
        <w:rPr>
          <w:rFonts w:ascii="Arial" w:cs="Arial" w:eastAsia="Arial" w:hAnsi="Arial"/>
          <w:sz w:val="25"/>
          <w:szCs w:val="25"/>
          <w:color w:val="auto"/>
          <w:vertAlign w:val="superscript"/>
        </w:rPr>
      </w:pPr>
      <w:r>
        <w:rPr>
          <w:rFonts w:ascii="Arial" w:cs="Arial" w:eastAsia="Arial" w:hAnsi="Arial"/>
          <w:sz w:val="15"/>
          <w:szCs w:val="15"/>
          <w:color w:val="auto"/>
        </w:rPr>
        <w:t>The amounts reported represent the estimated amounts payable in 2017 under our 2017 Cash Bonus Plan, as described in greater detail under “—Non-Equity Incentive Plan Compensation.” The determination of actual amounts paid for 2017 is not yet complete, and the amounts reported reflect the current estimates only.</w:t>
      </w:r>
    </w:p>
    <w:p>
      <w:pPr>
        <w:ind w:left="340" w:right="200" w:hanging="332"/>
        <w:spacing w:after="0" w:line="248" w:lineRule="auto"/>
        <w:tabs>
          <w:tab w:leader="none" w:pos="340" w:val="left"/>
        </w:tabs>
        <w:numPr>
          <w:ilvl w:val="0"/>
          <w:numId w:val="75"/>
        </w:numPr>
        <w:rPr>
          <w:rFonts w:ascii="Arial" w:cs="Arial" w:eastAsia="Arial" w:hAnsi="Arial"/>
          <w:sz w:val="25"/>
          <w:szCs w:val="25"/>
          <w:color w:val="auto"/>
          <w:vertAlign w:val="superscript"/>
        </w:rPr>
      </w:pPr>
      <w:r>
        <w:rPr>
          <w:rFonts w:ascii="Arial" w:cs="Arial" w:eastAsia="Arial" w:hAnsi="Arial"/>
          <w:sz w:val="15"/>
          <w:szCs w:val="15"/>
          <w:color w:val="auto"/>
        </w:rPr>
        <w:t>The amounts reported represent the aggregate grant-date fair value of restricted stock awards, or RSAs, calculated in accordance with ASC Topic 718. The RSAs are eligible to vest based on the achievement of certain stock price goals measured over a consecutive thirty-day trading period during a performance period. We calculated the grant date fair value based on multiple stock price paths developed through the use of a Monte Carlo simulation. The assumptions used in calculating the grant-date fair value of the RSAs reported in this column are set forth in Note 18, “Subsequent Events (unaudited)” to our consolidated financial statements included elsewhere in this prospectus. See “—Co-Founder Restricted Stock Awards” for additional information.</w:t>
      </w:r>
    </w:p>
    <w:p>
      <w:pPr>
        <w:spacing w:after="0" w:line="2" w:lineRule="exact"/>
        <w:rPr>
          <w:rFonts w:ascii="Arial" w:cs="Arial" w:eastAsia="Arial" w:hAnsi="Arial"/>
          <w:sz w:val="25"/>
          <w:szCs w:val="25"/>
          <w:color w:val="auto"/>
          <w:vertAlign w:val="superscript"/>
        </w:rPr>
      </w:pPr>
    </w:p>
    <w:p>
      <w:pPr>
        <w:ind w:left="340" w:right="220" w:hanging="332"/>
        <w:spacing w:after="0" w:line="192" w:lineRule="auto"/>
        <w:tabs>
          <w:tab w:leader="none" w:pos="340" w:val="left"/>
        </w:tabs>
        <w:numPr>
          <w:ilvl w:val="0"/>
          <w:numId w:val="75"/>
        </w:numPr>
        <w:rPr>
          <w:rFonts w:ascii="Arial" w:cs="Arial" w:eastAsia="Arial" w:hAnsi="Arial"/>
          <w:sz w:val="28"/>
          <w:szCs w:val="28"/>
          <w:color w:val="auto"/>
          <w:vertAlign w:val="superscript"/>
        </w:rPr>
      </w:pPr>
      <w:r>
        <w:rPr>
          <w:rFonts w:ascii="Arial" w:cs="Arial" w:eastAsia="Arial" w:hAnsi="Arial"/>
          <w:sz w:val="16"/>
          <w:szCs w:val="16"/>
          <w:color w:val="auto"/>
        </w:rPr>
        <w:t>Mr. Clark joined us in September 2017 and therefore his salary and non-equity incentive plan compensation set forth in the table above were prorated for the portion of 2017 in which he was employed with us.</w:t>
      </w:r>
    </w:p>
    <w:p>
      <w:pPr>
        <w:ind w:left="340" w:right="360" w:hanging="332"/>
        <w:spacing w:after="0" w:line="192" w:lineRule="auto"/>
        <w:tabs>
          <w:tab w:leader="none" w:pos="340" w:val="left"/>
        </w:tabs>
        <w:numPr>
          <w:ilvl w:val="0"/>
          <w:numId w:val="75"/>
        </w:numPr>
        <w:rPr>
          <w:rFonts w:ascii="Arial" w:cs="Arial" w:eastAsia="Arial" w:hAnsi="Arial"/>
          <w:sz w:val="28"/>
          <w:szCs w:val="28"/>
          <w:color w:val="auto"/>
          <w:vertAlign w:val="superscript"/>
        </w:rPr>
      </w:pPr>
      <w:r>
        <w:rPr>
          <w:rFonts w:ascii="Arial" w:cs="Arial" w:eastAsia="Arial" w:hAnsi="Arial"/>
          <w:sz w:val="16"/>
          <w:szCs w:val="16"/>
          <w:color w:val="auto"/>
        </w:rPr>
        <w:t>Amount represents a one-time signing bonus paid in connection with Mr. Clark’s hiring in 2017. Mr. Clark must repay the bonus if, before the first anniversary of his employment start date, his employment ends voluntarily or involuntarily under certain specified circumstances.</w:t>
      </w:r>
    </w:p>
    <w:p>
      <w:pPr>
        <w:ind w:left="340" w:right="60" w:hanging="332"/>
        <w:spacing w:after="0" w:line="211" w:lineRule="auto"/>
        <w:tabs>
          <w:tab w:leader="none" w:pos="340" w:val="left"/>
        </w:tabs>
        <w:numPr>
          <w:ilvl w:val="0"/>
          <w:numId w:val="75"/>
        </w:numPr>
        <w:rPr>
          <w:rFonts w:ascii="Arial" w:cs="Arial" w:eastAsia="Arial" w:hAnsi="Arial"/>
          <w:sz w:val="28"/>
          <w:szCs w:val="28"/>
          <w:color w:val="auto"/>
          <w:vertAlign w:val="superscript"/>
        </w:rPr>
      </w:pPr>
      <w:r>
        <w:rPr>
          <w:rFonts w:ascii="Arial" w:cs="Arial" w:eastAsia="Arial" w:hAnsi="Arial"/>
          <w:sz w:val="16"/>
          <w:szCs w:val="16"/>
          <w:color w:val="auto"/>
        </w:rPr>
        <w:t>The amounts reported represent the aggregate grant-date fair value of RSUs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spacing w:after="0" w:line="1" w:lineRule="exact"/>
        <w:rPr>
          <w:rFonts w:ascii="Arial" w:cs="Arial" w:eastAsia="Arial" w:hAnsi="Arial"/>
          <w:sz w:val="28"/>
          <w:szCs w:val="28"/>
          <w:color w:val="auto"/>
          <w:vertAlign w:val="superscript"/>
        </w:rPr>
      </w:pPr>
    </w:p>
    <w:p>
      <w:pPr>
        <w:ind w:left="340" w:hanging="332"/>
        <w:spacing w:after="0" w:line="183" w:lineRule="auto"/>
        <w:tabs>
          <w:tab w:leader="none" w:pos="340" w:val="left"/>
        </w:tabs>
        <w:numPr>
          <w:ilvl w:val="0"/>
          <w:numId w:val="75"/>
        </w:numPr>
        <w:rPr>
          <w:rFonts w:ascii="Arial" w:cs="Arial" w:eastAsia="Arial" w:hAnsi="Arial"/>
          <w:sz w:val="23"/>
          <w:szCs w:val="23"/>
          <w:color w:val="auto"/>
          <w:vertAlign w:val="superscript"/>
        </w:rPr>
      </w:pPr>
      <w:r>
        <w:rPr>
          <w:rFonts w:ascii="Arial" w:cs="Arial" w:eastAsia="Arial" w:hAnsi="Arial"/>
          <w:sz w:val="14"/>
          <w:szCs w:val="14"/>
          <w:color w:val="auto"/>
        </w:rPr>
        <w:t>Amount represents matching 401(k) contributions of $3,000 and taxi reimbursements (to and from work) of $13,136.</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Each of our named executive officers is eligible to participate in our 2017 Cash Bonus Plan, or the 2017 Bonus Plan, under which he is eligible to receive cash bonus amounts based on our achievements of key company performance metrics.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2017 Bonus Plan, a cash bonus pool under our 2017 Bonus Plan will be established if we achieve certain corporate financial performance measures based on revenue and free cash flow.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retains the discretion to increase or decrease the cash bonus pool under the 2017 Bonus Plan based on our achievements of those corporate financial performance measures in 2017. In addition, the actual bonus amount payable under the 2017 Bonus Plan may be modified based on individual performance for 2017.</w:t>
      </w:r>
    </w:p>
    <w:p>
      <w:pPr>
        <w:spacing w:after="0" w:line="181"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Currently, our Board of Directors is reviewing achievements of our corporate financial performance measures and individual performance and determining the bonus amounts for each named executive officer based on his target bonus amount, which is described under “—Executive Employment Agreement.” Mr. Clark’s amount will be pro-rated based on the length of his service with us in 2017. The actual bonus amounts payable to our named executive officers under the 2017 Bonus Plan will be set forth in the “2017 Summary Compensation Table” above once determined.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2017.</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320" w:type="dxa"/>
            <w:vAlign w:val="bottom"/>
            <w:gridSpan w:val="4"/>
          </w:tcPr>
          <w:p>
            <w:pPr>
              <w:ind w:left="7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Number of</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shares or</w:t>
            </w: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of shares or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980" w:type="dxa"/>
            <w:vAlign w:val="bottom"/>
            <w:gridSpan w:val="2"/>
            <w:vMerge w:val="restart"/>
          </w:tcPr>
          <w:p>
            <w:pPr>
              <w:jc w:val="right"/>
              <w:ind w:right="363"/>
              <w:spacing w:after="0"/>
              <w:rPr>
                <w:sz w:val="20"/>
                <w:szCs w:val="20"/>
                <w:color w:val="auto"/>
              </w:rPr>
            </w:pPr>
            <w:r>
              <w:rPr>
                <w:rFonts w:ascii="Arial" w:cs="Arial" w:eastAsia="Arial" w:hAnsi="Arial"/>
                <w:sz w:val="14"/>
                <w:szCs w:val="14"/>
                <w:b w:val="1"/>
                <w:bCs w:val="1"/>
                <w:color w:val="auto"/>
              </w:rPr>
              <w:t>Grant</w:t>
            </w:r>
          </w:p>
        </w:tc>
        <w:tc>
          <w:tcPr>
            <w:tcW w:w="48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units of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2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380" w:type="dxa"/>
            <w:vAlign w:val="bottom"/>
            <w:tcBorders>
              <w:bottom w:val="single" w:sz="8" w:color="auto"/>
            </w:tcBorders>
            <w:gridSpan w:val="2"/>
            <w:vMerge w:val="continue"/>
          </w:tcPr>
          <w:p>
            <w:pPr>
              <w:spacing w:after="0"/>
              <w:rPr>
                <w:sz w:val="16"/>
                <w:szCs w:val="16"/>
                <w:color w:val="auto"/>
              </w:rPr>
            </w:pPr>
          </w:p>
        </w:tc>
        <w:tc>
          <w:tcPr>
            <w:tcW w:w="53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date</w:t>
            </w:r>
          </w:p>
        </w:tc>
        <w:tc>
          <w:tcPr>
            <w:tcW w:w="2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vested</w:t>
            </w:r>
          </w:p>
        </w:tc>
        <w:tc>
          <w:tcPr>
            <w:tcW w:w="6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57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Andrew W. Houston</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12/12/17</w:t>
            </w:r>
          </w:p>
        </w:tc>
        <w:tc>
          <w:tcPr>
            <w:tcW w:w="280" w:type="dxa"/>
            <w:vAlign w:val="bottom"/>
            <w:shd w:val="clear" w:color="auto" w:fill="CCEEFF"/>
          </w:tcPr>
          <w:p>
            <w:pPr>
              <w:jc w:val="right"/>
              <w:ind w:right="23"/>
              <w:spacing w:after="0" w:line="155" w:lineRule="exact"/>
              <w:rPr>
                <w:sz w:val="20"/>
                <w:szCs w:val="20"/>
                <w:color w:val="auto"/>
              </w:rPr>
            </w:pPr>
            <w:r>
              <w:rPr>
                <w:rFonts w:ascii="Arial" w:cs="Arial" w:eastAsia="Arial" w:hAnsi="Arial"/>
                <w:sz w:val="15"/>
                <w:szCs w:val="15"/>
                <w:color w:val="auto"/>
                <w:w w:val="87"/>
              </w:rPr>
              <w:t>(2)</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15,500,000</w:t>
            </w:r>
          </w:p>
        </w:tc>
        <w:tc>
          <w:tcPr>
            <w:tcW w:w="6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ind w:left="56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Arash Ferdowsi</w:t>
            </w:r>
          </w:p>
        </w:tc>
        <w:tc>
          <w:tcPr>
            <w:tcW w:w="980" w:type="dxa"/>
            <w:vAlign w:val="bottom"/>
            <w:gridSpan w:val="2"/>
          </w:tcPr>
          <w:p>
            <w:pPr>
              <w:jc w:val="right"/>
              <w:ind w:right="23"/>
              <w:spacing w:after="0"/>
              <w:rPr>
                <w:sz w:val="20"/>
                <w:szCs w:val="20"/>
                <w:color w:val="auto"/>
              </w:rPr>
            </w:pPr>
            <w:r>
              <w:rPr>
                <w:rFonts w:ascii="Arial" w:cs="Arial" w:eastAsia="Arial" w:hAnsi="Arial"/>
                <w:sz w:val="18"/>
                <w:szCs w:val="18"/>
                <w:color w:val="auto"/>
                <w:w w:val="97"/>
              </w:rPr>
              <w:t>12/12/17</w:t>
            </w:r>
            <w:r>
              <w:rPr>
                <w:rFonts w:ascii="Arial" w:cs="Arial" w:eastAsia="Arial" w:hAnsi="Arial"/>
                <w:sz w:val="15"/>
                <w:szCs w:val="15"/>
                <w:color w:val="auto"/>
                <w:w w:val="97"/>
              </w:rPr>
              <w:t>(2)</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6,600,000</w:t>
            </w: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Quentin J. Clark</w:t>
            </w:r>
          </w:p>
        </w:tc>
        <w:tc>
          <w:tcPr>
            <w:tcW w:w="9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9/8/17</w:t>
            </w:r>
            <w:r>
              <w:rPr>
                <w:rFonts w:ascii="Arial" w:cs="Arial" w:eastAsia="Arial" w:hAnsi="Arial"/>
                <w:sz w:val="15"/>
                <w:szCs w:val="15"/>
                <w:color w:val="auto"/>
              </w:rPr>
              <w:t>(3)</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3,000,000</w:t>
            </w:r>
          </w:p>
        </w:tc>
        <w:tc>
          <w:tcPr>
            <w:tcW w:w="880" w:type="dxa"/>
            <w:vAlign w:val="bottom"/>
            <w:tcBorders>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6300" w:type="dxa"/>
            <w:vAlign w:val="bottom"/>
            <w:gridSpan w:val="3"/>
          </w:tcPr>
          <w:p>
            <w:pPr>
              <w:spacing w:after="0"/>
              <w:rPr>
                <w:sz w:val="11"/>
                <w:szCs w:val="11"/>
                <w:color w:val="auto"/>
              </w:rPr>
            </w:pPr>
          </w:p>
        </w:tc>
        <w:tc>
          <w:tcPr>
            <w:tcW w:w="38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7600" w:type="dxa"/>
            <w:vAlign w:val="bottom"/>
            <w:gridSpan w:val="6"/>
          </w:tcPr>
          <w:p>
            <w:pPr>
              <w:jc w:val="right"/>
              <w:ind w:right="203"/>
              <w:spacing w:after="0" w:line="227" w:lineRule="exact"/>
              <w:rPr>
                <w:sz w:val="20"/>
                <w:szCs w:val="20"/>
                <w:color w:val="auto"/>
              </w:rPr>
            </w:pPr>
            <w:r>
              <w:rPr>
                <w:rFonts w:ascii="Arial" w:cs="Arial" w:eastAsia="Arial" w:hAnsi="Arial"/>
                <w:sz w:val="26"/>
                <w:szCs w:val="26"/>
                <w:color w:val="auto"/>
                <w:w w:val="92"/>
                <w:vertAlign w:val="superscript"/>
              </w:rPr>
              <w:t>(1)</w:t>
            </w:r>
            <w:r>
              <w:rPr>
                <w:rFonts w:ascii="Arial" w:cs="Arial" w:eastAsia="Arial" w:hAnsi="Arial"/>
                <w:sz w:val="16"/>
                <w:szCs w:val="16"/>
                <w:color w:val="auto"/>
                <w:w w:val="92"/>
              </w:rPr>
              <w:t xml:space="preserve">   The market price for our Class A common stock is based upon the assumed initial public offering price of $</w:t>
            </w:r>
          </w:p>
        </w:tc>
        <w:tc>
          <w:tcPr>
            <w:tcW w:w="3800" w:type="dxa"/>
            <w:vAlign w:val="bottom"/>
            <w:gridSpan w:val="5"/>
          </w:tcPr>
          <w:p>
            <w:pPr>
              <w:ind w:left="80"/>
              <w:spacing w:after="0"/>
              <w:rPr>
                <w:sz w:val="20"/>
                <w:szCs w:val="20"/>
                <w:color w:val="auto"/>
              </w:rPr>
            </w:pPr>
            <w:r>
              <w:rPr>
                <w:rFonts w:ascii="Arial" w:cs="Arial" w:eastAsia="Arial" w:hAnsi="Arial"/>
                <w:sz w:val="16"/>
                <w:szCs w:val="16"/>
                <w:color w:val="auto"/>
                <w:w w:val="92"/>
              </w:rPr>
              <w:t>per share, which is the midpoint of the estimated offering</w:t>
            </w:r>
          </w:p>
        </w:tc>
        <w:tc>
          <w:tcPr>
            <w:tcW w:w="0" w:type="dxa"/>
            <w:vAlign w:val="bottom"/>
          </w:tcPr>
          <w:p>
            <w:pPr>
              <w:spacing w:after="0"/>
              <w:rPr>
                <w:sz w:val="1"/>
                <w:szCs w:val="1"/>
                <w:color w:val="auto"/>
              </w:rPr>
            </w:pPr>
          </w:p>
        </w:tc>
      </w:tr>
      <w:tr>
        <w:trPr>
          <w:trHeight w:val="206"/>
        </w:trPr>
        <w:tc>
          <w:tcPr>
            <w:tcW w:w="6620" w:type="dxa"/>
            <w:vAlign w:val="bottom"/>
            <w:gridSpan w:val="4"/>
          </w:tcPr>
          <w:p>
            <w:pPr>
              <w:ind w:left="340"/>
              <w:spacing w:after="0"/>
              <w:rPr>
                <w:sz w:val="20"/>
                <w:szCs w:val="20"/>
                <w:color w:val="auto"/>
              </w:rPr>
            </w:pPr>
            <w:r>
              <w:rPr>
                <w:rFonts w:ascii="Arial" w:cs="Arial" w:eastAsia="Arial" w:hAnsi="Arial"/>
                <w:sz w:val="16"/>
                <w:szCs w:val="16"/>
                <w:color w:val="auto"/>
              </w:rPr>
              <w:t>price range set forth on the cover page of this prospectus.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80" w:hanging="332"/>
        <w:spacing w:after="0" w:line="211" w:lineRule="auto"/>
        <w:tabs>
          <w:tab w:leader="none" w:pos="340" w:val="left"/>
        </w:tabs>
        <w:numPr>
          <w:ilvl w:val="0"/>
          <w:numId w:val="76"/>
        </w:numPr>
        <w:rPr>
          <w:rFonts w:ascii="Arial" w:cs="Arial" w:eastAsia="Arial" w:hAnsi="Arial"/>
          <w:sz w:val="28"/>
          <w:szCs w:val="28"/>
          <w:color w:val="auto"/>
          <w:vertAlign w:val="superscript"/>
        </w:rPr>
      </w:pPr>
      <w:r>
        <w:rPr>
          <w:rFonts w:ascii="Arial" w:cs="Arial" w:eastAsia="Arial" w:hAnsi="Arial"/>
          <w:sz w:val="16"/>
          <w:szCs w:val="16"/>
          <w:color w:val="auto"/>
        </w:rPr>
        <w:t>This award represents RSAs granted to each of Messrs. Houston and Ferdowsi pursuant to a stand-alone restricted stock award agreement. The shares underlying the RSAs are Class A common stock. The RSAs vest over a period of up to ten years upon achievement of service-based, market-based, and liquidity event-related performance vesting conditions. See “—Co-Founder Restricted Stock Awards” for additional information.</w:t>
      </w:r>
    </w:p>
    <w:p>
      <w:pPr>
        <w:spacing w:after="0" w:line="1" w:lineRule="exact"/>
        <w:rPr>
          <w:rFonts w:ascii="Arial" w:cs="Arial" w:eastAsia="Arial" w:hAnsi="Arial"/>
          <w:sz w:val="28"/>
          <w:szCs w:val="28"/>
          <w:color w:val="auto"/>
          <w:vertAlign w:val="superscript"/>
        </w:rPr>
      </w:pPr>
    </w:p>
    <w:p>
      <w:pPr>
        <w:ind w:left="340" w:right="300" w:hanging="332"/>
        <w:spacing w:after="0" w:line="183" w:lineRule="auto"/>
        <w:tabs>
          <w:tab w:leader="none" w:pos="340" w:val="left"/>
        </w:tabs>
        <w:numPr>
          <w:ilvl w:val="0"/>
          <w:numId w:val="76"/>
        </w:numPr>
        <w:rPr>
          <w:rFonts w:ascii="Arial" w:cs="Arial" w:eastAsia="Arial" w:hAnsi="Arial"/>
          <w:sz w:val="27"/>
          <w:szCs w:val="27"/>
          <w:color w:val="auto"/>
          <w:vertAlign w:val="superscript"/>
        </w:rPr>
      </w:pPr>
      <w:r>
        <w:rPr>
          <w:rFonts w:ascii="Arial" w:cs="Arial" w:eastAsia="Arial" w:hAnsi="Arial"/>
          <w:sz w:val="16"/>
          <w:szCs w:val="16"/>
          <w:color w:val="auto"/>
        </w:rPr>
        <w:t>This award represents RSUs granted to Mr. Clark pursuant to our 2017 Plan. 25% of the shares of our Class A common stock underlying the RSUs vest on August 15, 2018, and an additional 3/48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total number of shares of our Class A common stock underlying the RSUs vests in equal quarterly installments, each subject to continued service through each such vesting 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Co-Founder Restricted Stock Awards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December 2017, our Board of Directors approved a grant to our co-founders, Messrs. Houston and Ferdowsi, of RSAs with respect to 22.1 million shares of Class A common stock in the aggregate, or, collectively, the Co-Founder Grants, of which 15.5 million RSAs were granted to Mr. Houston, our co-founder and Chief Executive Officer, and 6.6 million RSAs were granted to Mr. Ferdowsi, our co-founder and Director. The Co-Founder Grants vest upon achievement of certain stock price goals, as described below.</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determining the terms and conditions of these Co-Founder Grants, the Board of Directors considered that neither co-founder had received an equity award since founding the Company and wanted to provide a meaningful incentive to the co-founders to continue to drive the growth of the business following the completion of this offering. The Board of Directors thought it was important for the Co-Founder Grants to not simply vest based on the passage of time while our co-founders provide service to the Company. Rather, the Co-Founder Grants will vest only if the Company achieves certain stock price goals, which if achieved, would allow our other stockholders to benefit tremendously from such increases in our stock price.</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Co-Founder Grants are eligible to vest over the ten-year period following the closing of this offering. The Co-Founder Grants are comprised of nine tranches that are eligible to vest based on the achievement of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price goals, or each, a Stock Price Target, measured over a consecutive thirty-day trading period during the performance period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 Stock Price</w:t>
            </w:r>
          </w:p>
        </w:tc>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Shares Eligible to Vest for</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Shares Eligible to Vest</w:t>
            </w:r>
          </w:p>
        </w:tc>
      </w:tr>
      <w:tr>
        <w:trPr>
          <w:trHeight w:val="171"/>
        </w:trPr>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b w:val="1"/>
                <w:bCs w:val="1"/>
                <w:color w:val="auto"/>
              </w:rPr>
              <w:t>Target*</w:t>
            </w:r>
          </w:p>
        </w:tc>
        <w:tc>
          <w:tcPr>
            <w:tcW w:w="3300" w:type="dxa"/>
            <w:vAlign w:val="bottom"/>
            <w:gridSpan w:val="2"/>
          </w:tcPr>
          <w:p>
            <w:pPr>
              <w:ind w:left="400"/>
              <w:spacing w:after="0"/>
              <w:rPr>
                <w:sz w:val="20"/>
                <w:szCs w:val="20"/>
                <w:color w:val="auto"/>
              </w:rPr>
            </w:pPr>
            <w:r>
              <w:rPr>
                <w:rFonts w:ascii="Arial" w:cs="Arial" w:eastAsia="Arial" w:hAnsi="Arial"/>
                <w:sz w:val="14"/>
                <w:szCs w:val="14"/>
                <w:b w:val="1"/>
                <w:bCs w:val="1"/>
                <w:color w:val="auto"/>
              </w:rPr>
              <w:t>Mr. Houston</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for Mr. Ferdowsi</w:t>
            </w:r>
          </w:p>
        </w:tc>
      </w:tr>
      <w:tr>
        <w:trPr>
          <w:trHeight w:val="210"/>
        </w:trPr>
        <w:tc>
          <w:tcPr>
            <w:tcW w:w="980" w:type="dxa"/>
            <w:vAlign w:val="bottom"/>
            <w:tcBorders>
              <w:top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1.</w:t>
            </w:r>
          </w:p>
        </w:tc>
        <w:tc>
          <w:tcPr>
            <w:tcW w:w="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7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7"/>
              </w:rPr>
              <w:t>3,100,000</w:t>
            </w:r>
          </w:p>
        </w:tc>
        <w:tc>
          <w:tcPr>
            <w:tcW w:w="17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2.</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c>
          <w:tcPr>
            <w:tcW w:w="1700" w:type="dxa"/>
            <w:vAlign w:val="bottom"/>
          </w:tcPr>
          <w:p>
            <w:pPr>
              <w:spacing w:after="0"/>
              <w:rPr>
                <w:sz w:val="18"/>
                <w:szCs w:val="18"/>
                <w:color w:val="auto"/>
              </w:rPr>
            </w:pPr>
          </w:p>
        </w:tc>
        <w:tc>
          <w:tcPr>
            <w:tcW w:w="3300" w:type="dxa"/>
            <w:vAlign w:val="bottom"/>
            <w:gridSpan w:val="2"/>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3.</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7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4.</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1700" w:type="dxa"/>
            <w:vAlign w:val="bottom"/>
          </w:tcPr>
          <w:p>
            <w:pPr>
              <w:spacing w:after="0"/>
              <w:rPr>
                <w:sz w:val="18"/>
                <w:szCs w:val="18"/>
                <w:color w:val="auto"/>
              </w:rPr>
            </w:pPr>
          </w:p>
        </w:tc>
        <w:tc>
          <w:tcPr>
            <w:tcW w:w="3300" w:type="dxa"/>
            <w:vAlign w:val="bottom"/>
            <w:gridSpan w:val="2"/>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5.</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7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6.</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1700" w:type="dxa"/>
            <w:vAlign w:val="bottom"/>
          </w:tcPr>
          <w:p>
            <w:pPr>
              <w:spacing w:after="0"/>
              <w:rPr>
                <w:sz w:val="18"/>
                <w:szCs w:val="18"/>
                <w:color w:val="auto"/>
              </w:rPr>
            </w:pPr>
          </w:p>
        </w:tc>
        <w:tc>
          <w:tcPr>
            <w:tcW w:w="3300" w:type="dxa"/>
            <w:vAlign w:val="bottom"/>
            <w:gridSpan w:val="2"/>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7.</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7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8.</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55.00</w:t>
            </w:r>
          </w:p>
        </w:tc>
        <w:tc>
          <w:tcPr>
            <w:tcW w:w="1700" w:type="dxa"/>
            <w:vAlign w:val="bottom"/>
          </w:tcPr>
          <w:p>
            <w:pPr>
              <w:spacing w:after="0"/>
              <w:rPr>
                <w:sz w:val="18"/>
                <w:szCs w:val="18"/>
                <w:color w:val="auto"/>
              </w:rPr>
            </w:pPr>
          </w:p>
        </w:tc>
        <w:tc>
          <w:tcPr>
            <w:tcW w:w="3300" w:type="dxa"/>
            <w:vAlign w:val="bottom"/>
            <w:gridSpan w:val="2"/>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9.</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7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bl>
    <w:p>
      <w:pPr>
        <w:spacing w:after="0" w:line="20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Measurement of the Company’s stock price for purposes of achievement of the Stock Price Targets will not commence until the later of the expiration of the lock-up period following the completion of this offering, or January 1, 2019. In addition, the Stock Price Targets will be adjusted to reflect any stock splits, stock dividends, combinations, reorganizations, reclassifications, or similar event.</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This ensures that to fully vest in the Co-Founder Grants, that any increase in our stock price must be sustained over a long period of time and not allow any short-term, unsustained increases in our stock price to result in a vesting event for either co-founder.</w:t>
      </w:r>
    </w:p>
    <w:p>
      <w:pPr>
        <w:spacing w:after="0" w:line="166"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Further, the co-founders will only vest in the awards if they continue as the Chief Executive Officer or Executive Chairman, with respect to Mr. Houston, and as a member of the senior management team, with respect to Mr. Ferdowsi, or the Executive Service Requirement, at the time a Stock Price Target is achieved. Upon a co-founder’s no longer satisfying the Executive Service Requirement, any portion of the Co-Founder Grant for which a Stock Price Target has not been achieved would terminate and be cancelled. By requiring that each continue in a senior executive role with the Company as a condition to vesting, the Board of Directors sought to ensure that each must be providing significant contributions to the Company that drive any future growth that would allow the Co-Founder Grants to vest.</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Lastly, the Board of Directors considered the impact these grants would have on the co-founders’ voting control of the Company. The Board of Directors determined that it was in the Company’s and our stockholders’ best interests to issue the Co-Founder Grants because the receipt of the Co-Founder Grants would not materially impact the voting control of the Company, but would still provide the co-founders with meaningful incentives as described above, and thereby align their interests with those of our other stockholders.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event of an acquisition of the Company following the closing of this offering, but before the end of the performance period, the Co-Founder Grants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Andrew W. Houston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Prior to the completion of this offering, we intend to enter into an employment letter with Andrew W. Houston, our Chief Executive Officer and one of our co-founders. The employment letter is not expected to have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19"/>
        </w:trPr>
        <w:tc>
          <w:tcPr>
            <w:tcW w:w="8820" w:type="dxa"/>
            <w:vAlign w:val="bottom"/>
            <w:gridSpan w:val="2"/>
          </w:tcPr>
          <w:p>
            <w:pPr>
              <w:spacing w:after="0"/>
              <w:rPr>
                <w:sz w:val="20"/>
                <w:szCs w:val="20"/>
                <w:color w:val="auto"/>
              </w:rPr>
            </w:pPr>
            <w:r>
              <w:rPr>
                <w:rFonts w:ascii="Arial" w:cs="Arial" w:eastAsia="Arial" w:hAnsi="Arial"/>
                <w:sz w:val="18"/>
                <w:szCs w:val="18"/>
                <w:color w:val="auto"/>
                <w:w w:val="94"/>
              </w:rPr>
              <w:t>a specific term and will provide that Mr. Houston is an at-will employee. Mr. Houston’s current annual base salary is $</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 and he is eligible for an annual</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target cash incentive payment equal to   % of his annual base salary.</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82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Arash Ferdowsi</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1220" w:type="dxa"/>
            <w:vAlign w:val="bottom"/>
            <w:gridSpan w:val="3"/>
          </w:tcPr>
          <w:p>
            <w:pPr>
              <w:ind w:left="460"/>
              <w:spacing w:after="0"/>
              <w:rPr>
                <w:sz w:val="20"/>
                <w:szCs w:val="20"/>
                <w:color w:val="auto"/>
              </w:rPr>
            </w:pPr>
            <w:r>
              <w:rPr>
                <w:rFonts w:ascii="Arial" w:cs="Arial" w:eastAsia="Arial" w:hAnsi="Arial"/>
                <w:sz w:val="18"/>
                <w:szCs w:val="18"/>
                <w:color w:val="auto"/>
                <w:w w:val="92"/>
              </w:rPr>
              <w:t>Prior to the completion of this offering, we intend to enter into an employment letter with Arash Ferdowsi, one of our co-founders. The employment</w:t>
            </w:r>
          </w:p>
        </w:tc>
        <w:tc>
          <w:tcPr>
            <w:tcW w:w="180" w:type="dxa"/>
            <w:vAlign w:val="bottom"/>
          </w:tcPr>
          <w:p>
            <w:pPr>
              <w:spacing w:after="0"/>
              <w:rPr>
                <w:sz w:val="24"/>
                <w:szCs w:val="24"/>
                <w:color w:val="auto"/>
              </w:rPr>
            </w:pPr>
          </w:p>
        </w:tc>
      </w:tr>
      <w:tr>
        <w:trPr>
          <w:trHeight w:val="216"/>
        </w:trPr>
        <w:tc>
          <w:tcPr>
            <w:tcW w:w="11220" w:type="dxa"/>
            <w:vAlign w:val="bottom"/>
            <w:gridSpan w:val="3"/>
          </w:tcPr>
          <w:p>
            <w:pPr>
              <w:spacing w:after="0"/>
              <w:rPr>
                <w:sz w:val="20"/>
                <w:szCs w:val="20"/>
                <w:color w:val="auto"/>
              </w:rPr>
            </w:pPr>
            <w:r>
              <w:rPr>
                <w:rFonts w:ascii="Arial" w:cs="Arial" w:eastAsia="Arial" w:hAnsi="Arial"/>
                <w:sz w:val="18"/>
                <w:szCs w:val="18"/>
                <w:color w:val="auto"/>
                <w:w w:val="95"/>
              </w:rPr>
              <w:t>letter is not expected to have a specific term and will provide that Mr. Ferdowsi is an at-will employee. Mr. Ferdowsi’s current annual base salary is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and he is eligible for an annual target cash incentive payment equal to   % of his annual base salary.</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i w:val="1"/>
          <w:iCs w:val="1"/>
          <w:color w:val="auto"/>
        </w:rPr>
        <w:t>Quentin J. Clark</w:t>
      </w:r>
    </w:p>
    <w:p>
      <w:pPr>
        <w:spacing w:after="0" w:line="117"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Prior to the completion of this offering, we intend to enter into an employment letter with Quentin J. Clark, our Senior Vice President of Engineering, Product, and Design. The employment letter is not expected to have a specific term and will provide that Mr. Clark is an at-will employee. Mr. Clark’s current</w:t>
      </w:r>
    </w:p>
    <w:p>
      <w:pPr>
        <w:spacing w:after="0"/>
        <w:tabs>
          <w:tab w:leader="none" w:pos="2140" w:val="left"/>
          <w:tab w:leader="none" w:pos="7480" w:val="left"/>
        </w:tabs>
        <w:rPr>
          <w:sz w:val="20"/>
          <w:szCs w:val="20"/>
          <w:color w:val="auto"/>
        </w:rPr>
      </w:pPr>
      <w:r>
        <w:rPr>
          <w:rFonts w:ascii="Arial" w:cs="Arial" w:eastAsia="Arial" w:hAnsi="Arial"/>
          <w:sz w:val="18"/>
          <w:szCs w:val="18"/>
          <w:color w:val="auto"/>
        </w:rPr>
        <w:t>annual base salary is $</w:t>
      </w:r>
      <w:r>
        <w:rPr>
          <w:sz w:val="20"/>
          <w:szCs w:val="20"/>
          <w:color w:val="auto"/>
        </w:rPr>
        <w:tab/>
      </w:r>
      <w:r>
        <w:rPr>
          <w:rFonts w:ascii="Arial" w:cs="Arial" w:eastAsia="Arial" w:hAnsi="Arial"/>
          <w:sz w:val="18"/>
          <w:szCs w:val="18"/>
          <w:color w:val="auto"/>
        </w:rPr>
        <w:t>, and he is eligible for an annual target cash incentive payment equal to</w:t>
      </w:r>
      <w:r>
        <w:rPr>
          <w:sz w:val="20"/>
          <w:szCs w:val="20"/>
          <w:color w:val="auto"/>
        </w:rPr>
        <w:tab/>
      </w:r>
      <w:r>
        <w:rPr>
          <w:rFonts w:ascii="Arial" w:cs="Arial" w:eastAsia="Arial" w:hAnsi="Arial"/>
          <w:sz w:val="15"/>
          <w:szCs w:val="15"/>
          <w:color w:val="auto"/>
        </w:rPr>
        <w:t>% of his annual base salary.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Prior to the completion of this offering, we anticipate entering into arrangements with our executive officers, including our named executive officers, which provide for payments and benefits on termination or change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Stock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the completion of this offering, our Board of Directors intends to adopt, and we expect our stockholders will approve, our 2018 Plan. We expect that our 2018 Plan will be effective on the business day immediately prior to the effective date of our registration statement related to this offering. Our 2018 Plan will provide for the grant of incentive stock options, within the meaning of Section 422 of the Internal Revenue Code, or Code, to our employees, and for the grant of nonstatutory stock options, restricted stock, restricted stock units, stock appreciation rights, performance units, and performance shares to our employees, directors, and consultants.</w:t>
      </w:r>
    </w:p>
    <w:p>
      <w:pPr>
        <w:spacing w:after="0" w:line="18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total of shares of our Class A common stock will be reserved for issuance pursuant to our 2018 Plan. In addition,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reserved for issuance under our 2018 Plan also will include (i) shares that were reserved but unissued under our 2017 Plan as of immediately prior to its termination, plus (ii) shares subject to awards under our 2008 Plan or 2017 Plan (each, a “Prior Plan”) that, on or after the termination of the 2017 Plan, expire or terminate and shares previously issued pursuant to our Prior Plans, as applicable, that, on or after the termination of the 2017 Plan, are forfeited or</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repurchased by us (provided that the maximum number of shares that may be added to our 2018 Plan from the Prior Plans is shares). The number of shares of our Class A common stock available for issuance under our 2018 Plan will also include an annual increase on the first day of each fiscal year beginning on January 1, 2019, equal to the least of:</w:t>
      </w:r>
    </w:p>
    <w:p>
      <w:pPr>
        <w:spacing w:after="0" w:line="96" w:lineRule="exact"/>
        <w:rPr>
          <w:sz w:val="20"/>
          <w:szCs w:val="20"/>
          <w:color w:val="auto"/>
        </w:rPr>
      </w:pPr>
    </w:p>
    <w:p>
      <w:pPr>
        <w:ind w:left="1480" w:hanging="905"/>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of our Class A common stock;</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percent (  %) of the outstanding shares of our capital stock as of the last day of the immediately preceding fiscal year;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or, with respect to restricted stock, restricted stock units, performance units,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46"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performance shares, is forfeited to or repurchased due to failure to vest, the unpurchased shares (or for awards other than stock options or stock appreciation rights, the forfeited or repurchased shares) will become available for future grant or sale under the 2018 Plan. With respect to stock appreciation rights, only the net shares actually issued will cease to be available under the 2018 Plan and all remaining shares under stock appreciation rights will remain available for future grant or sale under the 2018 Plan. Shares that have actually been issued under the 2018 Plan under any award will not be returned to the 2018 Plan; provided, however, that if shares issued pursuant to awards of restricted stock, restricted stock units, performance shares, or performance units are repurchased or forfeited, such shares will become available for future grant under the 2018 Plan. Shares used to pay the exercise price of an award or satisfy the tax withholding obligations related to an award will become available for future grant or sale under the 2018 Plan. To the extent an award is paid out in cash rather than shares, such cash payment will not result in a reduction in the number of shares available for issuance under the 2018 Plan.</w:t>
      </w:r>
    </w:p>
    <w:p>
      <w:pPr>
        <w:spacing w:after="0" w:line="16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one or more committees appointed by our Board of Directors will administer our 2018 Plan.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is expected to administer our 2018 Plan. In addition, if we determine it is desirable to qualify transactions under our 2018 Plan as exempt under Rule 16b-3 of the Exchange Act, such transactions will be structured to satisfy the requirements for exemption under Rule 16b-3. Subject to the provisions of our 2018 Plan, the administrator has the power to administer our 2018 Plan and make all determinations deemed necessary or advisable for administering the 2018 Plan, including but not limited to, the power to determine the fair market value of our Class A common stock, select the service providers to whom awards may be granted, determine the number of shares covered by each award, approve forms of award agreements for use under the 2018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2018 Plan and awards granted under it, to prescribe, amend, and rescind rules relating to our 2018 Plan, including creating sub-plans, and to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2018 Plan. The exercise price of options granted under our 2018 Plan must at least be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our Class A common stock on the date of grant. The term of an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our 2018 Plan, the administrator determines the other terms of options.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may be granted under our 2018 Plan. Stock appreciation rights allow the recipient to receive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in the fair market value of our Class A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2018 Plan, the administrator determines the other terms of stock appreciation rights, including when such rights become exercisable and whether to pay any increased appreciation in cash or with shares of our Class A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6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2018 Plan. Restricted stock awards are grants of shares of our Class A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vest in accordance with terms and conditions established by the administrator. The administrator will determine the number of shares of restricted stock granted to any employee, director, or consultant and, subject to the provisions of our 2018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RSUs may be granted under our 2018 Plan. Each RSU represents an amount equal to the fair market value of one share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Subject to the provisions of our 2018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6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 Performance units and performance shares may be granted under our 2018 Plan. Performance units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our Class A common stock on the grant date. The administrator, in its sole discretion, may pay earned performance units or performance shares in the form of cash, in shares, or in some combination thereof.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Outside directors</w:t>
      </w:r>
      <w:r>
        <w:rPr>
          <w:rFonts w:ascii="Arial" w:cs="Arial" w:eastAsia="Arial" w:hAnsi="Arial"/>
          <w:sz w:val="16"/>
          <w:szCs w:val="16"/>
          <w:color w:val="auto"/>
        </w:rPr>
        <w:t>. Our 2018 Plan provides that all outside (non-employee) directors will be eligible to receive all types of awards (except for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available for issuance under our 2018 Plan. Prior to the completion of this offering, we intend to implement a formal policy pursuant to which our outside directors will be eligible to receive equity awards under our 2018 Plan. In order to provide a maximum limit on the awards that can be made to our outside directors, our 2018 Plan provides that in any given fiscal year, an outside director will not be granted awards having a grant-date fair value greater</w:t>
      </w:r>
    </w:p>
    <w:p>
      <w:pPr>
        <w:spacing w:after="0" w:line="2"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than $ , but this limit is increased to $ in connection with his or her initial service (in each case, excluding awards granted to him or her as a consultant or employee). The grant-date fair values will be determined according to GAAP. The maximum limits do not reflect the intended size of any potential grants or a commitment to make grants to our outside directors under our 2018 Plan in the future.</w:t>
      </w:r>
    </w:p>
    <w:p>
      <w:pPr>
        <w:spacing w:after="0" w:line="19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2018 Plan generally does not allow for the transfer of awards and only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recipient of an award may exercise an award during his or her lifetime. If the administrator makes an award transferrable, such award will contain such additional terms and conditions as the administrator deems appropriate.</w:t>
      </w:r>
    </w:p>
    <w:p>
      <w:pPr>
        <w:spacing w:after="0" w:line="181" w:lineRule="exact"/>
        <w:rPr>
          <w:sz w:val="20"/>
          <w:szCs w:val="20"/>
          <w:color w:val="auto"/>
        </w:rPr>
      </w:pPr>
    </w:p>
    <w:p>
      <w:pPr>
        <w:jc w:val="both"/>
        <w:ind w:right="380" w:firstLine="456"/>
        <w:spacing w:after="0" w:line="286"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our 2018 Plan, the administrator will adjust the number and class of shares that may be delivered under our 2018 Plan and/or the number, class, and price of shares covered by each outstanding award, and the numerical share limits set forth in our 2018 Plan.</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 as practicable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awards will terminate immediately prior to the consummation of such proposed transaction.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2018 Plan provides that in the event of a merger or change in control, as defined under our 2018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requirement to obtain a participant’s consent. The administrator is not required to treat all awards, all awards held by a participant, or all awards of the same type, similarly.</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7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an outside director’s awards are assumed or substituted for in a merger or change in control and the service of such outside director is terminated on or following a change in control, other than pursuant to a voluntary resignation, his or her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15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 xml:space="preserve">Clawback. </w:t>
      </w:r>
      <w:r>
        <w:rPr>
          <w:rFonts w:ascii="Arial" w:cs="Arial" w:eastAsia="Arial" w:hAnsi="Arial"/>
          <w:sz w:val="16"/>
          <w:szCs w:val="16"/>
          <w:color w:val="auto"/>
        </w:rPr>
        <w:t>Awards will be subject to any clawback policy of ours, and the administrator also may specify in an award agreement that the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and/or shares issued under the award, any amounts paid under the award, and any payments or proceeds paid or provided upon disposition of the shares issued under the award in order to comply with such clawback policy or applicable laws</w:t>
      </w:r>
      <w:r>
        <w:rPr>
          <w:rFonts w:ascii="Arial" w:cs="Arial" w:eastAsia="Arial" w:hAnsi="Arial"/>
          <w:sz w:val="18"/>
          <w:szCs w:val="18"/>
          <w:i w:val="1"/>
          <w:iCs w:val="1"/>
          <w:color w:val="auto"/>
        </w:rPr>
        <w: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suspend, or terminate our 2018 Plan provided such action does not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rights of any participant. Our 2018 Plan automatically will terminate in 2028, unless we terminate it sooner.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Prior to the effectiveness of this offering, our Board of Directors intends to adopt, and we expect our stockholders will approve, our Employee Stock Purchase Plan, or the ESPP. Our ESPP will be effective on the business day immediately prior to the effective date of the registration statement of which this prospectus forms a part. However, no offering period or purchase period under the ESPP will begin unless and until determined by our Board of Directors.</w:t>
      </w:r>
    </w:p>
    <w:p>
      <w:pPr>
        <w:spacing w:after="0" w:line="14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shares of our Class A common stock will be available for sale under our ESPP. The number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that will be available for sale under our ESPP also includes an annual increase on the first day of each fiscal year beginning on January 1, 2019, equal to the least of:</w:t>
      </w:r>
    </w:p>
    <w:p>
      <w:pPr>
        <w:spacing w:after="0" w:line="87" w:lineRule="exact"/>
        <w:rPr>
          <w:sz w:val="20"/>
          <w:szCs w:val="20"/>
          <w:color w:val="auto"/>
        </w:rPr>
      </w:pPr>
    </w:p>
    <w:p>
      <w:pPr>
        <w:ind w:left="1480" w:hanging="905"/>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of our Class A common stock;</w:t>
      </w:r>
    </w:p>
    <w:p>
      <w:pPr>
        <w:spacing w:after="0" w:line="130" w:lineRule="exact"/>
        <w:rPr>
          <w:rFonts w:ascii="Arial" w:cs="Arial" w:eastAsia="Arial" w:hAnsi="Arial"/>
          <w:sz w:val="18"/>
          <w:szCs w:val="18"/>
          <w:color w:val="auto"/>
        </w:rPr>
      </w:pPr>
    </w:p>
    <w:p>
      <w:pPr>
        <w:ind w:left="1480" w:hanging="905"/>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percent (  %) of the outstanding shares of our capital stock as of the last day of the immediately preceding fiscal year;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other amount as the administrator may determine.</w:t>
      </w:r>
    </w:p>
    <w:p>
      <w:pPr>
        <w:spacing w:after="0" w:line="225"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appointed by our Board of Directors will administer our ESPP, and have full but</w:t>
      </w:r>
      <w:r>
        <w:rPr>
          <w:rFonts w:ascii="Arial" w:cs="Arial" w:eastAsia="Arial" w:hAnsi="Arial"/>
          <w:sz w:val="18"/>
          <w:szCs w:val="18"/>
          <w:i w:val="1"/>
          <w:iCs w:val="1"/>
          <w:color w:val="auto"/>
        </w:rPr>
        <w:t xml:space="preserve"> </w:t>
      </w:r>
      <w:r>
        <w:rPr>
          <w:rFonts w:ascii="Arial" w:cs="Arial" w:eastAsia="Arial" w:hAnsi="Arial"/>
          <w:sz w:val="18"/>
          <w:szCs w:val="18"/>
          <w:color w:val="auto"/>
        </w:rPr>
        <w:t>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foreign nationals or employed outside the U.S. The administrator’s findings, decisions, and determinations are final and binding on all participants to the full extent permitted by law.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Generally, all of our employees will be eligible to participate if they are customarily employed by us, or any participating subsidiary, for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least 20 hours per week and more than five months in any calendar year. The administrator, in its discretion, may, prior to an enrollment date for all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on such enrollment date in an offering, determine that an employee who (i) has not completed at least two years of service (or a lesser period of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by the administrator) since his or her last hire date, (ii) customarily works not more than 20 hours per week (or a lesser period of time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administrator), (iii) customarily works not more than five months per calendar year (or a lesser period of time determined by the administrator), (iv)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highly compensated employee within the meaning of Section 414(q) of the Code, and (v) is a highly compensated employee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414(q) of the Code with compensation above a certain level or is an officer or subject to disclosure requirements under Section 16(a) of the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 is or is not eligible to participate in such offering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an employee may not be granted rights to purchase shares of our Class A common stock under our ESPP if such employee:</w:t>
      </w:r>
    </w:p>
    <w:p>
      <w:pPr>
        <w:spacing w:after="0" w:line="131" w:lineRule="exact"/>
        <w:rPr>
          <w:sz w:val="20"/>
          <w:szCs w:val="20"/>
          <w:color w:val="auto"/>
        </w:rPr>
      </w:pPr>
    </w:p>
    <w:p>
      <w:pPr>
        <w:ind w:left="900" w:right="36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the grant would own capital stock possessing 5% or more of the total combined voting power or value of all classes of our capital stock; or</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hold rights to purchase shares of our Class A common stock under all of our employee stock purchase plans that accrue at a rate that exceeds $25,000 worth of shares of our Class A common stock for each calendar year.</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i w:val="1"/>
          <w:iCs w:val="1"/>
          <w:color w:val="auto"/>
        </w:rPr>
        <w:t>Offering periods; purchase periods</w:t>
      </w:r>
      <w:r>
        <w:rPr>
          <w:rFonts w:ascii="Arial" w:cs="Arial" w:eastAsia="Arial" w:hAnsi="Arial"/>
          <w:sz w:val="17"/>
          <w:szCs w:val="17"/>
          <w:color w:val="auto"/>
        </w:rPr>
        <w:t>. Our ESPP includes a component that allows us to make offerings intended to qualify under Section 423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and a component that allows us to make offerings not intended to qualify under Section 423 of the Code to designated companies, as described in our ESPP. No offerings have been authorized to date by our Board of Directors under the ESPP. If our Board of Directors authorizes an offering period under the ESPP, our Board of Directors is authorized to establish the duration of offering periods and purchase periods, including the starting and ending dates of offering periods and purchase periods, provided that no offering period may have a duration exceeding 27 months.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Contributions</w:t>
      </w:r>
      <w:r>
        <w:rPr>
          <w:rFonts w:ascii="Arial" w:cs="Arial" w:eastAsia="Arial" w:hAnsi="Arial"/>
          <w:sz w:val="18"/>
          <w:szCs w:val="18"/>
          <w:color w:val="auto"/>
        </w:rPr>
        <w:t>. Our ESPP permits participants to purchase shares of our Class A common stock through contributions (in the form of payroll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to the extent permitted by the administrator) of up to % of their eligible compensation. A participant may purchase a maximum of shares of our Class A common stock during a purchase period.</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Exercise of purchase right</w:t>
      </w:r>
      <w:r>
        <w:rPr>
          <w:rFonts w:ascii="Arial" w:cs="Arial" w:eastAsia="Arial" w:hAnsi="Arial"/>
          <w:sz w:val="18"/>
          <w:szCs w:val="18"/>
          <w:color w:val="auto"/>
        </w:rPr>
        <w:t>. If our Board of Directors authorizes an offering and purchase period under the ESPP, amounts contributed and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participant during any offering period will be used to purchase shares of our Class A common stock at the end of each purchase period established by our Board of Directors. The purchase price of the shares will be % of the lower of the fair market value of our Class A common stock on the first trading day of each offering period or on the exercise date.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A participant may not transfer rights granted under our ESPP. If our compensation committee permits the transfer of rights, it may</w:t>
      </w:r>
      <w:r>
        <w:rPr>
          <w:rFonts w:ascii="Arial" w:cs="Arial" w:eastAsia="Arial" w:hAnsi="Arial"/>
          <w:sz w:val="18"/>
          <w:szCs w:val="18"/>
          <w:i w:val="1"/>
          <w:iCs w:val="1"/>
          <w:color w:val="auto"/>
        </w:rPr>
        <w:t xml:space="preserve"> </w:t>
      </w:r>
      <w:r>
        <w:rPr>
          <w:rFonts w:ascii="Arial" w:cs="Arial" w:eastAsia="Arial" w:hAnsi="Arial"/>
          <w:sz w:val="18"/>
          <w:szCs w:val="18"/>
          <w:color w:val="auto"/>
        </w:rPr>
        <w:t>only be done by will, the laws of descent and distribution, or as otherwise provided under our ESPP.</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ESPP provides that in the event of a merger or change in control, as defined under our ESPP, a successor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73"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suspend, or terminate our ESPP, except that, subject to certain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our ESPP, no such action may adversely affect any outstanding rights to purchase shares of our Class A common stock under our ESPP. Our ESPP automatically will terminate in 2038, unless we terminate it sooner.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Our Board of Directors and stockholders adopted our 2017 Plan on March 8, 2017. Our 2017 Plan allows for the grant of incentive stock options to our employees, and for the grant of nonqualified stock options and restricted stock awards, RSUs, and stock appreciation rights to employees, officers, directors, and certain of our consultants.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Our 2017 Plan will be terminated immediately prior to the effectiveness of our 2018 Plan, and accordingly, no shares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issuance under the 2017 Plan following its termination. Our 2017 Plan will continue to govern outstanding awards granted thereunder. As of</w:t>
      </w:r>
    </w:p>
    <w:p>
      <w:pPr>
        <w:ind w:right="440"/>
        <w:spacing w:after="0" w:line="261" w:lineRule="auto"/>
        <w:rPr>
          <w:sz w:val="20"/>
          <w:szCs w:val="20"/>
          <w:color w:val="auto"/>
        </w:rPr>
      </w:pPr>
      <w:r>
        <w:rPr>
          <w:rFonts w:ascii="Arial" w:cs="Arial" w:eastAsia="Arial" w:hAnsi="Arial"/>
          <w:sz w:val="18"/>
          <w:szCs w:val="18"/>
          <w:color w:val="auto"/>
        </w:rPr>
        <w:t>September 30, 2017, shares of our Class A common stock were reserved for future issuance under our 2017 Plan and RSUs covering 22,883,109 shares of our Class A common stock remained outstanding under our 2017 Plan.</w:t>
      </w:r>
    </w:p>
    <w:p>
      <w:pPr>
        <w:spacing w:after="0" w:line="18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may administer our 2017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currently administers our 2017 Plan. Subject to the provisions of our 2017 Plan, the administrator has the power to construe and interpret our 2017 Plan and any agreement thereunder and to determine the form and terms of awards (including the participants), the number of shares subject to each award, the exercise price (if any), the fair market value of a share of our Class A common stock, if such stock is not publicly-traded, listed, or admitted to trading on a national securities exchange, nor reported in any newspaper or other source, the vesting, exercisability, and payment of awards granted under our 2017 Plan, whether an award has been earned, and whether awards will be granted singly, in combination with, in tandem with, in replacement of, or as alternatives to, other awards. The administrator may correct, prescribe, amend, expand, modify, rescind, or terminate rules and regulations relating to our 2017 Plan. The administrator may, at any time, authorize the issuance of new awards in exchange for the surrender and cancellation of any or all outstanding awards with the consent of a participant. The administrator may also buy out an award previously granted for cash, shares, or other consideration as the administrator and the participant may agree.</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Stock options may be granted under our 2017 Plan. The exercise price per share of all options must equal at least the fair market value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our Class A common stock on the date of grant, unless otherwise expressly determined in writing by the administrator on the grant date. The term of an option may not exceed ten years. An incentive stock option granted to a participant who owns more than 10% of the total combined voting power of all classes of our stock on the date of grant, or any parent or subsidiary corporations, may not have a term in excess of five years and must have an exercise price of at least 110% of the fair market value per share of our common stock on the grant date. The methods of payment of the exercise price of an option include cash (by check) or shares or certain other property or other consideration acceptable to the administrator and otherwise permitted under our 2017 Plan. After a participant’s termination of service for reasons other than for death, disability, or cause, the participant generally may exercise his or her options, to the extent vested as of such date of termination, for three months after termination. After a participant’s termination of service for death or disability, the option generally will remain exercisable, to the extent vested as of such date of termination, for 12 months after such termination. In no event may an option be exercised later than the expiration of its term. After a participant’s termination of service for cause, the option generally will expire on the date of such termination.</w:t>
      </w:r>
    </w:p>
    <w:p>
      <w:pPr>
        <w:spacing w:after="0" w:line="18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awards may be granted under our 2017 Plan. Restricted stock awards are offers by us to sell to an eligible person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that are subject to certain specified restrictions, including restrictions on transferability and forfeiture provisions. Restricted stock awards will be entitled to receive all dividends or other distributions paid with respect to such shares, unless the administrator provides otherwise at the time of the award.</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RSUs</w:t>
      </w:r>
      <w:r>
        <w:rPr>
          <w:rFonts w:ascii="Arial" w:cs="Arial" w:eastAsia="Arial" w:hAnsi="Arial"/>
          <w:sz w:val="16"/>
          <w:szCs w:val="16"/>
          <w:color w:val="auto"/>
        </w:rPr>
        <w:t>. RSUs may be granted under our 2017 Plan. RSUs are awards covering a number of shares that may be settled in cash, or by issue of those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at a date in the future. No purchase price shall apply to an RSU settled in shares. The administrator may permit an RSU holder to defer payment under an RSU to a date or dates after the RSU is earned subject to certain restrictions set forth in our 2017 Plan. The administrator may permit holders of RSUs to receive dividend equivalent payments on outstanding RSUs if and when dividends are paid to stockholders in accordance with the terms of our 2017 Plan.</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may be granted under our 2017 Plan. Stock appreciation rights allow the participant to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in the fair market value of Class A common stock between the exercise date and the date of grant. Subject to the provisions of our 2017 Plan, the administrator determines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terms of stock appreciation rights, including when such rights become exercisable and whether to pay any increased appreciation in cash or shares. The per share exercise price for the shares to be issued pursuant to the exercise of a stock appreciation right must equal at least the fair market value per share of our Class A common stock on the date of grant. The term of a stock appreciation right may not exceed 10 years from the date the stock appreciation right is signed. The administrator will determine the period of time after a participant’s termination of service during which the participant may exercise his or her stock appreciation right, subject to the same terms and conditions as applicable to options as described above.</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Transferability or assignability of awards</w:t>
      </w:r>
      <w:r>
        <w:rPr>
          <w:rFonts w:ascii="Arial" w:cs="Arial" w:eastAsia="Arial" w:hAnsi="Arial"/>
          <w:sz w:val="18"/>
          <w:szCs w:val="18"/>
          <w:color w:val="auto"/>
        </w:rPr>
        <w:t>. Our 2017 Plan generally does not allow for the transfer or assignment of awards, other than by will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descent and distribution and, with respect to nonqualified options, by instrument to an inter vivos or testamentary trust in which the options are to be passed to beneficiaries upon the death of the trustor (settlor) or by gift to “family member,” and awards under our 2017 Plan may not be made subject to execution, attachment, or similar process. An award under our 2017 Plan generally is only exercisable by the participant or the participant’s legal representative during the participant’s lifetime.</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In the event of certain changes in our capitalization, the administrator will proportionally adjust the number of shares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under our 2017 Plan and/or the number and price of shares covered by each outstanding award subject to any required action by our Board of Directors or stockholders.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our proposed liquidation or dissolution, our Board of Directors may terminate any and all outstanding awards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the payment of creditors and the distribution of any remaining funds to the our stockholders.</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Acquisition or other combination</w:t>
      </w:r>
      <w:r>
        <w:rPr>
          <w:rFonts w:ascii="Arial" w:cs="Arial" w:eastAsia="Arial" w:hAnsi="Arial"/>
          <w:sz w:val="17"/>
          <w:szCs w:val="17"/>
          <w:color w:val="auto"/>
        </w:rPr>
        <w:t>. If we are subject to an acquisition, consolidation, or merger, or similar conversion event, outstanding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2017 Plan shall be subject to the agreement evidencing such transaction. The agreement may provide for the continuation, assumption, or substitution of outstanding awards by us (if we are the surviving corporation) or the successor or acquiring entity (if any), or the full or partial exercisability or vesting and accelerated expiration of awards, or the settlement of the full value of outstanding awards in cash, cash equivalents, or securities of the successor or its parent followed by the cancellation of such awards. If an outstanding award is not continued, assumed, or substituted, the award will terminate and cease to be outstanding immediately following the occurrence of the applicable transaction.</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Board of Directors may terminate or amend our 2017 Plan at any time, provided that such amendment does not impair</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under outstanding options without the participant’s written consent. As noted above, prior to the adoption of our 2018 Plan in connection with this offering, our 2017 Plan will be terminated and no further awards will be granted thereunder. All outstanding awards will continue to be governed by their existing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 As Amended</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Board of Directors and stockholders adopted our 2008 Plan in January 2008. Our 2008 Plan was most recently amended in November 2016. Our 2008 Plan was terminated in connection with our adoption of our 2017 Plan. As of September 30, 2017, options to purchase 7,484,830 shares of our Class B common stock remained outstanding under our 2008 Plan at a weighted-average exercise price of approximately $7.03 per share and RSUs covering 61,577,921 shares of our Class B common stock remained outstanding under our 2008 Plan. Awards granted under the 2008 Plan generally are subject to terms similar to those described above with respect to options and RSUs granted under the 2017 Plan. Our 2008 Plan provides that if there is (i) a dissolution or liquidation of the Company, (ii) any reorganization, consolidation, merger, or similar transaction or series of related transactions resulting in a significant change in our voting securities as described in our 2008 Plan, or (iii) a sale of all or substantially all of our assets followed by the distribution of the proceeds to our stockholders,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or all outstanding awards may be assumed, converted, replaced, or substituted by the successor or acquiring corporation (if any). If a successor or acquiring corporation refuses to assume, convert, replace, or substitute awards, vesting of awards will accelerate and options will become exercisable in full prior to the consummation of event on such terms as determined by the administrator, and all options that are not exercised prior to the consummation of the transaction and all other awards will terminate. Our 2008 Plan generally does not allow for the transfer or assignment of awards, other than by will or by the laws of descent and distribution and, with respect to nonqualified options, by instrument to an inter vivos or testamentary trust in which the options are to be passed to beneficiaries upon the death of the trustor (settlor) or by gift to “immediate family,” and awards may not be made subject to execution, attachment, or similar process. An award is only exercisable by the participant or the participant’s legal representative during the participant’s lifetime. Our Board of Directors may amend our 2008 Plan at any time, provided that such amendment does not impair the rights under outstanding awards without the participant’s written consent.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Bonus Plan</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Board of Directors has adopted a cash bonus plan, or our Cash Bonus Plan, that allows us to financially incentivize and reward our employees, including our executive officers, based upon our performance and their individual contributions to our success.</w:t>
      </w:r>
    </w:p>
    <w:p>
      <w:pPr>
        <w:spacing w:after="0" w:line="170"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Our Cash Bonus Plan is administered by our Compensation Committee. Our compensation committee has the discretionary authority to interpret and administer our Cash Bonus Plan, including all terms defined therein, and to adopt rules and regulations to implement our Cash Bonus Plan, as it deems necessary. Our Compensation Committee has delegated to our Chief Financial Officer and our Vice President of People the day-to-day implementation and interpretation of our Cash Bonus Plan, including the approval of individual payouts under our Cash Bonus Plan to employees other than our executive management team. However, approval of our Compensation Committee is required for any material amendments to our Cash Bonus Plan, approval of the aggregate payout under our Cash Bonus Plan, and approval of individual payouts under the Plan to the executive management team.</w:t>
      </w:r>
    </w:p>
    <w:p>
      <w:pPr>
        <w:spacing w:after="0" w:line="16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Unless otherwise determined by our Compensation Committee, all of our employees, including our named executive officers, who (i) are employed by us before November 1 of the applicable calendar year and (ii) not covered by any other performance bonus, commission, or incentive plan, are eligible to participate in our Cash Bonus Plan. Participation in our Cash Bonus Plan is effective on the later of January 1 or the applicable subsequent calendar year or the day (prior to November 1) that the eligible employee commences as a full-time/part-time regular employee of ours.</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Cash Bonus Plan features annual performance periods. For each performance period, our Compensation Committee, in its sole discretion, will establish a bonus pool, which may be established before, during or after the applicable performance period. Our Compensation Committee may, in its sole discretion and at any time, increase, reduce, or eliminate the amount allocated to the bonus pool. Actual awards will be paid from the bonus pool subject to the terms and conditions set forth in our Cash Bonus Plan.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Compensation Committee will, in its sole discretion, determine the performance goals applicable to any award. The goals may be based on any such factors our Compensation Committee determines relevant, and may be on an individual, divisional, business unit, or company-wide basis. Performance goals may be measured over the period of time determined by our Compensation Committee in its sole discretion. A performance period may be divided into one or more shorter periods if, for example, but not by way of limitation, our Compensation Committee desires to measure some performance criteria over 12 months and other criteria over fewer months. The performance goals may differ from eligible employee to eligible employee and from award to award. Failure to meet the goals will result in a failure to earn the award, except as provided in our Cash Bonus Plan. As determined by our Compensation Committee, the performance goals may be based on GAAP or non-GAAP results and any actual results may be adjusted by our Compensation Committee for one-time items, unbudgeted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or unexpected items, acquisition-related activities, or changes in applicable accounting rules when determining whether the performance goals have been met.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retains the sole discretion to make or not make any such equitable adjustments.</w:t>
      </w:r>
    </w:p>
    <w:p>
      <w:pPr>
        <w:spacing w:after="0" w:line="21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An eligible employee’s bonus target is the percentage of his or her “eligible earnings” to be paid out at 100% performance achievement, determined by his or her position and communicated at the time of hire or as amended in writing. The bonus may be weighted based on individual performance to measurable objectives and company performance. The bonus can provide for payout above target for performance in excess of the individual performance factors and/or company performance factors. “Eligible earnings” means base salary as of December 31 of the applicable performance period, prorated for hire date and leaves of absence (proration based on the number of days in the performance period, as permitted by applicable law) that occur in the performance period. Eligible earnings exclude Company payments that are in addition to base salary, including, but not limited to, overtime, payments for moving or relocation allowances, or other wages (including but not limited to bonuses or commissions).</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Bonuses are earned on the date of payment and not sooner, either in whole or in part. Bonuses will be paid in cash. Bonuses will be paid as soon as practicable after we determine our financial results for the performance period, which generally occurs in the fiscal quarter immediately following the end of the performance period. Achieved bonuses, if any, will be paid before March 15 of such succeeding calendar year. Unless otherwise determined by the plan administrator, an eligible employee must be employed by us through the date the bonus is paid.</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reserve the right, in our sole discretion, to modify or terminate the Cash Bonus Plan in total or in part, at any time. Any such change must be in writing and approved by the compensation committee. However, no modification or termination shall apply retroactively as to cause a forfeiture of an earned bonus.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a portion of contributions made by our employees, including executives. We intend for our 401(k) plan to qualify under Section 401(a) and 501(a) of the Code so that contributions by employees to our 401(k) plan, and income earned on those contributions, are not taxable to employees until withdrawn from our 401(k) plan.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RELATED PARTY TRANSACTIONS, AND OTHER TRANSACTIONS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2015, and each currently proposed transaction in which:</w:t>
      </w:r>
    </w:p>
    <w:p>
      <w:pPr>
        <w:spacing w:after="0" w:line="87"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are party to our Amended and Restated Investors’ Rights Agreement, or IRA, dated as of January 30, 2014, which provides, among other things, that certain holders of our capital stock, including entities affiliated with each of Sequoia Capital, Accel, and T. Rowe Price, be covered by a registration statement that we are otherwise filing. R. Bryan Schreier, a member of our Board of Directors, is affiliated with Sequoia Capital. See the section titled “Description of Capital Stock—Registration Rights” for additional information regarding these registration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Pursuant to certain of our bylaws, equity compensation plans, and certain agreements with our stockholders, including our Amended and Restated Right of First Refusal and Co-Sale Agreement, dated January 30, 2014, we or our assignees have a right to purchase shares of our capital stock which stockholders propose to sell to other parties. This right will terminate immediately prior to the completion of this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Voting and Drag-Along Agreement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party to our Amended and Restated Voting and Drag-Along Agreement, or Voting Agreement, dated as of April 21, 2016, under which certain holders of our capital stock, including entities affiliated with each of Sequoia Capital, Accel, and T. Rowe Price, have agreed to vote their shares of our capital stock on certain matters, including with respect to the election of directors. R. Bryan Schreier, a member of our Board of Directors, is affiliated with Sequoia Capital. Immediately prior to the completion of this offering, the Voting Agreement will terminate and none of our stockholders will have any special rights regarding the election or designation of members of our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Arrangement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previously had a commercial relationship with Hewlett-Packard Company, of which Margaret Whitman served as the Chief Executive Officer from September 2011 to November 2015. During 2015, we made payments of $37.3 million for capital leases and commercial products and services provided by the Hewlett-Packard Company.</w:t>
      </w:r>
    </w:p>
    <w:p>
      <w:pPr>
        <w:spacing w:after="0" w:line="18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also have a commercial relationship with HPE, of which Margaret Whitman served as Chief Executive Officer from November 2015 to January 2018. These commercial relationships include infrastructure equipment under capital leases, the purchase of commercial products and other services, and a multi-year subscription agreement for access to the Dropbox platform. During 2016, we received payments of $1.0 million for services rendered to HPE. During 2015, 2016, and the first nine months of 2017, we made payments of $10.9 million, $79.7 million, and $63.2 million, respectively, for capital leases and commercial products and services provided by HPE.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Sheila Vashee, who is the wife of Ajay Vashee, our Chief Financial Officer, was employed by us in a non-executive capacity. Her total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received in 2015, 2016, and the first nine months of 2017, which is comprised of a base salary and bonus, as applicable, was $234,228, $249,064,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$349,888, respectively, and was in line with similar roles at the Company. Additionally, we granted Ms. Vashee equity awards covering 69,979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during this time.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Charitable Foundation</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During 2016, two of our controlling stockholders formed the Dropbox Charitable Foundation, a Delaware non-stock corporation, or the Foundation. The primary purpose of the Foundation is to engage in charitable and educational activities within the meaning of Section 501(c)(3) of the Code. The Foundation is governed by a board of directors, a majority of which are independent. Both stockholders made contributions to the Foundation during 2016, comprised entirely of shares of Dropbox common stock. As of December 31, 2016, we had not made any contributions to the Foundation. We have not consolidated the Foundation in the accompanying consolidated financial statements, as we do not have control of the entity.</w:t>
      </w:r>
    </w:p>
    <w:p>
      <w:pPr>
        <w:spacing w:after="0" w:line="158"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During the second quarter of 2017, we incurred $9.4 million of expense for a non-cash charitable contribution, whereby we donated Class B common shares to initially fund the Foundation. Additionally, during the first nine months of 2017, we made cash contributions of $823,978 to the Foundation.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We have granted stock options and RSUs to our executive officers and certain of our directors. See the sections titled “Executive Compensation— Outstanding Equity Awards at 2017 Year-End” and “Management—Non-Employee Director Compensation” for a description of these stock options and RSUs.</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Party Transactions,” since January 1, 2015,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From time to time, we do business with other companies affiliated with certain holders of our capital stock. We believe that all such arrangements have been entered into in the ordinary course of business and have been conducted on an arm’s-length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66"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opinion of the SEC, such indemnification is against public policy as expressed in the Securities Act and is therefore unenforceable.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September 30, 2017, and as adjusted to reflect the sale of our common stock offered by us and the selling stockholders in this offering assuming no exercise of the underwriters’ option to purchase additional shares of our common stock from us and the selling stockholders, for:</w:t>
      </w:r>
    </w:p>
    <w:p>
      <w:pPr>
        <w:spacing w:after="0" w:line="87"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selling stockholders.</w:t>
      </w:r>
    </w:p>
    <w:p>
      <w:pPr>
        <w:spacing w:after="0" w:line="225"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54" w:lineRule="exact"/>
        <w:rPr>
          <w:sz w:val="20"/>
          <w:szCs w:val="20"/>
          <w:color w:val="auto"/>
        </w:rPr>
      </w:pPr>
    </w:p>
    <w:p>
      <w:pPr>
        <w:jc w:val="both"/>
        <w:ind w:right="420" w:firstLine="456"/>
        <w:spacing w:after="0" w:line="288" w:lineRule="auto"/>
        <w:rPr>
          <w:sz w:val="20"/>
          <w:szCs w:val="20"/>
          <w:color w:val="auto"/>
        </w:rPr>
      </w:pPr>
      <w:r>
        <w:rPr>
          <w:rFonts w:ascii="Arial" w:cs="Arial" w:eastAsia="Arial" w:hAnsi="Arial"/>
          <w:sz w:val="16"/>
          <w:szCs w:val="16"/>
          <w:color w:val="auto"/>
        </w:rPr>
        <w:t>We have based our calculation of the percentage of beneficial ownership prior to this offering on 13,892,885 shares of our Class A common stock (including the Capital Stock Conversions) and 538,851,747 shares of our Class B common stock (including the Capital Stock Conversions and the RSU Settlement) outstanding as of September 30, 2017. We have based our calculation of the percentage of beneficial ownership after this offering on</w:t>
      </w:r>
    </w:p>
    <w:p>
      <w:pPr>
        <w:ind w:right="20"/>
        <w:spacing w:after="0" w:line="265" w:lineRule="auto"/>
        <w:rPr>
          <w:sz w:val="20"/>
          <w:szCs w:val="20"/>
          <w:color w:val="auto"/>
        </w:rPr>
      </w:pPr>
      <w:r>
        <w:rPr>
          <w:rFonts w:ascii="Arial" w:cs="Arial" w:eastAsia="Arial" w:hAnsi="Arial"/>
          <w:sz w:val="17"/>
          <w:szCs w:val="17"/>
          <w:color w:val="auto"/>
        </w:rPr>
        <w:t>shares of our Class A common stock issued by us in our initial public offering and shares of Class A common stock outstanding immediately after the completion of this offering, assuming that the underwriters will not exercise their option to purchase up to an additional shares of our Class A</w:t>
      </w:r>
    </w:p>
    <w:p>
      <w:pPr>
        <w:ind w:right="200"/>
        <w:spacing w:after="0" w:line="253" w:lineRule="auto"/>
        <w:rPr>
          <w:sz w:val="20"/>
          <w:szCs w:val="20"/>
          <w:color w:val="auto"/>
        </w:rPr>
      </w:pPr>
      <w:r>
        <w:rPr>
          <w:rFonts w:ascii="Arial" w:cs="Arial" w:eastAsia="Arial" w:hAnsi="Arial"/>
          <w:sz w:val="18"/>
          <w:szCs w:val="18"/>
          <w:color w:val="auto"/>
        </w:rPr>
        <w:t>common stock from us and the selling stockholders in full. We have deemed shares of our common stock subject to stock options that are currently exercisable or exercisable within 60 days of September 30, 2017, or issuable pursuant to RSUs which are subject to vesting and settlement conditions expected to occur within 60 days of September 30, 2017,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Dropbox, Inc., 333 Brannan Street, San Francisco, California 94107.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 of</w:t>
            </w:r>
          </w:p>
        </w:tc>
        <w:tc>
          <w:tcPr>
            <w:tcW w:w="168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84"/>
              </w:rPr>
              <w:t>Shares beneficially</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total</w:t>
            </w:r>
          </w:p>
        </w:tc>
        <w:tc>
          <w:tcPr>
            <w:tcW w:w="1680" w:type="dxa"/>
            <w:vAlign w:val="bottom"/>
            <w:gridSpan w:val="7"/>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total</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240" w:type="dxa"/>
            <w:vAlign w:val="bottom"/>
            <w:gridSpan w:val="6"/>
            <w:vMerge w:val="restart"/>
          </w:tcPr>
          <w:p>
            <w:pPr>
              <w:jc w:val="center"/>
              <w:ind w:left="82"/>
              <w:spacing w:after="0" w:line="135" w:lineRule="exact"/>
              <w:rPr>
                <w:sz w:val="20"/>
                <w:szCs w:val="20"/>
                <w:color w:val="auto"/>
              </w:rPr>
            </w:pPr>
            <w:r>
              <w:rPr>
                <w:rFonts w:ascii="Arial" w:cs="Arial" w:eastAsia="Arial" w:hAnsi="Arial"/>
                <w:sz w:val="13"/>
                <w:szCs w:val="13"/>
                <w:b w:val="1"/>
                <w:bCs w:val="1"/>
                <w:color w:val="auto"/>
                <w:w w:val="86"/>
              </w:rPr>
              <w:t>Shares beneficially owned prior to</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gridSpan w:val="6"/>
            <w:vMerge w:val="restart"/>
          </w:tcPr>
          <w:p>
            <w:pPr>
              <w:jc w:val="center"/>
              <w:ind w:right="400"/>
              <w:spacing w:after="0" w:line="135" w:lineRule="exact"/>
              <w:rPr>
                <w:sz w:val="20"/>
                <w:szCs w:val="20"/>
                <w:color w:val="auto"/>
              </w:rPr>
            </w:pPr>
            <w:r>
              <w:rPr>
                <w:rFonts w:ascii="Arial" w:cs="Arial" w:eastAsia="Arial" w:hAnsi="Arial"/>
                <w:sz w:val="13"/>
                <w:szCs w:val="13"/>
                <w:b w:val="1"/>
                <w:bCs w:val="1"/>
                <w:color w:val="auto"/>
                <w:w w:val="88"/>
              </w:rPr>
              <w:t>owned after this</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24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voting</w:t>
            </w:r>
          </w:p>
        </w:tc>
        <w:tc>
          <w:tcPr>
            <w:tcW w:w="400" w:type="dxa"/>
            <w:vAlign w:val="bottom"/>
          </w:tcPr>
          <w:p>
            <w:pPr>
              <w:spacing w:after="0"/>
              <w:rPr>
                <w:sz w:val="5"/>
                <w:szCs w:val="5"/>
                <w:color w:val="auto"/>
              </w:rPr>
            </w:pPr>
          </w:p>
        </w:tc>
        <w:tc>
          <w:tcPr>
            <w:tcW w:w="12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voting</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540" w:type="dxa"/>
            <w:vAlign w:val="bottom"/>
            <w:gridSpan w:val="5"/>
            <w:vMerge w:val="restart"/>
          </w:tcPr>
          <w:p>
            <w:pPr>
              <w:jc w:val="center"/>
              <w:ind w:right="560"/>
              <w:spacing w:after="0"/>
              <w:rPr>
                <w:sz w:val="20"/>
                <w:szCs w:val="20"/>
                <w:color w:val="auto"/>
              </w:rPr>
            </w:pPr>
            <w:r>
              <w:rPr>
                <w:rFonts w:ascii="Arial" w:cs="Arial" w:eastAsia="Arial" w:hAnsi="Arial"/>
                <w:sz w:val="13"/>
                <w:szCs w:val="13"/>
                <w:b w:val="1"/>
                <w:bCs w:val="1"/>
                <w:color w:val="auto"/>
                <w:w w:val="87"/>
              </w:rPr>
              <w:t>this offering</w:t>
            </w: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5"/>
            <w:vMerge w:val="restart"/>
          </w:tcPr>
          <w:p>
            <w:pPr>
              <w:jc w:val="center"/>
              <w:ind w:right="600"/>
              <w:spacing w:after="0"/>
              <w:rPr>
                <w:sz w:val="20"/>
                <w:szCs w:val="20"/>
                <w:color w:val="auto"/>
              </w:rPr>
            </w:pPr>
            <w:r>
              <w:rPr>
                <w:rFonts w:ascii="Arial" w:cs="Arial" w:eastAsia="Arial" w:hAnsi="Arial"/>
                <w:sz w:val="13"/>
                <w:szCs w:val="13"/>
                <w:b w:val="1"/>
                <w:bCs w:val="1"/>
                <w:color w:val="auto"/>
                <w:w w:val="90"/>
              </w:rPr>
              <w:t>offering</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gridSpan w:val="5"/>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power</w:t>
            </w:r>
          </w:p>
        </w:tc>
        <w:tc>
          <w:tcPr>
            <w:tcW w:w="4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power</w:t>
            </w:r>
          </w:p>
        </w:tc>
        <w:tc>
          <w:tcPr>
            <w:tcW w:w="0" w:type="dxa"/>
            <w:vAlign w:val="bottom"/>
          </w:tcPr>
          <w:p>
            <w:pPr>
              <w:spacing w:after="0"/>
              <w:rPr>
                <w:sz w:val="1"/>
                <w:szCs w:val="1"/>
                <w:color w:val="auto"/>
              </w:rPr>
            </w:pPr>
          </w:p>
        </w:tc>
      </w:tr>
      <w:tr>
        <w:trPr>
          <w:trHeight w:val="29"/>
        </w:trPr>
        <w:tc>
          <w:tcPr>
            <w:tcW w:w="13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0" w:type="dxa"/>
            <w:vAlign w:val="bottom"/>
          </w:tcPr>
          <w:p>
            <w:pPr>
              <w:jc w:val="right"/>
              <w:ind w:right="62"/>
              <w:spacing w:after="0" w:line="135" w:lineRule="exact"/>
              <w:rPr>
                <w:sz w:val="20"/>
                <w:szCs w:val="20"/>
                <w:color w:val="auto"/>
              </w:rPr>
            </w:pPr>
            <w:r>
              <w:rPr>
                <w:rFonts w:ascii="Arial" w:cs="Arial" w:eastAsia="Arial" w:hAnsi="Arial"/>
                <w:sz w:val="13"/>
                <w:szCs w:val="13"/>
                <w:b w:val="1"/>
                <w:bCs w:val="1"/>
                <w:color w:val="auto"/>
              </w:rPr>
              <w:t>Class A</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 of total</w:t>
            </w: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before</w:t>
            </w:r>
          </w:p>
        </w:tc>
        <w:tc>
          <w:tcPr>
            <w:tcW w:w="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Class B</w:t>
            </w:r>
          </w:p>
        </w:tc>
        <w:tc>
          <w:tcPr>
            <w:tcW w:w="2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 of total</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after</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20"/>
                <w:szCs w:val="20"/>
                <w:color w:val="auto"/>
              </w:rPr>
            </w:pPr>
            <w:r>
              <w:rPr>
                <w:rFonts w:ascii="Arial" w:cs="Arial" w:eastAsia="Arial" w:hAnsi="Arial"/>
                <w:sz w:val="13"/>
                <w:szCs w:val="13"/>
                <w:b w:val="1"/>
                <w:bCs w:val="1"/>
                <w:color w:val="auto"/>
                <w:w w:val="86"/>
              </w:rPr>
              <w:t>Name of beneficial owner</w:t>
            </w:r>
          </w:p>
        </w:tc>
        <w:tc>
          <w:tcPr>
            <w:tcW w:w="2660" w:type="dxa"/>
            <w:vAlign w:val="bottom"/>
          </w:tcPr>
          <w:p>
            <w:pPr>
              <w:spacing w:after="0"/>
              <w:rPr>
                <w:sz w:val="13"/>
                <w:szCs w:val="13"/>
                <w:color w:val="auto"/>
              </w:rPr>
            </w:pPr>
          </w:p>
        </w:tc>
        <w:tc>
          <w:tcPr>
            <w:tcW w:w="700" w:type="dxa"/>
            <w:vAlign w:val="bottom"/>
          </w:tcPr>
          <w:p>
            <w:pPr>
              <w:jc w:val="right"/>
              <w:ind w:right="102"/>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60" w:type="dxa"/>
            <w:vAlign w:val="bottom"/>
          </w:tcPr>
          <w:p>
            <w:pPr>
              <w:ind w:left="2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5"/>
              </w:rPr>
              <w:t>outstanding</w:t>
            </w:r>
          </w:p>
        </w:tc>
        <w:tc>
          <w:tcPr>
            <w:tcW w:w="1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offering#</w:t>
            </w: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81"/>
              </w:rPr>
              <w:t>shares</w:t>
            </w:r>
          </w:p>
        </w:tc>
        <w:tc>
          <w:tcPr>
            <w:tcW w:w="200" w:type="dxa"/>
            <w:vAlign w:val="bottom"/>
          </w:tcPr>
          <w:p>
            <w:pPr>
              <w:spacing w:after="0"/>
              <w:rPr>
                <w:sz w:val="13"/>
                <w:szCs w:val="13"/>
                <w:color w:val="auto"/>
              </w:rPr>
            </w:pPr>
          </w:p>
        </w:tc>
        <w:tc>
          <w:tcPr>
            <w:tcW w:w="1080" w:type="dxa"/>
            <w:vAlign w:val="bottom"/>
            <w:gridSpan w:val="5"/>
          </w:tcPr>
          <w:p>
            <w:pPr>
              <w:jc w:val="center"/>
              <w:spacing w:after="0"/>
              <w:rPr>
                <w:sz w:val="20"/>
                <w:szCs w:val="20"/>
                <w:color w:val="auto"/>
              </w:rPr>
            </w:pPr>
            <w:r>
              <w:rPr>
                <w:rFonts w:ascii="Arial" w:cs="Arial" w:eastAsia="Arial" w:hAnsi="Arial"/>
                <w:sz w:val="13"/>
                <w:szCs w:val="13"/>
                <w:b w:val="1"/>
                <w:bCs w:val="1"/>
                <w:color w:val="auto"/>
              </w:rPr>
              <w:t>%   shares†   %</w:t>
            </w:r>
          </w:p>
        </w:tc>
        <w:tc>
          <w:tcPr>
            <w:tcW w:w="2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outstanding</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offering#</w:t>
            </w:r>
          </w:p>
        </w:tc>
        <w:tc>
          <w:tcPr>
            <w:tcW w:w="0" w:type="dxa"/>
            <w:vAlign w:val="bottom"/>
          </w:tcPr>
          <w:p>
            <w:pPr>
              <w:spacing w:after="0"/>
              <w:rPr>
                <w:sz w:val="1"/>
                <w:szCs w:val="1"/>
                <w:color w:val="auto"/>
              </w:rPr>
            </w:pPr>
          </w:p>
        </w:tc>
      </w:tr>
      <w:tr>
        <w:trPr>
          <w:trHeight w:val="27"/>
        </w:trPr>
        <w:tc>
          <w:tcPr>
            <w:tcW w:w="1380" w:type="dxa"/>
            <w:vAlign w:val="bottom"/>
            <w:shd w:val="clear" w:color="auto" w:fill="000000"/>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Named executive officers and directors:</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Andrew W. Houston</w:t>
            </w:r>
            <w:r>
              <w:rPr>
                <w:rFonts w:ascii="Arial" w:cs="Arial" w:eastAsia="Arial" w:hAnsi="Arial"/>
                <w:sz w:val="23"/>
                <w:szCs w:val="23"/>
                <w:color w:val="auto"/>
                <w:vertAlign w:val="superscript"/>
              </w:rPr>
              <w:t>(1)</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127,145,188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Arash Ferdowsi</w:t>
            </w:r>
            <w:r>
              <w:rPr>
                <w:rFonts w:ascii="Arial" w:cs="Arial" w:eastAsia="Arial" w:hAnsi="Arial"/>
                <w:sz w:val="23"/>
                <w:szCs w:val="23"/>
                <w:color w:val="auto"/>
                <w:vertAlign w:val="superscript"/>
              </w:rPr>
              <w:t>(2)</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51,406,082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Arial" w:cs="Arial" w:eastAsia="Arial" w:hAnsi="Arial"/>
                <w:sz w:val="16"/>
                <w:szCs w:val="16"/>
                <w:color w:val="auto"/>
              </w:rPr>
              <w:t>Quentin J. Clark</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Donald W. Blair</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Paul E. Jacobs</w:t>
            </w:r>
            <w:r>
              <w:rPr>
                <w:rFonts w:ascii="Arial" w:cs="Arial" w:eastAsia="Arial" w:hAnsi="Arial"/>
                <w:sz w:val="23"/>
                <w:szCs w:val="23"/>
                <w:color w:val="auto"/>
                <w:vertAlign w:val="superscript"/>
              </w:rPr>
              <w:t>(3)</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299,067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Robert J. Mylod, Jr.</w:t>
            </w:r>
            <w:r>
              <w:rPr>
                <w:rFonts w:ascii="Arial" w:cs="Arial" w:eastAsia="Arial" w:hAnsi="Arial"/>
                <w:sz w:val="23"/>
                <w:szCs w:val="23"/>
                <w:color w:val="auto"/>
                <w:vertAlign w:val="superscript"/>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184,049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Arial" w:cs="Arial" w:eastAsia="Arial" w:hAnsi="Arial"/>
                <w:sz w:val="16"/>
                <w:szCs w:val="16"/>
                <w:color w:val="auto"/>
              </w:rPr>
              <w:t>Condoleezza Rice</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 Bryan Schreier</w:t>
            </w:r>
            <w:r>
              <w:rPr>
                <w:rFonts w:ascii="Arial" w:cs="Arial" w:eastAsia="Arial" w:hAnsi="Arial"/>
                <w:sz w:val="23"/>
                <w:szCs w:val="23"/>
                <w:color w:val="auto"/>
                <w:vertAlign w:val="superscript"/>
              </w:rPr>
              <w:t>(5)</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Margaret C. Whitman</w:t>
            </w:r>
            <w:r>
              <w:rPr>
                <w:rFonts w:ascii="Arial" w:cs="Arial" w:eastAsia="Arial" w:hAnsi="Arial"/>
                <w:sz w:val="23"/>
                <w:szCs w:val="23"/>
                <w:color w:val="auto"/>
                <w:vertAlign w:val="superscript"/>
              </w:rPr>
              <w:t>(6)</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All executive officers and directors as a group (12 persons)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184,049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182,498,973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(7)</w:t>
            </w:r>
          </w:p>
        </w:tc>
        <w:tc>
          <w:tcPr>
            <w:tcW w:w="26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Arial" w:cs="Arial" w:eastAsia="Arial" w:hAnsi="Arial"/>
                <w:sz w:val="16"/>
                <w:szCs w:val="16"/>
                <w:b w:val="1"/>
                <w:bCs w:val="1"/>
                <w:color w:val="auto"/>
              </w:rPr>
              <w:t>Greater than 5% stockholders: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Sequoia Capital</w:t>
            </w:r>
            <w:r>
              <w:rPr>
                <w:rFonts w:ascii="Arial" w:cs="Arial" w:eastAsia="Arial" w:hAnsi="Arial"/>
                <w:sz w:val="23"/>
                <w:szCs w:val="23"/>
                <w:color w:val="auto"/>
                <w:vertAlign w:val="superscript"/>
              </w:rPr>
              <w:t>(8)</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130,757,184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Accel</w:t>
            </w:r>
            <w:r>
              <w:rPr>
                <w:rFonts w:ascii="Arial" w:cs="Arial" w:eastAsia="Arial" w:hAnsi="Arial"/>
                <w:sz w:val="23"/>
                <w:szCs w:val="23"/>
                <w:color w:val="auto"/>
                <w:vertAlign w:val="superscript"/>
              </w:rPr>
              <w:t>(9)</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28,128,867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T. Rowe Price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9,009,694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10,580,662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Arial" w:cs="Arial" w:eastAsia="Arial" w:hAnsi="Arial"/>
                <w:sz w:val="16"/>
                <w:szCs w:val="16"/>
                <w:color w:val="auto"/>
              </w:rPr>
              <w:t>Entities affiliated with Cloud Sky</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1,047,054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837,643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Scottish Mortgage Investment Trust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1,105,000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2,173,913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400" w:hanging="332"/>
        <w:spacing w:after="0" w:line="266" w:lineRule="auto"/>
        <w:tabs>
          <w:tab w:leader="none" w:pos="340" w:val="left"/>
        </w:tabs>
        <w:numPr>
          <w:ilvl w:val="0"/>
          <w:numId w:val="83"/>
        </w:numPr>
        <w:rPr>
          <w:rFonts w:ascii="Arial" w:cs="Arial" w:eastAsia="Arial" w:hAnsi="Arial"/>
          <w:sz w:val="11"/>
          <w:szCs w:val="11"/>
          <w:color w:val="auto"/>
        </w:rPr>
      </w:pPr>
      <w:r>
        <w:rPr>
          <w:rFonts w:ascii="Arial" w:cs="Arial" w:eastAsia="Arial" w:hAnsi="Arial"/>
          <w:sz w:val="16"/>
          <w:szCs w:val="16"/>
          <w:color w:val="auto"/>
        </w:rPr>
        <w:t>The Class B common stock is convertible at any time by the holder into shares of Class A common stock on a share-for-share basis, such that each holder of Class B common stock beneficially owns an equivalent number of Class A common stock.</w:t>
      </w:r>
    </w:p>
    <w:p>
      <w:pPr>
        <w:ind w:left="340" w:hanging="332"/>
        <w:spacing w:after="0" w:line="184" w:lineRule="auto"/>
        <w:tabs>
          <w:tab w:leader="none" w:pos="340" w:val="left"/>
        </w:tabs>
        <w:numPr>
          <w:ilvl w:val="0"/>
          <w:numId w:val="84"/>
        </w:numPr>
        <w:rPr>
          <w:rFonts w:ascii="Arial" w:cs="Arial" w:eastAsia="Arial" w:hAnsi="Arial"/>
          <w:sz w:val="23"/>
          <w:szCs w:val="23"/>
          <w:color w:val="auto"/>
          <w:vertAlign w:val="superscript"/>
        </w:rPr>
      </w:pPr>
      <w:r>
        <w:rPr>
          <w:rFonts w:ascii="Arial" w:cs="Arial" w:eastAsia="Arial" w:hAnsi="Arial"/>
          <w:sz w:val="14"/>
          <w:szCs w:val="14"/>
          <w:color w:val="auto"/>
        </w:rPr>
        <w:t>Percentage total voting power represents voting power with respect to all shares of our Class A common stock and Class B common stock, as a single class. Each holder</w:t>
      </w:r>
    </w:p>
    <w:p>
      <w:pPr>
        <w:spacing w:after="0" w:line="11"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6"/>
          <w:szCs w:val="16"/>
          <w:color w:val="auto"/>
        </w:rPr>
        <w:t>of Class B common stock shall be entitled to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340" w:hanging="332"/>
        <w:spacing w:after="0" w:line="185" w:lineRule="auto"/>
        <w:tabs>
          <w:tab w:leader="none" w:pos="340" w:val="left"/>
        </w:tabs>
        <w:numPr>
          <w:ilvl w:val="0"/>
          <w:numId w:val="85"/>
        </w:numPr>
        <w:rPr>
          <w:rFonts w:ascii="Arial" w:cs="Arial" w:eastAsia="Arial" w:hAnsi="Arial"/>
          <w:sz w:val="23"/>
          <w:szCs w:val="23"/>
          <w:color w:val="auto"/>
          <w:vertAlign w:val="superscript"/>
        </w:rPr>
      </w:pPr>
      <w:r>
        <w:rPr>
          <w:rFonts w:ascii="Arial" w:cs="Arial" w:eastAsia="Arial" w:hAnsi="Arial"/>
          <w:sz w:val="14"/>
          <w:szCs w:val="14"/>
          <w:color w:val="auto"/>
        </w:rPr>
        <w:t>Represents beneficial ownership of less than one percent (1%) of the outstanding shares of our common stock.</w:t>
      </w:r>
    </w:p>
    <w:p>
      <w:pPr>
        <w:spacing w:after="0" w:line="5" w:lineRule="exact"/>
        <w:rPr>
          <w:sz w:val="20"/>
          <w:szCs w:val="20"/>
          <w:color w:val="auto"/>
        </w:rPr>
      </w:pPr>
    </w:p>
    <w:p>
      <w:pPr>
        <w:ind w:left="340" w:right="60" w:hanging="332"/>
        <w:spacing w:after="0" w:line="228" w:lineRule="auto"/>
        <w:tabs>
          <w:tab w:leader="none" w:pos="340" w:val="left"/>
        </w:tabs>
        <w:numPr>
          <w:ilvl w:val="0"/>
          <w:numId w:val="86"/>
        </w:numPr>
        <w:rPr>
          <w:rFonts w:ascii="Arial" w:cs="Arial" w:eastAsia="Arial" w:hAnsi="Arial"/>
          <w:sz w:val="25"/>
          <w:szCs w:val="25"/>
          <w:color w:val="auto"/>
          <w:vertAlign w:val="superscript"/>
        </w:rPr>
      </w:pPr>
      <w:r>
        <w:rPr>
          <w:rFonts w:ascii="Arial" w:cs="Arial" w:eastAsia="Arial" w:hAnsi="Arial"/>
          <w:sz w:val="15"/>
          <w:szCs w:val="15"/>
          <w:color w:val="auto"/>
        </w:rPr>
        <w:t>Consists of (i) 13,172,325 shares of Class B common stock held by the Houston Remainder Trust dated 12/30/2010, for which Mr. Houston serves as trustee, (ii) 113,222,113 shares of Class B common stock held by the Andrew W. Houston Revocable Trust dated 9/7/2011, for which Mr. Houston serves as trustee, and (iii) 750,750 shares of Class B common stock held by the Houston 2012 Irrevocable Children’s Trust dated 4/12/2012, for which Mr. Houston serves as trustee.</w:t>
      </w:r>
    </w:p>
    <w:p>
      <w:pPr>
        <w:spacing w:after="0" w:line="2" w:lineRule="exact"/>
        <w:rPr>
          <w:rFonts w:ascii="Arial" w:cs="Arial" w:eastAsia="Arial" w:hAnsi="Arial"/>
          <w:sz w:val="25"/>
          <w:szCs w:val="25"/>
          <w:color w:val="auto"/>
          <w:vertAlign w:val="superscript"/>
        </w:rPr>
      </w:pPr>
    </w:p>
    <w:p>
      <w:pPr>
        <w:ind w:left="340" w:right="40" w:hanging="332"/>
        <w:spacing w:after="0" w:line="211" w:lineRule="auto"/>
        <w:tabs>
          <w:tab w:leader="none" w:pos="340" w:val="left"/>
        </w:tabs>
        <w:numPr>
          <w:ilvl w:val="0"/>
          <w:numId w:val="86"/>
        </w:numPr>
        <w:rPr>
          <w:rFonts w:ascii="Arial" w:cs="Arial" w:eastAsia="Arial" w:hAnsi="Arial"/>
          <w:sz w:val="25"/>
          <w:szCs w:val="25"/>
          <w:color w:val="auto"/>
          <w:vertAlign w:val="superscript"/>
        </w:rPr>
      </w:pPr>
      <w:r>
        <w:rPr>
          <w:rFonts w:ascii="Arial" w:cs="Arial" w:eastAsia="Arial" w:hAnsi="Arial"/>
          <w:sz w:val="15"/>
          <w:szCs w:val="15"/>
          <w:color w:val="auto"/>
        </w:rPr>
        <w:t>Consists of (i) 4,351,205 shares of Class B common stock held by the Arash Ferdowsi Remainder Trust dated 3/21/2011, for which Mr. Ferdowsi serves as trustee and (ii) 47,054,877 shares of Class B common stock held by the Arash Ferdowsi Revocable Trust dated 4/20/2012, for which Mr. Ferdowsi serves as trustee.</w:t>
      </w:r>
    </w:p>
    <w:p>
      <w:pPr>
        <w:ind w:left="340" w:right="140" w:hanging="332"/>
        <w:spacing w:after="0" w:line="192" w:lineRule="auto"/>
        <w:tabs>
          <w:tab w:leader="none" w:pos="340" w:val="left"/>
        </w:tabs>
        <w:numPr>
          <w:ilvl w:val="0"/>
          <w:numId w:val="86"/>
        </w:numPr>
        <w:rPr>
          <w:rFonts w:ascii="Arial" w:cs="Arial" w:eastAsia="Arial" w:hAnsi="Arial"/>
          <w:sz w:val="28"/>
          <w:szCs w:val="28"/>
          <w:color w:val="auto"/>
          <w:vertAlign w:val="superscript"/>
        </w:rPr>
      </w:pPr>
      <w:r>
        <w:rPr>
          <w:rFonts w:ascii="Arial" w:cs="Arial" w:eastAsia="Arial" w:hAnsi="Arial"/>
          <w:sz w:val="16"/>
          <w:szCs w:val="16"/>
          <w:color w:val="auto"/>
        </w:rPr>
        <w:t>Consists of (i) 259,067 shares of Class B common stock held by the Paul E. Jacobs Trust dated November 7, 2014, for which Mr. Jacobs serves as trustee and (ii) 40,000 shares of Class B common stock held by Mr. Jacobs.</w:t>
      </w:r>
    </w:p>
    <w:p>
      <w:pPr>
        <w:ind w:left="340" w:right="40" w:hanging="332"/>
        <w:spacing w:after="0" w:line="211" w:lineRule="auto"/>
        <w:tabs>
          <w:tab w:leader="none" w:pos="340" w:val="left"/>
        </w:tabs>
        <w:numPr>
          <w:ilvl w:val="0"/>
          <w:numId w:val="86"/>
        </w:numPr>
        <w:rPr>
          <w:rFonts w:ascii="Arial" w:cs="Arial" w:eastAsia="Arial" w:hAnsi="Arial"/>
          <w:sz w:val="28"/>
          <w:szCs w:val="28"/>
          <w:color w:val="auto"/>
          <w:vertAlign w:val="superscript"/>
        </w:rPr>
      </w:pPr>
      <w:r>
        <w:rPr>
          <w:rFonts w:ascii="Arial" w:cs="Arial" w:eastAsia="Arial" w:hAnsi="Arial"/>
          <w:sz w:val="16"/>
          <w:szCs w:val="16"/>
          <w:color w:val="auto"/>
        </w:rPr>
        <w:t>Consists of 184,049 shares of Class B common stock held by Annox Capital, LLC, or Annox, which will convert into an equivalent number of shares of Class A common stock in connection with the Capital Stock Conversion. Mr. Mylod, a member of our Board of Directors, is the managing member of Annox and has sole voting and investment control over the shares held by Annox.</w:t>
      </w:r>
    </w:p>
    <w:p>
      <w:pPr>
        <w:spacing w:after="0" w:line="1" w:lineRule="exact"/>
        <w:rPr>
          <w:rFonts w:ascii="Arial" w:cs="Arial" w:eastAsia="Arial" w:hAnsi="Arial"/>
          <w:sz w:val="28"/>
          <w:szCs w:val="28"/>
          <w:color w:val="auto"/>
          <w:vertAlign w:val="superscript"/>
        </w:rPr>
      </w:pPr>
    </w:p>
    <w:p>
      <w:pPr>
        <w:ind w:left="340" w:right="80" w:hanging="332"/>
        <w:spacing w:after="0" w:line="192" w:lineRule="auto"/>
        <w:tabs>
          <w:tab w:leader="none" w:pos="340" w:val="left"/>
        </w:tabs>
        <w:numPr>
          <w:ilvl w:val="0"/>
          <w:numId w:val="86"/>
        </w:numPr>
        <w:rPr>
          <w:rFonts w:ascii="Arial" w:cs="Arial" w:eastAsia="Arial" w:hAnsi="Arial"/>
          <w:sz w:val="28"/>
          <w:szCs w:val="28"/>
          <w:color w:val="auto"/>
          <w:vertAlign w:val="superscript"/>
        </w:rPr>
      </w:pPr>
      <w:r>
        <w:rPr>
          <w:rFonts w:ascii="Arial" w:cs="Arial" w:eastAsia="Arial" w:hAnsi="Arial"/>
          <w:sz w:val="16"/>
          <w:szCs w:val="16"/>
          <w:color w:val="auto"/>
        </w:rPr>
        <w:t>Excludes shares listed in footnote 9 below, which are held by entities affiliated with Sequoia Capital. Mr. Schreier, one of our directors, is a non-managing member of SC XII LLC.</w:t>
      </w:r>
    </w:p>
    <w:p>
      <w:pPr>
        <w:ind w:left="340" w:hanging="332"/>
        <w:spacing w:after="0" w:line="183" w:lineRule="auto"/>
        <w:tabs>
          <w:tab w:leader="none" w:pos="340" w:val="left"/>
        </w:tabs>
        <w:numPr>
          <w:ilvl w:val="0"/>
          <w:numId w:val="86"/>
        </w:numPr>
        <w:rPr>
          <w:rFonts w:ascii="Arial" w:cs="Arial" w:eastAsia="Arial" w:hAnsi="Arial"/>
          <w:sz w:val="23"/>
          <w:szCs w:val="23"/>
          <w:color w:val="auto"/>
          <w:vertAlign w:val="superscript"/>
        </w:rPr>
      </w:pPr>
      <w:r>
        <w:rPr>
          <w:rFonts w:ascii="Arial" w:cs="Arial" w:eastAsia="Arial" w:hAnsi="Arial"/>
          <w:sz w:val="14"/>
          <w:szCs w:val="14"/>
          <w:color w:val="auto"/>
        </w:rPr>
        <w:t>Margaret Whitman was elected to the Board of Directors in September 2017.</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60" w:hanging="332"/>
        <w:spacing w:after="0" w:line="193" w:lineRule="auto"/>
        <w:tabs>
          <w:tab w:leader="none" w:pos="340" w:val="left"/>
        </w:tabs>
        <w:numPr>
          <w:ilvl w:val="0"/>
          <w:numId w:val="87"/>
        </w:numPr>
        <w:rPr>
          <w:rFonts w:ascii="Arial" w:cs="Arial" w:eastAsia="Arial" w:hAnsi="Arial"/>
          <w:sz w:val="28"/>
          <w:szCs w:val="28"/>
          <w:color w:val="auto"/>
          <w:vertAlign w:val="superscript"/>
        </w:rPr>
      </w:pPr>
      <w:r>
        <w:rPr>
          <w:rFonts w:ascii="Arial" w:cs="Arial" w:eastAsia="Arial" w:hAnsi="Arial"/>
          <w:sz w:val="16"/>
          <w:szCs w:val="16"/>
          <w:color w:val="auto"/>
        </w:rPr>
        <w:t>Consists of (i) 135,200 shares of Class B common stock subject to options that are immediately exercisable within 60 days of September 30, 2017 and (ii) 369,432 shares of Class B common stock underlying RSUs that will vest within 60 days of September 30, 2017.</w:t>
      </w:r>
    </w:p>
    <w:p>
      <w:pPr>
        <w:spacing w:after="0" w:line="2" w:lineRule="exact"/>
        <w:rPr>
          <w:rFonts w:ascii="Arial" w:cs="Arial" w:eastAsia="Arial" w:hAnsi="Arial"/>
          <w:sz w:val="28"/>
          <w:szCs w:val="28"/>
          <w:color w:val="auto"/>
          <w:vertAlign w:val="superscript"/>
        </w:rPr>
      </w:pPr>
    </w:p>
    <w:p>
      <w:pPr>
        <w:ind w:left="340" w:right="20" w:hanging="332"/>
        <w:spacing w:after="0" w:line="229" w:lineRule="auto"/>
        <w:tabs>
          <w:tab w:leader="none" w:pos="340" w:val="left"/>
        </w:tabs>
        <w:numPr>
          <w:ilvl w:val="0"/>
          <w:numId w:val="87"/>
        </w:numPr>
        <w:rPr>
          <w:rFonts w:ascii="Arial" w:cs="Arial" w:eastAsia="Arial" w:hAnsi="Arial"/>
          <w:sz w:val="28"/>
          <w:szCs w:val="28"/>
          <w:color w:val="auto"/>
          <w:vertAlign w:val="superscript"/>
        </w:rPr>
      </w:pPr>
      <w:r>
        <w:rPr>
          <w:rFonts w:ascii="Arial" w:cs="Arial" w:eastAsia="Arial" w:hAnsi="Arial"/>
          <w:sz w:val="16"/>
          <w:szCs w:val="16"/>
          <w:color w:val="auto"/>
        </w:rPr>
        <w:t>Consists of (i) 114,268,720 shares of Class B common stock held by Sequoia Capital XII, L.P., or SC XII, (ii) 12,212,722 shares of Class B common stock held by Sequoia Capital XII Principals Fund, LLC, or SC XII PF, and (iii) 4,275,742 shares of Class B common stock held by Sequoia Technology Partners XII, L.P., or STP XII.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3" w:lineRule="exact"/>
        <w:rPr>
          <w:rFonts w:ascii="Arial" w:cs="Arial" w:eastAsia="Arial" w:hAnsi="Arial"/>
          <w:sz w:val="28"/>
          <w:szCs w:val="28"/>
          <w:color w:val="auto"/>
          <w:vertAlign w:val="superscript"/>
        </w:rPr>
      </w:pPr>
    </w:p>
    <w:p>
      <w:pPr>
        <w:ind w:left="340" w:hanging="332"/>
        <w:spacing w:after="0" w:line="288" w:lineRule="auto"/>
        <w:tabs>
          <w:tab w:leader="none" w:pos="340" w:val="left"/>
        </w:tabs>
        <w:numPr>
          <w:ilvl w:val="0"/>
          <w:numId w:val="87"/>
        </w:numPr>
        <w:rPr>
          <w:rFonts w:ascii="Arial" w:cs="Arial" w:eastAsia="Arial" w:hAnsi="Arial"/>
          <w:sz w:val="23"/>
          <w:szCs w:val="23"/>
          <w:color w:val="auto"/>
          <w:vertAlign w:val="superscript"/>
        </w:rPr>
      </w:pPr>
      <w:r>
        <w:rPr>
          <w:rFonts w:ascii="Arial" w:cs="Arial" w:eastAsia="Arial" w:hAnsi="Arial"/>
          <w:sz w:val="14"/>
          <w:szCs w:val="14"/>
          <w:color w:val="auto"/>
        </w:rPr>
        <w:t>Consists of (i) 2,453,503 shares of Class B common stock held by Accel Investors 2008 L.L.C., or AI 2008, (ii) 22,159 shares of Class B common stock held by Accel Investors 2010 L.L.C., or AI 2010, (iii) 15,748 shares of Class B common stock held by Accel Investors 2013 L.L.C., or AI 2013, (iv) 148,283 shares of Class B common stock held by Accel XI L.P., or Accel XI, (v) 11,140 shares of Class B common stock held by Accel XI Strategic Partners L.P., or Accel XI Strategic, (vi) 23,683,466 shares of Class B common stock held by Accel X L.P., or Accel X, and (vii) 1,794,568 shares of Class B common stock held by Accel X Strategic Partners L.P., or Accel X Strategic, and together with AI 2008, AI 2010, AI 2013, Accel XI, Accel XI Strategic, and Accel X, the Accel Entities. Accel X Associates L.L.C., or Accel X Associates, is the general partner of Accel X and Accel X Strategic and has the sole voting and investment power. Andrew G. Braccia, Kevin E. Frosy, Sameer K. Gandhi, Ping Li, Tracy L. Sedlock, and Richard P. Wong are the managing members of Accel X Associates, AI 2008, and AI 2010 and share voting and investment powers over such shares. Accel XI Associates L.L.C., or Accel XI Associates, is the general partner of Accel XI and Accel Strategic and has the sole voting and investment power. Andrew G. Braccia, Sameer K. Gandhi, Ping Li, Tracy L. Sedlock, and Richard P. Wong are the managing members of Accel XI Associates and AI 2013 and share voting and investment powers over such shares. The address for these entities and individuals is 428 University Ave., Palo Alto, California 94301.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Immediately following the completion of this offering, our authorized capital stock will consist of share, of which: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shares of capital stock, $0.00001 par value per</w:t>
      </w:r>
    </w:p>
    <w:p>
      <w:pPr>
        <w:spacing w:after="0" w:line="369" w:lineRule="exact"/>
        <w:rPr>
          <w:sz w:val="20"/>
          <w:szCs w:val="20"/>
          <w:color w:val="auto"/>
        </w:rPr>
      </w:pPr>
    </w:p>
    <w:p>
      <w:pPr>
        <w:sectPr>
          <w:pgSz w:w="11900" w:h="16838" w:orient="portrait"/>
          <w:cols w:equalWidth="0" w:num="2">
            <w:col w:w="7060" w:space="620"/>
            <w:col w:w="3740"/>
          </w:cols>
          <w:pgMar w:left="240" w:top="459"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are designated as Class A common stock;</w:t>
      </w:r>
    </w:p>
    <w:p>
      <w:pPr>
        <w:spacing w:after="0" w:line="164" w:lineRule="exact"/>
        <w:rPr>
          <w:sz w:val="20"/>
          <w:szCs w:val="20"/>
          <w:color w:val="auto"/>
        </w:rPr>
      </w:pPr>
    </w:p>
    <w:p>
      <w:pPr>
        <w:sectPr>
          <w:pgSz w:w="11900" w:h="16838" w:orient="portrait"/>
          <w:cols w:equalWidth="0" w:num="2">
            <w:col w:w="760" w:space="720"/>
            <w:col w:w="9940"/>
          </w:cols>
          <w:pgMar w:left="240" w:top="459"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 are designated as Class B common stock; and</w:t>
      </w:r>
    </w:p>
    <w:p>
      <w:pPr>
        <w:spacing w:after="0" w:line="164" w:lineRule="exact"/>
        <w:rPr>
          <w:sz w:val="20"/>
          <w:szCs w:val="20"/>
          <w:color w:val="auto"/>
        </w:rPr>
      </w:pPr>
    </w:p>
    <w:p>
      <w:pPr>
        <w:sectPr>
          <w:pgSz w:w="11900" w:h="16838" w:orient="portrait"/>
          <w:cols w:equalWidth="0" w:num="2">
            <w:col w:w="760" w:space="720"/>
            <w:col w:w="9940"/>
          </w:cols>
          <w:pgMar w:left="240" w:top="459" w:right="2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are designated as preferred stock.</w:t>
      </w:r>
    </w:p>
    <w:p>
      <w:pPr>
        <w:spacing w:after="0" w:line="222" w:lineRule="exact"/>
        <w:rPr>
          <w:sz w:val="20"/>
          <w:szCs w:val="20"/>
          <w:color w:val="auto"/>
        </w:rPr>
      </w:pPr>
    </w:p>
    <w:p>
      <w:pPr>
        <w:sectPr>
          <w:pgSz w:w="11900" w:h="16838" w:orient="portrait"/>
          <w:cols w:equalWidth="0" w:num="2">
            <w:col w:w="760" w:space="720"/>
            <w:col w:w="9940"/>
          </w:cols>
          <w:pgMar w:left="240" w:top="459" w:right="239" w:bottom="1440" w:gutter="0" w:footer="0" w:header="0"/>
          <w:type w:val="continuous"/>
        </w:sectPr>
      </w:pPr>
    </w:p>
    <w:p>
      <w:pPr>
        <w:spacing w:after="0" w:line="37" w:lineRule="exact"/>
        <w:rPr>
          <w:sz w:val="20"/>
          <w:szCs w:val="20"/>
          <w:color w:val="auto"/>
        </w:rPr>
      </w:pPr>
    </w:p>
    <w:p>
      <w:pPr>
        <w:ind w:right="500" w:firstLine="456"/>
        <w:spacing w:after="0" w:line="291" w:lineRule="auto"/>
        <w:rPr>
          <w:sz w:val="20"/>
          <w:szCs w:val="20"/>
          <w:color w:val="auto"/>
        </w:rPr>
      </w:pPr>
      <w:r>
        <w:rPr>
          <w:rFonts w:ascii="Arial" w:cs="Arial" w:eastAsia="Arial" w:hAnsi="Arial"/>
          <w:sz w:val="16"/>
          <w:szCs w:val="16"/>
          <w:color w:val="auto"/>
        </w:rPr>
        <w:t>Assuming the conversion of all outstanding shares of our convertible preferred stock into shares of our Class B common stock, which will occur immediately prior to the completion of this offering, as of September 30, 2017, there were 13,892,885 shares of our Class A common stock outstanding</w:t>
      </w:r>
    </w:p>
    <w:p>
      <w:pPr>
        <w:ind w:right="180"/>
        <w:spacing w:after="0" w:line="254" w:lineRule="auto"/>
        <w:rPr>
          <w:sz w:val="20"/>
          <w:szCs w:val="20"/>
          <w:color w:val="auto"/>
        </w:rPr>
      </w:pPr>
      <w:r>
        <w:rPr>
          <w:rFonts w:ascii="Arial" w:cs="Arial" w:eastAsia="Arial" w:hAnsi="Arial"/>
          <w:sz w:val="18"/>
          <w:szCs w:val="18"/>
          <w:color w:val="auto"/>
        </w:rPr>
        <w:t>(including the Capital Stock Conversions), held by stockholders of record, and 538,851,747 shares of our Class B common stock outstanding (including the Capital Stock Conversions and the RSU Settlement), held by stockholders of record. Pursuant to our amended and restated certificate of incorporation, our Board of Directors will have the authority, without stockholder approval except as required by the listing standards of , to issue additional shares of our capital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our Class B common stock are entitled to votes for each share held and holders of our Class A common stock are entitled to one vote for each share held on all matters submitted to a vote of stockholders. The holders of our Class A common stock and Class B common stock vote together as a single class, unless otherwise required by law. Delaware law could require either holders of our Class A common stock or our Class B common stock to vote separately as a single class in the following circumstances:</w:t>
      </w:r>
    </w:p>
    <w:p>
      <w:pPr>
        <w:spacing w:after="0" w:line="92" w:lineRule="exact"/>
        <w:rPr>
          <w:sz w:val="20"/>
          <w:szCs w:val="20"/>
          <w:color w:val="auto"/>
        </w:rPr>
      </w:pPr>
    </w:p>
    <w:p>
      <w:pPr>
        <w:ind w:left="900" w:right="8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the authorized number of shares of a class of stock, or to increase or decrease the par value of a class of stock, then that class would be required to vote separately to approve the proposed amendment;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81"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Stockholders do not have the ability to cumulate votes for the election of directors. Our amended and restated certificate of incorporation and amended and restated bylaws that will be in effect at the closing of our initial public offering will provide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 year terms.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(other than with respect to certain estate planning transfers). In addition, each share of Class B common stock will convert automatically into one share of Class A common stock upon (i) a date on or after the one year anniversary of the closing of our initial public offering that is specified by affirmative vote of the holders of a majority of the then outstanding shares of Class B common stock, (ii) the date on which the outstanding shares of Class B common stock represent less than five percent of the aggregate number of shares of the then outstanding Class A common stock and Class B common stock, or (iii) the death of both of our co-founders.</w:t>
      </w:r>
    </w:p>
    <w:p>
      <w:pPr>
        <w:spacing w:after="0" w:line="18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Additionally, pursuant to transfer agreements with certain of our stockholders, 3,914,934 shares of our Class B common stock will automatically convert into an equivalent number of shares of Class A common stock immediately prior to the completion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of September 30, 2017, we had outstanding options to purchase an aggregate of 7,484,830 shares of our Class B common stock, with a weighted-average exercise price of $7.03 per share, under our equity compensation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As of September 30, 2017, we had outstanding 61,577,921 shares of our Class B common stock subject to RSUs under our 2008 Plan and 22,883,109 shares of our Class A common stock subject to RSUs under our 2008 Plan and 2017 Plan. RSUs granted on and after August 1, 2015, which we refer to as one-tier RSUs, generally vest upon the satisfaction of a service-based vesting condition. The service-based vesting condition generally is satisfied over a four-year period. 25% of the one-tier RSUs vest upon completion of one year of service measured from the vesting commencement date, and as to the balance in successive equal quarterly installments, subject to continued service through each such vesting date. Our RSUs granted prior to August 1, 2015, which we refer to as two-tier RSUs, generally vest upon the satisfaction of both a service-based vesting condition and the Performance Vesting Condition occurring before these two-tier RSUs expire. The service-based vesting condition generally is satisfied over a four-year period. 25% of the two-tier RSUs service-based vesting condition is satisfied upon completion of one year of service measured from the vesting commencement date, and the balance generally vests in successive equal monthly installments prior to the occurrence of the Performance Vesting Condition and in successive equal quarterly installments after the occurrence of the Performance Vesting Condition, but, in all cases, subject to continued service through each applicable vesting date. The Performance Vesting Condition occurs on the earlier of (i) an acquisition or change in control of us or (ii) the earlier of (a) six months after our initial public offering or</w:t>
      </w:r>
    </w:p>
    <w:p>
      <w:pPr>
        <w:spacing w:after="0" w:line="5" w:lineRule="exact"/>
        <w:rPr>
          <w:sz w:val="20"/>
          <w:szCs w:val="20"/>
          <w:color w:val="auto"/>
        </w:rPr>
      </w:pPr>
    </w:p>
    <w:p>
      <w:pPr>
        <w:ind w:firstLine="8"/>
        <w:spacing w:after="0" w:line="268" w:lineRule="auto"/>
        <w:tabs>
          <w:tab w:leader="none" w:pos="2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March 15 of the year following our initial public offering. As a result of the September 2017 RSU Amendment, all RSUs were amended to provide that the quarterly dates for satisfying the service-based vesting condition shall be February 15, May 15, August 15, or November 15, each of which we refer to as a New Quarterly Date. This amendment will result in a partial acceleration of any RSUs that were scheduled to satisfy the service-based vesting condition on a date following a New Quarterly Date but before the next New Quarterly Date, such that these RSUs now will satisfy the service-based vesting condition on the first of those New Quarterly Dates. For one-tier RSUs, this amendment will be effective as of February 15, 2018, and for two-tier RSUs, this amendment will be effective as of the satisfaction of the Performance Vesting Condition. In addition, as a result of the September 2017 RSU Amendment, any two-tier RSUs that are scheduled to satisfy the service-based vesting condition on the first day of any month now will satisfy this condition on the 15th day of the prior month until the date that the Performance Vesting Condition is satisfied. Our Board of Directors intends to accelerate the Performance Vesting Condition associated with the two-tier RSUs to occur upon the effectiveness of the registration statement of which this prospectus forms a part. All other significant terms of the two-tier RSUs will remain unchanged.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After the completion of this offering, certain holders of our Class B common stock will be entitled to rights with respect to the registration of their shares under the Securities Act. These registration rights are contained in our IRA. We and certain holders of our preferred stock are parties to the IRA. Immediately prior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completion of this offering, each share of outstanding preferred stock will convert automatically into one share of Class B common stock. The registration rights set forth in the IRA will expire five years following the completion of this offering, or, with respect to any particular stockholder, when such stockholder is able to sell all of its shares on any one day pursuant to Rule 144 of the Securities Act or a similar exemption. We will pay the registration expenses (other than underwriting discounts, selling commissions, and transfer taxes)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the company and the underwriters for a period of 180 days after the date of this prospectus, subject to certain terms and conditions and early release of certain holders in specified circumstances. See the section titled “Shares Eligible for Future Sale—Lock-Up and Market Standoff Agreements” for additional information regarding such restrictions.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Class B common stock will be entitled to certain demand registration</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rights. At any time beginning six months after the effective date of this offering, the holders of at least 40% of these shares then outstanding can request that we register the offer and sale of their shares, or such request must cover securities in which the anticipated aggregate public offering price, before payment of underwriting discounts and commissions, is at least $10,000,000.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completion of this offering, if we propose to register the offer and sale of our Class A common stock under the Securities Act, in connection</w:t>
      </w:r>
    </w:p>
    <w:p>
      <w:pPr>
        <w:spacing w:after="0" w:line="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with the public offering of such Class A common stock, the holders of up to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in which the only Class A common stock being registered is Class A common stock issuable upon conversion of debt securities that are also being registered, (2) a registration related to any employee benefit plan or a corporate reorganization or other transaction covered by Rule 145 promulgated under the Securities Act, or (3) a registration on any registration form which does not permit secondary sales or does not include substantially the same information as would 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S-3 Registration Rights</w:t>
      </w:r>
    </w:p>
    <w:p>
      <w:pPr>
        <w:spacing w:after="0" w:line="121"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After the completion of this offering, the holders of up to</w:t>
      </w:r>
      <w:r>
        <w:rPr>
          <w:sz w:val="20"/>
          <w:szCs w:val="20"/>
          <w:color w:val="auto"/>
        </w:rPr>
        <w:tab/>
      </w:r>
      <w:r>
        <w:rPr>
          <w:rFonts w:ascii="Arial" w:cs="Arial" w:eastAsia="Arial" w:hAnsi="Arial"/>
          <w:sz w:val="16"/>
          <w:szCs w:val="16"/>
          <w:color w:val="auto"/>
        </w:rPr>
        <w:t>shares of our Class B common stock will be entitled to certain Form S-3 registration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rights. The holders of at least 40%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before payment of underwriting discounts and commissions, is at least $3,000,000.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the Company and our stockholders to effect such a registration, we have the right to defer such registration, not more than once in any 12-month period, for a period of up to 120 days.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87"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30" w:lineRule="exact"/>
        <w:rPr>
          <w:rFonts w:ascii="Arial" w:cs="Arial" w:eastAsia="Arial" w:hAnsi="Arial"/>
          <w:sz w:val="18"/>
          <w:szCs w:val="18"/>
          <w:color w:val="auto"/>
        </w:rPr>
      </w:pPr>
    </w:p>
    <w:p>
      <w:pPr>
        <w:ind w:left="900" w:right="20" w:hanging="325"/>
        <w:spacing w:after="0" w:line="279"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900" w:right="2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 Provisions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Dual class stock</w:t>
      </w:r>
      <w:r>
        <w:rPr>
          <w:rFonts w:ascii="Arial" w:cs="Arial" w:eastAsia="Arial" w:hAnsi="Arial"/>
          <w:sz w:val="18"/>
          <w:szCs w:val="18"/>
          <w:color w:val="auto"/>
        </w:rPr>
        <w:t>. As described above in “—Common Stock—Voting Rights,” our amended and restated certificate of incorporation provides for a 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common stock structure, which will provide our pre-offering investors,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Issuance of undesignated preferred stock. </w:t>
      </w:r>
      <w:r>
        <w:rPr>
          <w:rFonts w:ascii="Arial" w:cs="Arial" w:eastAsia="Arial" w:hAnsi="Arial"/>
          <w:sz w:val="16"/>
          <w:szCs w:val="16"/>
          <w:color w:val="auto"/>
        </w:rPr>
        <w:t>As discussed above under “—Preferred Stock,” our Board of Directors will have the ability to designate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 preferred stock with voting or other rights or preferences that could deter hostile takeovers or delay changes in our control or management.</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to fill vacant directorships, including newly created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Classified Board of Directors</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i w:val="1"/>
          <w:iCs w:val="1"/>
          <w:color w:val="auto"/>
        </w:rPr>
        <w:t>Stockholder action; special meeting of stockholders</w:t>
      </w:r>
      <w:r>
        <w:rPr>
          <w:rFonts w:ascii="Arial" w:cs="Arial" w:eastAsia="Arial" w:hAnsi="Arial"/>
          <w:sz w:val="17"/>
          <w:szCs w:val="17"/>
          <w:color w:val="auto"/>
        </w:rPr>
        <w:t>. Our amended and restated certificate of incorporation will provide that our stockholders may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r>
        <w:rPr>
          <w:rFonts w:ascii="Arial" w:cs="Arial" w:eastAsia="Arial" w:hAnsi="Arial"/>
          <w:sz w:val="18"/>
          <w:szCs w:val="18"/>
          <w:color w:val="auto"/>
        </w:rPr>
        <w:t>. Our amended and restated bylaws will provide advance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does not provide for cumulative voting.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Directors removed only for cause</w:t>
      </w:r>
      <w:r>
        <w:rPr>
          <w:rFonts w:ascii="Arial" w:cs="Arial" w:eastAsia="Arial" w:hAnsi="Arial"/>
          <w:sz w:val="16"/>
          <w:szCs w:val="16"/>
          <w:color w:val="auto"/>
        </w:rPr>
        <w:t>. Our amended and restated certificate of incorporation will provide that stockholders may remove directors only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cause.</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Amendment of charter and bylaws provisions</w:t>
      </w:r>
      <w:r>
        <w:rPr>
          <w:rFonts w:ascii="Arial" w:cs="Arial" w:eastAsia="Arial" w:hAnsi="Arial"/>
          <w:sz w:val="18"/>
          <w:szCs w:val="18"/>
          <w:color w:val="auto"/>
        </w:rPr>
        <w:t>. Any amendment of the above provisions in our amended and restated certificate of incorporation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would require approval by holders of at least two-thirds of the voting power of our then outstanding capital stock.</w:t>
      </w:r>
    </w:p>
    <w:p>
      <w:pPr>
        <w:spacing w:after="0" w:line="170" w:lineRule="exact"/>
        <w:rPr>
          <w:sz w:val="20"/>
          <w:szCs w:val="20"/>
          <w:color w:val="auto"/>
        </w:rPr>
      </w:pPr>
    </w:p>
    <w:p>
      <w:pPr>
        <w:ind w:left="600" w:right="180" w:hanging="128"/>
        <w:spacing w:after="0" w:line="291" w:lineRule="auto"/>
        <w:rPr>
          <w:sz w:val="20"/>
          <w:szCs w:val="20"/>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color w:val="auto"/>
        </w:rPr>
        <w:t>. Our Board of Directors will have the authority, without further action by our stockholders, to issue up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undesignated preferred stock with rights and preferences, including voting rights, designated from time to time by our Board of Directors.</w:t>
      </w:r>
    </w:p>
    <w:p>
      <w:pPr>
        <w:ind w:right="20"/>
        <w:spacing w:after="0" w:line="261" w:lineRule="auto"/>
        <w:rPr>
          <w:sz w:val="20"/>
          <w:szCs w:val="20"/>
          <w:color w:val="auto"/>
        </w:rPr>
      </w:pPr>
      <w:r>
        <w:rPr>
          <w:rFonts w:ascii="Arial" w:cs="Arial" w:eastAsia="Arial" w:hAnsi="Arial"/>
          <w:sz w:val="18"/>
          <w:szCs w:val="18"/>
          <w:color w:val="auto"/>
        </w:rPr>
        <w:t>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or any of our directors or officers arising pursuant to any provision of the Delaware General Corporation Law, or (4) any other action asserting a claim that is governed by the internal affairs doctrine shall be a state or federal court located within the State of Delaware, in all cases subject to the court’s having jurisdiction over indispensable parties named as defendants. Any person or entity purchasing or otherwise acquiring any interest in our shares of capital stock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bylaws will also provide that the federal district courts of the United States will be the exclusive forum for resolving any complaint asserting a cause of action arising under the Securities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completion of this offering, the transfer agent and registrar for our Class A common stock will be address is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 and registrar’s</w:t>
      </w:r>
    </w:p>
    <w:p>
      <w:pPr>
        <w:spacing w:after="0" w:line="493" w:lineRule="exact"/>
        <w:rPr>
          <w:sz w:val="20"/>
          <w:szCs w:val="20"/>
          <w:color w:val="auto"/>
        </w:rPr>
      </w:pPr>
    </w:p>
    <w:p>
      <w:pPr>
        <w:sectPr>
          <w:pgSz w:w="11900" w:h="16838" w:orient="portrait"/>
          <w:cols w:equalWidth="0" w:num="2">
            <w:col w:w="7900" w:space="600"/>
            <w:col w:w="2880"/>
          </w:cols>
          <w:pgMar w:left="240" w:top="459" w:right="27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We intend to apply for the listing of our Class A common stock on</w:t>
      </w:r>
      <w:r>
        <w:rPr>
          <w:sz w:val="20"/>
          <w:szCs w:val="20"/>
          <w:color w:val="auto"/>
        </w:rPr>
        <w:tab/>
      </w:r>
      <w:r>
        <w:rPr>
          <w:rFonts w:ascii="Arial" w:cs="Arial" w:eastAsia="Arial" w:hAnsi="Arial"/>
          <w:sz w:val="17"/>
          <w:szCs w:val="17"/>
          <w:color w:val="auto"/>
        </w:rPr>
        <w:t>under the symbol “DBX”.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459" w:right="27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completion of this offering, based on the number of shares of our capital stock outstanding as of September 30, 2017, we will have a total</w:t>
      </w:r>
    </w:p>
    <w:p>
      <w:pPr>
        <w:spacing w:after="0" w:line="46" w:lineRule="exact"/>
        <w:rPr>
          <w:sz w:val="20"/>
          <w:szCs w:val="20"/>
          <w:color w:val="auto"/>
        </w:rPr>
      </w:pPr>
    </w:p>
    <w:p>
      <w:pPr>
        <w:ind w:left="600" w:right="120" w:hanging="584"/>
        <w:spacing w:after="0" w:line="281" w:lineRule="auto"/>
        <w:tabs>
          <w:tab w:leader="none" w:pos="5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shares of our Class A common stock outstanding and shares of our Class B common stock outstanding. Of these outstanding shares, all shares of our Class A common stock sold in this offering will be freely tradable, except that any shares purchased in this offering by our affiliates, 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that term is defined in Rule 144 under the Securities Act, would only be able to be sold in compliance with the Rule 144 limitations described below.</w:t>
      </w:r>
    </w:p>
    <w:p>
      <w:pPr>
        <w:spacing w:after="0" w:line="22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remaining outstanding shares of our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ectPr>
          <w:pgSz w:w="11900" w:h="16838" w:orient="portrait"/>
          <w:cols w:equalWidth="0" w:num="1">
            <w:col w:w="11420"/>
          </w:cols>
          <w:pgMar w:left="240" w:top="459" w:right="239" w:bottom="1440" w:gutter="0" w:footer="0" w:header="0"/>
        </w:sectPr>
      </w:pPr>
    </w:p>
    <w:p>
      <w:pPr>
        <w:spacing w:after="0" w:line="7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sold in this offering will be immediately available for</w:t>
      </w:r>
    </w:p>
    <w:p>
      <w:pPr>
        <w:spacing w:after="0" w:line="369" w:lineRule="exact"/>
        <w:rPr>
          <w:sz w:val="20"/>
          <w:szCs w:val="20"/>
          <w:color w:val="auto"/>
        </w:rPr>
      </w:pPr>
    </w:p>
    <w:p>
      <w:pPr>
        <w:sectPr>
          <w:pgSz w:w="11900" w:h="16838" w:orient="portrait"/>
          <w:cols w:equalWidth="0" w:num="3">
            <w:col w:w="640" w:space="260"/>
            <w:col w:w="3140" w:space="620"/>
            <w:col w:w="6760"/>
          </w:cols>
          <w:pgMar w:left="240" w:top="459" w:right="239" w:bottom="1440" w:gutter="0" w:footer="0" w:header="0"/>
          <w:type w:val="continuous"/>
        </w:sect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beginning 181 days after the date of this prospectus (subject to the terms of the lock-up and market standoff agreements described below)</w:t>
      </w:r>
    </w:p>
    <w:p>
      <w:pPr>
        <w:sectPr>
          <w:pgSz w:w="11900" w:h="16838" w:orient="portrait"/>
          <w:cols w:equalWidth="0" w:num="1">
            <w:col w:w="11420"/>
          </w:cols>
          <w:pgMar w:left="240" w:top="459" w:right="239" w:bottom="1440" w:gutter="0" w:footer="0" w:header="0"/>
          <w:type w:val="continuous"/>
        </w:sectPr>
      </w:pPr>
    </w:p>
    <w:p>
      <w:pPr>
        <w:spacing w:after="0" w:line="46" w:lineRule="exact"/>
        <w:rPr>
          <w:sz w:val="20"/>
          <w:szCs w:val="20"/>
          <w:color w:val="auto"/>
        </w:rPr>
      </w:pPr>
    </w:p>
    <w:p>
      <w:pPr>
        <w:ind w:left="900" w:right="240"/>
        <w:spacing w:after="0" w:line="261" w:lineRule="auto"/>
        <w:rPr>
          <w:sz w:val="20"/>
          <w:szCs w:val="20"/>
          <w:color w:val="auto"/>
        </w:rPr>
      </w:pPr>
      <w:r>
        <w:rPr>
          <w:rFonts w:ascii="Arial" w:cs="Arial" w:eastAsia="Arial" w:hAnsi="Arial"/>
          <w:sz w:val="18"/>
          <w:szCs w:val="18"/>
          <w:color w:val="auto"/>
        </w:rPr>
        <w:t>additional shares will become eligible for sale in the public market, of which shares will be held by affiliates and subject to the volume and other restrictions of Rule 144, as described below.</w:t>
      </w:r>
    </w:p>
    <w:p>
      <w:pPr>
        <w:sectPr>
          <w:pgSz w:w="11900" w:h="16838" w:orient="portrait"/>
          <w:cols w:equalWidth="0" w:num="1">
            <w:col w:w="11420"/>
          </w:cols>
          <w:pgMar w:left="240" w:top="459" w:right="239" w:bottom="1440" w:gutter="0" w:footer="0" w:header="0"/>
          <w:type w:val="continuous"/>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executive officers, directors, and certain other holders of our capital stock and securities convertible into or exchangeable for our capital stock have agreed or will agree that, subject to certain exceptions, for a period of 180 days after the date of this prospectus, or lock-up period, we and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Goldman Sachs &amp; Co. LLC and J.P. Morgan Securities LLC may, in their discretion, release any of the securities subject to these lock-up agreements at any time. In addition, our executive officers, directors, and holders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covered by a registration statement on Form S-8) issued pursuant to this exception will not exceed % of the total number of shares of Class A common stock outstanding immediately following this offering, and provided that each recipient executes and delivers a lock-up agreement with substantially the same restrictions to which our executive officers, directors, and certain other holders of our capital stock and securities convertible into or exchangeable for our capital stock are subject.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1380"/>
          </w:cols>
          <w:pgMar w:left="240" w:top="460" w:right="279" w:bottom="1440" w:gutter="0" w:footer="0" w:header="0"/>
        </w:sectPr>
      </w:pPr>
    </w:p>
    <w:p>
      <w:pPr>
        <w:spacing w:after="0" w:line="8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this offering;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 of</w:t>
      </w:r>
    </w:p>
    <w:p>
      <w:pPr>
        <w:spacing w:after="0" w:line="369" w:lineRule="exact"/>
        <w:rPr>
          <w:sz w:val="20"/>
          <w:szCs w:val="20"/>
          <w:color w:val="auto"/>
        </w:rPr>
      </w:pPr>
    </w:p>
    <w:p>
      <w:pPr>
        <w:sectPr>
          <w:pgSz w:w="11900" w:h="16838" w:orient="portrait"/>
          <w:cols w:equalWidth="0" w:num="3">
            <w:col w:w="640" w:space="260"/>
            <w:col w:w="6700" w:space="620"/>
            <w:col w:w="3160"/>
          </w:cols>
          <w:pgMar w:left="240" w:top="460" w:right="279" w:bottom="1440" w:gutter="0" w:footer="0" w:header="0"/>
          <w:type w:val="continuous"/>
        </w:sectPr>
      </w:pPr>
    </w:p>
    <w:p>
      <w:pPr>
        <w:ind w:left="900" w:right="26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Sales of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380"/>
          </w:cols>
          <w:pgMar w:left="240" w:top="460" w:right="279" w:bottom="1440" w:gutter="0" w:footer="0" w:header="0"/>
          <w:type w:val="continuous"/>
        </w:sectPr>
      </w:pP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Pursuant to our IRA, after the completion of this offering, the holders of up to be entitled to certain rights with respect to the registration of the offer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 or certain transferees, will</w:t>
      </w:r>
    </w:p>
    <w:p>
      <w:pPr>
        <w:spacing w:after="0" w:line="396" w:lineRule="exact"/>
        <w:rPr>
          <w:sz w:val="20"/>
          <w:szCs w:val="20"/>
          <w:color w:val="auto"/>
        </w:rPr>
      </w:pPr>
    </w:p>
    <w:p>
      <w:pPr>
        <w:sectPr>
          <w:pgSz w:w="11900" w:h="16838" w:orient="portrait"/>
          <w:cols w:equalWidth="0" w:num="2">
            <w:col w:w="6080" w:space="620"/>
            <w:col w:w="468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1380"/>
          </w:cols>
          <w:pgMar w:left="240" w:top="460" w:right="27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sale of those shares, as converted into an equivalent number of shares of our Class A common stock upon such offer and sale,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common stock subject to RSUs and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80"/>
          </w:cols>
          <w:pgMar w:left="240" w:top="460" w:right="3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following is a summary of the material U.S. federal income tax consequences to certain non-U.S. holders (as defined below) of the ownership and disposition of our Class A common stock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No ruling from the Internal Revenue Service, or the IRS, has been, or will be, sought with respect to the tax consequences discussed herein, and there can be no assurance that the IRS will not take a position contrary to the tax consequences discussed below or that any position taken by the IRS would not be sustained.</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set forth below. In addition, this discussion does not address the application of the Medicare contribution tax on net investment income or any tax considerations applicable to a non-U.S. holder’s particular circumstances or non-U.S. holders that may be subject to special tax rules, including, without limitation:</w:t>
      </w:r>
    </w:p>
    <w:p>
      <w:pPr>
        <w:spacing w:after="0" w:line="92" w:lineRule="exact"/>
        <w:rPr>
          <w:sz w:val="20"/>
          <w:szCs w:val="20"/>
          <w:color w:val="auto"/>
        </w:rPr>
      </w:pPr>
    </w:p>
    <w:p>
      <w:pPr>
        <w:ind w:left="900" w:right="12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or real estate investment trusts;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holdings in our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partnerships or entities classified as partnerships for U.S. federal income tax purposes or other pass-through entities (and investors therein);</w:t>
      </w:r>
    </w:p>
    <w:p>
      <w:pPr>
        <w:spacing w:after="0" w:line="153" w:lineRule="exact"/>
        <w:rPr>
          <w:rFonts w:ascii="Arial" w:cs="Arial" w:eastAsia="Arial" w:hAnsi="Arial"/>
          <w:sz w:val="16"/>
          <w:szCs w:val="16"/>
          <w:color w:val="auto"/>
        </w:rPr>
      </w:pPr>
    </w:p>
    <w:p>
      <w:pPr>
        <w:ind w:left="900" w:right="12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 or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Class A common stock (except to the extent specifically set forth below);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if a partnership or entity classified as a partnership for U.S. federal income tax purposes holds our Class A common stock, the tax treatment of a partner generally will depend on the status of the partner and upon the activities of the partnership. Accordingly, partnerships that hold our Class A common stock, and partners in such partnerships, should consult their tax advisors.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acquisition, ownership, and disposition of our common stock arising under the U.S. federal estate or gift tax rules, under the laws of any state, local, non-U.S., or other taxing jurisdiction, or under any applicable tax treaty.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purposes of this discussion, you are a non-U.S. holder if you are a holder of our common stock that is not a partnership (or entity or arrangement treated as a partnership for U.S. federal income tax purposes) and is not any of the following:</w:t>
      </w:r>
    </w:p>
    <w:p>
      <w:pPr>
        <w:spacing w:after="0" w:line="76"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which has one or more “U.S. persons” (within the meaning of Section 7701(a)(3) of the Code) who have the authority to control all substantial decisions of the trust or (y) which has made a valid election to be treated as a U.S. person.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in the section titled “Dividend Policy,” we have never declared or paid cash dividends on our capital stock and do not anticipate paying any dividends on our capital stock in the foreseeable future. However, if we do make distributions on our Class A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A common stock, but not below zero, and then will be treated as gain from the sale of stock as described below under “—Gain on Disposition of Our Class A Common Stock.”</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Except as otherwise described below in the discussions of effectively connected income (in the next paragraph), backup withholding and FATCA,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including any required attachments and your taxpayer identification number, certifying qualification for the reduced rate; additionally you will be required to update such Forms and certifications from time to time as required by law. A non-U.S. holder of shares of our Class A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78"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or other applicable IRS Form W-8, including any required attachments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and your taxpayer identification number; additionally you will be required to update such forms and certifications from time to time as required by law. Such effectively connected dividends, although not subject to withholding tax, are includable on your U.S. income tax return and generally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Except as otherwise described below in the discussions of backup withholding and FATCA, you generally will not be subject to U.S. federal income tax on any gain realized upon the sale or other disposition of our Class A common stock unless:</w:t>
      </w:r>
    </w:p>
    <w:p>
      <w:pPr>
        <w:spacing w:after="0" w:line="76" w:lineRule="exact"/>
        <w:rPr>
          <w:sz w:val="20"/>
          <w:szCs w:val="20"/>
          <w:color w:val="auto"/>
        </w:rPr>
      </w:pPr>
    </w:p>
    <w:p>
      <w:pPr>
        <w:ind w:left="900" w:right="36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75"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 and, in the case where shares of our Class A common stock are regularly traded on an established securities market, you own, or are treated as owning, more than 5% of our Class A common stock at any time during the foregoing period.</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that we are not currently and will not become a USRPHC for U.S. federal income tax purposes, and the remainder of this discussion assumes this is the case.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Class A common stock is regularly traded on an established securities market, such Class A common stock will be treated as U.S. real property interests only if you actually or constructively hold more than 5% of such regularly traded Class A common stock at any time during the shorter of the five-year period preceding your disposition of, or your holding period for, our Class A common stock. No assurance can be provided that our Class A common stock will be regularly traded on an established securities market at all times for purposes of the rules described above.</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with respect to whether any applicable income tax or other treaties may provide for different rules.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Class A common stock beneficially owned by an individual who is not a citizen or resident of the United States (as defined for U.S. federal estate tax purposes) at the time of their death will generally be includable in the decedent’s gross estate for U.S. federal estate tax purposes, unless an applicable estate tax treaty provides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8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Payments of dividends or of proceeds on the disposition of stock made to you may be subject to information reporting and backup withholding at a current rate of 28% unless you establish an exemption, for example, by properly certifying your non-U.S. status on an IRS Form W-8BEN, IRS Form W-8BEN-E, or another appropriate version of IRS Form W-8. Notwithstanding the foregoing, backup withholding and information reporting may apply if either we our paying agent has actual knowledge, or reason to know, that you are a United States person as defined under the Code.</w:t>
      </w:r>
    </w:p>
    <w:p>
      <w:pPr>
        <w:spacing w:after="0" w:line="17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Foreign Account Tax Compliance Act and the rules and regulations promulgated thereunder, or collectively, FATCA, generally impose withholding tax at a rate of 30% on dividends on and gross proceeds from the sale or other disposition of our Class A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our Class A common stock paid to a “non-financial foreign entities” (as specially defined under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Class A common stock, and under current transition rules, are expected to apply with respect to the gross proceeds from the sale or other disposition of our Class A common stock on or after January 1, 2019. An intergovernmental agreement between the United States and your country of tax residence may modify the requirements described in this paragraph. If a dividend payment is both subject to withholding under FATCA and subject to the withholding tax discussed above under “—Distributions,” the withholding under FATCA may be credited against, and therefore reduce, such other withholding tax. Non-U.S. holders should consult their own tax advisors regarding the possible implications of FATCA on their investment in our Class A common stock.</w:t>
      </w:r>
    </w:p>
    <w:p>
      <w:pPr>
        <w:spacing w:after="0" w:line="181" w:lineRule="exact"/>
        <w:rPr>
          <w:sz w:val="20"/>
          <w:szCs w:val="20"/>
          <w:color w:val="auto"/>
        </w:rPr>
      </w:pPr>
    </w:p>
    <w:p>
      <w:pPr>
        <w:ind w:right="320" w:firstLine="456"/>
        <w:spacing w:after="0" w:line="386"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the selling stockholders and the underwriters named below will enter into an underwriting agreement with respect to the shares being offered.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 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and J.P. Morgan Securities LLC are the representatives of the underwriters.</w:t>
      </w:r>
    </w:p>
    <w:p>
      <w:pPr>
        <w:spacing w:after="0" w:line="233" w:lineRule="exact"/>
        <w:rPr>
          <w:sz w:val="20"/>
          <w:szCs w:val="20"/>
          <w:color w:val="auto"/>
        </w:rPr>
      </w:pPr>
    </w:p>
    <w:p>
      <w:pPr>
        <w:ind w:left="1380"/>
        <w:spacing w:after="0"/>
        <w:tabs>
          <w:tab w:leader="none" w:pos="8960" w:val="left"/>
        </w:tabs>
        <w:rPr>
          <w:sz w:val="20"/>
          <w:szCs w:val="20"/>
          <w:color w:val="auto"/>
        </w:rPr>
      </w:pPr>
      <w:r>
        <w:rPr>
          <w:rFonts w:ascii="Arial" w:cs="Arial" w:eastAsia="Arial" w:hAnsi="Arial"/>
          <w:sz w:val="14"/>
          <w:szCs w:val="14"/>
          <w:u w:val="single" w:color="auto"/>
          <w:color w:val="auto"/>
        </w:rPr>
        <w:t>Underwriters</w:t>
      </w:r>
      <w:r>
        <w:rPr>
          <w:sz w:val="20"/>
          <w:szCs w:val="20"/>
          <w:color w:val="auto"/>
        </w:rPr>
        <w:tab/>
      </w:r>
      <w:r>
        <w:rPr>
          <w:rFonts w:ascii="Arial" w:cs="Arial" w:eastAsia="Arial" w:hAnsi="Arial"/>
          <w:sz w:val="14"/>
          <w:szCs w:val="14"/>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3810</wp:posOffset>
            </wp:positionV>
            <wp:extent cx="550545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Goldman Sachs &amp; Co. LLC</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5505450"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14605</wp:posOffset>
            </wp:positionV>
            <wp:extent cx="6515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31750</wp:posOffset>
            </wp:positionV>
            <wp:extent cx="6515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5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underwriters will have an option to buy up to an additional shares from us and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the per share and total underwriting discounts and commissions to be paid to the underwriters by us and the selling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gridSpan w:val="9"/>
          </w:tcPr>
          <w:p>
            <w:pPr>
              <w:spacing w:after="0"/>
              <w:rPr>
                <w:sz w:val="20"/>
                <w:szCs w:val="20"/>
                <w:color w:val="auto"/>
              </w:rPr>
            </w:pPr>
            <w:r>
              <w:rPr>
                <w:rFonts w:ascii="Arial" w:cs="Arial" w:eastAsia="Arial" w:hAnsi="Arial"/>
                <w:sz w:val="18"/>
                <w:szCs w:val="18"/>
                <w:color w:val="auto"/>
                <w:w w:val="92"/>
              </w:rPr>
              <w:t>stockholders. Such amounts are shown assuming both no exercise and full exercise of the underwriters’ option to purchase</w:t>
            </w:r>
          </w:p>
        </w:tc>
        <w:tc>
          <w:tcPr>
            <w:tcW w:w="22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w w:val="87"/>
              </w:rPr>
              <w:t>additional shares.</w:t>
            </w:r>
          </w:p>
        </w:tc>
      </w:tr>
      <w:tr>
        <w:trPr>
          <w:trHeight w:val="485"/>
        </w:trPr>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80" w:type="dxa"/>
            <w:vAlign w:val="bottom"/>
            <w:gridSpan w:val="6"/>
          </w:tcPr>
          <w:p>
            <w:pPr>
              <w:jc w:val="center"/>
              <w:ind w:right="2180"/>
              <w:spacing w:after="0"/>
              <w:rPr>
                <w:sz w:val="20"/>
                <w:szCs w:val="20"/>
                <w:color w:val="auto"/>
              </w:rPr>
            </w:pPr>
            <w:r>
              <w:rPr>
                <w:rFonts w:ascii="Arial" w:cs="Arial" w:eastAsia="Arial" w:hAnsi="Arial"/>
                <w:sz w:val="18"/>
                <w:szCs w:val="18"/>
                <w:color w:val="auto"/>
                <w:w w:val="87"/>
              </w:rPr>
              <w:t>Paid by us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2"/>
        </w:trPr>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3"/>
          </w:tcPr>
          <w:p>
            <w:pPr>
              <w:ind w:left="1060"/>
              <w:spacing w:after="0"/>
              <w:rPr>
                <w:sz w:val="20"/>
                <w:szCs w:val="20"/>
                <w:color w:val="auto"/>
              </w:rPr>
            </w:pPr>
            <w:r>
              <w:rPr>
                <w:rFonts w:ascii="Arial" w:cs="Arial" w:eastAsia="Arial" w:hAnsi="Arial"/>
                <w:sz w:val="14"/>
                <w:szCs w:val="14"/>
                <w:color w:val="auto"/>
              </w:rPr>
              <w:t>No exercise</w:t>
            </w: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Full exercise</w:t>
            </w:r>
          </w:p>
        </w:tc>
      </w:tr>
      <w:tr>
        <w:trPr>
          <w:trHeight w:val="210"/>
        </w:trPr>
        <w:tc>
          <w:tcPr>
            <w:tcW w:w="138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6"/>
          </w:tcPr>
          <w:p>
            <w:pPr>
              <w:ind w:left="46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r>
      <w:tr>
        <w:trPr>
          <w:trHeight w:val="485"/>
        </w:trPr>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740" w:type="dxa"/>
            <w:vAlign w:val="bottom"/>
            <w:gridSpan w:val="7"/>
          </w:tcPr>
          <w:p>
            <w:pPr>
              <w:jc w:val="center"/>
              <w:ind w:right="920"/>
              <w:spacing w:after="0"/>
              <w:rPr>
                <w:sz w:val="20"/>
                <w:szCs w:val="20"/>
                <w:color w:val="auto"/>
              </w:rPr>
            </w:pPr>
            <w:r>
              <w:rPr>
                <w:rFonts w:ascii="Arial" w:cs="Arial" w:eastAsia="Arial" w:hAnsi="Arial"/>
                <w:sz w:val="18"/>
                <w:szCs w:val="18"/>
                <w:color w:val="auto"/>
                <w:w w:val="91"/>
              </w:rPr>
              <w:t>Paid by the selling stockholders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2"/>
        </w:trPr>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180" w:type="dxa"/>
            <w:vAlign w:val="bottom"/>
            <w:gridSpan w:val="3"/>
          </w:tcPr>
          <w:p>
            <w:pPr>
              <w:ind w:left="1060"/>
              <w:spacing w:after="0"/>
              <w:rPr>
                <w:sz w:val="20"/>
                <w:szCs w:val="20"/>
                <w:color w:val="auto"/>
              </w:rPr>
            </w:pPr>
            <w:r>
              <w:rPr>
                <w:rFonts w:ascii="Arial" w:cs="Arial" w:eastAsia="Arial" w:hAnsi="Arial"/>
                <w:sz w:val="14"/>
                <w:szCs w:val="14"/>
                <w:color w:val="auto"/>
              </w:rPr>
              <w:t>No exercise</w:t>
            </w: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Full exercise</w:t>
            </w:r>
          </w:p>
        </w:tc>
      </w:tr>
      <w:tr>
        <w:trPr>
          <w:trHeight w:val="210"/>
        </w:trPr>
        <w:tc>
          <w:tcPr>
            <w:tcW w:w="138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Total</w:t>
            </w:r>
          </w:p>
        </w:tc>
        <w:tc>
          <w:tcPr>
            <w:tcW w:w="5320" w:type="dxa"/>
            <w:vAlign w:val="bottom"/>
            <w:gridSpan w:val="6"/>
          </w:tcPr>
          <w:p>
            <w:pPr>
              <w:ind w:left="46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executive officers, directors, and certain other holders of our capital stock and securities convertible into or exchangeable for our capital stock have agreed or will agree that, subject to certain exceptions, for a period of 180 days after the date of this prospectus, or lock-up period, they will not, without the prior written consent of Goldman Sachs &amp; Co. LLC and J.P. Morgan Securities LLC, dispose of or hedge any shares or any securities convertible into or exchangeable for shares of our capital stock; provided that if (i) at least 120 days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have elapsed since the date of this prospectus, (ii) we have publicly released our earnings results for the quarterly period during which this offering occurred, and (iii) such lock-up period is scheduled to end during or within five trading days prior to a blackout period, such lock-up period will end ten trading days prior to the commencement of such blackout period. 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 of the total number of shares of Class A common stock outstanding immediately following this offering, and provided that each recipient executes and delivers a lock-up agreement with substantially the same restrictions to which our executive officers, directors, and certain holders of our capital stock and securities convertible into or exchangeable for our capital stock are subject. Goldman Sachs &amp; Co. LLC and J.P. Morgan Securities LLC may, in their discretion, release any of the securities subject to these lock-up agreements at any time. See “Shares Available for Future Sale” for a discussion of certain transfer restrictions, including market standoff agreements between us and each of our executive officers, directors, and holders of our capital stock and securities convertible into or exchangeable for our capital stock.</w:t>
      </w:r>
    </w:p>
    <w:p>
      <w:pPr>
        <w:spacing w:after="0" w:line="185" w:lineRule="exact"/>
        <w:rPr>
          <w:sz w:val="20"/>
          <w:szCs w:val="20"/>
          <w:color w:val="auto"/>
        </w:rPr>
      </w:pPr>
    </w:p>
    <w:p>
      <w:pPr>
        <w:ind w:right="720" w:firstLine="456"/>
        <w:spacing w:after="0" w:line="302"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54" w:lineRule="exact"/>
        <w:rPr>
          <w:sz w:val="20"/>
          <w:szCs w:val="20"/>
          <w:color w:val="auto"/>
        </w:rPr>
      </w:pPr>
    </w:p>
    <w:p>
      <w:pPr>
        <w:ind w:left="460"/>
        <w:spacing w:after="0"/>
        <w:tabs>
          <w:tab w:leader="none" w:pos="6260" w:val="left"/>
        </w:tabs>
        <w:rPr>
          <w:sz w:val="20"/>
          <w:szCs w:val="20"/>
          <w:color w:val="auto"/>
        </w:rPr>
      </w:pPr>
      <w:r>
        <w:rPr>
          <w:rFonts w:ascii="Arial" w:cs="Arial" w:eastAsia="Arial" w:hAnsi="Arial"/>
          <w:sz w:val="18"/>
          <w:szCs w:val="18"/>
          <w:color w:val="auto"/>
        </w:rPr>
        <w:t>We intend to file an application to list our Class A common stock on the</w:t>
      </w:r>
      <w:r>
        <w:rPr>
          <w:sz w:val="20"/>
          <w:szCs w:val="20"/>
          <w:color w:val="auto"/>
        </w:rPr>
        <w:tab/>
      </w:r>
      <w:r>
        <w:rPr>
          <w:rFonts w:ascii="Arial" w:cs="Arial" w:eastAsia="Arial" w:hAnsi="Arial"/>
          <w:sz w:val="17"/>
          <w:szCs w:val="17"/>
          <w:color w:val="auto"/>
        </w:rPr>
        <w:t>under the symbol “DBX”.</w:t>
      </w:r>
    </w:p>
    <w:p>
      <w:pPr>
        <w:spacing w:after="0" w:line="22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69"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jc w:val="both"/>
        <w:ind w:right="320" w:firstLine="456"/>
        <w:spacing w:after="0" w:line="27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 our stock, and together with the imposition of the penalty bid, may stabilize, maintain, or otherwise affect the market price of the common stock. As a result, the price of our Class A common stock may be higher than the price that otherwise might exist in the open market. The underwriters are not required to</w:t>
      </w:r>
    </w:p>
    <w:p>
      <w:pPr>
        <w:ind w:right="280"/>
        <w:spacing w:after="0" w:line="261" w:lineRule="auto"/>
        <w:rPr>
          <w:sz w:val="20"/>
          <w:szCs w:val="20"/>
          <w:color w:val="auto"/>
        </w:rPr>
      </w:pPr>
      <w:r>
        <w:rPr>
          <w:rFonts w:ascii="Arial" w:cs="Arial" w:eastAsia="Arial" w:hAnsi="Arial"/>
          <w:sz w:val="18"/>
          <w:szCs w:val="18"/>
          <w:color w:val="auto"/>
        </w:rPr>
        <w:t>engage in these activities and may end any of these activities at any time. These transactions may be effected on , in the over-the-counter market or otherwise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do not expect sales to discretionary accounts to exceed five percent of the total number of shares of Class A common stock offered.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selling stockholders estimate that their share of the total expenses of the offering, excluding underwriting discounts and commissions, will</w:t>
      </w:r>
    </w:p>
    <w:p>
      <w:pPr>
        <w:spacing w:after="0" w:line="4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and the selling stockholders have agreed to indemnify the several underwriters against certain liabilities, including liabilities under the Securities Act of 1933. In addition, we and the selling stockholders have agreed to reimburse the underwriters for certain expenses in connection with this offering in the</w:t>
      </w:r>
    </w:p>
    <w:p>
      <w:pPr>
        <w:spacing w:after="0"/>
        <w:tabs>
          <w:tab w:leader="none" w:pos="1620" w:val="left"/>
        </w:tabs>
        <w:rPr>
          <w:sz w:val="20"/>
          <w:szCs w:val="20"/>
          <w:color w:val="auto"/>
        </w:rPr>
      </w:pPr>
      <w:r>
        <w:rPr>
          <w:rFonts w:ascii="Arial" w:cs="Arial" w:eastAsia="Arial" w:hAnsi="Arial"/>
          <w:sz w:val="18"/>
          <w:szCs w:val="18"/>
          <w:color w:val="auto"/>
        </w:rPr>
        <w:t>amount up to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2014, we entered into a revolving credit agreement with affiliates of Goldman Sachs &amp; Co. LLC and J.P. Morgan Securities LLC, under which these underwriters and their respective affiliates have been, and may be in the future, paid customary fees. For additional information on our revolving credit facility, see the section titled “Management’s Discussion and Analysis of Financial Condition and Results of Operations—Liquidity and Capital Resources.”</w:t>
      </w:r>
    </w:p>
    <w:p>
      <w:pPr>
        <w:spacing w:after="0" w:line="192"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In September 2011, affiliates of Goldman Sachs &amp; Co. LLC, one of the underwriters, purchased an aggregate of 2,755,799 shares of our Series B Preferred Stock, all of which shares will automatically convert into an aggregate of 2,755,799 shares of Class B common stock in connection with this offering.</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Affiliates of Goldman Sachs &amp; Co. LLC and J.P. Morgan Securities LLC, an underwriter in this offering, will receive at least 5% of the net proceeds of</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this offering in connection with the repayment of $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diligence” with respect to, the registration statement. has agreed to act as qualified independent underwriter for this offering and to undertake the legal responsibilities and liabilities of an underwriter under the Securities Act. will not receive any additional fees for serving as qualified independent underwriter in connection with this offering. We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have agreed to indemnify</w:t>
      </w:r>
      <w:r>
        <w:rPr>
          <w:sz w:val="20"/>
          <w:szCs w:val="20"/>
          <w:color w:val="auto"/>
        </w:rPr>
        <w:tab/>
      </w:r>
      <w:r>
        <w:rPr>
          <w:rFonts w:ascii="Arial" w:cs="Arial" w:eastAsia="Arial" w:hAnsi="Arial"/>
          <w:sz w:val="16"/>
          <w:szCs w:val="16"/>
          <w:color w:val="auto"/>
        </w:rPr>
        <w:t>against liabilities incurred in connection with acting as qualified independent underwriter, including liabilities under the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Securities Act. Pursuant to FINRA Rule 5121, Goldman Sachs &amp; Co. LLC and J.P. Morgan Securities LLC will not confirm sales of securities to any account over which it exercises discretionary authority without the prior written approval of the customer.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of Class A common stock which are the subject of the offering contemplated by this prospectus may be made to the public in that Relevant Member State other than:</w:t>
      </w:r>
    </w:p>
    <w:p>
      <w:pPr>
        <w:spacing w:after="0" w:line="52"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per Relevant Member State, subject to obtaining the prior consent of the underwriters;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us or any underwriter to publish a prospectus pursuant to Article 3 of the Prospectus Directive or a supplemental prospectus pursuant to Article 16 of the Prospectus Directive and each person who initially acquires any shares of our Class A common stock or to whom any offer is made will be deemed to have represented, warranted, and agreed to and with each of the underwriters and us that it is a “qualified investor” within the meaning of the law in that Relevant Member State implementing Article 2(1)(e) of the Prospectus Directive.</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of our Class A common stock in any Relevant Member State means the communication in any form and by any means of sufficient information on the terms of the offer and the shares of our Class A common stock to be offered so as to enable an investor to decide to purchase or subscribe for the shares of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the United Kingdom, this prospectus in relation to the shares of Class A common stock described herein is being directed only at persons who are “qualified investors” (as defined in the Prospectus Directive) who are (i) persons having professional experience in matters relating to investments falling within Article 19(5) of the Financial Services and Markets Act 2000 Order 2005, or (ii) high net worth entities falling within Article 49(2)(a) to (d) of the Order, or (iii) persons to whom it would otherwise be lawful to distribute it, all such persons together being referred to as “Relevant Persons.” The shares of Class A common stock described herein are only available to, and any invitation, offer, or agreement to subscribe, purchase, or otherwise acquire such shares of Class A common stock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shares of Class A common stock may be sold in Canada only to purchasers purchasing, or deemed to be purchasing, as principal that are accredited investors, as defined in National Instrument 45-106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form, or in a transaction not subject to, the prospectus requirements of applicable securities laws.</w:t>
      </w:r>
    </w:p>
    <w:p>
      <w:pPr>
        <w:spacing w:after="0" w:line="18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in Hong Kong within the meaning of the Securities and Futures Ordinance and any rules made thereunder.</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Where the shares of Class A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after that corporation or that trust has acquired the shares of Class A common stock under Section 275 except: (1) to an institutional investor under</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274 of the SFA or to a relevant person, or any person pursuant to Section 275(1A), and in accordance with the conditions, specified in Section 275 of the SFA; (2) where no consideration is given for the transfer; or (3) by operation of law.</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or the Financial Instruments and Exchange Law, and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or FINMA, and the offer of shares of Class A common stock has not been and will not be authorized under the Swiss Federal Act on Collective Investment Schemes, or CISA. The investor protection afforded to acquirers of interests in collective investment schemes under the CISA does not extend to acquirers of the shares of Class A common stock.</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40"/>
          </w:cols>
          <w:pgMar w:left="240" w:top="459" w:right="3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right="24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or the Corporations Act;</w:t>
      </w:r>
    </w:p>
    <w:p>
      <w:pPr>
        <w:spacing w:after="0" w:line="75"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86"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shares of Class A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of Class A common stock for the purposes of the Securities and Investment Business Act, 2010, or SIBA, or the Public Issuers Code of the British Virgin Islands.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shares of Class A common stock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This prospectus does not constitute a public offer of shares of Class A common stock, whether by sale or subscription, in the People’s Republic of China, or the PRC. The shares of Class A common stock are not being offered or sold, directly or indirectly, in the PRC to or for the benefit of, legal or natural persons of the PRC.</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of Class A common stock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shares of Class A common stock have not been and will not be registered under the Financial Investments Services and Capital Markets Act of Korea and the decrees and regulations thereunder, or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of Class A common stock has been or will be registered with the Securities Commission of Malaysia,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or invitation to subscribe for or purchase any securities requiring the registration of a prospectus with the Commission under the Capital Markets and Services Act 2007.</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Due to restrictions under the securities laws of South Africa, the shares of Class A common stock are not offered, and the offer shall not be transferred, sold, renounced, or delivered, in South Africa or to a person with an address in South Africa, unless one or other of the following exemptions applies:</w:t>
      </w:r>
    </w:p>
    <w:p>
      <w:pPr>
        <w:spacing w:after="0" w:line="151"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17" w:lineRule="exact"/>
        <w:rPr>
          <w:rFonts w:ascii="Arial" w:cs="Arial" w:eastAsia="Arial" w:hAnsi="Arial"/>
          <w:sz w:val="18"/>
          <w:szCs w:val="18"/>
          <w:color w:val="auto"/>
        </w:rPr>
      </w:pPr>
    </w:p>
    <w:p>
      <w:pPr>
        <w:ind w:left="460" w:right="60" w:firstLine="4"/>
        <w:spacing w:after="0" w:line="277" w:lineRule="auto"/>
        <w:tabs>
          <w:tab w:leader="none" w:pos="68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any combination of the person in (a) to (f); or</w:t>
      </w:r>
    </w:p>
    <w:p>
      <w:pPr>
        <w:spacing w:after="0" w:line="130"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total contemplated acquisition cost of the securities, for any single addressee acting as principal is equal to or greater than ZAR1,000,000.</w:t>
      </w:r>
    </w:p>
    <w:p>
      <w:pPr>
        <w:spacing w:after="0" w:line="23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6"/>
          <w:szCs w:val="16"/>
          <w:color w:val="auto"/>
        </w:rPr>
        <w:t>No “offer to the public” (as such term is defined in the South African Companies Act, No. 71 of 2008 (as amended or re-enacted), or the South African</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Companies Act) in South Africa is being made in connection with the issue of the shares of Class A common stock.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of Class A common stock in South Africa constitutes an offer of the shares of Class A common stock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or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Wilson Sonsini Goodrich &amp; Rosati, P.C., Palo Alto, California, which has acted as our counsel in connection with this offering, will pass upon the validity of the shares of our Class A common stock being offered by this prospectus. The underwriters have been represented by Simpson Thacher &amp; Bartlett LLP, Palo Alto, California.</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consolidated financial statements of Dropbox, Inc. at December 31, 2015 and 2016, and for each of the two years in the period ended December 31, 2016,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www.dropbox.com.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8"/>
            <w:vMerge w:val="restart"/>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Report of Independent Registered Public Accounting Firm</w:t>
              </w:r>
            </w:hyperlink>
          </w:p>
        </w:tc>
        <w:tc>
          <w:tcPr>
            <w:tcW w:w="61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900" w:type="dxa"/>
            <w:vAlign w:val="bottom"/>
            <w:gridSpan w:val="8"/>
            <w:vMerge w:val="continue"/>
          </w:tcPr>
          <w:p>
            <w:pPr>
              <w:spacing w:after="0"/>
              <w:rPr>
                <w:sz w:val="14"/>
                <w:szCs w:val="14"/>
                <w:color w:val="auto"/>
              </w:rPr>
            </w:pPr>
          </w:p>
        </w:tc>
        <w:tc>
          <w:tcPr>
            <w:tcW w:w="6160" w:type="dxa"/>
            <w:vAlign w:val="bottom"/>
          </w:tcPr>
          <w:p>
            <w:pPr>
              <w:spacing w:after="0"/>
              <w:rPr>
                <w:sz w:val="14"/>
                <w:szCs w:val="14"/>
                <w:color w:val="auto"/>
              </w:rPr>
            </w:pPr>
          </w:p>
        </w:tc>
        <w:tc>
          <w:tcPr>
            <w:tcW w:w="360" w:type="dxa"/>
            <w:vAlign w:val="bottom"/>
          </w:tcPr>
          <w:p>
            <w:pPr>
              <w:jc w:val="center"/>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6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Consolidated Statements of Operations</w:t>
              </w:r>
            </w:hyperlink>
          </w:p>
        </w:tc>
        <w:tc>
          <w:tcPr>
            <w:tcW w:w="616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Consolidated Statements of Comprehensive Loss</w:t>
              </w:r>
            </w:hyperlink>
          </w:p>
        </w:tc>
        <w:tc>
          <w:tcPr>
            <w:tcW w:w="616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6">
              <w:r>
                <w:rPr>
                  <w:rFonts w:ascii="Arial" w:cs="Arial" w:eastAsia="Arial" w:hAnsi="Arial"/>
                  <w:sz w:val="18"/>
                  <w:szCs w:val="18"/>
                  <w:color w:val="0000EE"/>
                  <w:w w:val="90"/>
                </w:rPr>
                <w:t>Consolidated Statements of Stockholders’ Equity</w:t>
              </w:r>
            </w:hyperlink>
          </w:p>
        </w:tc>
        <w:tc>
          <w:tcPr>
            <w:tcW w:w="1340" w:type="dxa"/>
            <w:vAlign w:val="bottom"/>
            <w:gridSpan w:val="2"/>
          </w:tcPr>
          <w:p>
            <w:pPr>
              <w:spacing w:after="0"/>
              <w:rPr>
                <w:sz w:val="17"/>
                <w:szCs w:val="17"/>
                <w:color w:val="auto"/>
              </w:rPr>
            </w:pPr>
          </w:p>
        </w:tc>
        <w:tc>
          <w:tcPr>
            <w:tcW w:w="616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7">
              <w:r>
                <w:rPr>
                  <w:rFonts w:ascii="Arial" w:cs="Arial" w:eastAsia="Arial" w:hAnsi="Arial"/>
                  <w:sz w:val="18"/>
                  <w:szCs w:val="18"/>
                  <w:color w:val="0000EE"/>
                  <w:w w:val="89"/>
                </w:rPr>
                <w:t>Consolidated Statements of Cash Flows</w:t>
              </w:r>
            </w:hyperlink>
          </w:p>
        </w:tc>
        <w:tc>
          <w:tcPr>
            <w:tcW w:w="2020" w:type="dxa"/>
            <w:vAlign w:val="bottom"/>
            <w:gridSpan w:val="5"/>
          </w:tcPr>
          <w:p>
            <w:pPr>
              <w:spacing w:after="0"/>
              <w:rPr>
                <w:sz w:val="17"/>
                <w:szCs w:val="17"/>
                <w:color w:val="auto"/>
              </w:rPr>
            </w:pPr>
          </w:p>
        </w:tc>
        <w:tc>
          <w:tcPr>
            <w:tcW w:w="616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Notes to Consolidated Financial Statements</w:t>
              </w:r>
            </w:hyperlink>
          </w:p>
        </w:tc>
        <w:tc>
          <w:tcPr>
            <w:tcW w:w="616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gridSpan w:val="2"/>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1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have audited the accompanying consolidated balance sheets of Dropbox, Inc. as of December 31, 2015 and 2016, and the related consolidated statements of operations, comprehensive loss, stockholders’ equity and cash flows for the years then ended.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Dropbox, Inc. at December 31, 2015 and 2016, and the consolidated results of its operations and its cash flows for the years then ended in conformity with U.S. generally accepted accounting principles.</w:t>
      </w:r>
    </w:p>
    <w:p>
      <w:pPr>
        <w:spacing w:after="0" w:line="208"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par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i w:val="1"/>
                <w:iCs w:val="1"/>
                <w:color w:val="auto"/>
              </w:rPr>
              <w:t>(unaudited)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Trade and other receivables, net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14.4</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13.2</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425.4</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413.4</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490.3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345.0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33.0</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24.2</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1,010.5</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1,004.2</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986.5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17.3</w:t>
            </w:r>
          </w:p>
        </w:tc>
        <w:tc>
          <w:tcPr>
            <w:tcW w:w="6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15.5</w:t>
            </w:r>
          </w:p>
        </w:tc>
        <w:tc>
          <w:tcPr>
            <w:tcW w:w="6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Accrued compensation and benefits</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41.3</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Capital lease obligation</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353.0</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405.9</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line="202" w:lineRule="exact"/>
              <w:rPr>
                <w:sz w:val="20"/>
                <w:szCs w:val="20"/>
                <w:color w:val="auto"/>
              </w:rPr>
            </w:pPr>
            <w:r>
              <w:rPr>
                <w:rFonts w:ascii="Arial" w:cs="Arial" w:eastAsia="Arial" w:hAnsi="Arial"/>
                <w:sz w:val="14"/>
                <w:szCs w:val="14"/>
                <w:color w:val="auto"/>
              </w:rPr>
              <w:t>Capital lease obligation, non-current</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181.2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129.6</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Deferred rent, non-current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881.4</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877.5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gridSpan w:val="2"/>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Convertible preferred stock, $0.00001 par value; 226.8 shares authorized as of</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80"/>
              <w:spacing w:after="0"/>
              <w:rPr>
                <w:sz w:val="20"/>
                <w:szCs w:val="20"/>
                <w:color w:val="auto"/>
              </w:rPr>
            </w:pPr>
            <w:r>
              <w:rPr>
                <w:rFonts w:ascii="Arial" w:cs="Arial" w:eastAsia="Arial" w:hAnsi="Arial"/>
                <w:sz w:val="16"/>
                <w:szCs w:val="16"/>
                <w:color w:val="auto"/>
              </w:rPr>
              <w:t>December 31, 2015 and 2016 and September 30, 2017 (unaudited); 221.4 shares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80"/>
              <w:spacing w:after="0"/>
              <w:rPr>
                <w:sz w:val="20"/>
                <w:szCs w:val="20"/>
                <w:color w:val="auto"/>
              </w:rPr>
            </w:pPr>
            <w:r>
              <w:rPr>
                <w:rFonts w:ascii="Arial" w:cs="Arial" w:eastAsia="Arial" w:hAnsi="Arial"/>
                <w:sz w:val="16"/>
                <w:szCs w:val="16"/>
                <w:color w:val="auto"/>
              </w:rPr>
              <w:t>issued and outstanding as of December 31, 2015 and 2016 and September 30, 2017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80"/>
              <w:spacing w:after="0"/>
              <w:rPr>
                <w:sz w:val="20"/>
                <w:szCs w:val="20"/>
                <w:color w:val="auto"/>
              </w:rPr>
            </w:pPr>
            <w:r>
              <w:rPr>
                <w:rFonts w:ascii="Arial" w:cs="Arial" w:eastAsia="Arial" w:hAnsi="Arial"/>
                <w:sz w:val="16"/>
                <w:szCs w:val="16"/>
                <w:color w:val="auto"/>
              </w:rPr>
              <w:t>(unaudited); no shares authorized, issued and outstanding pro forma (unaudited);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480"/>
              <w:spacing w:after="0"/>
              <w:rPr>
                <w:sz w:val="20"/>
                <w:szCs w:val="20"/>
                <w:color w:val="auto"/>
              </w:rPr>
            </w:pPr>
            <w:r>
              <w:rPr>
                <w:rFonts w:ascii="Arial" w:cs="Arial" w:eastAsia="Arial" w:hAnsi="Arial"/>
                <w:sz w:val="16"/>
                <w:szCs w:val="16"/>
                <w:color w:val="auto"/>
                <w:w w:val="99"/>
              </w:rPr>
              <w:t>liquidation preference of 624.7 as of December 31, 2015 and 2016 and September 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ind w:left="480"/>
              <w:spacing w:after="0"/>
              <w:rPr>
                <w:sz w:val="20"/>
                <w:szCs w:val="20"/>
                <w:color w:val="auto"/>
              </w:rPr>
            </w:pPr>
            <w:r>
              <w:rPr>
                <w:rFonts w:ascii="Arial" w:cs="Arial" w:eastAsia="Arial" w:hAnsi="Arial"/>
                <w:sz w:val="16"/>
                <w:szCs w:val="16"/>
                <w:color w:val="auto"/>
              </w:rPr>
              <w:t>2017 (unaudited)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615.3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615.3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615.3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$0.00001 par value; 1,500.0 shares authorized; Class A common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8"/>
              </w:rPr>
              <w:t>stock - 800.0 shares authorized; 8.3 shares issued and outstanding as of December 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2015 and 2016; 9.6 shares issued and outstanding as of September 30, 2017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(unaudited); 13.9 shares issued and outstanding pro forma (unaudited); Class B</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common stock - 700.0 shares authorized, 272.8, 272.5 and 283.6 shares issued and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outstanding as of December 31, 2015 and 2016 and September 30, 2017 (unaudited),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respectively; 538.9 shares issued and outstanding pro forma (unaudited)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297.3</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446.0</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501.4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(727.3)</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(937.5)</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(1,012.0)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Accumulated other comprehensive income (loss)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6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20" w:type="dxa"/>
            <w:vAlign w:val="bottom"/>
            <w:gridSpan w:val="2"/>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1,010.5</w:t>
            </w:r>
          </w:p>
        </w:tc>
        <w:tc>
          <w:tcPr>
            <w:tcW w:w="6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1,004.2</w:t>
            </w:r>
          </w:p>
        </w:tc>
        <w:tc>
          <w:tcPr>
            <w:tcW w:w="6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6"/>
                <w:szCs w:val="16"/>
                <w:color w:val="auto"/>
              </w:rPr>
              <w:t>986.5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28"/>
          <w:szCs w:val="28"/>
          <w:color w:val="auto"/>
          <w:vertAlign w:val="superscript"/>
        </w:rPr>
      </w:pPr>
      <w:r>
        <w:rPr>
          <w:rFonts w:ascii="Arial" w:cs="Arial" w:eastAsia="Arial" w:hAnsi="Arial"/>
          <w:sz w:val="16"/>
          <w:szCs w:val="16"/>
          <w:color w:val="auto"/>
        </w:rPr>
        <w:t>Includes amounts attributable to related party transactions. See Note 15 for further details.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4"/>
                <w:szCs w:val="14"/>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5"/>
              </w:rPr>
              <w:t>(Unaudited)</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606.8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390.6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48"/>
              <w:spacing w:after="0"/>
              <w:rPr>
                <w:sz w:val="20"/>
                <w:szCs w:val="20"/>
                <w:color w:val="auto"/>
              </w:rPr>
            </w:pPr>
            <w:r>
              <w:rPr>
                <w:rFonts w:ascii="Arial" w:cs="Arial" w:eastAsia="Arial" w:hAnsi="Arial"/>
                <w:sz w:val="18"/>
                <w:szCs w:val="18"/>
                <w:color w:val="auto"/>
              </w:rPr>
              <w:t>301.3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196.4</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305.5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215.6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193.1</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250.6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48"/>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(306.2)</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(193.5)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(173.3)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480" w:type="dxa"/>
            <w:vAlign w:val="bottom"/>
            <w:gridSpan w:val="2"/>
          </w:tcPr>
          <w:p>
            <w:pPr>
              <w:jc w:val="right"/>
              <w:ind w:right="588"/>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(325.6)</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(205.0)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(325.9</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loss per share attributable to common stockholders, basic 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shares used in computing net loss per share attributable</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 common stockholders, basic and diluted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648"/>
              <w:spacing w:after="0"/>
              <w:rPr>
                <w:sz w:val="20"/>
                <w:szCs w:val="20"/>
                <w:color w:val="auto"/>
              </w:rPr>
            </w:pPr>
            <w:r>
              <w:rPr>
                <w:rFonts w:ascii="Arial" w:cs="Arial" w:eastAsia="Arial" w:hAnsi="Arial"/>
                <w:sz w:val="18"/>
                <w:szCs w:val="18"/>
                <w:color w:val="auto"/>
              </w:rPr>
              <w:t>282.3</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Pro forma net loss per share attributable to common stockholders, basic</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 (unaudited)</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shares used in computing pro forma net loss per share</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 (unaudited)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535.4</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28"/>
          <w:szCs w:val="28"/>
          <w:color w:val="auto"/>
          <w:vertAlign w:val="superscript"/>
        </w:rPr>
      </w:pPr>
      <w:r>
        <w:rPr>
          <w:rFonts w:ascii="Arial" w:cs="Arial" w:eastAsia="Arial" w:hAnsi="Arial"/>
          <w:sz w:val="16"/>
          <w:szCs w:val="16"/>
          <w:color w:val="auto"/>
        </w:rPr>
        <w:t>Includes stock-based compensation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Year ended</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6"/>
              </w:rPr>
              <w:t>Nine months ended</w:t>
            </w:r>
          </w:p>
        </w:tc>
      </w:tr>
      <w:tr>
        <w:trPr>
          <w:trHeight w:val="153"/>
        </w:trPr>
        <w:tc>
          <w:tcPr>
            <w:tcW w:w="4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225"/>
              <w:spacing w:after="0"/>
              <w:rPr>
                <w:sz w:val="20"/>
                <w:szCs w:val="20"/>
                <w:color w:val="auto"/>
              </w:rPr>
            </w:pPr>
            <w:r>
              <w:rPr>
                <w:rFonts w:ascii="Arial" w:cs="Arial" w:eastAsia="Arial" w:hAnsi="Arial"/>
                <w:sz w:val="13"/>
                <w:szCs w:val="13"/>
                <w:b w:val="1"/>
                <w:bCs w:val="1"/>
                <w:color w:val="auto"/>
                <w:w w:val="85"/>
              </w:rPr>
              <w:t>December 31,</w:t>
            </w:r>
          </w:p>
        </w:tc>
        <w:tc>
          <w:tcPr>
            <w:tcW w:w="40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267"/>
              <w:spacing w:after="0"/>
              <w:rPr>
                <w:sz w:val="20"/>
                <w:szCs w:val="20"/>
                <w:color w:val="auto"/>
              </w:rPr>
            </w:pPr>
            <w:r>
              <w:rPr>
                <w:rFonts w:ascii="Arial" w:cs="Arial" w:eastAsia="Arial" w:hAnsi="Arial"/>
                <w:sz w:val="13"/>
                <w:szCs w:val="13"/>
                <w:b w:val="1"/>
                <w:bCs w:val="1"/>
                <w:color w:val="auto"/>
                <w:w w:val="85"/>
              </w:rPr>
              <w:t>September 30,</w:t>
            </w: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4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5"/>
              <w:spacing w:after="0" w:line="143" w:lineRule="exact"/>
              <w:rPr>
                <w:sz w:val="20"/>
                <w:szCs w:val="20"/>
                <w:color w:val="auto"/>
              </w:rPr>
            </w:pPr>
            <w:r>
              <w:rPr>
                <w:rFonts w:ascii="Arial" w:cs="Arial" w:eastAsia="Arial" w:hAnsi="Arial"/>
                <w:sz w:val="13"/>
                <w:szCs w:val="13"/>
                <w:b w:val="1"/>
                <w:bCs w:val="1"/>
                <w:color w:val="auto"/>
                <w:w w:val="89"/>
              </w:rPr>
              <w:t>2015</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3"/>
              <w:spacing w:after="0" w:line="143" w:lineRule="exact"/>
              <w:rPr>
                <w:sz w:val="20"/>
                <w:szCs w:val="20"/>
                <w:color w:val="auto"/>
              </w:rPr>
            </w:pPr>
            <w:r>
              <w:rPr>
                <w:rFonts w:ascii="Arial" w:cs="Arial" w:eastAsia="Arial" w:hAnsi="Arial"/>
                <w:sz w:val="13"/>
                <w:szCs w:val="13"/>
                <w:b w:val="1"/>
                <w:bCs w:val="1"/>
                <w:color w:val="auto"/>
                <w:w w:val="89"/>
              </w:rPr>
              <w:t>2016</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7"/>
              <w:spacing w:after="0" w:line="143" w:lineRule="exact"/>
              <w:rPr>
                <w:sz w:val="20"/>
                <w:szCs w:val="20"/>
                <w:color w:val="auto"/>
              </w:rPr>
            </w:pPr>
            <w:r>
              <w:rPr>
                <w:rFonts w:ascii="Arial" w:cs="Arial" w:eastAsia="Arial" w:hAnsi="Arial"/>
                <w:sz w:val="13"/>
                <w:szCs w:val="13"/>
                <w:b w:val="1"/>
                <w:bCs w:val="1"/>
                <w:color w:val="auto"/>
                <w:w w:val="82"/>
              </w:rPr>
              <w:t>2016</w:t>
            </w: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91"/>
              </w:rPr>
              <w:t>(Unaudited)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revenue</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7"/>
                <w:szCs w:val="17"/>
                <w:color w:val="auto"/>
              </w:rPr>
            </w:pPr>
          </w:p>
        </w:tc>
      </w:tr>
      <w:tr>
        <w:trPr>
          <w:trHeight w:val="203"/>
        </w:trPr>
        <w:tc>
          <w:tcPr>
            <w:tcW w:w="422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72.7</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52.8</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66.4</w:t>
            </w:r>
          </w:p>
        </w:tc>
        <w:tc>
          <w:tcPr>
            <w:tcW w:w="40" w:type="dxa"/>
            <w:vAlign w:val="bottom"/>
          </w:tcPr>
          <w:p>
            <w:pPr>
              <w:spacing w:after="0"/>
              <w:rPr>
                <w:sz w:val="17"/>
                <w:szCs w:val="17"/>
                <w:color w:val="auto"/>
              </w:rPr>
            </w:pPr>
          </w:p>
        </w:tc>
      </w:tr>
      <w:tr>
        <w:trPr>
          <w:trHeight w:val="203"/>
        </w:trPr>
        <w:tc>
          <w:tcPr>
            <w:tcW w:w="4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r>
      <w:tr>
        <w:trPr>
          <w:trHeight w:val="206"/>
        </w:trPr>
        <w:tc>
          <w:tcPr>
            <w:tcW w:w="422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7.6</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17.2</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9"/>
              </w:rPr>
              <w:t>$(325.9)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cumulative foreign currency translation adjustments</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(325.8</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(211.5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(181.0</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40" w:type="dxa"/>
            <w:vAlign w:val="bottom"/>
            <w:gridSpan w:val="4"/>
            <w:vMerge w:val="restart"/>
          </w:tcPr>
          <w:p>
            <w:pPr>
              <w:jc w:val="right"/>
              <w:ind w:right="119"/>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60" w:type="dxa"/>
            <w:vAlign w:val="bottom"/>
          </w:tcPr>
          <w:p>
            <w:pPr>
              <w:spacing w:after="0"/>
              <w:rPr>
                <w:sz w:val="5"/>
                <w:szCs w:val="5"/>
                <w:color w:val="auto"/>
              </w:rPr>
            </w:pPr>
          </w:p>
        </w:tc>
        <w:tc>
          <w:tcPr>
            <w:tcW w:w="11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5"/>
                <w:szCs w:val="5"/>
                <w:color w:val="auto"/>
              </w:rPr>
            </w:pPr>
          </w:p>
        </w:tc>
        <w:tc>
          <w:tcPr>
            <w:tcW w:w="12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140" w:type="dxa"/>
            <w:vAlign w:val="bottom"/>
            <w:tcBorders>
              <w:bottom w:val="single" w:sz="8" w:color="auto"/>
            </w:tcBorders>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auto"/>
            </w:tcBorders>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9"/>
                <w:szCs w:val="9"/>
                <w:color w:val="auto"/>
              </w:rPr>
            </w:pPr>
          </w:p>
        </w:tc>
        <w:tc>
          <w:tcPr>
            <w:tcW w:w="98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9"/>
                <w:szCs w:val="9"/>
                <w:color w:val="auto"/>
              </w:rPr>
            </w:pPr>
          </w:p>
        </w:tc>
        <w:tc>
          <w:tcPr>
            <w:tcW w:w="10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9"/>
                <w:szCs w:val="9"/>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stockholders’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2"/>
                <w:szCs w:val="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2014</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$ 615.3</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281.2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Cumulative-effect adjustment from adoption of Topic 606</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Vesting of early exercised stock options</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Issuance of common stock, options and awards related to</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ind w:left="160"/>
              <w:spacing w:after="0"/>
              <w:rPr>
                <w:sz w:val="20"/>
                <w:szCs w:val="20"/>
                <w:color w:val="auto"/>
              </w:rPr>
            </w:pPr>
            <w:r>
              <w:rPr>
                <w:rFonts w:ascii="Arial" w:cs="Arial" w:eastAsia="Arial" w:hAnsi="Arial"/>
                <w:sz w:val="16"/>
                <w:szCs w:val="16"/>
                <w:color w:val="auto"/>
              </w:rPr>
              <w:t>acquisitions</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and awards</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w w:val="94"/>
              </w:rPr>
              <w:t>Repurchase of unvested common stock (related to early exercised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ind w:left="160"/>
              <w:spacing w:after="0"/>
              <w:rPr>
                <w:sz w:val="20"/>
                <w:szCs w:val="20"/>
                <w:color w:val="auto"/>
              </w:rPr>
            </w:pPr>
            <w:r>
              <w:rPr>
                <w:rFonts w:ascii="Arial" w:cs="Arial" w:eastAsia="Arial" w:hAnsi="Arial"/>
                <w:sz w:val="16"/>
                <w:szCs w:val="16"/>
                <w:color w:val="auto"/>
              </w:rPr>
              <w:t>stock options)</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2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(325.9)</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at December 31, 2015</w:t>
            </w: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80" w:type="dxa"/>
            <w:vAlign w:val="bottom"/>
            <w:gridSpan w:val="2"/>
            <w:vMerge w:val="continue"/>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221.4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615.3</w:t>
            </w:r>
          </w:p>
        </w:tc>
        <w:tc>
          <w:tcPr>
            <w:tcW w:w="2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281.1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(727.3)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Vesting of early exercised stock options</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Issuance of common stock, options and awards related to</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ind w:left="160"/>
              <w:spacing w:after="0"/>
              <w:rPr>
                <w:sz w:val="20"/>
                <w:szCs w:val="20"/>
                <w:color w:val="auto"/>
              </w:rPr>
            </w:pPr>
            <w:r>
              <w:rPr>
                <w:rFonts w:ascii="Arial" w:cs="Arial" w:eastAsia="Arial" w:hAnsi="Arial"/>
                <w:sz w:val="16"/>
                <w:szCs w:val="16"/>
                <w:color w:val="auto"/>
              </w:rPr>
              <w:t>acquisitions</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w w:val="94"/>
              </w:rPr>
              <w:t>Repurchase of unvested common stock (related to early exercised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options)</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(210.2)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2016</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615.3</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280.8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Cumulative-effect adjustment from adoption of ASU 2016-09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ind w:left="160"/>
              <w:spacing w:after="0"/>
              <w:rPr>
                <w:sz w:val="20"/>
                <w:szCs w:val="20"/>
                <w:color w:val="auto"/>
              </w:rPr>
            </w:pPr>
            <w:r>
              <w:rPr>
                <w:rFonts w:ascii="Arial" w:cs="Arial" w:eastAsia="Arial" w:hAnsi="Arial"/>
                <w:sz w:val="16"/>
                <w:szCs w:val="16"/>
                <w:color w:val="auto"/>
              </w:rPr>
              <w:t>(unaudited)</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Release of restricted stock units (unaudited)</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Arial" w:cs="Arial" w:eastAsia="Arial" w:hAnsi="Arial"/>
                <w:sz w:val="16"/>
                <w:szCs w:val="16"/>
                <w:color w:val="auto"/>
                <w:w w:val="98"/>
              </w:rPr>
              <w:t>Shares repurchased for tax withholdings on release of restricted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ind w:left="160"/>
              <w:spacing w:after="0"/>
              <w:rPr>
                <w:sz w:val="20"/>
                <w:szCs w:val="20"/>
                <w:color w:val="auto"/>
              </w:rPr>
            </w:pPr>
            <w:r>
              <w:rPr>
                <w:rFonts w:ascii="Arial" w:cs="Arial" w:eastAsia="Arial" w:hAnsi="Arial"/>
                <w:sz w:val="16"/>
                <w:szCs w:val="16"/>
                <w:color w:val="auto"/>
              </w:rPr>
              <w:t>stock (unaudited)</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w w:val="99"/>
              </w:rPr>
              <w:t>Donation of common stock to charitable foundation (unaudited)</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Exercise of stock options and awards (unaudited)</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w w:val="94"/>
              </w:rPr>
              <w:t>Repurchase of unvested common stock (related to early exercised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options) (unaudited)</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Stock-based compensation (unaudited)</w:t>
            </w:r>
          </w:p>
        </w:tc>
        <w:tc>
          <w:tcPr>
            <w:tcW w:w="52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(unaudited)</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Net loss (unaudited)</w:t>
            </w:r>
          </w:p>
        </w:tc>
        <w:tc>
          <w:tcPr>
            <w:tcW w:w="420" w:type="dxa"/>
            <w:vAlign w:val="bottom"/>
          </w:tcPr>
          <w:p>
            <w:pPr>
              <w:jc w:val="center"/>
              <w:ind w:left="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at September 30, 2017 </w:t>
            </w:r>
            <w:r>
              <w:rPr>
                <w:rFonts w:ascii="Arial" w:cs="Arial" w:eastAsia="Arial" w:hAnsi="Arial"/>
                <w:sz w:val="16"/>
                <w:szCs w:val="16"/>
                <w:color w:val="auto"/>
              </w:rPr>
              <w:t>(unaudited)</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221.4</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$ 615.3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293.2</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(1,012.0)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left="246"/>
              <w:spacing w:after="0" w:line="149" w:lineRule="exact"/>
              <w:rPr>
                <w:sz w:val="20"/>
                <w:szCs w:val="20"/>
                <w:color w:val="auto"/>
              </w:rPr>
            </w:pPr>
            <w:r>
              <w:rPr>
                <w:rFonts w:ascii="Arial" w:cs="Arial" w:eastAsia="Arial" w:hAnsi="Arial"/>
                <w:sz w:val="14"/>
                <w:szCs w:val="14"/>
                <w:b w:val="1"/>
                <w:bCs w:val="1"/>
                <w:color w:val="auto"/>
                <w:w w:val="87"/>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5"/>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5"/>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operating activities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88"/>
              </w:rPr>
              <w:t>(325.9)</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2"/>
              </w:rPr>
              <w:t>(210.2)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2"/>
              </w:rPr>
              <w:t>(181.1)</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(74.0)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provided by operating activities: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191.6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143.7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138.9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Stock-based compensation</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66.1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113.6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Amortization of deferred commissions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Donation of common stock to charitable foundation</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Other</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Trade and other receivables, net</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3.4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Other assets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Accrued and other current liabilities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Accrued compensation and benefits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Deferred revenue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87.6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Non-current liabilities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14.2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76"/>
        </w:trPr>
        <w:tc>
          <w:tcPr>
            <w:tcW w:w="72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186.7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investing activities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Capital expenditures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2"/>
              </w:rPr>
              <w:t>(115.2)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2"/>
              </w:rPr>
              <w:t>(111.6)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Purchase of intangible assets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(8.5)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Cash received from equipment rebates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Business acquisitions, net of cash acquired</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Cash received from sales of equipment</w:t>
            </w: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investing activities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(85.6)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2"/>
              </w:rPr>
              <w:t>(118.0)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2"/>
              </w:rPr>
              <w:t>(114.7)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69"/>
        </w:trPr>
        <w:tc>
          <w:tcPr>
            <w:tcW w:w="72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 from financing activities</w:t>
            </w:r>
          </w:p>
        </w:tc>
        <w:tc>
          <w:tcPr>
            <w:tcW w:w="1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7220" w:type="dxa"/>
            <w:vAlign w:val="bottom"/>
            <w:shd w:val="clear" w:color="auto" w:fill="CCEEFF"/>
          </w:tcPr>
          <w:p>
            <w:pPr>
              <w:ind w:left="300"/>
              <w:spacing w:after="0" w:line="6" w:lineRule="exact"/>
              <w:rPr>
                <w:sz w:val="20"/>
                <w:szCs w:val="20"/>
                <w:color w:val="auto"/>
              </w:rPr>
            </w:pPr>
            <w:r>
              <w:rPr>
                <w:rFonts w:ascii="Arial" w:cs="Arial" w:eastAsia="Arial" w:hAnsi="Arial"/>
                <w:sz w:val="1"/>
                <w:szCs w:val="1"/>
                <w:color w:val="auto"/>
              </w:rPr>
              <w:t>Principal payments on capital lease obligations</w:t>
            </w: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(101.2)</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(137.9)</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120"/>
              <w:spacing w:after="0" w:line="6" w:lineRule="exact"/>
              <w:rPr>
                <w:sz w:val="20"/>
                <w:szCs w:val="20"/>
                <w:color w:val="auto"/>
              </w:rPr>
            </w:pPr>
            <w:r>
              <w:rPr>
                <w:rFonts w:ascii="Arial" w:cs="Arial" w:eastAsia="Arial" w:hAnsi="Arial"/>
                <w:sz w:val="1"/>
                <w:szCs w:val="1"/>
                <w:color w:val="auto"/>
              </w:rPr>
              <w:t>(103.1)</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(102.3)</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shd w:val="clear" w:color="auto" w:fill="CCEEFF"/>
          </w:tcPr>
          <w:p>
            <w:pPr>
              <w:ind w:left="3180"/>
              <w:spacing w:after="0"/>
              <w:rPr>
                <w:sz w:val="20"/>
                <w:szCs w:val="20"/>
                <w:color w:val="auto"/>
              </w:rPr>
            </w:pPr>
            <w:r>
              <w:rPr>
                <w:rFonts w:ascii="Arial" w:cs="Arial" w:eastAsia="Arial" w:hAnsi="Arial"/>
                <w:sz w:val="13"/>
                <w:szCs w:val="13"/>
                <w:color w:val="auto"/>
              </w:rPr>
              <w:t>(1)</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Principal payments against note payable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Principal payments against financing lease obligation</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Proceeds from sale-leaseback agreement</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issuance of note payable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Fees paid for revolving credit facility</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Shares repurchased for tax withholdings on release of restricted stock</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(72.2)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tcPr>
          <w:p>
            <w:pPr>
              <w:ind w:left="300"/>
              <w:spacing w:after="0" w:line="162" w:lineRule="exact"/>
              <w:rPr>
                <w:sz w:val="20"/>
                <w:szCs w:val="20"/>
                <w:color w:val="auto"/>
              </w:rPr>
            </w:pPr>
            <w:r>
              <w:rPr>
                <w:rFonts w:ascii="Arial" w:cs="Arial" w:eastAsia="Arial" w:hAnsi="Arial"/>
                <w:sz w:val="15"/>
                <w:szCs w:val="15"/>
                <w:color w:val="auto"/>
              </w:rPr>
              <w:t>Proceeds from issuance of common stock, net of repurchases</w:t>
            </w: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8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in financing activities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(89.6)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2"/>
              </w:rPr>
              <w:t>(134.5)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(98.2)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w w:val="92"/>
              </w:rPr>
              <w:t>(181.1)</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4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 in cash, cash equivalents, and restricted cash</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88"/>
              </w:rPr>
              <w:t>(161.3)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(25.8)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tcPr>
          <w:p>
            <w:pPr>
              <w:spacing w:after="0" w:line="162" w:lineRule="exact"/>
              <w:rPr>
                <w:sz w:val="20"/>
                <w:szCs w:val="20"/>
                <w:color w:val="auto"/>
              </w:rPr>
            </w:pPr>
            <w:r>
              <w:rPr>
                <w:rFonts w:ascii="Arial" w:cs="Arial" w:eastAsia="Arial" w:hAnsi="Arial"/>
                <w:sz w:val="15"/>
                <w:szCs w:val="15"/>
                <w:color w:val="auto"/>
              </w:rPr>
              <w:t>Cash, cash equivalents, and restricted cash—beginning of period</w:t>
            </w: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518.2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356.9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356.9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352.7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cash equivalents, and restricted cash—end of period</w:t>
            </w:r>
          </w:p>
        </w:tc>
        <w:tc>
          <w:tcPr>
            <w:tcW w:w="1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356.9</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352.7</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331.1</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Supplemental cash flow data:</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4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paid during the period for:</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tcPr>
          <w:p>
            <w:pPr>
              <w:ind w:left="600"/>
              <w:spacing w:after="0" w:line="162" w:lineRule="exact"/>
              <w:rPr>
                <w:sz w:val="20"/>
                <w:szCs w:val="20"/>
                <w:color w:val="auto"/>
              </w:rPr>
            </w:pPr>
            <w:r>
              <w:rPr>
                <w:rFonts w:ascii="Arial" w:cs="Arial" w:eastAsia="Arial" w:hAnsi="Arial"/>
                <w:sz w:val="15"/>
                <w:szCs w:val="15"/>
                <w:color w:val="auto"/>
              </w:rPr>
              <w:t>Interest</w:t>
            </w:r>
          </w:p>
        </w:tc>
        <w:tc>
          <w:tcPr>
            <w:tcW w:w="13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13.2</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14.9</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11.4</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shd w:val="clear" w:color="auto" w:fill="CCEEFF"/>
          </w:tcPr>
          <w:p>
            <w:pPr>
              <w:ind w:left="600"/>
              <w:spacing w:after="0" w:line="156" w:lineRule="exact"/>
              <w:rPr>
                <w:sz w:val="20"/>
                <w:szCs w:val="20"/>
                <w:color w:val="auto"/>
              </w:rPr>
            </w:pPr>
            <w:r>
              <w:rPr>
                <w:rFonts w:ascii="Arial" w:cs="Arial" w:eastAsia="Arial" w:hAnsi="Arial"/>
                <w:sz w:val="15"/>
                <w:szCs w:val="15"/>
                <w:color w:val="auto"/>
              </w:rPr>
              <w:t>Income taxes</w:t>
            </w:r>
          </w:p>
        </w:tc>
        <w:tc>
          <w:tcPr>
            <w:tcW w:w="13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0.2</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1.5</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0.8</w:t>
            </w: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300"/>
              <w:spacing w:after="0"/>
              <w:rPr>
                <w:sz w:val="20"/>
                <w:szCs w:val="20"/>
                <w:color w:val="auto"/>
              </w:rPr>
            </w:pPr>
            <w:r>
              <w:rPr>
                <w:rFonts w:ascii="Arial" w:cs="Arial" w:eastAsia="Arial" w:hAnsi="Arial"/>
                <w:sz w:val="15"/>
                <w:szCs w:val="15"/>
                <w:color w:val="auto"/>
              </w:rPr>
              <w:t>Non-cash investing and financing activities: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Property and equipment received and accrued in accounts payable and accrued liabilities</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r>
              <w:rPr>
                <w:rFonts w:ascii="Arial" w:cs="Arial" w:eastAsia="Arial" w:hAnsi="Arial"/>
                <w:sz w:val="15"/>
                <w:szCs w:val="15"/>
                <w:u w:val="single" w:color="auto"/>
                <w:color w:val="auto"/>
              </w:rPr>
              <w:t>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600"/>
              <w:spacing w:after="0"/>
              <w:rPr>
                <w:sz w:val="20"/>
                <w:szCs w:val="20"/>
                <w:color w:val="auto"/>
              </w:rPr>
            </w:pPr>
            <w:r>
              <w:rPr>
                <w:rFonts w:ascii="Arial" w:cs="Arial" w:eastAsia="Arial" w:hAnsi="Arial"/>
                <w:sz w:val="15"/>
                <w:szCs w:val="15"/>
                <w:color w:val="auto"/>
              </w:rPr>
              <w:t>Property and equipment acquired under capital leases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vMerge w:val="continue"/>
          </w:tcPr>
          <w:p>
            <w:pPr>
              <w:spacing w:after="0"/>
              <w:rPr>
                <w:sz w:val="13"/>
                <w:szCs w:val="13"/>
                <w:color w:val="auto"/>
              </w:rPr>
            </w:pPr>
          </w:p>
        </w:tc>
        <w:tc>
          <w:tcPr>
            <w:tcW w:w="13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226.3</w:t>
            </w:r>
          </w:p>
        </w:tc>
        <w:tc>
          <w:tcPr>
            <w:tcW w:w="2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92.2</w:t>
            </w:r>
          </w:p>
        </w:tc>
        <w:tc>
          <w:tcPr>
            <w:tcW w:w="2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90.6</w:t>
            </w:r>
          </w:p>
        </w:tc>
        <w:tc>
          <w:tcPr>
            <w:tcW w:w="2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20" w:type="dxa"/>
            <w:vAlign w:val="bottom"/>
            <w:shd w:val="clear" w:color="auto" w:fill="CCEEFF"/>
          </w:tcPr>
          <w:p>
            <w:pPr>
              <w:ind w:left="600"/>
              <w:spacing w:after="0" w:line="156" w:lineRule="exact"/>
              <w:rPr>
                <w:sz w:val="20"/>
                <w:szCs w:val="20"/>
                <w:color w:val="auto"/>
              </w:rPr>
            </w:pPr>
            <w:r>
              <w:rPr>
                <w:rFonts w:ascii="Arial" w:cs="Arial" w:eastAsia="Arial" w:hAnsi="Arial"/>
                <w:sz w:val="15"/>
                <w:szCs w:val="15"/>
                <w:color w:val="auto"/>
              </w:rPr>
              <w:t>Fair value of shares issued related to acquisitions of businesses and other assets</w:t>
            </w:r>
          </w:p>
        </w:tc>
        <w:tc>
          <w:tcPr>
            <w:tcW w:w="13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35.2</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0.7</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0.7</w:t>
            </w: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Includes amounts attributable to related party transactions. See Note 15 for further details.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as of September 30, 2017, and for the nine months ended September 30, 2016 and 2017, is unaudited)</w:t>
      </w:r>
    </w:p>
    <w:p>
      <w:pPr>
        <w:spacing w:after="0" w:line="103"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On January 1, 2017, the Company adopted the requirements of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t>
      </w:r>
      <w:r>
        <w:rPr>
          <w:rFonts w:ascii="Arial" w:cs="Arial" w:eastAsia="Arial" w:hAnsi="Arial"/>
          <w:sz w:val="16"/>
          <w:szCs w:val="16"/>
          <w:i w:val="1"/>
          <w:iCs w:val="1"/>
          <w:color w:val="auto"/>
        </w:rPr>
        <w:t>Topic 606</w:t>
      </w:r>
      <w:r>
        <w:rPr>
          <w:rFonts w:ascii="Arial" w:cs="Arial" w:eastAsia="Arial" w:hAnsi="Arial"/>
          <w:sz w:val="16"/>
          <w:szCs w:val="16"/>
          <w:color w:val="auto"/>
        </w:rPr>
        <w:t>) as discussed further in</w:t>
      </w:r>
      <w:r>
        <w:rPr>
          <w:rFonts w:ascii="Arial" w:cs="Arial" w:eastAsia="Arial" w:hAnsi="Arial"/>
          <w:sz w:val="16"/>
          <w:szCs w:val="16"/>
          <w:i w:val="1"/>
          <w:iCs w:val="1"/>
          <w:color w:val="auto"/>
        </w:rPr>
        <w:t xml:space="preserve"> Recently adopted accounting pronouncements </w:t>
      </w:r>
      <w:r>
        <w:rPr>
          <w:rFonts w:ascii="Arial" w:cs="Arial" w:eastAsia="Arial" w:hAnsi="Arial"/>
          <w:sz w:val="16"/>
          <w:szCs w:val="16"/>
          <w:color w:val="auto"/>
        </w:rPr>
        <w:t>below (“Topic 606”). Topic 606 establishes a principle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recognizing revenue upon the transfer of promised goods or services to customers, in an amount that reflects the expected consideration received in exchange for those goods or services. Topic 606 also includes Subtopic 340-40, </w:t>
      </w:r>
      <w:r>
        <w:rPr>
          <w:rFonts w:ascii="Arial" w:cs="Arial" w:eastAsia="Arial" w:hAnsi="Arial"/>
          <w:sz w:val="16"/>
          <w:szCs w:val="16"/>
          <w:i w:val="1"/>
          <w:iCs w:val="1"/>
          <w:color w:val="auto"/>
        </w:rPr>
        <w:t>Other Assets and Deferred Costs—Contracts with Customers</w:t>
      </w:r>
      <w:r>
        <w:rPr>
          <w:rFonts w:ascii="Arial" w:cs="Arial" w:eastAsia="Arial" w:hAnsi="Arial"/>
          <w:sz w:val="16"/>
          <w:szCs w:val="16"/>
          <w:color w:val="auto"/>
        </w:rPr>
        <w:t>, which requires the deferral of incremental costs of obtaining a contract with a customer. Collectively, references to Topic 606 used herein refer to both Topic 606 and Subtopic 340-40. The Company adopted Topic 606 with retrospective application to the beginning of the earliest period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accompanying interim consolidated balance sheet as of September 30, 2017, the related interim consolidated statements of operations, comprehensive loss, and cash flows for the nine months ended September 30, 2016 and 2017, the consolidated statement of stockholders’ equity for the nine months ended September 30, 2017, and the related footnote disclosures, as of and for those periods, are unaudited. These unaudited interim consolidated financial statements have been prepared in accordance with GAAP applicable to interim financial statements. The interim consolidated financial statements are presented in accordance with the rules and regulations of the U.S. Securities and Exchange Commission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include all adjustments, which include only normal recurring adjustments, necessary for the fair presentation of the Company’s financial position as of September 30, 2017, the Company’s consolidated statement of stockholders’ equity for the nine months ended September 30, 2017, the Company’s consolidated results of operations and cash flows for the nine months ended September 30, 2016 and 2017, and the related footnote disclosures, as of and for those periods. The results for the nine months ended September 30, 2017, are not necessarily indicative of the results expected for the full year.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Subject to the satisfaction of certain conditions, immediately prior to the completion of the Company’s initial public offering, all of the 220,965,979 shares of convertible preferred stock will convert into an equivalent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number of shares of Class B common stock. Further, pursuant to transfer agreements with certain of the Company’s stockholders, 387,934 shares of the Company’s preferred stock and 3,914,934 shares of the Company’s Class B common stock will automatically convert into an equivalent numbers of shares of Class A common stock. The unaudited pro forma balance sheet information gives effect to these conversions as of September 30, 2017.</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in detail in “Stock-Based Compensation” below, the Company has granted restricted stock units (“RSUs”) that generally vest upon the satisfaction of a service-based vesting condition, and with respect to RSUs granted prior to August 2015, (“two-tier RSUs”), upon the satisfaction of both a service-based vesting condition and a liquidity event-related performance vesting condition (the “Performance Vesting Condition”). The Performance Vesting Condition is satisfied on the earlier of (i) an acquisition or change in control of the Company or (ii) the earlier of (a) six months after our initial public offering or (b) March 15 of the year following our initial public offering. At the time the Performance Vesting Condition becomes probable, the Company will recognize the cumulative stock-based compensation expense for the two-tier RSUs that have met their service-based vesting condition using the accelerated attribution method. Accordingly, the unaudited pro forma balance sheet information as of September 30, 2017, gives effect to stock-based compensation expense of approximately $415.4 million associated with two-tier RSUs using the accelerated attribution method. This pro forma adjustment related to stock-based compensation expense of approximately $415.4 million has been reflected as an increase to additional paid-in capital and within accumulated deficit. The unaudited pro forma balance sheet also gives effect to the assumed conversion of the two-tier RSUs that had satisfied the service-based vesting condition and the Performance Vesting Condition as of September 30, 2017, and will convert into 38,172,093 shares of Class B common stock. Share repurchases of common stock to satisfy the tax withholding obligation and payroll tax expenses have not been included in these pro forma adjustments.</w:t>
      </w:r>
    </w:p>
    <w:p>
      <w:pPr>
        <w:spacing w:after="0" w:line="16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shares of common stock issuable and the proceeds expected to be received upon the completion of an initial public offering are excluded from the pro forma balance sheet.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Company’s most significant estimates and judgments involve recognition of revenue, the measurement of the Company’s stock-based compensation, including the estimation of the underlying deemed fair value of common stock, the valuation of acquired intangible assets and goodwill from business combinations.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revenue by geographic area and long-lived assets by geographic area, see Note 16.</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rates in effect at the balance sheet date and revenue and expense amounts are translated at the average exchange rate for the period. Foreign currency translation gains and losses are recorded in other comprehensive income (loss).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$4.6 million and $3.6 million in net foreign currency transaction losses in the years ended December 31, 2015 and 2016, respectively. The Company recorded $2.1 million and $6.9 million in net foreign currency transaction gains in the nine months ended September 30, 2016 and 2017, respectively.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adopted the requirements of Topic 606 as of January 1, 2017, utilizing the full retrospective method of transition. 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by applying the requirements of Topic 606, which includes the following steps:</w:t>
      </w:r>
    </w:p>
    <w:p>
      <w:pPr>
        <w:spacing w:after="0" w:line="87"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recognized $184.7 million and $266.9 million of revenue during 2015 and 2016, respectively, that was included in the deferred revenue balances at the beginning of the respective periods. Additionally,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Company recognized $248.8 million and $324.6 million of revenue during the nine months ended September 30, 2016 and 2017, respectively, that was included in the deferred revenue balances at the beginning of the respective periods.</w:t>
      </w:r>
    </w:p>
    <w:p>
      <w:pPr>
        <w:spacing w:after="0" w:line="17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As of September 30, 2017, future estimated revenue related to performance obligations that are unsatisfied or partially unsatisfied at the end of the reporting period was $442.4 million. The substantial majority of the unsatisfied performance obligations will be satisfied over the next twelve months.</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applied the practical expedient in Topic 606 and did not evaluate contracts of one year or less for the existence of a significant financing component. Multi-year contracts were not significant.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granted RSUs to its employees and members of the Board of Directors under the 2008 Equity Incentive Plan (“2008 Plan”)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Equity Incentive Plan (“2017 Plan”). The Company had two types of RSUs outstanding as of September 30, 2017:</w:t>
      </w:r>
    </w:p>
    <w:p>
      <w:pPr>
        <w:spacing w:after="0" w:line="116" w:lineRule="exact"/>
        <w:rPr>
          <w:sz w:val="20"/>
          <w:szCs w:val="20"/>
          <w:color w:val="auto"/>
        </w:rPr>
      </w:pPr>
    </w:p>
    <w:p>
      <w:pPr>
        <w:ind w:left="90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2017 Plan. The Company recognizes compensation expense associated with one-tier RSUs ratably on a straight-line basis over the requisite service period.</w:t>
      </w:r>
    </w:p>
    <w:p>
      <w:pPr>
        <w:spacing w:after="0" w:line="92"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Two-tier RSUs, which have both a service-based vesting condition and the Performance Vesting Condition. The service-based vesting period for these awards is typically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 (b) March 15 of the year following our initial public offering. Prior to August 2015, the Company granted two-tier RSUs under the 2008 Plan. The last grant date for two-tier RSUs was in May 2015.</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September 30, 2017, all compensation expense related to two-tier RSUs remained unrecognized because the Performance Vesting Condition was not satisfied. At the time the Performance Vesting Condition becomes probable, the Company will recognize the cumulative stock-based compensation expense for the two-tier RSUs that have met their service-based vesting condition using the accelerated attribution method. If the Performance Vesting Condition had occurred on September 30, 2017, the Company would have recorded $415.4 million of stock-based compensation expense using the accelerated attribution method. As of September 30, 2017, 42.5 million two-tier RSUs were outstanding, of which 38.2 million had met their service condition. The Company expects to recognize approximately $9.4 million of additional stock-based compensation expense related to unvested two-tier RSUs, if the service and performance conditions are met, over the remaining service periods through 2019. See Note 11 for further discussion.</w:t>
      </w:r>
    </w:p>
    <w:p>
      <w:pPr>
        <w:spacing w:after="0" w:line="16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Since August 2015, the Company has granted RSUs as the only stock-based payment awards to its employees and has not granted any stock options since then. The fair values of the common stock underlying the RSUs were determined by the Board of Directors, with input from management and contemporaneous third-party valuations, which were performed at least quarterly.</w:t>
      </w:r>
    </w:p>
    <w:p>
      <w:pPr>
        <w:spacing w:after="0" w:line="18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Company has outstanding stock options that will continue to vest through 2019. The Company used the Black-Scholes Merton Option (“BSM”) pricing model to determine the fair value of stock options granted on the date of grant. This valuation model for stock-based compensation expense requires the Company to make assumptions and judgments about the variables used in the BSM model, including the fair value of its common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 expected term, expected volatility, risk-free interest rate, and dividend yield. These judgments are made as follows:</w:t>
      </w:r>
    </w:p>
    <w:p>
      <w:pPr>
        <w:spacing w:after="0" w:line="131" w:lineRule="exact"/>
        <w:rPr>
          <w:sz w:val="20"/>
          <w:szCs w:val="20"/>
          <w:color w:val="auto"/>
        </w:rPr>
      </w:pPr>
    </w:p>
    <w:p>
      <w:pPr>
        <w:ind w:left="900" w:right="40" w:hanging="325"/>
        <w:spacing w:after="0" w:line="276"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 The absence of an active market for the Company’s common stock requires it to estimate the fair value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for purposes of granting stock options, granting RSUs, and for determining stock-based compensation expense for the periods presented. The Company obtained contemporaneous third-party valuations to assist in determining the fair value of its common stock. These contemporaneous third-party valuations used the methodologies, approaches, and assumptions consistent with the American Institute of Certified Public Accountants Practice Guide, </w:t>
      </w:r>
      <w:r>
        <w:rPr>
          <w:rFonts w:ascii="Arial" w:cs="Arial" w:eastAsia="Arial" w:hAnsi="Arial"/>
          <w:sz w:val="17"/>
          <w:szCs w:val="17"/>
          <w:i w:val="1"/>
          <w:iCs w:val="1"/>
          <w:color w:val="auto"/>
        </w:rPr>
        <w:t>Valuation of Privately-Held-Company Equity Securities Issued as Compensation.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considered numerous factors in assessing the fair value of its common stock including:</w:t>
      </w:r>
    </w:p>
    <w:p>
      <w:pPr>
        <w:spacing w:after="0" w:line="131" w:lineRule="exact"/>
        <w:rPr>
          <w:sz w:val="20"/>
          <w:szCs w:val="20"/>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results of contemporaneous unrelated third-party valuations of its common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rights, preferences, and privileges of its convertible preferred stock relative to those of its common stock;</w:t>
      </w:r>
    </w:p>
    <w:p>
      <w:pPr>
        <w:spacing w:after="0" w:line="130" w:lineRule="exact"/>
        <w:rPr>
          <w:rFonts w:ascii="Arial" w:cs="Arial" w:eastAsia="Arial" w:hAnsi="Arial"/>
          <w:sz w:val="18"/>
          <w:szCs w:val="18"/>
          <w:color w:val="auto"/>
        </w:rPr>
      </w:pPr>
    </w:p>
    <w:p>
      <w:pPr>
        <w:ind w:left="1480" w:right="320" w:hanging="446"/>
        <w:spacing w:after="0" w:line="277"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Market multiples of comparable public companies in its industry as indicated by their market capitalization and guideline merger and acquisition transactions;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Company’s performance and market position relative to its competitors, who may change from time to time;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Company’s historical financial results and estimated trends and prospects for its future performance;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Valuations published by institutional investors that hold investments in the Company’s capital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economic and competitive environment;</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likelihood and timeline of achieving a liquidity event, such as an initial public offering or sale of Dropbox, given prevailing market conditions;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adjustments necessary to recognize a lack of marketability for its common stock;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Precedent sales of or offers to purchase its capital stock.</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 determines the expected term based on the average period the stock options are expected to remain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52"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rate is based on an average of the historical volatilities of the common stock of several entities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equity securities with characteristics similar to those of Dropbox.</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security in effect at the time of grant for maturities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expected term of the option.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expect to pay dividends. Consequently, the Company uses an expected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yield of zero.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did not grant stock options during 2016 or 2017. The fair values of stock options granted to employees in 2015 were calculated using the following assumptions: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660" w:type="dxa"/>
            <w:vAlign w:val="bottom"/>
            <w:gridSpan w:val="4"/>
          </w:tcPr>
          <w:p>
            <w:pPr>
              <w:ind w:left="2080"/>
              <w:spacing w:after="0"/>
              <w:rPr>
                <w:sz w:val="20"/>
                <w:szCs w:val="20"/>
                <w:color w:val="auto"/>
              </w:rPr>
            </w:pPr>
            <w:r>
              <w:rPr>
                <w:rFonts w:ascii="Arial" w:cs="Arial" w:eastAsia="Arial" w:hAnsi="Arial"/>
                <w:sz w:val="14"/>
                <w:szCs w:val="14"/>
                <w:b w:val="1"/>
                <w:bCs w:val="1"/>
                <w:color w:val="auto"/>
                <w:w w:val="91"/>
              </w:rPr>
              <w:t>Year ended December 31,</w:t>
            </w:r>
          </w:p>
        </w:tc>
      </w:tr>
      <w:tr>
        <w:trPr>
          <w:trHeight w:val="171"/>
        </w:trPr>
        <w:tc>
          <w:tcPr>
            <w:tcW w:w="4100" w:type="dxa"/>
            <w:vAlign w:val="bottom"/>
          </w:tcPr>
          <w:p>
            <w:pPr>
              <w:spacing w:after="0"/>
              <w:rPr>
                <w:sz w:val="14"/>
                <w:szCs w:val="14"/>
                <w:color w:val="auto"/>
              </w:rPr>
            </w:pPr>
          </w:p>
        </w:tc>
        <w:tc>
          <w:tcPr>
            <w:tcW w:w="3660" w:type="dxa"/>
            <w:vAlign w:val="bottom"/>
            <w:gridSpan w:val="4"/>
          </w:tcPr>
          <w:p>
            <w:pPr>
              <w:jc w:val="center"/>
              <w:ind w:left="1997"/>
              <w:spacing w:after="0"/>
              <w:rPr>
                <w:sz w:val="20"/>
                <w:szCs w:val="20"/>
                <w:color w:val="auto"/>
              </w:rPr>
            </w:pPr>
            <w:r>
              <w:rPr>
                <w:rFonts w:ascii="Arial" w:cs="Arial" w:eastAsia="Arial" w:hAnsi="Arial"/>
                <w:sz w:val="14"/>
                <w:szCs w:val="14"/>
                <w:b w:val="1"/>
                <w:bCs w:val="1"/>
                <w:color w:val="auto"/>
                <w:w w:val="96"/>
              </w:rPr>
              <w:t>2015</w:t>
            </w: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1.9%</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00" w:type="dxa"/>
            <w:vAlign w:val="bottom"/>
          </w:tcPr>
          <w:p>
            <w:pPr>
              <w:spacing w:after="0"/>
              <w:rPr>
                <w:sz w:val="18"/>
                <w:szCs w:val="18"/>
                <w:color w:val="auto"/>
              </w:rPr>
            </w:pPr>
          </w:p>
        </w:tc>
        <w:tc>
          <w:tcPr>
            <w:tcW w:w="820" w:type="dxa"/>
            <w:vAlign w:val="bottom"/>
            <w:gridSpan w:val="2"/>
          </w:tcPr>
          <w:p>
            <w:pPr>
              <w:jc w:val="center"/>
              <w:ind w:left="550"/>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6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$16.16 - $16.82</w:t>
            </w:r>
          </w:p>
        </w:tc>
      </w:tr>
    </w:tbl>
    <w:p>
      <w:pPr>
        <w:spacing w:after="0" w:line="2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On January 1, 2017, the Company adopted ASU No. 2016-09: </w:t>
      </w:r>
      <w:r>
        <w:rPr>
          <w:rFonts w:ascii="Arial" w:cs="Arial" w:eastAsia="Arial" w:hAnsi="Arial"/>
          <w:sz w:val="16"/>
          <w:szCs w:val="16"/>
          <w:i w:val="1"/>
          <w:iCs w:val="1"/>
          <w:color w:val="auto"/>
        </w:rPr>
        <w:t>Improvement to Employee Share-based Payment Accounting (Topic 718)</w:t>
      </w:r>
      <w:r>
        <w:rPr>
          <w:rFonts w:ascii="Arial" w:cs="Arial" w:eastAsia="Arial" w:hAnsi="Arial"/>
          <w:sz w:val="16"/>
          <w:szCs w:val="16"/>
          <w:color w:val="auto"/>
        </w:rPr>
        <w:t xml:space="preserve"> issued by the Financial Accounting Standards Board, which among other items, provides an accounting policy election to account for forfeitures as they occur, rather than to account for them based on an estimate of expected forfeitures. The Company elected to account for forfeitures as they occur and therefore, stock-based compensation expense for the nine months ended September 30, 2017, has been calculated based on actual forfeitures in the Company’s consolidated statements of income, rather than the Company’s previous approach which was net of estimated forfeitures. The net cumulative effect of this change as of January 1, 2017, was not material. Stock-based compensation expense for the years ended December 31, 2015 and 2016, were recorded net of estimated forfeitures, which were based on historical forfeitures and adjusted to reflect changes in facts and circumstances, if any.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paying users and Basic users. These costs, which are referred to as infrastructure costs, include depreciation of infrastructure in co-location facilities that the Company leases, payments to third-party datacenter service providers, rent and facilities expense for those datacenters, network and bandwidth costs, and support and maintenance costs for infrastructure equipment. Cost of revenue also includes employee-related costs that include salaries, bonuses, benefits, travel related expenses, and stock-based compensation for employees whose primary responsibilities relate to supporting the Company’s infrastructure and delivering user support. Other non-employee costs included in cost of revenue include credit card fees related to processing user transactions, allocated overhead such as facilities (including rent, utilities, and depreciation of equipment shared by all departments) and shared information technology costs, amortization of developed technologies, professional fees related to user support initiatives, and property taxes related to datacenters.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and promotional expense</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Advertising and promotional expenses are included in sales and marketing expenses within the consolidated statements of operations and are expensed when incurred. Advertising and promotional expenses were $59.5 million and $46.6 million in the years ended December 31, 2015 and 2016, respectively. Advertising and promotional expenses were $32.4 million and $43.4 million in the nine months ended September 30, 2016 and 2017, respectively.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Cash consists primarily of cash on deposit with banks. Cash equivalents include highly liquid investments purchased with an original maturity date of 90 days or less from the date of purchase and primarily consist of money market funds. Cash equivalents also include amounts in transit from payment processors for credit and debit card transactions, which typically settle within five days. Cash and cash equivalents are recorded at cost, which approximates fair value.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Trade and other receivables, net</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Trade and other receivables, net consists primarily of trade receivables that are recorded at the invoice amount, net of an allowance for doubtful accounts.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Trade and other receivables, net consisted of the following as of December 31, 2015 and 2016, and September 30, 2017:</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12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4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ind w:right="14"/>
              <w:spacing w:after="0" w:line="142" w:lineRule="exact"/>
              <w:rPr>
                <w:sz w:val="20"/>
                <w:szCs w:val="20"/>
                <w:color w:val="auto"/>
              </w:rPr>
            </w:pPr>
            <w:r>
              <w:rPr>
                <w:rFonts w:ascii="Arial" w:cs="Arial" w:eastAsia="Arial" w:hAnsi="Arial"/>
                <w:sz w:val="14"/>
                <w:szCs w:val="14"/>
                <w:i w:val="1"/>
                <w:iCs w:val="1"/>
                <w:color w:val="auto"/>
              </w:rPr>
              <w:t>(Unaudited)</w:t>
            </w: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$15.0</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receivables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Trade and other receivables, net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13.2</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accounts receivable. The Company places its cash and cash equivalents with well-established financial institutions. Cash equivalents consist primarily of highly rated money market funds.</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Trade accounts receivables are typically unsecured and are derived from revenue earned from customers located around the world. Two customers accounted for 16% and 23% of total trade and other receivables, net as of December 31, 2015. Two customers accounted for 11% and 12% of total trade and other receivables, net as of December 31, 2016. Two customers accounted for 20% and 22% of total trade and other receivables, net as of September 30, 2017. No customer accounted for more than 1% of the Company’s revenue in the periods presented.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records non-trade receivables to reflect amounts due for activities outside of its subscription agreements. Historically,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non-trade receivables have related primarily to receivables resulting from tenant improvement allowances. Non-trade receivables totaled $28.6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million, and $4.6 million, respectively, as of December 31, 2015 and 2016, and September 30, 2017, and are classified within prepaid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in the accompanying consolidated balance sheets.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440" w:firstLine="456"/>
        <w:spacing w:after="0" w:line="297" w:lineRule="auto"/>
        <w:rPr>
          <w:sz w:val="20"/>
          <w:szCs w:val="20"/>
          <w:color w:val="auto"/>
        </w:rPr>
      </w:pPr>
      <w:r>
        <w:rPr>
          <w:rFonts w:ascii="Arial" w:cs="Arial" w:eastAsia="Arial" w:hAnsi="Arial"/>
          <w:sz w:val="16"/>
          <w:szCs w:val="16"/>
          <w:color w:val="auto"/>
        </w:rPr>
        <w:t>Deferred commissions, net is stated at gross deferred commissions less accumulated amortization. Sales commissions earned by the Company’s salesforce and third-party resellers, as well as related payroll taxes, are considered to be incremental and recoverable costs of obtaining a contract with a customer. As a result, these amounts have been capitalized as deferred commissions within prepaid and other current assets and other assets on the consolidated balance sheet. The Company deferred incremental costs of obtaining a contract of $6.5 million and $17.2 million during the years ended December 31, 2015 and 2016, respectively, and $16.0 million during the nine months ended September 30,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Deferred commissions, net included in prepaid and other current assets were $1.2 million, $3.7 million and $6.7 million as of December 31, 2015 and 2016, and September 30, 2017, respectively. Deferred commissions, net included in other assets were $5.3 million, $16.4 million, and $23.9 million as of December 31, 2015 and 2016, and September 30, 2017,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commissions are amortized over a period of benefit of five years. The period of benefit was estimated by considering factors such as historical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customer attrition rates, the useful life of the Company’s technology, and the impact of competition in its industry. Amortized costs were $0.6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 million for the years ended December 31, 2015 and 2016, respectively, and $2.6 million and $5.5 million for the nine months ended September 30,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2017, respectively. Amortized costs are included in sales and marketing expense in the accompanying consolidated statements of operations. There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in relation to the deferred costs for any period presented.</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initial term of the related lease.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Property and equipment</w:t>
            </w:r>
          </w:p>
        </w:tc>
        <w:tc>
          <w:tcPr>
            <w:tcW w:w="5560" w:type="dxa"/>
            <w:vAlign w:val="bottom"/>
            <w:gridSpan w:val="3"/>
          </w:tcPr>
          <w:p>
            <w:pPr>
              <w:jc w:val="center"/>
              <w:ind w:left="1574"/>
              <w:spacing w:after="0"/>
              <w:rPr>
                <w:sz w:val="20"/>
                <w:szCs w:val="20"/>
                <w:color w:val="auto"/>
              </w:rPr>
            </w:pPr>
            <w:r>
              <w:rPr>
                <w:rFonts w:ascii="Arial" w:cs="Arial" w:eastAsia="Arial" w:hAnsi="Arial"/>
                <w:sz w:val="14"/>
                <w:szCs w:val="14"/>
                <w:b w:val="1"/>
                <w:bCs w:val="1"/>
                <w:color w:val="auto"/>
                <w:w w:val="92"/>
              </w:rPr>
              <w:t>Useful life</w:t>
            </w:r>
          </w:p>
        </w:tc>
      </w:tr>
      <w:tr>
        <w:trPr>
          <w:trHeight w:val="168"/>
        </w:trPr>
        <w:tc>
          <w:tcPr>
            <w:tcW w:w="15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Buildings</w:t>
            </w:r>
          </w:p>
        </w:tc>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6"/>
              </w:rPr>
              <w:t>20 years</w:t>
            </w:r>
          </w:p>
        </w:tc>
        <w:tc>
          <w:tcPr>
            <w:tcW w:w="1660" w:type="dxa"/>
            <w:vAlign w:val="bottom"/>
          </w:tcPr>
          <w:p>
            <w:pPr>
              <w:spacing w:after="0"/>
              <w:rPr>
                <w:sz w:val="14"/>
                <w:szCs w:val="14"/>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Datacenter and other computer equipment</w:t>
            </w:r>
          </w:p>
        </w:tc>
        <w:tc>
          <w:tcPr>
            <w:tcW w:w="5560" w:type="dxa"/>
            <w:vAlign w:val="bottom"/>
            <w:gridSpan w:val="3"/>
          </w:tcPr>
          <w:p>
            <w:pPr>
              <w:jc w:val="center"/>
              <w:ind w:left="1554"/>
              <w:spacing w:after="0"/>
              <w:rPr>
                <w:sz w:val="20"/>
                <w:szCs w:val="20"/>
                <w:color w:val="auto"/>
              </w:rPr>
            </w:pPr>
            <w:r>
              <w:rPr>
                <w:rFonts w:ascii="Arial" w:cs="Arial" w:eastAsia="Arial" w:hAnsi="Arial"/>
                <w:sz w:val="18"/>
                <w:szCs w:val="18"/>
                <w:color w:val="auto"/>
                <w:w w:val="89"/>
              </w:rPr>
              <w:t>3 to 5 years</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5560" w:type="dxa"/>
            <w:vAlign w:val="bottom"/>
            <w:gridSpan w:val="3"/>
          </w:tcPr>
          <w:p>
            <w:pPr>
              <w:jc w:val="center"/>
              <w:ind w:left="1554"/>
              <w:spacing w:after="0"/>
              <w:rPr>
                <w:sz w:val="20"/>
                <w:szCs w:val="20"/>
                <w:color w:val="auto"/>
              </w:rPr>
            </w:pPr>
            <w:r>
              <w:rPr>
                <w:rFonts w:ascii="Arial" w:cs="Arial" w:eastAsia="Arial" w:hAnsi="Arial"/>
                <w:sz w:val="18"/>
                <w:szCs w:val="18"/>
                <w:color w:val="auto"/>
                <w:w w:val="89"/>
              </w:rPr>
              <w:t>3 to 7 years</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Leased equipment and leasehold improvements</w:t>
            </w:r>
          </w:p>
        </w:tc>
        <w:tc>
          <w:tcPr>
            <w:tcW w:w="5560" w:type="dxa"/>
            <w:vAlign w:val="bottom"/>
            <w:gridSpan w:val="3"/>
          </w:tcPr>
          <w:p>
            <w:pPr>
              <w:jc w:val="center"/>
              <w:ind w:left="1554"/>
              <w:spacing w:after="0"/>
              <w:rPr>
                <w:sz w:val="20"/>
                <w:szCs w:val="20"/>
                <w:color w:val="auto"/>
              </w:rPr>
            </w:pPr>
            <w:r>
              <w:rPr>
                <w:rFonts w:ascii="Arial" w:cs="Arial" w:eastAsia="Arial" w:hAnsi="Arial"/>
                <w:sz w:val="18"/>
                <w:szCs w:val="18"/>
                <w:color w:val="auto"/>
                <w:w w:val="90"/>
              </w:rPr>
              <w:t>Lesser of estimated useful life or remaining lease term</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leases office space, datacenters, and equipment under non-cancelable capital and operating leases with various expiration dates through 2027. Certain of the Company’s operating lease agreements contain tenant improvement allowances from its landlords. These allowances are accounted for as lease incentive obligations, and are amortized as reductions to rent expense over the lease term. In addition, certain of the operating lease agreements contain rent concession, rent escalation, and options to renew. Rent concession and rent escalation provisions are considered in determining the straight-line rent expense to be recorded over the lease term. The lease term begins on the date of initial possession of the leased property for purposes of recognizing lease expense on a straight-line basis over the term of the lease. The Company does not assume renewals in its determination of the lease term unless the renewals are deemed to be reasonably assured at lease inception.</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leases certain equipment from various third parties, including from a related party, through equipment financing leases under capital leases. See Note 15,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a capital leases. These leases are capitalized in property and equipment and the related amortization of assets under capital leases is included in depreciation and amortization expense in the Company’s consolidated statements of operations. Initial asset values and lease obligations are based on the present value of future minimum lease payments.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 use software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capitalizes certain costs related to developed or modified software solely for its internal use and cloud based applications used to deliver its platform. The Company capitalizes costs during the application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2015 and 2016, and the nine months ended September 30, 2016 and 2017.</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evaluates the recoverability of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consolidated financial statements.</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Deferred offering costs, which consist of direct incremental legal, accounting, and consulting fees relating to the initial public offering, are capitalized. The deferred offering costs will be offset against initial public offering proceeds upon the consummation of the offering. In the event the offering is terminated, the deferred offering costs will be expensed. As of September 30, 2017, the Company had capitalized approximately $1.3 million of deferred offering costs within other assets on the consolidated balance sheet.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Significant judgment is required to evaluate uncertain tax positions.</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87"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Intra-Entity Transfers Other than Inventory (Topic 740)</w:t>
      </w:r>
      <w:r>
        <w:rPr>
          <w:rFonts w:ascii="Arial" w:cs="Arial" w:eastAsia="Arial" w:hAnsi="Arial"/>
          <w:sz w:val="18"/>
          <w:szCs w:val="18"/>
          <w:color w:val="auto"/>
        </w:rPr>
        <w:t>, which requires entities to recognize the income tax consequences of an intra-entity transfer of an asset other than inventory when the transfer occurs. ASU 2016-16 is effective for fiscal years beginning after December 15, 2018. Early adoption is permitted. The Company does not expect the adoption to have a material impact on its consolidated financial statements.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Most prominent among the changes in the standard is the recognition of right of use assets and lease liabilities by lessees for those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classified as operating leases under current GAAP. Under the standard, disclosures are required to meet the objective of enabling users of financial statements to assess the amount, timing, and uncertainty of cash flows arising from leases. The Company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The Company is in the initial stage of its assessment of the new standard and is currently evaluating the timing of adoption, the quantitative impact of adoption, and the related disclosure requirements. The Company anticipates the adoption of this standard will result in a substantial increase in its non-current assets and liabilities recorded on the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right-to-use assets and lease liabilities for its office space and datacenter operating leases. The Company expects its accounting for capital leases related to infrastructure equipment to remain substantially unchanged under the new standard.</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Subtopic 340-40, </w:t>
      </w:r>
      <w:r>
        <w:rPr>
          <w:rFonts w:ascii="Arial" w:cs="Arial" w:eastAsia="Arial" w:hAnsi="Arial"/>
          <w:sz w:val="18"/>
          <w:szCs w:val="18"/>
          <w:i w:val="1"/>
          <w:iCs w:val="1"/>
          <w:color w:val="auto"/>
        </w:rPr>
        <w:t>Other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Deferred Costs—Contracts with Customers (Subtopic 340-40)</w:t>
      </w:r>
      <w:r>
        <w:rPr>
          <w:rFonts w:ascii="Arial" w:cs="Arial" w:eastAsia="Arial" w:hAnsi="Arial"/>
          <w:sz w:val="18"/>
          <w:szCs w:val="18"/>
          <w:color w:val="auto"/>
        </w:rPr>
        <w:t>. Topic 606 supersedes the revenue recognition requirements in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Codification Topic 605, </w:t>
      </w:r>
      <w:r>
        <w:rPr>
          <w:rFonts w:ascii="Arial" w:cs="Arial" w:eastAsia="Arial" w:hAnsi="Arial"/>
          <w:sz w:val="18"/>
          <w:szCs w:val="18"/>
          <w:i w:val="1"/>
          <w:iCs w:val="1"/>
          <w:color w:val="auto"/>
        </w:rPr>
        <w:t>Revenue Recognition (Topic 605)</w:t>
      </w:r>
      <w:r>
        <w:rPr>
          <w:rFonts w:ascii="Arial" w:cs="Arial" w:eastAsia="Arial" w:hAnsi="Arial"/>
          <w:sz w:val="18"/>
          <w:szCs w:val="18"/>
          <w:color w:val="auto"/>
        </w:rPr>
        <w:t>, and requires the recognition of revenue when promised goods or services are transferred to customers in an amount that reflects the considerations to which the entity expects to be entitled to in exchange for those goods or services. Subtopic 340-40 requires the deferral of incremental costs of obtaining a contract with a customer. Collectively, reference to Topic 606 used herein refers to both Topic 606 and Subtopic 340-40.</w:t>
      </w:r>
    </w:p>
    <w:p>
      <w:pPr>
        <w:spacing w:after="0" w:line="193"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Company adopted the requirements of Topic 606 as of January 1, 2017, utilizing the full retrospective method of transition. The adoption of Topic 606 resulted in changes to accounting policies for revenue recognition, trade and other receivables, and deferred commissions.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 Under Topic 606, the Company defers all incremental costs to obtain the contract, which primarily include sales commissions and related payroll taxes. The Company amortizes these costs over a period of benefit of five years.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Goodwill and Other, Simplifying the Test for Goodwill Impairment (Topic 350)</w:t>
      </w:r>
      <w:r>
        <w:rPr>
          <w:rFonts w:ascii="Arial" w:cs="Arial" w:eastAsia="Arial" w:hAnsi="Arial"/>
          <w:sz w:val="16"/>
          <w:szCs w:val="16"/>
          <w:color w:val="auto"/>
        </w:rPr>
        <w:t>, which amends the guidance in ASC Topic 350 to eliminate Step 2 from the goodwill impairment test. The updated guidance requires an entity to perform its annual or interim goodwill impairment test by comparing the fair value of a reporting unit with its carrying amount and recognize an impairment charge for the amount by which the carrying amount exceeds the reporting unit’s fair value not to exceed the total amount of goodwill allocated to that reporting unit. ASU No.</w:t>
      </w:r>
    </w:p>
    <w:p>
      <w:pPr>
        <w:spacing w:after="0" w:line="2"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2017-04 is effective for fiscal years beginning after December 15, 2021, and is applied prospectively when adopted. Early adoption is permitted. The Company elected to adopt ASU No. 2017-04 as of January 1, 2017. The adoption of the guidance did not have an impact on the consolidated financial statements.</w:t>
      </w:r>
    </w:p>
    <w:p>
      <w:pPr>
        <w:spacing w:after="0" w:line="19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Clarifying the Definition of a Business (Topic 805)</w:t>
      </w:r>
      <w:r>
        <w:rPr>
          <w:rFonts w:ascii="Arial" w:cs="Arial" w:eastAsia="Arial" w:hAnsi="Arial"/>
          <w:sz w:val="18"/>
          <w:szCs w:val="18"/>
          <w:color w:val="auto"/>
        </w:rPr>
        <w:t>, which clarifies the definition of a business with the objective of adding guidance to assist entities with evaluating whether transactions should be accounted for as acquisitions or disposals of assets or businesses. ASU No. 2017-01 is effective for fiscal years beginning after December 15, 2017, and interim periods within those years, and is applied prospectively when adopted. Early adoption is permitted. The Company elected to adopt ASU No. 2017-01 as of January 1, 2017. The adoption of the guidance did not have an impact on the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elected to adopt ASU No. 2016-09 effective as of January 1, 2017.</w:t>
      </w:r>
    </w:p>
    <w:p>
      <w:pPr>
        <w:spacing w:after="0" w:line="17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xml:space="preserve">, which amends the guidance in ASC Topic 230,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and requires that entities show the changes in total of cash, cash equivalents, restricted cash, and restricted cash equivalents in their statement of cash flows. As a result, entities will no longer present transfers between cash and cash equivalents and restricted cash and restricted cash equivalents in the statement of cash flows. ASU No. 2016-18 is effective for fiscal years beginning after December 15, 2017, and interim periods within those years, and is applied retrospectively when adopted. Early adoption is permitted. The Company elected to early adopt ASU No. 2016-18 effective January 1, 2016. The adoption of the guidance did not have a material impact on the consolidated financial statements.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April 2015, the FASB issued ASU No. 2015-05, </w:t>
      </w:r>
      <w:r>
        <w:rPr>
          <w:rFonts w:ascii="Arial" w:cs="Arial" w:eastAsia="Arial" w:hAnsi="Arial"/>
          <w:sz w:val="18"/>
          <w:szCs w:val="18"/>
          <w:i w:val="1"/>
          <w:iCs w:val="1"/>
          <w:color w:val="auto"/>
        </w:rPr>
        <w:t>Intangibles—Goodwill and Other—Internal-Use Software: Customer’s Accounting for Fees Paid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 Cloud Computing Arrangement (Subtopic 350-40), </w:t>
      </w:r>
      <w:r>
        <w:rPr>
          <w:rFonts w:ascii="Arial" w:cs="Arial" w:eastAsia="Arial" w:hAnsi="Arial"/>
          <w:sz w:val="18"/>
          <w:szCs w:val="18"/>
          <w:color w:val="auto"/>
        </w:rPr>
        <w:t>which provides guidance to customers about whether a cloud computing arrangement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adopted ASU No. 2015-05 in 2016. The adoption of the guidance did not have a material impact on the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Money market mutual funds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316.1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259.0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356.9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352.7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Included in cash and cash equivalents are cash in transit from payment processors for credit and debit card transactions of $4.5 million, $8.4 million, and $13.4 million as of December 31, 2015 and 2016, and September 30,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Company’s cash equivalents primarily consist of money market funds. The total cash equivalents held by the Company in money market funds as of December 31, 2015 and 2016, and September 30, 2017, were $316.1 million, $259.0 million, and $366.7 million, respectively. The Company’s cash equivalents are classified within Level 1 of the fair value hierarchy. See Note 1, “Description of the Business and Summary of Significant Accounting Policies” for additional details.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vMerge w:val="restart"/>
          </w:tcPr>
          <w:p>
            <w:pPr>
              <w:jc w:val="right"/>
              <w:ind w:right="104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vMerge w:val="continue"/>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Datacenter and other computer equipment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539.9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608.4</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114.1</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657.5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7"/>
              </w:rPr>
              <w:t>(219.9)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(336.6)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is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an imputed financing obligation for its obligation to the legal owners. The net book value of the asset was $29.5 million, $27.7 million, and $26.3 million as of December 31, 2015 and 2016, and September 30, 2017, respectively. The accumulated depreciation of the building totaled $7.1 million, $8.9 million, and $10.3 million as of December 31, 2015 and 2016, and September 30, 2017, respectively. See Note 10, “Commitments and Contingencies,” for additional details.</w:t>
      </w:r>
    </w:p>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leases certain infrastructure from various third parties, including from a related party, through equipment financing leases under capital leases. See Note 15, “Related Party Transactions” for additional details. Infrastructure assets as of December 31, 2015 and 2016, and September 30, 2017, respectively, included a total of $443.3 million, $474.2 million, and $449.6 million acquired under capital lease agreements. These leases are capitalized in property and equipment, and the related amortization of assets under capital leases is included in depreciation and amortization expense. The accumulated depreciation of the infrastructure under capital leases totaled $155.2 million, $224.9 million, and $282.0 million as of December 31, 2015 and 2016, and September 30, 2017, respectively.</w:t>
      </w:r>
    </w:p>
    <w:p>
      <w:pPr>
        <w:spacing w:after="0" w:line="19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network equipment infrastructure to support the Company’s datacenters located within the United States.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$127.3 million, $173.8 million, $129.8 million, and $130.1 million for the years ended December 31, 2015 and 2016, and the nine months ended September 30, 2016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did not complete any business combinations during the year ended December 31, 2016, or the nine months ended September 30, 2017. During the year ended December 31, 2015, the Company completed the business combination described below. The results of operations for this business combination are included in the accompanying consolidated statements of operations since its acquisition date. The impact of its results to the periods presented is not significant. Pro forma results of operations have not been presented because the effects of the acquisition were not material to the consolidated financial statements.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 January 2015, the Company acquired all of the outstanding shares of CloudOn, Inc (“CloudOn”) for total consideration of $31.4 million, which was comprised solely of shares of Dropbox common stock. CloudOn was an Israel-based developer of mobile software that allowed users to edit, create, organize, and share Microsoft Office documents on any platform.</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CloudOn business combination completed during the year ended December 31,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tangible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ind w:left="18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Intangible Assets, Net</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8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060" w:type="dxa"/>
            <w:vAlign w:val="bottom"/>
            <w:gridSpan w:val="2"/>
          </w:tcPr>
          <w:p>
            <w:pPr>
              <w:ind w:left="440"/>
              <w:spacing w:after="0"/>
              <w:rPr>
                <w:sz w:val="20"/>
                <w:szCs w:val="20"/>
                <w:color w:val="auto"/>
              </w:rPr>
            </w:pPr>
            <w:r>
              <w:rPr>
                <w:rFonts w:ascii="Arial" w:cs="Arial" w:eastAsia="Arial" w:hAnsi="Arial"/>
                <w:sz w:val="18"/>
                <w:szCs w:val="18"/>
                <w:color w:val="auto"/>
              </w:rPr>
              <w:t>Intangibles assets consisted of the following:</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w w:val="97"/>
              </w:rPr>
              <w:t>As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20" w:type="dxa"/>
            <w:vAlign w:val="bottom"/>
            <w:gridSpan w:val="2"/>
          </w:tcPr>
          <w:p>
            <w:pPr>
              <w:jc w:val="right"/>
              <w:ind w:right="60"/>
              <w:spacing w:after="0" w:line="145"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800" w:type="dxa"/>
            <w:vAlign w:val="bottom"/>
            <w:gridSpan w:val="5"/>
          </w:tcPr>
          <w:p>
            <w:pPr>
              <w:jc w:val="right"/>
              <w:ind w:right="600"/>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8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3"/>
                <w:szCs w:val="13"/>
                <w:color w:val="auto"/>
              </w:rPr>
            </w:pP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(In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i w:val="1"/>
                <w:iCs w:val="1"/>
                <w:color w:val="auto"/>
              </w:rPr>
              <w:t>(Unaudited)</w:t>
            </w: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$ 50.9</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$ 50.6</w:t>
            </w:r>
          </w:p>
        </w:tc>
        <w:tc>
          <w:tcPr>
            <w:tcW w:w="6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13.0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Assembled workforce in asset acquisitions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Non-compete agreements, trademarks and other</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intangibles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98.9</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(81.4)</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$ 24.2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17.5</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Amortization expense was $22.2 million, $17.3 million, $13.6 million, and $8.4 million for the years ended December 31, 2015 and 2016, and the nine months ended September 30, 2016 and 2017, respectively.</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w w:val="93"/>
              </w:rPr>
              <w:t>Expected future amortization expense for intangible assets as of September 30, 2017 (unaudited) is as follows: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2017 (remaining)</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Goodwill amounts are not amortized, but tested for impairment on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annual basis. There was no impairment of goodwill as of December 31, 2015 and 2016, and September 30, 2017. Goodwill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CloudOn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1820"/>
              <w:spacing w:after="0"/>
              <w:rPr>
                <w:sz w:val="20"/>
                <w:szCs w:val="20"/>
                <w:color w:val="auto"/>
              </w:rPr>
            </w:pPr>
            <w:r>
              <w:rPr>
                <w:rFonts w:ascii="Arial" w:cs="Arial" w:eastAsia="Arial" w:hAnsi="Arial"/>
                <w:sz w:val="18"/>
                <w:szCs w:val="18"/>
                <w:color w:val="auto"/>
              </w:rPr>
              <w:t>Balance at December 31, 2015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1820"/>
              <w:spacing w:after="0"/>
              <w:rPr>
                <w:sz w:val="20"/>
                <w:szCs w:val="20"/>
                <w:color w:val="auto"/>
              </w:rPr>
            </w:pPr>
            <w:r>
              <w:rPr>
                <w:rFonts w:ascii="Arial" w:cs="Arial" w:eastAsia="Arial" w:hAnsi="Arial"/>
                <w:sz w:val="18"/>
                <w:szCs w:val="18"/>
                <w:color w:val="auto"/>
              </w:rPr>
              <w:t>Balance at December 31, 2016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Effect of foreign currency translation </w:t>
            </w:r>
            <w:r>
              <w:rPr>
                <w:rFonts w:ascii="Arial" w:cs="Arial" w:eastAsia="Arial" w:hAnsi="Arial"/>
                <w:sz w:val="18"/>
                <w:szCs w:val="18"/>
                <w:i w:val="1"/>
                <w:iCs w:val="1"/>
                <w:color w:val="auto"/>
              </w:rPr>
              <w:t>(unaudited)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1820"/>
              <w:spacing w:after="0"/>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18"/>
                <w:szCs w:val="18"/>
                <w:i w:val="1"/>
                <w:iCs w:val="1"/>
                <w:color w:val="auto"/>
              </w:rPr>
              <w:t>(unaudited)</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Accrued and Other Current Liabilities</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40" w:type="dxa"/>
            <w:vAlign w:val="bottom"/>
            <w:gridSpan w:val="2"/>
          </w:tcPr>
          <w:p>
            <w:pPr>
              <w:ind w:left="440"/>
              <w:spacing w:after="0"/>
              <w:rPr>
                <w:sz w:val="20"/>
                <w:szCs w:val="20"/>
                <w:color w:val="auto"/>
              </w:rPr>
            </w:pPr>
            <w:r>
              <w:rPr>
                <w:rFonts w:ascii="Arial" w:cs="Arial" w:eastAsia="Arial" w:hAnsi="Arial"/>
                <w:sz w:val="18"/>
                <w:szCs w:val="18"/>
                <w:color w:val="auto"/>
              </w:rPr>
              <w:t>Accrued and other current liabilities consisted of the following:</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3"/>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Non-income taxes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Accrued legal and other external fees</w:t>
            </w: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Financing obligations, current</w:t>
            </w: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infrastructure costs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Accrued property and equipment purchases</w:t>
            </w: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 accrued and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7"/>
              </w:rPr>
              <w:t>118.2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Agreement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April 3, 2017, the Company entered into an amended and restated credit and guaranty agreement which currently provides for a $600.0 million revolving loan facility (the “revolving credit facility”). The revolving credit facility has an accordion option, which, if exercised, would allow the Company to increase the aggregate commitments up to $150.0 million, subject to obtaining additional lender commitments and satisfying certain conditions. The revolving credit facility replaced its existing $500.0 million revolving credit facility that was set to expire on March 20, 2018 (the “2014 revolving credit facility”). In conjunction with the revolving credit facility, the Company paid upfront issuance fees of $2.6 million, which are being amortized over the five-year term of the agreement.</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to be drawn under such letters of credit outstanding. There is an additional fronting fee of 0.125% per annum multiplied by the average aggregate daily maximum amount available to be drawn under all letters of credit. Borrowings under the revolving credit facility bear interest, at the Company’s option, at an annual rate based on LIBOR plus a spread of 1.50% or at an alternative base rate plus a spread of 0.50%.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2014 revolving credit facility as of December 31, 2015 and 2016, and the revolving credit facility as of September 30, 2017.</w:t>
      </w:r>
    </w:p>
    <w:p>
      <w:pPr>
        <w:spacing w:after="0" w:line="15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December 31, 2015 and 2016, the Company had an aggregate of $50.7 million and $48.7 million of letters of credit outstanding under the 2014 revolving credit facility, respectively. As of September 30, 2017, the Company had an aggregate of $47.8 million of letters of credit outstanding under the revolving credit facility. The Company’s total available borrowing capacity under the 2014 revolving credit facility was $449.3 million and $451.3 million as of December 31, 2015 and 2016. The Company’s total available borrowing capacity under the revolving credit facility was $552.2 million as of September 30, 2017. The Company’s letters of credit expire between January of 2020 and April of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has entered into various non-cancelable operating lease agreements for certain offices and datacenters with contractual lease periods expiring at various dates through 2027.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8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Gross rent expense was $49.7 million, $67.9 million, $51.4 million, and $51.4 million for the years ended December 31, 2015 and 2016, and the nine months ended September 30, 2016 and 2017, respectively. Sublease income, which is recorded as a reduction of rental expense, was $0.1 million,</w:t>
      </w:r>
    </w:p>
    <w:p>
      <w:pPr>
        <w:ind w:right="260"/>
        <w:spacing w:after="0" w:line="255" w:lineRule="auto"/>
        <w:rPr>
          <w:sz w:val="20"/>
          <w:szCs w:val="20"/>
          <w:color w:val="auto"/>
        </w:rPr>
      </w:pPr>
      <w:r>
        <w:rPr>
          <w:rFonts w:ascii="Arial" w:cs="Arial" w:eastAsia="Arial" w:hAnsi="Arial"/>
          <w:sz w:val="18"/>
          <w:szCs w:val="18"/>
          <w:color w:val="auto"/>
        </w:rPr>
        <w:t>$4.5 million, $2.6 million, and $7.2 million for the years ended December 31, 2015 and 2016, and the nine months ended September 30, 2016 and 2017, respectively. Sublease income in excess of the Company’s original lease obligation is split with the original lessor per the terms of the sublease agreement, with the Company’s portion recorded to other income (expense), net.</w:t>
      </w:r>
    </w:p>
    <w:p>
      <w:pPr>
        <w:spacing w:after="0" w:line="1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lease payments for its previous corporate headquarters, asset retirement obligations for office modifications, and a note payable related to financing of infrastructure. As described in Note 4, “Property and Equipment”, the Company is considered the deemed owner of a floor in its previous corporate headquarters, for accounting purposes, as part of a build-to-suit lease agreement. In June 2011, the Company initially recorded a building asset and an imputed financing obligation for its obligation to the legal owner in the amount of $36.6 million. In connection with this lease, the Company is obligated to pay $13.3 million in lease payments over the next three years as of December 31, 2016. The imputed financing obligation on the Company’s consolidated balance sheets totaled $30.6 million, $29.5 million, and $28.0 million at December 31, 2015 and 2016, and September 30, 2017, respectively. The current portion of the imputed financing obligation totaled $1.1 million, $2.4 million, and $2.5 million as of December 31, 2015 and 2016, and September 30, 2017, respectively, and is classified within accrued and other current liabilities. The non-current portion of the imputed financing obligation totaled $29.5 million, $27.1 million, and $25.5 million as of December 31, 2015 and 2016, and September 30, 2017, respectively, and is classified within other non-current liabilities.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2016, the Company entered into a sale-leaseback agreement with a vendor for infrastructure. As a result of the transaction, it received $8.8 million in proceeds. Payments including interest towards the leaseback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arrangement totaled $1.3 million, $0.6 million, and $1.9 million for the year ended December 31, 2016, and the nine months ended September 30, 2016 and 2017, respectively. The total remaining obligation including interest was $8.8 million and $6.9 million as of December 31, 2016, and September 30, 2017, respectively. The obligation is included in capital lease commitments in the table below.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2015, the Company entered into a note payable arrangement with a vendor to finance infrastructure totaling $11.9 million. The note payable 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classified within accrued and other current liabilities and other non-current liabilities. The term of the arrangement is thirty-six months and will end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2018. Payments towards the note payable totaled $0.7 million, $4.3 million, $3.2 million, and $3.2 million for the years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and 2016, and the nine months ended September 30, 2016 and 2017, respectively. The total remaining obligation was $11.3 million, $7.5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million as of December 31, 2015 and 2016, and September 30, 2017, respectively. The note payable is included in other commitments in the table below.</w:t>
      </w:r>
    </w:p>
    <w:p>
      <w:pPr>
        <w:spacing w:after="0" w:line="23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Future minimum payments under the Company’s non-cancelable leases, financing obligations, and other commitments as of December 31, 2016, are as follows, and exclude sub-lease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Operating</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2"/>
                <w:szCs w:val="12"/>
                <w:color w:val="auto"/>
              </w:rPr>
            </w:pPr>
          </w:p>
        </w:tc>
        <w:tc>
          <w:tcPr>
            <w:tcW w:w="12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lease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136.9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74.7</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75.4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5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59.9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Future minimum payments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Less interest and taxes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40" w:type="dxa"/>
            <w:vAlign w:val="bottom"/>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129.6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380" w:hanging="452"/>
        <w:spacing w:after="0" w:line="342" w:lineRule="auto"/>
        <w:tabs>
          <w:tab w:leader="none" w:pos="460" w:val="left"/>
        </w:tabs>
        <w:numPr>
          <w:ilvl w:val="0"/>
          <w:numId w:val="108"/>
        </w:numPr>
        <w:rPr>
          <w:rFonts w:ascii="Arial" w:cs="Arial" w:eastAsia="Arial" w:hAnsi="Arial"/>
          <w:sz w:val="14"/>
          <w:szCs w:val="14"/>
          <w:color w:val="auto"/>
        </w:rPr>
      </w:pPr>
      <w:r>
        <w:rPr>
          <w:rFonts w:ascii="Arial" w:cs="Arial" w:eastAsia="Arial" w:hAnsi="Arial"/>
          <w:sz w:val="16"/>
          <w:szCs w:val="16"/>
          <w:color w:val="auto"/>
        </w:rPr>
        <w:t>Consists of future non-cancelable minimum rental payments under operating leases for the Company’s offices and datacenters, excluding sub-lease income and variable operating expenses. Non-cancelable sublease income as of December 31, 2016, is expected to be $15.6 million through 2023.</w:t>
      </w:r>
    </w:p>
    <w:p>
      <w:pPr>
        <w:spacing w:after="0" w:line="23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determine the maximum potential amount under these indemnification obligations due to the limited history of prior indemnification claims.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amended and restated certificate of incorporation authorizes the issuance of Class A common stock and Class B common stock. The Company is authorized to issue 800,000,000 shares of Class A common stock and 700,000,000 shares of Class B common stock. Holders of Class A common stock and Class B common stock are entitled to dividends on a pro rata basis, when, as, and if declared by the Company’s Board of Directors, subject to the rights of the holders of the Company’s preferred stock. Holders of Class A common stock are entitled to one vote per share, and holders of Class B common stock are entitled to 10 votes per share. Upon a liquidation event, as defined in the amended and restated certificate of incorporation, after payments are made to holders of the Company’s preferred stock, any distribution of proceeds to common stockholders will be made on a pro rata basis to the holders of Class A common stock and Class B common stock. Following the completion of an initial public offering of the Company, shares of Class B common stock will automatically convert into shares of Class A common stock upon a sale or transfer (other than with respect to certain estate planning transfers).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is authorized to issue 226,818,439 shares of preferred stock. The following table summarizes the convertible preferred stock outstanding and liquidation preferences as of December 31, 2016, and September 30, 2017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vMerge w:val="restart"/>
          </w:tcPr>
          <w:p>
            <w:pPr>
              <w:jc w:val="right"/>
              <w:ind w:right="728"/>
              <w:spacing w:after="0"/>
              <w:rPr>
                <w:sz w:val="20"/>
                <w:szCs w:val="20"/>
                <w:color w:val="auto"/>
              </w:rPr>
            </w:pPr>
            <w:r>
              <w:rPr>
                <w:rFonts w:ascii="Arial" w:cs="Arial" w:eastAsia="Arial" w:hAnsi="Arial"/>
                <w:sz w:val="14"/>
                <w:szCs w:val="14"/>
                <w:b w:val="1"/>
                <w:bCs w:val="1"/>
                <w:color w:val="auto"/>
                <w:w w:val="94"/>
              </w:rPr>
              <w:t>Shares</w:t>
            </w:r>
          </w:p>
        </w:tc>
        <w:tc>
          <w:tcPr>
            <w:tcW w:w="260" w:type="dxa"/>
            <w:vAlign w:val="bottom"/>
            <w:vMerge w:val="restart"/>
          </w:tcPr>
          <w:p>
            <w:pPr>
              <w:spacing w:after="0"/>
              <w:rPr>
                <w:sz w:val="14"/>
                <w:szCs w:val="14"/>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 share</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Aggregate</w:t>
            </w:r>
          </w:p>
        </w:tc>
        <w:tc>
          <w:tcPr>
            <w:tcW w:w="1180" w:type="dxa"/>
            <w:vAlign w:val="bottom"/>
            <w:gridSpan w:val="3"/>
          </w:tcPr>
          <w:p>
            <w:pPr>
              <w:ind w:left="56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77"/>
        </w:trPr>
        <w:tc>
          <w:tcPr>
            <w:tcW w:w="588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gridSpan w:val="2"/>
            <w:vMerge w:val="restart"/>
          </w:tcPr>
          <w:p>
            <w:pPr>
              <w:jc w:val="right"/>
              <w:ind w:right="510"/>
              <w:spacing w:after="0" w:line="149" w:lineRule="exact"/>
              <w:rPr>
                <w:sz w:val="20"/>
                <w:szCs w:val="20"/>
                <w:color w:val="auto"/>
              </w:rPr>
            </w:pPr>
            <w:r>
              <w:rPr>
                <w:rFonts w:ascii="Arial" w:cs="Arial" w:eastAsia="Arial" w:hAnsi="Arial"/>
                <w:sz w:val="14"/>
                <w:szCs w:val="14"/>
                <w:b w:val="1"/>
                <w:bCs w:val="1"/>
                <w:color w:val="auto"/>
              </w:rPr>
              <w:t>price at</w:t>
            </w:r>
          </w:p>
        </w:tc>
        <w:tc>
          <w:tcPr>
            <w:tcW w:w="6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118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52"/>
        </w:trPr>
        <w:tc>
          <w:tcPr>
            <w:tcW w:w="5880" w:type="dxa"/>
            <w:vAlign w:val="bottom"/>
          </w:tcPr>
          <w:p>
            <w:pPr>
              <w:spacing w:after="0"/>
              <w:rPr>
                <w:sz w:val="4"/>
                <w:szCs w:val="4"/>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Authorized</w:t>
            </w:r>
          </w:p>
        </w:tc>
        <w:tc>
          <w:tcPr>
            <w:tcW w:w="480" w:type="dxa"/>
            <w:vAlign w:val="bottom"/>
          </w:tcPr>
          <w:p>
            <w:pPr>
              <w:spacing w:after="0"/>
              <w:rPr>
                <w:sz w:val="4"/>
                <w:szCs w:val="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40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issuance</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preference</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6"/>
          </w:tcPr>
          <w:p>
            <w:pPr>
              <w:jc w:val="right"/>
              <w:ind w:right="290"/>
              <w:spacing w:after="0" w:line="142" w:lineRule="exact"/>
              <w:rPr>
                <w:sz w:val="20"/>
                <w:szCs w:val="20"/>
                <w:color w:val="auto"/>
              </w:rPr>
            </w:pPr>
            <w:r>
              <w:rPr>
                <w:rFonts w:ascii="Arial" w:cs="Arial" w:eastAsia="Arial" w:hAnsi="Arial"/>
                <w:sz w:val="14"/>
                <w:szCs w:val="14"/>
                <w:i w:val="1"/>
                <w:iCs w:val="1"/>
                <w:color w:val="auto"/>
              </w:rPr>
              <w:t>(In millions, except for per share amounts)</w:t>
            </w: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Series A-1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77.8</w:t>
            </w:r>
          </w:p>
        </w:tc>
        <w:tc>
          <w:tcPr>
            <w:tcW w:w="420" w:type="dxa"/>
            <w:vAlign w:val="bottom"/>
          </w:tcPr>
          <w:p>
            <w:pPr>
              <w:spacing w:after="0"/>
              <w:rPr>
                <w:sz w:val="18"/>
                <w:szCs w:val="18"/>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9.05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Series C</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18.5</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w w:val="93"/>
              </w:rPr>
              <w:t>19.10</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352.6</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221.4</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terms of the convertible preferred stock are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Upon a liquidation event, as defined in the amended and restated certificate of incorporation, the holders of Series A, Series A-1, Series B, and Series C convertible preferred stock are entitled to receive, prior to and in preference to any distribution of the proceeds of such liquidation to common stockholders, an amount per share equal to $0.06, $0.02, $9.05, and $19.10, respectively, plus any declared but unpaid dividends on such shares. If the proceeds distributed among the holders of the preferred stock are insufficient to permit the Series A, Series A-1, Series B, and Series C convertible preferred stock holders to receive the full payment noted above, then the entire proceeds legally available for distribution shall be distributed ratably among the holders of the preferred stock in proportion to the full preferential amount that each such holder is otherwise entitled to receive.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Holders of the Company’s preferred stock are entitled to receive dividends, when, as and if declared by the Company’s Board of Directors, at the applicable dividend rate of $0.01, $0.01, $0.72, and $1.53 for each share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Series A, Series A-1, Series B, and Series C convertible preferred stock, respectively, prior to and in preference of any dividend paid to holders of the Company’s common stock (other than a stock dividend declared and paid on the Class A common stock that is payable in shares of Class A common stock or on the Class B common stock that is payable in shares of Class B common stock). Such dividends shall not be cumulative or mandatory. No dividends have been declared in any period presented.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holder of preferred stock shall have the right to 10 votes for each share of Class B common stock into which the shares of preferred stock held by such holder could then be converted. In addition, so long as at least 45.0 million shares of preferred stock are outstanding, the holders of the preferred stock shall be entitled to elect one director of Dropbox. The holders of the shares of outstanding Class A common stock and Class B common stock representing at least a majority in voting power of the then-issued common stock shall be entitled to elect seven directors of Dropbox.</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At the option of the holder thereof, each share of preferred stock is convertible into a number of shares of Class B common stock that results from dividing the applicable original issue price for such series by the applicable conversion price in effect on the date of conversion (the “Conversion Rate”). Each share of preferred stock will be automatically converted into shares of Class B common stock at the Conversion Rate at the time in effect for such series of preferred stock upon the earlier of (i) immediately prior to the closing of a firm commitment underwritten public offering of Dropbox’s common stock on an internationally recognized securities exchange or trading system pursuant to a registration statement under the Securities Act of 1933, as amended, with gross proceeds of not less than $35.0 million in the aggregate (a “Qualified IPO”), or (ii) the date specified by written consent or agreement of the holders of a majority of the outstanding preferred stock,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that other than pursuant to a Qualified IPO (x) so long as a majority of the shares of Series B convertible preferred stock originally issued remains outstanding, the consent of the holders of 70% of the shares of the Series B convertible preferred stock, voting together as a single class, is required to convert any shares of Series B convertible preferred stock into Class B common stock and (y) so long as a majority of the shares of Series C convertible preferred stock originally issued remains outstanding, the consent of the holders of a majority of the shares of the Series C convertible preferred stock, voting together as a single class, is required to convert any shares of Series C convertible preferred stock into Class B common stock.</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Company’s 2017 Equity Incentive Plan (the “Plan”), the Company may grant stock-based awards to purchase or directly issue shares of common stock to employees, directors, and consultants. Options are granted at a price per share equal to the fair market value of Dropbox’s common stock at the date of grant. Options granted are exercisable over a maximum term of 10 years from the date of grant and generally vest over a period of four years. No options have been granted since August of 2015. RSUs and Restricted Stock Awards (“RSAs”) are also granted under the Plan. The Plan will terminate 10 years after the later of (i) its adoption or (ii) the most recent stockholder-approved increase in the number of shares reserved under the Plan, unless terminated earlier by the Dropbox Board of Directors. This Plan was adopted on March 8, 2017, and replaced the Company’s 2008 Equity Incentive Plan (the “Prior Plan”). In August 2017, the Company increased the number of shares of common stock reserved for grant under the 2017 Plan by 10,000,000 shares. As of December 31, 2016, and September 30, 2017, there were 89.0 million and 91.9 million shares issued and outstanding under the Plan and the Prior Plan, respectively. Shares available for issuance under the plans were 18.2 million and 13.4 million as of December 31, 2016, and September 30, 2017,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 and restricted stock activity for the Plans was as follows for the years ended December 31, 2015 and 2016, and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4"/>
              </w:rPr>
              <w:t>Number of</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Options outstanding</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Restricted stock outstanding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Weighted-</w:t>
            </w: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shares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Number of</w:t>
            </w:r>
          </w:p>
        </w:tc>
        <w:tc>
          <w:tcPr>
            <w:tcW w:w="13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Weighted-</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average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available for</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shares</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Number of</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issuance</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outstanding</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9"/>
              </w:rPr>
              <w:t>contractual</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Plan</w:t>
            </w:r>
          </w:p>
        </w:tc>
        <w:tc>
          <w:tcPr>
            <w:tcW w:w="130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4"/>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under the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500" w:type="dxa"/>
            <w:vAlign w:val="bottom"/>
          </w:tcPr>
          <w:p>
            <w:pPr>
              <w:spacing w:after="0"/>
              <w:rPr>
                <w:sz w:val="12"/>
                <w:szCs w:val="12"/>
                <w:color w:val="auto"/>
              </w:rPr>
            </w:pPr>
          </w:p>
        </w:tc>
        <w:tc>
          <w:tcPr>
            <w:tcW w:w="820" w:type="dxa"/>
            <w:vAlign w:val="bottom"/>
          </w:tcPr>
          <w:p>
            <w:pPr>
              <w:jc w:val="center"/>
              <w:ind w:right="371"/>
              <w:spacing w:after="0" w:line="149" w:lineRule="exact"/>
              <w:rPr>
                <w:sz w:val="20"/>
                <w:szCs w:val="20"/>
                <w:color w:val="auto"/>
              </w:rPr>
            </w:pPr>
            <w:r>
              <w:rPr>
                <w:rFonts w:ascii="Arial" w:cs="Arial" w:eastAsia="Arial" w:hAnsi="Arial"/>
                <w:sz w:val="14"/>
                <w:szCs w:val="14"/>
                <w:color w:val="auto"/>
                <w:w w:val="92"/>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term</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color w:val="auto"/>
                <w:w w:val="85"/>
              </w:rPr>
              <w:t>Plans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Plans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7"/>
              </w:rPr>
              <w:t>per share</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(years)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outstanding</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value 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6"/>
          </w:tcPr>
          <w:p>
            <w:pPr>
              <w:ind w:left="200"/>
              <w:spacing w:after="0" w:line="142" w:lineRule="exact"/>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10.61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Additional shares authorized</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46.0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16.82</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(31.5)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and RSAs exercised</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4.51</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Options and RSUs canceled</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10.87</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Repurchased under the Plan</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11.67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9"/>
                <w:szCs w:val="19"/>
                <w:color w:val="auto"/>
              </w:rPr>
            </w:pP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and RSUs canceled</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14.69</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(24.9)</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7.12</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Additional shares authorized (unaudited)</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and RSUs released (unaudited)</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3.77</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Options and RSUs canceled (unaudited)</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11.25</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related to net share settlement (unaudited)</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Restricted stock granted (unaudited)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 (unaudited)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7.03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Vested at December 31, 2016</w:t>
            </w: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color w:val="auto"/>
              </w:rPr>
              <w:t>6.36</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6.4</w:t>
            </w:r>
          </w:p>
        </w:tc>
        <w:tc>
          <w:tcPr>
            <w:tcW w:w="940" w:type="dxa"/>
            <w:vAlign w:val="bottom"/>
            <w:gridSpan w:val="2"/>
          </w:tcPr>
          <w:p>
            <w:pPr>
              <w:spacing w:after="0" w:line="20" w:lineRule="exact"/>
              <w:rPr>
                <w:sz w:val="1"/>
                <w:szCs w:val="1"/>
                <w:color w:val="auto"/>
              </w:rPr>
            </w:pPr>
          </w:p>
        </w:tc>
        <w:tc>
          <w:tcPr>
            <w:tcW w:w="280" w:type="dxa"/>
            <w:vAlign w:val="bottom"/>
            <w:vMerge w:val="restart"/>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10.92</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Vested at September 30, 2017 (unaudited)</w:t>
            </w: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8"/>
                <w:szCs w:val="18"/>
                <w:color w:val="auto"/>
              </w:rPr>
              <w:t>6.66</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5.7</w:t>
            </w: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Unvested at September 30, 2017 (unaudited)</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13.35</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Two-tier RSUs are included in the unvested share counts in the table above as the Performance Vesting Condition was not probable.</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following table summarizes information about the pre-tax intrinsic value of options exercised and the weighted average grant date fair value per share of options granted during the years ended December 31, 2015 and 2016, and the nine months ended September 30, 2016 and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Years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5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5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i w:val="1"/>
                <w:iCs w:val="1"/>
                <w:color w:val="auto"/>
                <w:w w:val="95"/>
              </w:rPr>
              <w:t>(Unaudited)</w:t>
            </w: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options exercised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0"/>
              </w:rPr>
              <w:t>Weighted average grant date fair value per share of stock options granted</w:t>
            </w:r>
            <w:r>
              <w:rPr>
                <w:rFonts w:ascii="Arial" w:cs="Arial" w:eastAsia="Arial" w:hAnsi="Arial"/>
                <w:sz w:val="15"/>
                <w:szCs w:val="15"/>
                <w:color w:val="auto"/>
                <w:w w:val="90"/>
              </w:rPr>
              <w:t>(1)</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8.18</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350"/>
        </w:trPr>
        <w:tc>
          <w:tcPr>
            <w:tcW w:w="5500" w:type="dxa"/>
            <w:vAlign w:val="bottom"/>
          </w:tcPr>
          <w:p>
            <w:pPr>
              <w:spacing w:after="0"/>
              <w:rPr>
                <w:sz w:val="24"/>
                <w:szCs w:val="24"/>
                <w:color w:val="auto"/>
              </w:rPr>
            </w:pPr>
          </w:p>
        </w:tc>
        <w:tc>
          <w:tcPr>
            <w:tcW w:w="2600" w:type="dxa"/>
            <w:vAlign w:val="bottom"/>
            <w:gridSpan w:val="2"/>
          </w:tcPr>
          <w:p>
            <w:pPr>
              <w:jc w:val="right"/>
              <w:ind w:right="2148"/>
              <w:spacing w:after="0"/>
              <w:rPr>
                <w:sz w:val="20"/>
                <w:szCs w:val="20"/>
                <w:color w:val="auto"/>
              </w:rPr>
            </w:pPr>
            <w:r>
              <w:rPr>
                <w:rFonts w:ascii="Arial" w:cs="Arial" w:eastAsia="Arial" w:hAnsi="Arial"/>
                <w:sz w:val="18"/>
                <w:szCs w:val="18"/>
                <w:color w:val="auto"/>
                <w:w w:val="97"/>
              </w:rPr>
              <w:t>F-27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340" w:hanging="452"/>
        <w:spacing w:after="0" w:line="342" w:lineRule="auto"/>
        <w:tabs>
          <w:tab w:leader="none" w:pos="460" w:val="left"/>
        </w:tabs>
        <w:numPr>
          <w:ilvl w:val="0"/>
          <w:numId w:val="109"/>
        </w:numPr>
        <w:rPr>
          <w:rFonts w:ascii="Arial" w:cs="Arial" w:eastAsia="Arial" w:hAnsi="Arial"/>
          <w:sz w:val="14"/>
          <w:szCs w:val="14"/>
          <w:color w:val="auto"/>
        </w:rPr>
      </w:pPr>
      <w:r>
        <w:rPr>
          <w:rFonts w:ascii="Arial" w:cs="Arial" w:eastAsia="Arial" w:hAnsi="Arial"/>
          <w:sz w:val="16"/>
          <w:szCs w:val="16"/>
          <w:color w:val="auto"/>
        </w:rPr>
        <w:t>The weighted average grant date fair value per share of stock options granted is calculated, as of the stock option grant date, using the BSM option pricing model. The Company did not grant stock options during the year ended December 31, 2016, or the nine months ended September 30, 2017.</w:t>
      </w:r>
    </w:p>
    <w:p>
      <w:pPr>
        <w:spacing w:after="0" w:line="124"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As of December 31, 2016, and September 30, 2017, unamortized stock-based compensation expense related to unvested stock options, restricted stock awards and one-tier RSUs was $239.2 million and $412.9 million, respectively. The weighted-average period over which such compensation expense will be recognized is approximately 2.6 and 2.8 years, as of December 31, 2016, and September 30, 2017, respectively.</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2016, and September 30, 2017, all compensation expense related to the Company’s two-tier RSUs remained unrecognized because the Performance Vesting Condition was not satisfied. Approximately 34.2 million and 38.2 million two-tier RSUs had met their service-based vesting condition as of December 31, 2016, and September 30, 2017, but not the Performance Vesting Condition. If the Performance Vesting Condition had been satisfied on December 31, 2016, or September 30, 2017, the Company would have recorded $401.0 million and $415.4 million of stock-based compensation expense using the accelerated attribution method related to the two-tier RSUs, respectively. As of December 31, 2016, and September 30, 2017, approximately 9.6 million and 4.3 million two-tier RSUs had not met their service-based vesting condition, respectively. If the Performance Vesting Condition had been satisfied on these two-tier RSUs as of December 31, 2016, or September 30, 2017, unamortized stock-based compensation expense of $33.8 million and $9.4 million would be recognized over a weighted-average period of approximately 1.3 years and 0.9 years, respectively.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Award modifications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During the nine months ended September 30, 2017, the Company’s Board of Directors voted to approve a modification of vesting schedules for certain unvested one-tier and two-tier RSUs to align the vesting schedules for all RSUs to vest once per quarter. As a result of this modification, the Company’s unamortized stock-based compensation expense related to one-tier RSUs increased by $3.2 million, which will be recognized over a weighted-average period of 2.8 years if and when the awards vest. The total unamortized stock-based compensation expense related to two-tier RSUs decreased by $9.5 million. The unamortized amount will be recognized over a period of 0.9 years if and when the awards vest.</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2016, the Company’s Board of Directors voted to approve the exchange of stock options previously granted to an executive officer under the Plan for one-tier RSUs. In total, options to purchase 6.5 million shares of common stock were exchanged for 3.3 million RSUs. Total compensation expense for the modified awards is $37.7 million, of which $18.8 million in stock-based compensation expense was recognized on the date of exchange representing the portion that vested immediately. Out of the total $37.7 million in stock-based compensation expense, $8.9 million was incremental to what would have been recognized related to the original stock option award. The Company will recognize approximately $2.4 million in stock-based compensation expense per quarter related to these awards. As of September 30, 2017, the total unamortized expense relating to these awards was $4.7 million.</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2016, the Board of Directors voted to approve a continuation of vesting upon change in employment status clause for an executive officer who had previously provided services to the Company. Under this clause, 0.6 million RSUs previously granted to the former executive officer will continue to vest for a pre-determined period of time. The continuation of vesting was accounted for as a modification of the terms of the original award. As a result, the Company recognized an incremental $4.2 million of stock-based compensation expense. An additional $1.5 million of stock-based compensation expense may be recognized in future periods for the former executive officers’ two-tier RSUs if the initial qualifying liquidity event defined under the award agreement occurs.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calculation of basic and diluted net loss per share attributable to common stockholders during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9"/>
          </w:tcPr>
          <w:p>
            <w:pPr>
              <w:jc w:val="right"/>
              <w:ind w:right="3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13"/>
          </w:tcPr>
          <w:p>
            <w:pPr>
              <w:jc w:val="right"/>
              <w:ind w:right="488"/>
              <w:spacing w:after="0" w:line="142" w:lineRule="exact"/>
              <w:rPr>
                <w:sz w:val="20"/>
                <w:szCs w:val="20"/>
                <w:color w:val="auto"/>
              </w:rPr>
            </w:pPr>
            <w:r>
              <w:rPr>
                <w:rFonts w:ascii="Arial" w:cs="Arial" w:eastAsia="Arial" w:hAnsi="Arial"/>
                <w:sz w:val="14"/>
                <w:szCs w:val="14"/>
                <w:i w:val="1"/>
                <w:iCs w:val="1"/>
                <w:color w:val="auto"/>
                <w:w w:val="93"/>
              </w:rPr>
              <w:t>(In millions, except per share amounts)</w:t>
            </w:r>
          </w:p>
        </w:tc>
        <w:tc>
          <w:tcPr>
            <w:tcW w:w="100" w:type="dxa"/>
            <w:vAlign w:val="bottom"/>
          </w:tcPr>
          <w:p>
            <w:pPr>
              <w:spacing w:after="0"/>
              <w:rPr>
                <w:sz w:val="12"/>
                <w:szCs w:val="12"/>
                <w:color w:val="auto"/>
              </w:rPr>
            </w:pPr>
          </w:p>
        </w:tc>
      </w:tr>
      <w:tr>
        <w:trPr>
          <w:trHeight w:val="142"/>
        </w:trPr>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5"/>
          </w:tcPr>
          <w:p>
            <w:pPr>
              <w:ind w:left="20"/>
              <w:spacing w:after="0" w:line="142" w:lineRule="exact"/>
              <w:rPr>
                <w:sz w:val="20"/>
                <w:szCs w:val="20"/>
                <w:color w:val="auto"/>
              </w:rPr>
            </w:pPr>
            <w:r>
              <w:rPr>
                <w:rFonts w:ascii="Arial" w:cs="Arial" w:eastAsia="Arial" w:hAnsi="Arial"/>
                <w:sz w:val="14"/>
                <w:szCs w:val="14"/>
                <w:color w:val="auto"/>
              </w:rPr>
              <w:t>Class A</w:t>
            </w:r>
          </w:p>
        </w:tc>
        <w:tc>
          <w:tcPr>
            <w:tcW w:w="280" w:type="dxa"/>
            <w:vAlign w:val="bottom"/>
          </w:tcPr>
          <w:p>
            <w:pPr>
              <w:spacing w:after="0"/>
              <w:rPr>
                <w:sz w:val="12"/>
                <w:szCs w:val="12"/>
                <w:color w:val="auto"/>
              </w:rPr>
            </w:pPr>
          </w:p>
        </w:tc>
        <w:tc>
          <w:tcPr>
            <w:tcW w:w="840" w:type="dxa"/>
            <w:vAlign w:val="bottom"/>
            <w:gridSpan w:val="4"/>
          </w:tcPr>
          <w:p>
            <w:pPr>
              <w:jc w:val="right"/>
              <w:ind w:right="340"/>
              <w:spacing w:after="0" w:line="142" w:lineRule="exact"/>
              <w:rPr>
                <w:sz w:val="20"/>
                <w:szCs w:val="20"/>
                <w:color w:val="auto"/>
              </w:rPr>
            </w:pPr>
            <w:r>
              <w:rPr>
                <w:rFonts w:ascii="Arial" w:cs="Arial" w:eastAsia="Arial" w:hAnsi="Arial"/>
                <w:sz w:val="14"/>
                <w:szCs w:val="14"/>
                <w:color w:val="auto"/>
                <w:w w:val="99"/>
              </w:rPr>
              <w:t>Class B</w:t>
            </w:r>
          </w:p>
        </w:tc>
        <w:tc>
          <w:tcPr>
            <w:tcW w:w="160" w:type="dxa"/>
            <w:vAlign w:val="bottom"/>
          </w:tcPr>
          <w:p>
            <w:pPr>
              <w:spacing w:after="0"/>
              <w:rPr>
                <w:sz w:val="12"/>
                <w:szCs w:val="12"/>
                <w:color w:val="auto"/>
              </w:rPr>
            </w:pPr>
          </w:p>
        </w:tc>
        <w:tc>
          <w:tcPr>
            <w:tcW w:w="900" w:type="dxa"/>
            <w:vAlign w:val="bottom"/>
            <w:gridSpan w:val="4"/>
          </w:tcPr>
          <w:p>
            <w:pPr>
              <w:jc w:val="right"/>
              <w:ind w:right="440"/>
              <w:spacing w:after="0" w:line="142" w:lineRule="exact"/>
              <w:rPr>
                <w:sz w:val="20"/>
                <w:szCs w:val="20"/>
                <w:color w:val="auto"/>
              </w:rPr>
            </w:pPr>
            <w:r>
              <w:rPr>
                <w:rFonts w:ascii="Arial" w:cs="Arial" w:eastAsia="Arial" w:hAnsi="Arial"/>
                <w:sz w:val="14"/>
                <w:szCs w:val="14"/>
                <w:color w:val="auto"/>
                <w:w w:val="91"/>
              </w:rPr>
              <w:t>Class A</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2"/>
                <w:szCs w:val="12"/>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(9.7)</w:t>
            </w:r>
          </w:p>
        </w:tc>
        <w:tc>
          <w:tcPr>
            <w:tcW w:w="8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(316.2)</w:t>
            </w:r>
          </w:p>
        </w:tc>
        <w:tc>
          <w:tcPr>
            <w:tcW w:w="2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(6.1)</w:t>
            </w:r>
          </w:p>
        </w:tc>
        <w:tc>
          <w:tcPr>
            <w:tcW w:w="3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(204.1)</w:t>
            </w:r>
          </w:p>
        </w:tc>
      </w:tr>
      <w:tr>
        <w:trPr>
          <w:trHeight w:val="20"/>
        </w:trPr>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800" w:type="dxa"/>
            <w:vAlign w:val="bottom"/>
          </w:tcPr>
          <w:p>
            <w:pPr>
              <w:spacing w:after="0" w:line="201" w:lineRule="exact"/>
              <w:rPr>
                <w:sz w:val="20"/>
                <w:szCs w:val="20"/>
                <w:color w:val="auto"/>
              </w:rPr>
            </w:pPr>
            <w:r>
              <w:rPr>
                <w:rFonts w:ascii="Arial" w:cs="Arial" w:eastAsia="Arial" w:hAnsi="Arial"/>
                <w:sz w:val="18"/>
                <w:szCs w:val="18"/>
                <w:color w:val="auto"/>
                <w:w w:val="94"/>
              </w:rPr>
              <w:t>Weighted-average number of common shares outstanding used in computing basic and diluted net loss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0"/>
                <w:szCs w:val="20"/>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20"/>
                <w:szCs w:val="20"/>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275.4</w:t>
            </w:r>
          </w:p>
        </w:tc>
      </w:tr>
      <w:tr>
        <w:trPr>
          <w:trHeight w:val="20"/>
        </w:trPr>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(1.18)</w:t>
            </w: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(0.74)</w:t>
            </w:r>
          </w:p>
        </w:tc>
        <w:tc>
          <w:tcPr>
            <w:tcW w:w="3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(0.74)</w:t>
            </w:r>
          </w:p>
        </w:tc>
      </w:tr>
      <w:tr>
        <w:trPr>
          <w:trHeight w:val="20"/>
        </w:trPr>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1"/>
              </w:rPr>
              <w:t>Nine months ended September 30,</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7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13"/>
          </w:tcPr>
          <w:p>
            <w:pPr>
              <w:jc w:val="center"/>
              <w:ind w:right="428"/>
              <w:spacing w:after="0" w:line="123" w:lineRule="exact"/>
              <w:rPr>
                <w:sz w:val="20"/>
                <w:szCs w:val="20"/>
                <w:color w:val="auto"/>
              </w:rPr>
            </w:pPr>
            <w:r>
              <w:rPr>
                <w:rFonts w:ascii="Arial" w:cs="Arial" w:eastAsia="Arial" w:hAnsi="Arial"/>
                <w:sz w:val="14"/>
                <w:szCs w:val="14"/>
                <w:i w:val="1"/>
                <w:iCs w:val="1"/>
                <w:color w:val="auto"/>
                <w:w w:val="93"/>
              </w:rPr>
              <w:t>(In millions, except per share amounts)</w:t>
            </w:r>
          </w:p>
        </w:tc>
        <w:tc>
          <w:tcPr>
            <w:tcW w:w="100" w:type="dxa"/>
            <w:vAlign w:val="bottom"/>
          </w:tcPr>
          <w:p>
            <w:pPr>
              <w:spacing w:after="0"/>
              <w:rPr>
                <w:sz w:val="10"/>
                <w:szCs w:val="10"/>
                <w:color w:val="auto"/>
              </w:rPr>
            </w:pPr>
          </w:p>
        </w:tc>
      </w:tr>
      <w:tr>
        <w:trPr>
          <w:trHeight w:val="167"/>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i w:val="1"/>
                <w:iCs w:val="1"/>
                <w:color w:val="auto"/>
                <w:w w:val="95"/>
              </w:rPr>
              <w:t>(Unaudited)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Class A</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60"/>
              <w:spacing w:after="0" w:line="142" w:lineRule="exact"/>
              <w:rPr>
                <w:sz w:val="20"/>
                <w:szCs w:val="20"/>
                <w:color w:val="auto"/>
              </w:rPr>
            </w:pPr>
            <w:r>
              <w:rPr>
                <w:rFonts w:ascii="Arial" w:cs="Arial" w:eastAsia="Arial" w:hAnsi="Arial"/>
                <w:sz w:val="14"/>
                <w:szCs w:val="14"/>
                <w:color w:val="auto"/>
              </w:rPr>
              <w:t>Class B</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w w:val="91"/>
              </w:rPr>
              <w:t>Class A</w:t>
            </w: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1"/>
              </w:rPr>
              <w:t>Class B</w:t>
            </w:r>
          </w:p>
        </w:tc>
        <w:tc>
          <w:tcPr>
            <w:tcW w:w="100" w:type="dxa"/>
            <w:vAlign w:val="bottom"/>
          </w:tcPr>
          <w:p>
            <w:pPr>
              <w:spacing w:after="0"/>
              <w:rPr>
                <w:sz w:val="12"/>
                <w:szCs w:val="12"/>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12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(175.8)</w:t>
            </w:r>
          </w:p>
        </w:tc>
        <w:tc>
          <w:tcPr>
            <w:tcW w:w="1060" w:type="dxa"/>
            <w:vAlign w:val="bottom"/>
            <w:gridSpan w:val="5"/>
          </w:tcPr>
          <w:p>
            <w:pPr>
              <w:jc w:val="right"/>
              <w:ind w:right="300"/>
              <w:spacing w:after="0"/>
              <w:rPr>
                <w:sz w:val="20"/>
                <w:szCs w:val="20"/>
                <w:color w:val="auto"/>
              </w:rPr>
            </w:pPr>
            <w:r>
              <w:rPr>
                <w:rFonts w:ascii="Arial" w:cs="Arial" w:eastAsia="Arial" w:hAnsi="Arial"/>
                <w:sz w:val="18"/>
                <w:szCs w:val="18"/>
                <w:color w:val="auto"/>
              </w:rPr>
              <w:t>$ (2.3)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(71.7)</w:t>
            </w:r>
          </w:p>
        </w:tc>
      </w:tr>
      <w:tr>
        <w:trPr>
          <w:trHeight w:val="20"/>
        </w:trPr>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800" w:type="dxa"/>
            <w:vAlign w:val="bottom"/>
          </w:tcPr>
          <w:p>
            <w:pPr>
              <w:spacing w:after="0" w:line="201" w:lineRule="exact"/>
              <w:rPr>
                <w:sz w:val="20"/>
                <w:szCs w:val="20"/>
                <w:color w:val="auto"/>
              </w:rPr>
            </w:pPr>
            <w:r>
              <w:rPr>
                <w:rFonts w:ascii="Arial" w:cs="Arial" w:eastAsia="Arial" w:hAnsi="Arial"/>
                <w:sz w:val="18"/>
                <w:szCs w:val="18"/>
                <w:color w:val="auto"/>
                <w:w w:val="91"/>
              </w:rPr>
              <w:t>Weighted-average number of common shares outstanding used in computing basic and diluted net loss per</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common share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274.0</w:t>
            </w:r>
          </w:p>
        </w:tc>
        <w:tc>
          <w:tcPr>
            <w:tcW w:w="200" w:type="dxa"/>
            <w:vAlign w:val="bottom"/>
          </w:tcPr>
          <w:p>
            <w:pPr>
              <w:spacing w:after="0"/>
              <w:rPr>
                <w:sz w:val="20"/>
                <w:szCs w:val="20"/>
                <w:color w:val="auto"/>
              </w:rPr>
            </w:pP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9.1</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284.2</w:t>
            </w:r>
          </w:p>
        </w:tc>
      </w:tr>
      <w:tr>
        <w:trPr>
          <w:trHeight w:val="20"/>
        </w:trPr>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(0.64)</w:t>
            </w: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(0.64)</w:t>
            </w:r>
          </w:p>
        </w:tc>
        <w:tc>
          <w:tcPr>
            <w:tcW w:w="10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(0.25)</w:t>
            </w:r>
          </w:p>
        </w:tc>
      </w:tr>
      <w:tr>
        <w:trPr>
          <w:trHeight w:val="20"/>
        </w:trPr>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84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6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2140" w:type="dxa"/>
            <w:vAlign w:val="bottom"/>
            <w:gridSpan w:val="3"/>
          </w:tcPr>
          <w:p>
            <w:pPr>
              <w:jc w:val="right"/>
              <w:ind w:right="413"/>
              <w:spacing w:after="0" w:line="123" w:lineRule="exact"/>
              <w:rPr>
                <w:sz w:val="20"/>
                <w:szCs w:val="20"/>
                <w:color w:val="auto"/>
              </w:rPr>
            </w:pPr>
            <w:r>
              <w:rPr>
                <w:rFonts w:ascii="Arial" w:cs="Arial" w:eastAsia="Arial" w:hAnsi="Arial"/>
                <w:sz w:val="14"/>
                <w:szCs w:val="14"/>
                <w:i w:val="1"/>
                <w:iCs w:val="1"/>
                <w:color w:val="auto"/>
              </w:rPr>
              <w:t>(Shares in millions)</w:t>
            </w:r>
          </w:p>
        </w:tc>
        <w:tc>
          <w:tcPr>
            <w:tcW w:w="700" w:type="dxa"/>
            <w:vAlign w:val="bottom"/>
          </w:tcPr>
          <w:p>
            <w:pPr>
              <w:spacing w:after="0"/>
              <w:rPr>
                <w:sz w:val="10"/>
                <w:szCs w:val="10"/>
                <w:color w:val="auto"/>
              </w:rPr>
            </w:pPr>
          </w:p>
        </w:tc>
        <w:tc>
          <w:tcPr>
            <w:tcW w:w="1940" w:type="dxa"/>
            <w:vAlign w:val="bottom"/>
            <w:gridSpan w:val="3"/>
          </w:tcPr>
          <w:p>
            <w:pPr>
              <w:jc w:val="center"/>
              <w:ind w:left="617"/>
              <w:spacing w:after="0" w:line="123" w:lineRule="exact"/>
              <w:rPr>
                <w:sz w:val="20"/>
                <w:szCs w:val="20"/>
                <w:color w:val="auto"/>
              </w:rPr>
            </w:pPr>
            <w:r>
              <w:rPr>
                <w:rFonts w:ascii="Arial" w:cs="Arial" w:eastAsia="Arial" w:hAnsi="Arial"/>
                <w:sz w:val="14"/>
                <w:szCs w:val="14"/>
                <w:i w:val="1"/>
                <w:iCs w:val="1"/>
                <w:color w:val="auto"/>
                <w:w w:val="94"/>
              </w:rPr>
              <w:t>(Shares in millions)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5"/>
              </w:rPr>
              <w:t>(Unaudited)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221.4</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221.4</w:t>
            </w:r>
          </w:p>
        </w:tc>
        <w:tc>
          <w:tcPr>
            <w:tcW w:w="16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221.4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21.0</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11.8</w:t>
            </w:r>
          </w:p>
        </w:tc>
        <w:tc>
          <w:tcPr>
            <w:tcW w:w="1680" w:type="dxa"/>
            <w:vAlign w:val="bottom"/>
            <w:gridSpan w:val="2"/>
          </w:tcPr>
          <w:p>
            <w:pPr>
              <w:jc w:val="right"/>
              <w:ind w:right="668"/>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51.1</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71.8</w:t>
            </w:r>
          </w:p>
        </w:tc>
        <w:tc>
          <w:tcPr>
            <w:tcW w:w="16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71.5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rPr>
              <w:t>Shares subject to repurchase from early-exercised options and unvested</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5.4</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1680" w:type="dxa"/>
            <w:vAlign w:val="bottom"/>
            <w:gridSpan w:val="2"/>
          </w:tcPr>
          <w:p>
            <w:pPr>
              <w:jc w:val="right"/>
              <w:ind w:right="668"/>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298.9</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306.4</w:t>
            </w:r>
          </w:p>
        </w:tc>
        <w:tc>
          <w:tcPr>
            <w:tcW w:w="16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307.5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Unaudited Pro Forma Net Loss Per Share</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Pro forma net loss per share was computed to give effect to the automatic conversion of all series of convertible preferred stock using the if-converted method as though the conversion had occurred as of the beginning of the period or the date of issuance, if later. Subject to the satisfaction of certain conditions, immediately prior to the completion of the Company’s initial public offering, all of the 220,965,979 shares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convertible preferred stock will convert into an equivalent number of shares of Class B common stock. Further, pursuant to transfer agreements with certain of the Company’s stockholders, 387,934 shares of the Company’s preferred stock and 3,914,934 shares of the Company’s Class B common stock will automatically convert into an equivalent number of shares of Class A common stock. In addition, the pro forma share amounts give effect to the weighted average issuance of two-tier RSUs that have satisfied the service-based vesting condition and the Performance Vesting Condition as of December 31, 2016 and September 30, 2017. Share repurchases to satisfy tax withholding obligations have not been included in these pro forma adjustments.</w:t>
      </w:r>
    </w:p>
    <w:p>
      <w:pPr>
        <w:spacing w:after="0" w:line="15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net loss used in computing pro forma net loss per share amount in the table below does not give effect to the stock-based compensation expense associated with two-tier RSUs that have both a service-based vesting condition and the Performance Vesting Condition. If an initial public offering had been completed on September 30, 2017, the Company would have recognized approximately $415.4 million of stock-based compensation expense on the effective date, and would have approximately $9.4 million of additional future period expense to be recognized over the remaining service periods through 2019.</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pro forma net loss attributable to common stockholders per share, basic and diluted: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6"/>
          </w:tcPr>
          <w:p>
            <w:pPr>
              <w:jc w:val="right"/>
              <w:ind w:right="80"/>
              <w:spacing w:after="0" w:line="142" w:lineRule="exact"/>
              <w:rPr>
                <w:sz w:val="20"/>
                <w:szCs w:val="20"/>
                <w:color w:val="auto"/>
              </w:rPr>
            </w:pPr>
            <w:r>
              <w:rPr>
                <w:rFonts w:ascii="Arial" w:cs="Arial" w:eastAsia="Arial" w:hAnsi="Arial"/>
                <w:sz w:val="14"/>
                <w:szCs w:val="14"/>
                <w:i w:val="1"/>
                <w:iCs w:val="1"/>
                <w:color w:val="auto"/>
                <w:w w:val="96"/>
              </w:rPr>
              <w:t>(In millions, except per share amounts)</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w w:val="91"/>
              </w:rPr>
              <w:t>Class 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w w:val="91"/>
              </w:rPr>
              <w:t>Class B</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rPr>
              <w:t>Class A</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Net loss as reported</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(204.1)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Reallocation of net loss due to pro forma adjustments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5360" w:type="dxa"/>
            <w:vAlign w:val="bottom"/>
          </w:tcPr>
          <w:p>
            <w:pPr>
              <w:ind w:left="720"/>
              <w:spacing w:after="0" w:line="201" w:lineRule="exact"/>
              <w:rPr>
                <w:sz w:val="20"/>
                <w:szCs w:val="20"/>
                <w:color w:val="auto"/>
              </w:rPr>
            </w:pPr>
            <w:r>
              <w:rPr>
                <w:rFonts w:ascii="Arial" w:cs="Arial" w:eastAsia="Arial" w:hAnsi="Arial"/>
                <w:sz w:val="18"/>
                <w:szCs w:val="18"/>
                <w:color w:val="auto"/>
                <w:w w:val="98"/>
              </w:rPr>
              <w:t>Net loss attributable to common stockholders for pro forma</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900"/>
              <w:spacing w:after="0"/>
              <w:rPr>
                <w:sz w:val="20"/>
                <w:szCs w:val="20"/>
                <w:color w:val="auto"/>
              </w:rPr>
            </w:pPr>
            <w:r>
              <w:rPr>
                <w:rFonts w:ascii="Arial" w:cs="Arial" w:eastAsia="Arial" w:hAnsi="Arial"/>
                <w:sz w:val="18"/>
                <w:szCs w:val="18"/>
                <w:color w:val="auto"/>
              </w:rPr>
              <w:t>net loss per share computation, basic and 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(206.9)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360"/>
              <w:spacing w:after="0" w:line="201" w:lineRule="exact"/>
              <w:rPr>
                <w:sz w:val="20"/>
                <w:szCs w:val="20"/>
                <w:color w:val="auto"/>
              </w:rPr>
            </w:pPr>
            <w:r>
              <w:rPr>
                <w:rFonts w:ascii="Arial" w:cs="Arial" w:eastAsia="Arial" w:hAnsi="Arial"/>
                <w:sz w:val="18"/>
                <w:szCs w:val="18"/>
                <w:color w:val="auto"/>
                <w:w w:val="94"/>
              </w:rPr>
              <w:t>Weighted-average shares of common stock used in computing net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540"/>
              <w:spacing w:after="0"/>
              <w:rPr>
                <w:sz w:val="20"/>
                <w:szCs w:val="20"/>
                <w:color w:val="auto"/>
              </w:rPr>
            </w:pPr>
            <w:r>
              <w:rPr>
                <w:rFonts w:ascii="Arial" w:cs="Arial" w:eastAsia="Arial" w:hAnsi="Arial"/>
                <w:sz w:val="18"/>
                <w:szCs w:val="18"/>
                <w:color w:val="auto"/>
                <w:w w:val="97"/>
              </w:rPr>
              <w:t>loss per share attributable to common stockholders, basic and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54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275.4</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Weighted-average pro forma adjustment to reflect conversion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of convertible preferred stock</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2"/>
        </w:trPr>
        <w:tc>
          <w:tcPr>
            <w:tcW w:w="5360" w:type="dxa"/>
            <w:vAlign w:val="bottom"/>
          </w:tcPr>
          <w:p>
            <w:pPr>
              <w:ind w:left="720"/>
              <w:spacing w:after="0" w:line="201" w:lineRule="exact"/>
              <w:rPr>
                <w:sz w:val="20"/>
                <w:szCs w:val="20"/>
                <w:color w:val="auto"/>
              </w:rPr>
            </w:pPr>
            <w:r>
              <w:rPr>
                <w:rFonts w:ascii="Arial" w:cs="Arial" w:eastAsia="Arial" w:hAnsi="Arial"/>
                <w:sz w:val="18"/>
                <w:szCs w:val="18"/>
                <w:color w:val="auto"/>
                <w:w w:val="97"/>
              </w:rPr>
              <w:t>Weighted-average pro forma adjustment to reflect assumed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900"/>
              <w:spacing w:after="0"/>
              <w:rPr>
                <w:sz w:val="20"/>
                <w:szCs w:val="20"/>
                <w:color w:val="auto"/>
              </w:rPr>
            </w:pPr>
            <w:r>
              <w:rPr>
                <w:rFonts w:ascii="Arial" w:cs="Arial" w:eastAsia="Arial" w:hAnsi="Arial"/>
                <w:sz w:val="18"/>
                <w:szCs w:val="18"/>
                <w:color w:val="auto"/>
              </w:rPr>
              <w:t>vesting of two-tier RSUs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9"/>
              </w:rPr>
              <w:t>Weighted-average pro forma adjustment of conversions of</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Class B to Class A common stock</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720"/>
              <w:spacing w:after="0"/>
              <w:rPr>
                <w:sz w:val="20"/>
                <w:szCs w:val="20"/>
                <w:color w:val="auto"/>
              </w:rPr>
            </w:pPr>
            <w:r>
              <w:rPr>
                <w:rFonts w:ascii="Arial" w:cs="Arial" w:eastAsia="Arial" w:hAnsi="Arial"/>
                <w:sz w:val="18"/>
                <w:szCs w:val="18"/>
                <w:color w:val="auto"/>
                <w:w w:val="98"/>
              </w:rPr>
              <w:t>Weighted-average shares used in computing pro forma net</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900"/>
              <w:spacing w:after="0"/>
              <w:rPr>
                <w:sz w:val="20"/>
                <w:szCs w:val="20"/>
                <w:color w:val="auto"/>
              </w:rPr>
            </w:pPr>
            <w:r>
              <w:rPr>
                <w:rFonts w:ascii="Arial" w:cs="Arial" w:eastAsia="Arial" w:hAnsi="Arial"/>
                <w:sz w:val="18"/>
                <w:szCs w:val="18"/>
                <w:color w:val="auto"/>
                <w:w w:val="96"/>
              </w:rPr>
              <w:t>loss per share attributable to common stockholders, basic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900"/>
              <w:spacing w:after="0"/>
              <w:rPr>
                <w:sz w:val="20"/>
                <w:szCs w:val="20"/>
                <w:color w:val="auto"/>
              </w:rPr>
            </w:pPr>
            <w:r>
              <w:rPr>
                <w:rFonts w:ascii="Arial" w:cs="Arial" w:eastAsia="Arial" w:hAnsi="Arial"/>
                <w:sz w:val="18"/>
                <w:szCs w:val="18"/>
                <w:color w:val="auto"/>
              </w:rPr>
              <w:t>and diluted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527.1</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Pro forma net loss attributable to common stockholders per share, basic</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2015 and 2016, the Company’s loss from continuing operations before provision for income taxes was as follows: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0"/>
              </w:rPr>
              <w:t>(176.9)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(148.7)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(325.6)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in the years ended December 31, 2015 and 2016,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Federal</w:t>
            </w:r>
          </w:p>
        </w:tc>
        <w:tc>
          <w:tcPr>
            <w:tcW w:w="2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Federal</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Income tax expense attributable to income from continuing operations differed from the amounts computed by applying the statutory U.S. federal income tax rate of 34% to pretax loss from continuing operations as a result of the following:</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362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 of 34%</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Research and other credits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items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72"/>
        </w:trPr>
        <w:tc>
          <w:tcPr>
            <w:tcW w:w="3620" w:type="dxa"/>
            <w:vAlign w:val="bottom"/>
          </w:tcPr>
          <w:p>
            <w:pPr>
              <w:spacing w:after="0"/>
              <w:rPr>
                <w:sz w:val="24"/>
                <w:szCs w:val="24"/>
                <w:color w:val="auto"/>
              </w:rPr>
            </w:pPr>
          </w:p>
        </w:tc>
        <w:tc>
          <w:tcPr>
            <w:tcW w:w="2920" w:type="dxa"/>
            <w:vAlign w:val="bottom"/>
            <w:gridSpan w:val="2"/>
          </w:tcPr>
          <w:p>
            <w:pPr>
              <w:jc w:val="right"/>
              <w:ind w:right="1950"/>
              <w:spacing w:after="0"/>
              <w:rPr>
                <w:sz w:val="20"/>
                <w:szCs w:val="20"/>
                <w:color w:val="auto"/>
              </w:rPr>
            </w:pPr>
            <w:r>
              <w:rPr>
                <w:rFonts w:ascii="Arial" w:cs="Arial" w:eastAsia="Arial" w:hAnsi="Arial"/>
                <w:sz w:val="18"/>
                <w:szCs w:val="18"/>
                <w:color w:val="auto"/>
              </w:rPr>
              <w:t>F-31</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Company’s deferred tax assets and liabilities as of December 31, 2015 and 2016,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132.7</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216.0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283.4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(209.3)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(259.7)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 and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years ended December 31, 2015, and December 31, 2016, based on all available objective evidence, including the existence of cumulative losses, the Company determined that it was not more likely than not that the U.S., Ireland, and Israel net deferred tax assets were fully realizable as of December 31, 2015 and December 31, 2016. Accordingly, the Company maintained a full valuation allowance against its net U.S., Ireland, and Israel deferred tax assets.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of December 31, 2016, the Company had $254.8 million of federal and $94.9 million of state net operating loss carryforwards available to reduce future taxable income, which will begin to expire in 2031 for federal and 2030 for state tax purposes.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Included in the net operating loss carryforward amount above, approximately $8.1 million of federal and $2.1 million of state net operating loss carryforwards relate to benefits associated with stock option deductions. Under the Company’s accounting policy in effect as of December 31, 2016, the benefits of these stock option deductions were credited directly to stockholder’s equity when recognized. However, the Company adopted ASU No. 2016-09, </w:t>
      </w:r>
      <w:r>
        <w:rPr>
          <w:rFonts w:ascii="Arial" w:cs="Arial" w:eastAsia="Arial" w:hAnsi="Arial"/>
          <w:sz w:val="18"/>
          <w:szCs w:val="18"/>
          <w:i w:val="1"/>
          <w:iCs w:val="1"/>
          <w:color w:val="auto"/>
        </w:rPr>
        <w:t xml:space="preserve">Improvements to Employee Share-Based Payment Accounting (Topic 718) </w:t>
      </w:r>
      <w:r>
        <w:rPr>
          <w:rFonts w:ascii="Arial" w:cs="Arial" w:eastAsia="Arial" w:hAnsi="Arial"/>
          <w:sz w:val="18"/>
          <w:szCs w:val="18"/>
          <w:color w:val="auto"/>
        </w:rPr>
        <w:t>effective as of January 1, 2017. As a result, the benefits of these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recognized in 2017 or later years are credited to the income statement.</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2016, the Company had research credit carryforwards of $35.4 million and $21.6 million for federal and state income tax purposes, respectively, of which $8.7 million and $5.3 million is the unrecognized tax benefit portion related to the research credit carryforwards for federal and state, respectively. The federal credit carryforward will begin to expire in 2027. The state research credits have no expiration date. The Company also had</w:t>
      </w:r>
    </w:p>
    <w:p>
      <w:pPr>
        <w:ind w:right="320"/>
        <w:spacing w:after="0" w:line="261" w:lineRule="auto"/>
        <w:rPr>
          <w:sz w:val="20"/>
          <w:szCs w:val="20"/>
          <w:color w:val="auto"/>
        </w:rPr>
      </w:pPr>
      <w:r>
        <w:rPr>
          <w:rFonts w:ascii="Arial" w:cs="Arial" w:eastAsia="Arial" w:hAnsi="Arial"/>
          <w:sz w:val="18"/>
          <w:szCs w:val="18"/>
          <w:color w:val="auto"/>
        </w:rPr>
        <w:t>$1.5 million of federal alternative minimum tax credit carryforwards, which will carryforward indefinitely, and $3.6 million of state enterprise zone credit carryforwards, which will begin to expire in 2023.</w:t>
      </w:r>
    </w:p>
    <w:p>
      <w:pPr>
        <w:spacing w:after="0" w:line="18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December 31, 2016, the Company also had $247.9 million of foreign net operating loss carryforwards available to reduce future taxable income, which will carryforward indefinitely. In addition, the Company had $22.9 million of foreign acquired net operating losses, which will carryforward indefinitely.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performed a study for the period through June 30, 2017, and determined that no ownership changes exceeding 50 percentage points have occurred. The Company’s ability to use net operating loss and tax credit carryforwards to reduce future taxable income and liabilities may be subject to annual limitations as a result of ownership changes from July 1, 2017, and subsequent years or as a result of this offering.</w:t>
      </w:r>
    </w:p>
    <w:p>
      <w:pPr>
        <w:spacing w:after="0" w:line="17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As of December 31, 2016, the balance of unrecognized tax benefits was $15.7 million of which $1.6 million, if recognized, would affect the effective tax rate and $14.1 million would result in adjustment to deferred tax assets with corresponding adjustments to the valuation allowance.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Balance of gross unrecognized tax benefits at the beginning of the fiscal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Gross increases related to prior period tax positions</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related to current period tax positions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Balance of gross unrecognized tax benefits at the end of the fiscal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7</w:t>
            </w:r>
          </w:p>
        </w:tc>
        <w:tc>
          <w:tcPr>
            <w:tcW w:w="6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recognizes interest and/or penalties related to income tax matters as a component of income tax expense. As of December 31, 2016, the amount of accrued interest and penalties related to uncertain tax positions was $0.4 million, and the Company did not have accrued interest and penalties related to uncertain tax positions as of December 31, 2015. Interest and penalties recognized for the year ended December 31, 2016, was $0.4 million and the Company did not recognize any interest and penalties for the year ended December 31, 2015.</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2016,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60" w:right="3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second quarter of 2017, the Company recorded $9.4 million of expense for a non-cash charitable contribution, whereby the Company donated Class B common shares to initially fund the Foundation. The expense was recorded to general and administrative expenses based on the Company’s estimate of the then current fair value of the contributed shares. Additionally, during the nine months ended September 30, 2017, the Company made cash contributions of $0.8 million to the Foundation.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Hewlett Packard Enterprise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engaged in various commercial relationships with Hewlett Packard Enterprise (“HPE”), whose chief executive officer was appointed to the Dropbox Board of Directors in September 2017. These commercial relationships include infrastructure equipment under capital leases, the purchase of commercial products and other services, and a multi-year subscription agreement for access to the Dropbox platform. From the date of appointment of HPE’s chief executive officer to the Dropbox Board of Directors through September 30, 2017, the Company made payments of $6.6 million for infrastructure equipment under capital leases and commercial products and services provided by HPE. As of September 30, 2017, the Company had a remaining obligation of $87.6 million for equipment under capital lease from HPE. Related to the multi-year subscription agreement, the Company recognized an immaterial amount of revenue from the date of appointment of HPE’s chief executive officer to the Dropbox Board of Directors through September 30, 2017, and had an immaterial balance of deferred revenue and outstanding trade receivables as of September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Geographic Areas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4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3"/>
              </w:rPr>
              <w:t>As of September 30,</w:t>
            </w:r>
          </w:p>
        </w:tc>
      </w:tr>
      <w:tr>
        <w:trPr>
          <w:trHeight w:val="142"/>
        </w:trPr>
        <w:tc>
          <w:tcPr>
            <w:tcW w:w="4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97"/>
              <w:spacing w:after="0" w:line="142" w:lineRule="exact"/>
              <w:rPr>
                <w:sz w:val="20"/>
                <w:szCs w:val="20"/>
                <w:color w:val="auto"/>
              </w:rPr>
            </w:pPr>
            <w:r>
              <w:rPr>
                <w:rFonts w:ascii="Arial" w:cs="Arial" w:eastAsia="Arial" w:hAnsi="Arial"/>
                <w:sz w:val="14"/>
                <w:szCs w:val="14"/>
                <w:i w:val="1"/>
                <w:iCs w:val="1"/>
                <w:color w:val="auto"/>
                <w:w w:val="95"/>
              </w:rPr>
              <w:t>(Unaudited)</w:t>
            </w:r>
          </w:p>
        </w:tc>
        <w:tc>
          <w:tcPr>
            <w:tcW w:w="6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$427.2</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$ 425.1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1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7"/>
        </w:trPr>
        <w:tc>
          <w:tcPr>
            <w:tcW w:w="4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437.6</w:t>
            </w:r>
          </w:p>
        </w:tc>
        <w:tc>
          <w:tcPr>
            <w:tcW w:w="4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$ 444.0</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345.0</w:t>
            </w:r>
          </w:p>
        </w:tc>
      </w:tr>
      <w:tr>
        <w:trPr>
          <w:trHeight w:val="20"/>
        </w:trPr>
        <w:tc>
          <w:tcPr>
            <w:tcW w:w="4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60" w:hanging="452"/>
        <w:spacing w:after="0" w:line="277" w:lineRule="auto"/>
        <w:tabs>
          <w:tab w:leader="none" w:pos="460" w:val="left"/>
        </w:tabs>
        <w:numPr>
          <w:ilvl w:val="0"/>
          <w:numId w:val="110"/>
        </w:numPr>
        <w:rPr>
          <w:rFonts w:ascii="Arial" w:cs="Arial" w:eastAsia="Arial" w:hAnsi="Arial"/>
          <w:sz w:val="15"/>
          <w:szCs w:val="15"/>
          <w:color w:val="auto"/>
        </w:rPr>
      </w:pPr>
      <w:r>
        <w:rPr>
          <w:rFonts w:ascii="Arial" w:cs="Arial" w:eastAsia="Arial" w:hAnsi="Arial"/>
          <w:sz w:val="18"/>
          <w:szCs w:val="18"/>
          <w:color w:val="auto"/>
        </w:rPr>
        <w:t>No single country other than the United States had a property and equipment balance greater than 10% of total property and equipment, net, as of December 31, 2015 and 2016, and September 30, 2017.</w:t>
      </w:r>
    </w:p>
    <w:p>
      <w:pPr>
        <w:spacing w:after="0" w:line="27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Revenue by geography is generally based on the address of the customer as defined in the Company’s subscription agreement. The following table sets forth revenue by geographic area for the years ended December 31, 2015 and 2016, and the nine months ended September 30, 2016 and 2017:</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240"/>
              <w:spacing w:after="0" w:line="142" w:lineRule="exact"/>
              <w:rPr>
                <w:sz w:val="20"/>
                <w:szCs w:val="20"/>
                <w:color w:val="auto"/>
              </w:rPr>
            </w:pPr>
            <w:r>
              <w:rPr>
                <w:rFonts w:ascii="Arial" w:cs="Arial" w:eastAsia="Arial" w:hAnsi="Arial"/>
                <w:sz w:val="14"/>
                <w:szCs w:val="14"/>
                <w:i w:val="1"/>
                <w:iCs w:val="1"/>
                <w:color w:val="auto"/>
                <w:w w:val="95"/>
              </w:rPr>
              <w:t>(Unaudited)</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326.1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277.7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388.9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281.9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603.8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844.8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80" w:hanging="452"/>
        <w:spacing w:after="0" w:line="277"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No single country outside of the United States accounted for more than 10 percent of total revenue during the years ended December 31, 2015 and 2016, and the nine months ended September 30, 2016 and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 has evaluated subsequent events through October 10, 2017, the date that the independent auditor’s report as of and for the years ended December 31, 2015 and 2016 was available for issuance.</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In October 2017, the Board of Directors approved grants of RSUs of 727,120. These RSUs will result in estimated stock-based compensation of $8.3 million, which is expected to be recognized over a weighted-average period of 3.9 years from the respective grant dates.</w:t>
      </w:r>
    </w:p>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October 2017, the Company entered into a lease agreement to rent office space in San Francisco, California, to serve as its new corporate headquarters. The 15-year lease is for approximately 736,000 square feet. The Company expects to start making payments under the lease in the third quarter of 2019. The total minimum obligations under the lease agreement are expected to be approximately $827.0 million, which does not include expected tenant improvement reimbursements from the landlord of approximately $73.6 million and variable operating expenses. The Company’s obligations under the lease will be supported by a $34.2 million letter of credit, which will reduce its borrowing capacity under its revolving credit facility. The Company plans to take possession of the new corporate headquarters over several phases. The Company expects to take initial possession in mid-2018, after which time it plans to incur capital expenditures on leasehold improvements and to begin recording rent expense for the portion of the new corporate headquarters that it possesses. Capital expenditures will fluctuate and rent expense will escalate over future years as the Company takes possession of the remaining phases.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 (Unaudited)</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has evaluated subsequent events through February 2, 2018, the date that the consolidated financial statements as of September 30, 2017 and for the nine-month periods ended September 30, 2016 and 2017, were available for issuance.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December 2017, the Board of Directors approved a grant to the Company’s co-founders of restricted stock awards with respect to 22.1 million shares of Class A Common Stock in the aggregate (collectively, the “Founder Grants”), of which 15.5 million RSAs were granted to Mr. Houston, the Company’s Co-Founder and Chief Executive Officer, and 6.6 million RSAs were granted to Mr. Ferdowsi, the Company’s Co-Founder and Director. These Co-Founder Grants have service-based, market-based, and performance-based vesting conditions.</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Co-Founder Grants are eligible to vest over the ten-year period following the closing of this offering. The Co-Founder Grants are comprised of nine tranches that are eligible to vest based on the achievement of stock price goals, or, each, a Stock Price Target, measured over a consecutive thirty-day trading period during the Performance Period,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Company Stock Price</w:t>
            </w:r>
          </w:p>
        </w:tc>
        <w:tc>
          <w:tcPr>
            <w:tcW w:w="1700" w:type="dxa"/>
            <w:vAlign w:val="bottom"/>
          </w:tcPr>
          <w:p>
            <w:pPr>
              <w:spacing w:after="0"/>
              <w:rPr>
                <w:sz w:val="14"/>
                <w:szCs w:val="14"/>
                <w:color w:val="auto"/>
              </w:rPr>
            </w:pPr>
          </w:p>
        </w:tc>
        <w:tc>
          <w:tcPr>
            <w:tcW w:w="330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1"/>
              </w:rPr>
              <w:t>Shares Eligible to Vest for</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Shares Eligible to Vest</w:t>
            </w:r>
          </w:p>
        </w:tc>
      </w:tr>
      <w:tr>
        <w:trPr>
          <w:trHeight w:val="171"/>
        </w:trPr>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Target</w:t>
            </w:r>
          </w:p>
        </w:tc>
        <w:tc>
          <w:tcPr>
            <w:tcW w:w="1700" w:type="dxa"/>
            <w:vAlign w:val="bottom"/>
          </w:tcPr>
          <w:p>
            <w:pPr>
              <w:spacing w:after="0"/>
              <w:rPr>
                <w:sz w:val="14"/>
                <w:szCs w:val="14"/>
                <w:color w:val="auto"/>
              </w:rPr>
            </w:pPr>
          </w:p>
        </w:tc>
        <w:tc>
          <w:tcPr>
            <w:tcW w:w="330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5"/>
              </w:rPr>
              <w:t>Mr. Houston</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for Mr. Ferdowsi</w:t>
            </w:r>
          </w:p>
        </w:tc>
      </w:tr>
      <w:tr>
        <w:trPr>
          <w:trHeight w:val="210"/>
        </w:trPr>
        <w:tc>
          <w:tcPr>
            <w:tcW w:w="980" w:type="dxa"/>
            <w:vAlign w:val="bottom"/>
            <w:tcBorders>
              <w:top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1.</w:t>
            </w:r>
          </w:p>
        </w:tc>
        <w:tc>
          <w:tcPr>
            <w:tcW w:w="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7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7"/>
              </w:rPr>
              <w:t>3,100,000</w:t>
            </w:r>
          </w:p>
        </w:tc>
        <w:tc>
          <w:tcPr>
            <w:tcW w:w="17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2.</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c>
          <w:tcPr>
            <w:tcW w:w="5000" w:type="dxa"/>
            <w:vAlign w:val="bottom"/>
            <w:gridSpan w:val="3"/>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3.</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00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4.</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5000" w:type="dxa"/>
            <w:vAlign w:val="bottom"/>
            <w:gridSpan w:val="3"/>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5.</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500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6.</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5000" w:type="dxa"/>
            <w:vAlign w:val="bottom"/>
            <w:gridSpan w:val="3"/>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7.</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00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tcPr>
          <w:p>
            <w:pPr>
              <w:jc w:val="right"/>
              <w:ind w:right="750"/>
              <w:spacing w:after="0"/>
              <w:rPr>
                <w:sz w:val="20"/>
                <w:szCs w:val="20"/>
                <w:color w:val="auto"/>
              </w:rPr>
            </w:pPr>
            <w:r>
              <w:rPr>
                <w:rFonts w:ascii="Arial" w:cs="Arial" w:eastAsia="Arial" w:hAnsi="Arial"/>
                <w:sz w:val="18"/>
                <w:szCs w:val="18"/>
                <w:color w:val="auto"/>
                <w:w w:val="79"/>
              </w:rPr>
              <w:t>8.</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55.00</w:t>
            </w:r>
          </w:p>
        </w:tc>
        <w:tc>
          <w:tcPr>
            <w:tcW w:w="5000" w:type="dxa"/>
            <w:vAlign w:val="bottom"/>
            <w:gridSpan w:val="3"/>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9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9.</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00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1,550,000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660,000</w:t>
            </w:r>
          </w:p>
        </w:tc>
      </w:tr>
      <w:tr>
        <w:trPr>
          <w:trHeight w:val="365"/>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0" w:type="dxa"/>
            <w:vAlign w:val="bottom"/>
            <w:gridSpan w:val="3"/>
          </w:tcPr>
          <w:p>
            <w:pPr>
              <w:ind w:left="1460"/>
              <w:spacing w:after="0"/>
              <w:rPr>
                <w:sz w:val="20"/>
                <w:szCs w:val="20"/>
                <w:color w:val="auto"/>
              </w:rPr>
            </w:pPr>
            <w:r>
              <w:rPr>
                <w:rFonts w:ascii="Arial" w:cs="Arial" w:eastAsia="Arial" w:hAnsi="Arial"/>
                <w:sz w:val="18"/>
                <w:szCs w:val="18"/>
                <w:color w:val="auto"/>
              </w:rPr>
              <w:t>F-35</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Performance Period begins on the first trading day following the later of (a) the expiration of the lock-up period following the first date the Company’s shares are traded on an established national securities exchange or automated quotation system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154"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defined Company stock prices.</w:t>
      </w:r>
    </w:p>
    <w:p>
      <w:pPr>
        <w:spacing w:after="0" w:line="14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Co-Founder Grants contain an implied performance-based vesting condition satisfied upon the IPO date, because no shares subject to the Founder Grants will vest unless the IPO Date occurs. Accordingly, as of December 31, 2017, all compensation expense related to the Co-Founder Grants remained unrecognized because the performance-based vesting condition was not deemed probable of being achieved.</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the Stock Price Targets. A Monte-Carlo simulation requires the use of various assumptions, including expected stock price volatility and the risk-free interest rate as of the valuation date, both corresponding to the length of time remaining in the Performance Period, and expected dividend yield. The weighted-average grant date fair value of each Co-Founder Grant was estimated to be $7.07 per share. The weighted-average derived service period of each Co-Founder Grant was estimated to be 5.25 years, and ranged from 2.9 – 6.9 years. The Company will recognize stock-based compensation expense of $156.2 million over the derived service period of each vesting tranche using the accelerated attribution method as long as the co-founders satisfy their service-based vesting conditions. If the Stock Price Targets are met sooner than the derived service period, the Company will true-up its stock-based compensation expense to reflect the cumulative expense associated with the vested awards. The Company will recognize expense if the requisite service is provided, regardless of whether the market conditions are achieved.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Grants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November and December 2017, the Board of Directors approved grants of RSUs of 861,565 and 2,027,448, respectively. These RSUs will result in estimated stock-based compensation of $33.0 million, which is expected to be recognized over a weighted-average period of 3.9 years from the respective grant dates.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Cuts and Jobs Act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Tax Cuts and Jobs Act (the “Act”) was enacted on December 22, 2017 and provides for significant changes to U.S. tax law, including, but not limited to, a reduction in the corporate tax rate and a transition to a new territorial system of taxation. The primary impact of the new legislation on the Company’s provision for income taxes will be a reduction of the future tax benefits of existing temporary differences as a result of the reduction in the corporate tax rate. However, since the Company has recorded a full valuation allowance against its deferred tax assets, it does not currently anticipate that these changes will have a material impact on the Company’s consolidated financial statements. The Company will continue to assess the impact of the various provisions of the Act to its business and to its consolidated financial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upon completion of this offering. All amounts shown are estimates except for the SEC registration fee, the FINRA filing fee and the exchange listing fee.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to be paid</w:t>
            </w:r>
          </w:p>
        </w:tc>
        <w:tc>
          <w:tcPr>
            <w:tcW w:w="140" w:type="dxa"/>
            <w:vAlign w:val="bottom"/>
            <w:tcBorders>
              <w:bottom w:val="single" w:sz="8" w:color="CCEEFF"/>
            </w:tcBorders>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FINRA filing fee</w:t>
            </w:r>
          </w:p>
        </w:tc>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Miscellaneous</w:t>
            </w:r>
          </w:p>
        </w:tc>
        <w:tc>
          <w:tcPr>
            <w:tcW w:w="2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7"/>
        </w:trPr>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11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340" w:type="dxa"/>
            <w:vAlign w:val="bottom"/>
            <w:gridSpan w:val="2"/>
          </w:tcPr>
          <w:p>
            <w:pPr>
              <w:spacing w:after="0"/>
              <w:rPr>
                <w:sz w:val="11"/>
                <w:szCs w:val="11"/>
                <w:color w:val="auto"/>
              </w:rPr>
            </w:pPr>
          </w:p>
        </w:tc>
        <w:tc>
          <w:tcPr>
            <w:tcW w:w="2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650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c>
          <w:tcPr>
            <w:tcW w:w="2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7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will provide for indemnification by the underwriters of us and our officers and directors for certain liabilities arising under the Securities Act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2014, we have issued the following unregistered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Issuances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From January 2014 through April 2014, we sold an aggregate of 18,460,901 shares of our Series C convertible preferred stock to 55 accredited investors at a purchase price of approximately $19.1012 per share, for an aggregate purchase price of $352,625,362.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and RSU Issuances</w:t>
      </w:r>
    </w:p>
    <w:p>
      <w:pPr>
        <w:spacing w:after="0" w:line="12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From January 1, 2014 to September 30, 2017, we granted to our directors, officers, employees, consultants, and other service providers options to purchase an aggregate of 15,443,120 shares of our Class B common stock under our 2008 Plan at exercise prices ranging from approximately $13.84 to $16.82 per share.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From January 1, 2014 to September 30, 2017, we granted to our directors, officers, employees, consultants, and other service providers an aggregate of 25,164,351 RSUs to be settled in shares of our Class A common stock under our 2017 Plan and an aggregate of 76,983,474 RSUs to be settled in shares of our Class B common stock under our 2008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in Connection with Third-Party Tender Offer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January 1, 2014 to September 30, 2017, we issued an aggregate of 8,193,202 shares of our Class A common stock in connection with a third-party tender offer to purchase shares of our capital stock from certain holders of our Class B common stock and convertible preferred stock. Each share of our Class B common stock and convertible preferred stock transferred in connection with the tender offer was automatically converted to one share of our Class A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 in Connection with Acquisitions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From January 1, 2014 to September 30, 2017, we issued an aggregate of 6,265,795 shares of our Class B common stock in connection with our acquisitions of certain companies or their assets and as consideration to individuals and entities who were former service providers and/or stockholders of such companies.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1"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315"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hanging="446"/>
        <w:spacing w:after="0" w:line="291"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60" w:type="dxa"/>
            <w:vAlign w:val="bottom"/>
            <w:gridSpan w:val="3"/>
          </w:tcPr>
          <w:p>
            <w:pPr>
              <w:ind w:left="4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60" w:type="dxa"/>
            <w:vAlign w:val="bottom"/>
            <w:gridSpan w:val="3"/>
            <w:vMerge w:val="restart"/>
          </w:tcPr>
          <w:p>
            <w:pPr>
              <w:ind w:left="5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3"/>
              </w:rPr>
              <w:t>Number</w:t>
            </w:r>
          </w:p>
        </w:tc>
        <w:tc>
          <w:tcPr>
            <w:tcW w:w="340" w:type="dxa"/>
            <w:vAlign w:val="bottom"/>
          </w:tcPr>
          <w:p>
            <w:pPr>
              <w:spacing w:after="0"/>
              <w:rPr>
                <w:sz w:val="13"/>
                <w:szCs w:val="13"/>
                <w:color w:val="auto"/>
              </w:rPr>
            </w:pPr>
          </w:p>
        </w:tc>
        <w:tc>
          <w:tcPr>
            <w:tcW w:w="10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3.1</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the Registrant, as amended and currently in effect.</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to the Restated Certificate of Incorporation, as filed on April 4, 2014.</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to the Restated Certificate of Incorporation, as filed on April 21, 2016.</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Form of Amended and Restated Certificate of Incorporation of the Registrant, to be in effect upon completion of this offering.</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3.5</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Bylaws of the Registrant, as amended and currently in effect.</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Form of common stock certificate of the Registrant.</w:t>
            </w:r>
          </w:p>
        </w:tc>
        <w:tc>
          <w:tcPr>
            <w:tcW w:w="0" w:type="dxa"/>
            <w:vAlign w:val="bottom"/>
          </w:tcPr>
          <w:p>
            <w:pPr>
              <w:spacing w:after="0"/>
              <w:rPr>
                <w:sz w:val="1"/>
                <w:szCs w:val="1"/>
                <w:color w:val="auto"/>
              </w:rPr>
            </w:pPr>
          </w:p>
        </w:tc>
      </w:tr>
      <w:tr>
        <w:trPr>
          <w:trHeight w:val="310"/>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Investors’ Rights Agreement among the Registrant and certain holders of its capital stock, dated as of January 30,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2014, as amended.</w:t>
            </w: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Opinion of Wilson Sonsini Goodrich &amp; Rosati, P.C.</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Dropbox, Inc. 2018 Equity Incentive Plan and related form agreements.</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Dropbox, Inc. 2018 Employee Stock Purchase Plan and related form agreements.</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Dropbox, Inc. 2017 Equity Incentive Plan and related form agreements.</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Dropbox, Inc. 2008 Equity Incentive Plan, as amended, and related form agreements.</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Dropbox, Inc. Cash Bonus Plan.</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Restricted Stock Agreement between the Registrant and Andrew W. Houston.</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Restricted Stock Agreement between the Registrant and Arash Ferdowsi.</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Arrangement between the Registrant and Andrew W. Houston.</w:t>
            </w:r>
          </w:p>
        </w:tc>
        <w:tc>
          <w:tcPr>
            <w:tcW w:w="0" w:type="dxa"/>
            <w:vAlign w:val="bottom"/>
          </w:tcPr>
          <w:p>
            <w:pPr>
              <w:spacing w:after="0"/>
              <w:rPr>
                <w:sz w:val="1"/>
                <w:szCs w:val="1"/>
                <w:color w:val="auto"/>
              </w:rPr>
            </w:pPr>
          </w:p>
        </w:tc>
      </w:tr>
      <w:tr>
        <w:trPr>
          <w:trHeight w:val="324"/>
        </w:trPr>
        <w:tc>
          <w:tcPr>
            <w:tcW w:w="940" w:type="dxa"/>
            <w:vAlign w:val="bottom"/>
            <w:gridSpan w:val="4"/>
          </w:tcPr>
          <w:p>
            <w:pPr>
              <w:spacing w:after="0"/>
              <w:rPr>
                <w:sz w:val="20"/>
                <w:szCs w:val="20"/>
                <w:color w:val="auto"/>
              </w:rPr>
            </w:pPr>
            <w:r>
              <w:rPr>
                <w:rFonts w:ascii="Arial" w:cs="Arial" w:eastAsia="Arial" w:hAnsi="Arial"/>
                <w:sz w:val="18"/>
                <w:szCs w:val="18"/>
                <w:color w:val="auto"/>
              </w:rPr>
              <w:t>10.10+*</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Arrangement between the Registrant and Arash Ferdowsi.</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w w:val="89"/>
              </w:rPr>
              <w:t>10.11+*</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Arrangement between the Registrant and Quentin J. Clark.</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Office Lease between the Registrant and Kilroy Realty Finance Partnership, L.P., dated as of January 31, 2014.</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8"/>
              </w:rPr>
              <w:t>First Amendment to Office Lease between the Registrant and Kilroy Realty Finance Partnership, L.P., dated as of June 5, 2015.</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6"/>
              </w:rPr>
              <w:t>Second Amendment to Office Lease between the Registrant and Kilroy Realty Finance Partnership, L.P., dated as of May 3, 2016.</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5"/>
              </w:rPr>
              <w:t>Third Amendment to Office Lease between the Registrant and Kilroy Realty Finance Partnership, L.P., dated as of October 6, 2017.</w:t>
            </w:r>
          </w:p>
        </w:tc>
        <w:tc>
          <w:tcPr>
            <w:tcW w:w="0" w:type="dxa"/>
            <w:vAlign w:val="bottom"/>
          </w:tcPr>
          <w:p>
            <w:pPr>
              <w:spacing w:after="0"/>
              <w:rPr>
                <w:sz w:val="1"/>
                <w:szCs w:val="1"/>
                <w:color w:val="auto"/>
              </w:rPr>
            </w:pPr>
          </w:p>
        </w:tc>
      </w:tr>
      <w:tr>
        <w:trPr>
          <w:trHeight w:val="324"/>
        </w:trPr>
        <w:tc>
          <w:tcPr>
            <w:tcW w:w="600" w:type="dxa"/>
            <w:vAlign w:val="bottom"/>
            <w:gridSpan w:val="3"/>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Office Lease between the Registrant and KR Mission Bay, LLC, dated as of October 6, 2017.</w:t>
            </w:r>
          </w:p>
        </w:tc>
        <w:tc>
          <w:tcPr>
            <w:tcW w:w="0" w:type="dxa"/>
            <w:vAlign w:val="bottom"/>
          </w:tcPr>
          <w:p>
            <w:pPr>
              <w:spacing w:after="0"/>
              <w:rPr>
                <w:sz w:val="1"/>
                <w:szCs w:val="1"/>
                <w:color w:val="auto"/>
              </w:rPr>
            </w:pPr>
          </w:p>
        </w:tc>
      </w:tr>
      <w:tr>
        <w:trPr>
          <w:trHeight w:val="310"/>
        </w:trPr>
        <w:tc>
          <w:tcPr>
            <w:tcW w:w="600" w:type="dxa"/>
            <w:vAlign w:val="bottom"/>
            <w:gridSpan w:val="3"/>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89"/>
              </w:rPr>
              <w:t>Second Amendment and Restatement to the Revolving Credit and Guaranty Agreement among the Registrant, the lenders party thereto and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JPMorgan Chase Bank, N.A., as Administrative Agent, dated as of April 3, 2017.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00"/>
          </w:cols>
          <w:pgMar w:left="240" w:top="459" w:right="3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8"/>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50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6360" w:type="dxa"/>
            <w:vAlign w:val="bottom"/>
            <w:gridSpan w:val="3"/>
          </w:tcPr>
          <w:p>
            <w:pPr>
              <w:ind w:left="78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6360" w:type="dxa"/>
            <w:vAlign w:val="bottom"/>
            <w:gridSpan w:val="3"/>
          </w:tcPr>
          <w:p>
            <w:pPr>
              <w:ind w:left="7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4"/>
                <w:szCs w:val="24"/>
                <w:color w:val="auto"/>
              </w:rPr>
            </w:pPr>
          </w:p>
        </w:tc>
        <w:tc>
          <w:tcPr>
            <w:tcW w:w="6360" w:type="dxa"/>
            <w:vAlign w:val="bottom"/>
            <w:gridSpan w:val="3"/>
          </w:tcPr>
          <w:p>
            <w:pPr>
              <w:ind w:left="780"/>
              <w:spacing w:after="0"/>
              <w:rPr>
                <w:sz w:val="20"/>
                <w:szCs w:val="20"/>
                <w:color w:val="auto"/>
              </w:rPr>
            </w:pPr>
            <w:r>
              <w:rPr>
                <w:rFonts w:ascii="Arial" w:cs="Arial" w:eastAsia="Arial" w:hAnsi="Arial"/>
                <w:sz w:val="18"/>
                <w:szCs w:val="18"/>
                <w:color w:val="auto"/>
                <w:w w:val="92"/>
              </w:rPr>
              <w:t>Consent of Wilson Sonsini Goodrich &amp; Rosati, P.C. (included in Exhibit 5.1).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4"/>
                <w:szCs w:val="24"/>
                <w:color w:val="auto"/>
              </w:rPr>
            </w:pPr>
          </w:p>
        </w:tc>
        <w:tc>
          <w:tcPr>
            <w:tcW w:w="6360" w:type="dxa"/>
            <w:vAlign w:val="bottom"/>
            <w:gridSpan w:val="3"/>
          </w:tcPr>
          <w:p>
            <w:pPr>
              <w:ind w:left="780"/>
              <w:spacing w:after="0"/>
              <w:rPr>
                <w:sz w:val="20"/>
                <w:szCs w:val="20"/>
                <w:color w:val="auto"/>
              </w:rPr>
            </w:pPr>
            <w:r>
              <w:rPr>
                <w:rFonts w:ascii="Arial" w:cs="Arial" w:eastAsia="Arial" w:hAnsi="Arial"/>
                <w:sz w:val="18"/>
                <w:szCs w:val="18"/>
                <w:color w:val="auto"/>
              </w:rPr>
              <w:t>Power of Attorney (included on page II-7).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15"/>
          <w:szCs w:val="15"/>
          <w:color w:val="auto"/>
        </w:rPr>
      </w:pPr>
      <w:r>
        <w:rPr>
          <w:rFonts w:ascii="Arial" w:cs="Arial" w:eastAsia="Arial" w:hAnsi="Arial"/>
          <w:sz w:val="18"/>
          <w:szCs w:val="18"/>
          <w:color w:val="auto"/>
        </w:rPr>
        <w:t>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219"/>
          </w:cols>
          <w:pgMar w:left="240" w:top="459" w:right="1440"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w:t>
      </w:r>
    </w:p>
    <w:p>
      <w:pPr>
        <w:spacing w:after="0" w:line="46" w:lineRule="exact"/>
        <w:rPr>
          <w:sz w:val="20"/>
          <w:szCs w:val="20"/>
          <w:color w:val="auto"/>
        </w:rPr>
      </w:pPr>
    </w:p>
    <w:p>
      <w:pPr>
        <w:spacing w:after="0"/>
        <w:tabs>
          <w:tab w:leader="none" w:pos="6700" w:val="left"/>
          <w:tab w:leader="none" w:pos="7740" w:val="left"/>
          <w:tab w:leader="none" w:pos="8380" w:val="left"/>
        </w:tabs>
        <w:rPr>
          <w:sz w:val="20"/>
          <w:szCs w:val="20"/>
          <w:color w:val="auto"/>
        </w:rPr>
      </w:pPr>
      <w:r>
        <w:rPr>
          <w:rFonts w:ascii="Arial" w:cs="Arial" w:eastAsia="Arial" w:hAnsi="Arial"/>
          <w:sz w:val="18"/>
          <w:szCs w:val="18"/>
          <w:color w:val="auto"/>
        </w:rPr>
        <w:t>behalf by the undersigned, thereunto duly authorized, in San Francisco, California, on the</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W. Houston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Ajay V. Vashee, and Bart E. Volkmer,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40" w:type="dxa"/>
            <w:vAlign w:val="bottom"/>
          </w:tcPr>
          <w:p>
            <w:pPr>
              <w:spacing w:after="0"/>
              <w:rPr>
                <w:sz w:val="16"/>
                <w:szCs w:val="16"/>
                <w:color w:val="auto"/>
              </w:rPr>
            </w:pPr>
          </w:p>
        </w:tc>
        <w:tc>
          <w:tcPr>
            <w:tcW w:w="472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2100" w:type="dxa"/>
            <w:vAlign w:val="bottom"/>
            <w:gridSpan w:val="2"/>
          </w:tcPr>
          <w:p>
            <w:pPr>
              <w:ind w:left="18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Chairman</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2"/>
              </w:rPr>
              <w:t>Andrew W. Houston</w:t>
            </w:r>
          </w:p>
        </w:tc>
        <w:tc>
          <w:tcPr>
            <w:tcW w:w="47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89"/>
              </w:rPr>
              <w:t>Ajay V. Vashee</w:t>
            </w:r>
          </w:p>
        </w:tc>
        <w:tc>
          <w:tcPr>
            <w:tcW w:w="47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Chief Accounting Officer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0"/>
              </w:rPr>
              <w:t>Timothy J. Regan</w:t>
            </w:r>
          </w:p>
        </w:tc>
        <w:tc>
          <w:tcPr>
            <w:tcW w:w="472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Donald W. Blair</w:t>
            </w:r>
          </w:p>
        </w:tc>
        <w:tc>
          <w:tcPr>
            <w:tcW w:w="4720" w:type="dxa"/>
            <w:vAlign w:val="bottom"/>
            <w:gridSpan w:val="3"/>
            <w:vMerge w:val="continue"/>
          </w:tcPr>
          <w:p>
            <w:pPr>
              <w:spacing w:after="0"/>
              <w:rPr>
                <w:sz w:val="7"/>
                <w:szCs w:val="7"/>
                <w:color w:val="auto"/>
              </w:rPr>
            </w:pPr>
          </w:p>
        </w:tc>
        <w:tc>
          <w:tcPr>
            <w:tcW w:w="1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0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Arash Ferdowsi</w:t>
            </w:r>
          </w:p>
        </w:tc>
        <w:tc>
          <w:tcPr>
            <w:tcW w:w="4720" w:type="dxa"/>
            <w:vAlign w:val="bottom"/>
            <w:gridSpan w:val="3"/>
            <w:vMerge w:val="continue"/>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Paul E. Jacobs</w:t>
            </w:r>
          </w:p>
        </w:tc>
        <w:tc>
          <w:tcPr>
            <w:tcW w:w="4720" w:type="dxa"/>
            <w:vAlign w:val="bottom"/>
            <w:gridSpan w:val="3"/>
            <w:vMerge w:val="continue"/>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20" w:type="dxa"/>
            <w:vAlign w:val="bottom"/>
            <w:gridSpan w:val="3"/>
          </w:tcPr>
          <w:p>
            <w:pPr>
              <w:ind w:left="1880"/>
              <w:spacing w:after="0"/>
              <w:rPr>
                <w:sz w:val="20"/>
                <w:szCs w:val="20"/>
                <w:color w:val="auto"/>
              </w:rPr>
            </w:pPr>
            <w:r>
              <w:rPr>
                <w:rFonts w:ascii="Arial" w:cs="Arial" w:eastAsia="Arial" w:hAnsi="Arial"/>
                <w:sz w:val="18"/>
                <w:szCs w:val="18"/>
                <w:color w:val="auto"/>
              </w:rPr>
              <w:t>II-7</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40" w:type="dxa"/>
            <w:vAlign w:val="bottom"/>
          </w:tcPr>
          <w:p>
            <w:pPr>
              <w:spacing w:after="0"/>
              <w:rPr>
                <w:sz w:val="16"/>
                <w:szCs w:val="16"/>
                <w:color w:val="auto"/>
              </w:rPr>
            </w:pPr>
          </w:p>
        </w:tc>
        <w:tc>
          <w:tcPr>
            <w:tcW w:w="472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2100" w:type="dxa"/>
            <w:vAlign w:val="bottom"/>
            <w:gridSpan w:val="2"/>
          </w:tcPr>
          <w:p>
            <w:pPr>
              <w:ind w:left="18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99"/>
        </w:trPr>
        <w:tc>
          <w:tcPr>
            <w:tcW w:w="1540" w:type="dxa"/>
            <w:vAlign w:val="bottom"/>
            <w:tcBorders>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2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tcBorders>
            <w:vMerge w:val="restart"/>
          </w:tcPr>
          <w:p>
            <w:pPr>
              <w:spacing w:after="0"/>
              <w:rPr>
                <w:sz w:val="24"/>
                <w:szCs w:val="24"/>
                <w:color w:val="auto"/>
              </w:rPr>
            </w:pPr>
          </w:p>
        </w:tc>
        <w:tc>
          <w:tcPr>
            <w:tcW w:w="1820" w:type="dxa"/>
            <w:vAlign w:val="bottom"/>
            <w:vMerge w:val="restart"/>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Robert J. Mylod, Jr.</w:t>
            </w:r>
          </w:p>
        </w:tc>
        <w:tc>
          <w:tcPr>
            <w:tcW w:w="26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Condoleezza Rice</w:t>
            </w:r>
          </w:p>
        </w:tc>
        <w:tc>
          <w:tcPr>
            <w:tcW w:w="4720" w:type="dxa"/>
            <w:vAlign w:val="bottom"/>
            <w:gridSpan w:val="3"/>
            <w:vMerge w:val="continue"/>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R. Bryan Schreier</w:t>
            </w:r>
          </w:p>
        </w:tc>
        <w:tc>
          <w:tcPr>
            <w:tcW w:w="4720" w:type="dxa"/>
            <w:vAlign w:val="bottom"/>
            <w:gridSpan w:val="3"/>
            <w:vMerge w:val="continue"/>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20" w:type="dxa"/>
            <w:vAlign w:val="bottom"/>
            <w:gridSpan w:val="3"/>
            <w:vMerge w:val="restart"/>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Margaret C. Whitman</w:t>
            </w:r>
          </w:p>
        </w:tc>
        <w:tc>
          <w:tcPr>
            <w:tcW w:w="4720" w:type="dxa"/>
            <w:vAlign w:val="bottom"/>
            <w:gridSpan w:val="3"/>
            <w:vMerge w:val="continue"/>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20" w:type="dxa"/>
            <w:vAlign w:val="bottom"/>
            <w:gridSpan w:val="3"/>
          </w:tcPr>
          <w:p>
            <w:pPr>
              <w:ind w:left="1880"/>
              <w:spacing w:after="0"/>
              <w:rPr>
                <w:sz w:val="20"/>
                <w:szCs w:val="20"/>
                <w:color w:val="auto"/>
              </w:rPr>
            </w:pPr>
            <w:r>
              <w:rPr>
                <w:rFonts w:ascii="Arial" w:cs="Arial" w:eastAsia="Arial" w:hAnsi="Arial"/>
                <w:sz w:val="18"/>
                <w:szCs w:val="18"/>
                <w:color w:val="auto"/>
              </w:rPr>
              <w:t>II-8</w:t>
            </w: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40" w:top="460" w:right="11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131" w:lineRule="exact"/>
        <w:rPr>
          <w:sz w:val="20"/>
          <w:szCs w:val="20"/>
          <w:color w:val="auto"/>
        </w:rPr>
      </w:pPr>
    </w:p>
    <w:p>
      <w:pPr>
        <w:ind w:left="300" w:hanging="292"/>
        <w:spacing w:after="0"/>
        <w:tabs>
          <w:tab w:leader="none" w:pos="3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NOTICEOF GRANT OF RESTRICTED STOCK AWARD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Houston</w:t>
      </w:r>
    </w:p>
    <w:p>
      <w:pPr>
        <w:spacing w:after="0" w:line="211"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individual named above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has been granted an award of shares of Class A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restricted stock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subject to the terms and conditions of this Restricted Stock Award Agreement (including all exhibits) (hereinafter “</w:t>
      </w:r>
      <w:r>
        <w:rPr>
          <w:rFonts w:ascii="Arial" w:cs="Arial" w:eastAsia="Arial" w:hAnsi="Arial"/>
          <w:sz w:val="18"/>
          <w:szCs w:val="18"/>
          <w:b w:val="1"/>
          <w:bCs w:val="1"/>
          <w:i w:val="1"/>
          <w:iCs w:val="1"/>
          <w:color w:val="auto"/>
        </w:rPr>
        <w:t>RSA Agreement</w:t>
      </w:r>
      <w:r>
        <w:rPr>
          <w:rFonts w:ascii="Arial" w:cs="Arial" w:eastAsia="Arial" w:hAnsi="Arial"/>
          <w:sz w:val="18"/>
          <w:szCs w:val="18"/>
          <w:color w:val="auto"/>
        </w:rPr>
        <w:t>”) on the terms set forth herein.</w:t>
      </w:r>
    </w:p>
    <w:p>
      <w:pPr>
        <w:sectPr>
          <w:pgSz w:w="11900" w:h="16838" w:orient="portrait"/>
          <w:cols w:equalWidth="0" w:num="1">
            <w:col w:w="11420"/>
          </w:cols>
          <w:pgMar w:left="240" w:top="121" w:right="239" w:bottom="1440" w:gutter="0" w:footer="0" w:header="0"/>
          <w:type w:val="continuous"/>
        </w:sect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Grant Number: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640"/>
        <w:spacing w:after="0"/>
        <w:rPr>
          <w:sz w:val="20"/>
          <w:szCs w:val="20"/>
          <w:color w:val="auto"/>
        </w:rPr>
      </w:pPr>
      <w:r>
        <w:rPr>
          <w:rFonts w:ascii="Arial" w:cs="Arial" w:eastAsia="Arial" w:hAnsi="Arial"/>
          <w:sz w:val="16"/>
          <w:szCs w:val="16"/>
          <w:color w:val="auto"/>
        </w:rPr>
        <w:t>Founder-1</w:t>
      </w:r>
    </w:p>
    <w:p>
      <w:pPr>
        <w:spacing w:after="0" w:line="207"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Number of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15,500,000</w:t>
      </w:r>
    </w:p>
    <w:p>
      <w:pPr>
        <w:spacing w:after="0" w:line="207"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2017</w:t>
      </w:r>
    </w:p>
    <w:p>
      <w:pPr>
        <w:spacing w:after="0" w:line="147"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jc w:val="both"/>
        <w:ind w:left="460"/>
        <w:spacing w:after="0" w:line="266" w:lineRule="auto"/>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means the earliest to occur of: (a) the date on which all Shares granted hereunder vest, (b)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ceases to satisfy the Service Condition, (c) the tenth anniversary of the IPO Date (the “</w:t>
      </w:r>
      <w:r>
        <w:rPr>
          <w:rFonts w:ascii="Arial" w:cs="Arial" w:eastAsia="Arial" w:hAnsi="Arial"/>
          <w:sz w:val="18"/>
          <w:szCs w:val="18"/>
          <w:b w:val="1"/>
          <w:bCs w:val="1"/>
          <w:i w:val="1"/>
          <w:iCs w:val="1"/>
          <w:color w:val="auto"/>
        </w:rPr>
        <w:t>Award Term</w:t>
      </w:r>
      <w:r>
        <w:rPr>
          <w:rFonts w:ascii="Arial" w:cs="Arial" w:eastAsia="Arial" w:hAnsi="Arial"/>
          <w:sz w:val="18"/>
          <w:szCs w:val="18"/>
          <w:color w:val="auto"/>
        </w:rPr>
        <w:t>”), and (d) the occurrence of an Acquisition prior to the IPO Date.</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number of Shares subject to this Award that will vest (if any) will be determined based upon the achievement of the performance-based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conditions set forth in Exhibit A (attached) and the provisions of this RSA Agreement. The actual number of Shares subject to this Award that vest, if any, may be lower than the Total Number of Shares set forth above depending on the extent to which the vesting criteria for this Award are satisfied.</w:t>
      </w:r>
    </w:p>
    <w:p>
      <w:pPr>
        <w:spacing w:after="0" w:line="291" w:lineRule="exact"/>
        <w:rPr>
          <w:sz w:val="20"/>
          <w:szCs w:val="20"/>
          <w:color w:val="auto"/>
        </w:rPr>
      </w:pPr>
    </w:p>
    <w:p>
      <w:pPr>
        <w:ind w:left="380" w:hanging="372"/>
        <w:spacing w:after="0"/>
        <w:tabs>
          <w:tab w:leader="none" w:pos="3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TERMSAND CONDITIONS OF RESTRICTED STOCK AWARD</w:t>
      </w:r>
    </w:p>
    <w:p>
      <w:pPr>
        <w:spacing w:after="0" w:line="131"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following definitions shall apply:</w:t>
      </w:r>
    </w:p>
    <w:p>
      <w:pPr>
        <w:spacing w:after="0" w:line="121" w:lineRule="exact"/>
        <w:rPr>
          <w:rFonts w:ascii="Arial" w:cs="Arial" w:eastAsia="Arial" w:hAnsi="Arial"/>
          <w:sz w:val="18"/>
          <w:szCs w:val="18"/>
          <w:b w:val="1"/>
          <w:bCs w:val="1"/>
          <w:color w:val="auto"/>
        </w:rPr>
      </w:pPr>
    </w:p>
    <w:p>
      <w:pPr>
        <w:jc w:val="both"/>
        <w:ind w:firstLine="464"/>
        <w:spacing w:after="0" w:line="288" w:lineRule="auto"/>
        <w:tabs>
          <w:tab w:leader="none" w:pos="860" w:val="left"/>
        </w:tabs>
        <w:numPr>
          <w:ilvl w:val="1"/>
          <w:numId w:val="11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Acceleration Event</w:t>
      </w:r>
      <w:r>
        <w:rPr>
          <w:rFonts w:ascii="Arial" w:cs="Arial" w:eastAsia="Arial" w:hAnsi="Arial"/>
          <w:sz w:val="16"/>
          <w:szCs w:val="16"/>
          <w:color w:val="auto"/>
        </w:rPr>
        <w:t>” means the earliest of (i) the failure of Participant to satisfy the Service Condition due to (A) the Company’s termination of Participant’s employment with the Company for any reason other than for Cause, (B) Participant ceasing to be an employee of the Company as a result of his death or Disability, or (C) Participant’s termination of his employment with the Company for Good Reason; provided that with respect to this clause</w:t>
      </w:r>
    </w:p>
    <w:p>
      <w:pPr>
        <w:jc w:val="both"/>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(C) Participant must first provide the Company with written notice within ninety (90) days following the first occurrence of the condition(s) that Participant believes constitutes Good Reason and the Company fails to cure such condition(s), if curable, within thirty (30) days following receipt of such written notice, (ii) the date immediately prior to an Acquisition subject to Participant continuing to have satisfied the Service Condition through such time, or (iii) the last date of the Award Term subject to Participant continuing to have satisfied the Service Condition through such time.</w:t>
      </w:r>
    </w:p>
    <w:p>
      <w:pPr>
        <w:spacing w:after="0" w:line="68" w:lineRule="exact"/>
        <w:rPr>
          <w:rFonts w:ascii="Arial" w:cs="Arial" w:eastAsia="Arial" w:hAnsi="Arial"/>
          <w:sz w:val="16"/>
          <w:szCs w:val="16"/>
          <w:b w:val="1"/>
          <w:bCs w:val="1"/>
          <w:color w:val="auto"/>
        </w:rPr>
      </w:pPr>
    </w:p>
    <w:p>
      <w:pPr>
        <w:ind w:left="860" w:hanging="396"/>
        <w:spacing w:after="0"/>
        <w:tabs>
          <w:tab w:leader="none" w:pos="860"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Achievement Date</w:t>
      </w:r>
      <w:r>
        <w:rPr>
          <w:rFonts w:ascii="Arial" w:cs="Arial" w:eastAsia="Arial" w:hAnsi="Arial"/>
          <w:sz w:val="18"/>
          <w:szCs w:val="18"/>
          <w:color w:val="auto"/>
        </w:rPr>
        <w:t>” has the meaning set forth in Exhibit A.</w:t>
      </w:r>
    </w:p>
    <w:p>
      <w:pPr>
        <w:sectPr>
          <w:pgSz w:w="11900" w:h="16838" w:orient="portrait"/>
          <w:cols w:equalWidth="0" w:num="1">
            <w:col w:w="11420"/>
          </w:cols>
          <w:pgMar w:left="240" w:top="121" w:right="239" w:bottom="1440" w:gutter="0" w:footer="0" w:header="0"/>
          <w:type w:val="continuous"/>
        </w:sectPr>
      </w:pPr>
    </w:p>
    <w:bookmarkStart w:id="215" w:name="page216"/>
    <w:bookmarkEnd w:id="215"/>
    <w:p>
      <w:pPr>
        <w:ind w:left="840" w:hanging="376"/>
        <w:spacing w:after="0"/>
        <w:tabs>
          <w:tab w:leader="none" w:pos="84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means:</w:t>
      </w:r>
    </w:p>
    <w:p>
      <w:pPr>
        <w:spacing w:after="0" w:line="117" w:lineRule="exact"/>
        <w:rPr>
          <w:rFonts w:ascii="Arial" w:cs="Arial" w:eastAsia="Arial" w:hAnsi="Arial"/>
          <w:sz w:val="18"/>
          <w:szCs w:val="18"/>
          <w:b w:val="1"/>
          <w:bCs w:val="1"/>
          <w:color w:val="auto"/>
        </w:rPr>
      </w:pPr>
    </w:p>
    <w:p>
      <w:pPr>
        <w:jc w:val="both"/>
        <w:ind w:firstLine="921"/>
        <w:spacing w:after="0" w:line="276" w:lineRule="auto"/>
        <w:tabs>
          <w:tab w:leader="none" w:pos="1284" w:val="left"/>
        </w:tabs>
        <w:numPr>
          <w:ilvl w:val="1"/>
          <w:numId w:val="120"/>
        </w:numPr>
        <w:rPr>
          <w:rFonts w:ascii="Arial" w:cs="Arial" w:eastAsia="Arial" w:hAnsi="Arial"/>
          <w:sz w:val="17"/>
          <w:szCs w:val="17"/>
          <w:b w:val="1"/>
          <w:bCs w:val="1"/>
          <w:color w:val="auto"/>
        </w:rPr>
      </w:pPr>
      <w:r>
        <w:rPr>
          <w:rFonts w:ascii="Arial" w:cs="Arial" w:eastAsia="Arial" w:hAnsi="Arial"/>
          <w:sz w:val="17"/>
          <w:szCs w:val="17"/>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64" w:lineRule="exact"/>
        <w:rPr>
          <w:rFonts w:ascii="Arial" w:cs="Arial" w:eastAsia="Arial" w:hAnsi="Arial"/>
          <w:sz w:val="17"/>
          <w:szCs w:val="17"/>
          <w:b w:val="1"/>
          <w:bCs w:val="1"/>
          <w:color w:val="auto"/>
        </w:rPr>
      </w:pPr>
    </w:p>
    <w:p>
      <w:pPr>
        <w:jc w:val="both"/>
        <w:ind w:firstLine="921"/>
        <w:spacing w:after="0" w:line="257" w:lineRule="auto"/>
        <w:tabs>
          <w:tab w:leader="none" w:pos="1356" w:val="left"/>
        </w:tabs>
        <w:numPr>
          <w:ilvl w:val="1"/>
          <w:numId w:val="120"/>
        </w:numPr>
        <w:rPr>
          <w:rFonts w:ascii="Arial" w:cs="Arial" w:eastAsia="Arial" w:hAnsi="Arial"/>
          <w:sz w:val="18"/>
          <w:szCs w:val="18"/>
          <w:b w:val="1"/>
          <w:bCs w:val="1"/>
          <w:color w:val="auto"/>
        </w:rPr>
      </w:pPr>
      <w:r>
        <w:rPr>
          <w:rFonts w:ascii="Arial" w:cs="Arial" w:eastAsia="Arial" w:hAnsi="Arial"/>
          <w:sz w:val="18"/>
          <w:szCs w:val="18"/>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80" w:lineRule="exact"/>
        <w:rPr>
          <w:rFonts w:ascii="Arial" w:cs="Arial" w:eastAsia="Arial" w:hAnsi="Arial"/>
          <w:sz w:val="18"/>
          <w:szCs w:val="18"/>
          <w:b w:val="1"/>
          <w:bCs w:val="1"/>
          <w:color w:val="auto"/>
        </w:rPr>
      </w:pPr>
    </w:p>
    <w:p>
      <w:pPr>
        <w:jc w:val="both"/>
        <w:ind w:firstLine="921"/>
        <w:spacing w:after="0" w:line="276" w:lineRule="auto"/>
        <w:tabs>
          <w:tab w:leader="none" w:pos="1380" w:val="left"/>
        </w:tabs>
        <w:numPr>
          <w:ilvl w:val="1"/>
          <w:numId w:val="120"/>
        </w:numPr>
        <w:rPr>
          <w:rFonts w:ascii="Arial" w:cs="Arial" w:eastAsia="Arial" w:hAnsi="Arial"/>
          <w:sz w:val="17"/>
          <w:szCs w:val="17"/>
          <w:b w:val="1"/>
          <w:bCs w:val="1"/>
          <w:color w:val="auto"/>
        </w:rPr>
      </w:pPr>
      <w:r>
        <w:rPr>
          <w:rFonts w:ascii="Arial" w:cs="Arial" w:eastAsia="Arial" w:hAnsi="Arial"/>
          <w:sz w:val="17"/>
          <w:szCs w:val="17"/>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7"/>
          <w:szCs w:val="17"/>
          <w:b w:val="1"/>
          <w:bCs w:val="1"/>
          <w:i w:val="1"/>
          <w:iCs w:val="1"/>
          <w:color w:val="auto"/>
        </w:rPr>
        <w:t>Acquisition by Sale of Assets</w:t>
      </w:r>
      <w:r>
        <w:rPr>
          <w:rFonts w:ascii="Arial" w:cs="Arial" w:eastAsia="Arial" w:hAnsi="Arial"/>
          <w:sz w:val="17"/>
          <w:szCs w:val="17"/>
          <w:color w:val="auto"/>
        </w:rPr>
        <w:t>”).</w:t>
      </w:r>
    </w:p>
    <w:p>
      <w:pPr>
        <w:spacing w:after="0" w:line="169"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For purposes of subsections </w:t>
      </w:r>
      <w:r>
        <w:rPr>
          <w:rFonts w:ascii="Arial" w:cs="Arial" w:eastAsia="Arial" w:hAnsi="Arial"/>
          <w:sz w:val="17"/>
          <w:szCs w:val="17"/>
          <w:b w:val="1"/>
          <w:bCs w:val="1"/>
          <w:color w:val="auto"/>
        </w:rPr>
        <w:t>(i)</w:t>
      </w:r>
      <w:r>
        <w:rPr>
          <w:rFonts w:ascii="Arial" w:cs="Arial" w:eastAsia="Arial" w:hAnsi="Arial"/>
          <w:sz w:val="17"/>
          <w:szCs w:val="17"/>
          <w:color w:val="auto"/>
        </w:rPr>
        <w:t xml:space="preserve"> and </w:t>
      </w:r>
      <w:r>
        <w:rPr>
          <w:rFonts w:ascii="Arial" w:cs="Arial" w:eastAsia="Arial" w:hAnsi="Arial"/>
          <w:sz w:val="17"/>
          <w:szCs w:val="17"/>
          <w:b w:val="1"/>
          <w:bCs w:val="1"/>
          <w:color w:val="auto"/>
        </w:rPr>
        <w:t>(ii)</w:t>
      </w:r>
      <w:r>
        <w:rPr>
          <w:rFonts w:ascii="Arial" w:cs="Arial" w:eastAsia="Arial" w:hAnsi="Arial"/>
          <w:sz w:val="17"/>
          <w:szCs w:val="17"/>
          <w:color w:val="auto"/>
        </w:rPr>
        <w:t>, (A) the acquisition of additional stock by any one person, or more than one person acting as a group, who is considered to own fifty percent (50%) or more of the total voting power of the stock of the Company immediately prior to such acquisition will not be considered an Acquisition,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an Acquisition.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68" w:lineRule="exact"/>
        <w:rPr>
          <w:sz w:val="20"/>
          <w:szCs w:val="20"/>
          <w:color w:val="auto"/>
        </w:rPr>
      </w:pPr>
    </w:p>
    <w:p>
      <w:pPr>
        <w:jc w:val="both"/>
        <w:ind w:firstLine="464"/>
        <w:spacing w:after="0" w:line="259" w:lineRule="auto"/>
        <w:tabs>
          <w:tab w:leader="none" w:pos="883"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78" w:lineRule="exact"/>
        <w:rPr>
          <w:rFonts w:ascii="Arial" w:cs="Arial" w:eastAsia="Arial" w:hAnsi="Arial"/>
          <w:sz w:val="18"/>
          <w:szCs w:val="18"/>
          <w:b w:val="1"/>
          <w:bCs w:val="1"/>
          <w:color w:val="auto"/>
        </w:rPr>
      </w:pPr>
    </w:p>
    <w:p>
      <w:pPr>
        <w:ind w:left="840" w:hanging="376"/>
        <w:spacing w:after="0"/>
        <w:tabs>
          <w:tab w:leader="none" w:pos="840"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jc w:val="both"/>
        <w:ind w:firstLine="464"/>
        <w:spacing w:after="0" w:line="274" w:lineRule="auto"/>
        <w:tabs>
          <w:tab w:leader="none" w:pos="938" w:val="left"/>
        </w:tabs>
        <w:numPr>
          <w:ilvl w:val="1"/>
          <w:numId w:val="12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(i) Participant’s conviction for, or guilty plea to, a felony, (ii) Participant’s commission of any intentional act of fraud or dishonesty against the Company that results in material harm to the business of the Company, its Parent (if any) and its Subsidiaries, taken as a whole,</w:t>
      </w:r>
    </w:p>
    <w:p>
      <w:pPr>
        <w:jc w:val="both"/>
        <w:ind w:firstLine="8"/>
        <w:spacing w:after="0" w:line="255" w:lineRule="auto"/>
        <w:tabs>
          <w:tab w:leader="none" w:pos="3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material breach by Participant of any provision of any written agreement between the Company or any Parent or Subsidiary of the Company and Participant regarding the terms of Participant’s service to the Company or a Parent or Subsidiary of the Company, including without limitation, any material breach of any applicable</w:t>
      </w:r>
    </w:p>
    <w:p>
      <w:pPr>
        <w:sectPr>
          <w:pgSz w:w="11900" w:h="16838" w:orient="portrait"/>
          <w:cols w:equalWidth="0" w:num="1">
            <w:col w:w="11420"/>
          </w:cols>
          <w:pgMar w:left="240" w:top="274" w:right="239" w:bottom="1440" w:gutter="0" w:footer="0" w:header="0"/>
        </w:sectPr>
      </w:pPr>
    </w:p>
    <w:bookmarkStart w:id="216" w:name="page217"/>
    <w:bookmarkEnd w:id="216"/>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 assignment and confidentiality agreement or similar agreement between the Company or a Parent or Subsidiary of the Company and Participant, in each case that results in material harm to the business of the Company, its Parent (if any) and its Subsidiaries, taken as a whole, or (iv) any other intentional, material misconduct by Participant in the performance of his duties and responsibilities to the Company that results in material harm to the business of the Company, its Parent (if any) and its Subsidiaries, taken as a whole; provided that any action, breach, or misconduct described in clauses (ii) through (iv) will constitute “Cause” only if such action, breach or misconduct continues after the Company has provided Participant with written notice thereof and thirty</w:t>
      </w:r>
    </w:p>
    <w:p>
      <w:pPr>
        <w:spacing w:after="0" w:line="2" w:lineRule="exact"/>
        <w:rPr>
          <w:sz w:val="20"/>
          <w:szCs w:val="20"/>
          <w:color w:val="auto"/>
        </w:rPr>
      </w:pPr>
    </w:p>
    <w:p>
      <w:pPr>
        <w:ind w:left="360" w:hanging="352"/>
        <w:spacing w:after="0"/>
        <w:tabs>
          <w:tab w:leader="none" w:pos="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days to cure the same if such action, breach or misconduct is curable.</w:t>
      </w:r>
    </w:p>
    <w:p>
      <w:pPr>
        <w:spacing w:after="0" w:line="102" w:lineRule="exact"/>
        <w:rPr>
          <w:rFonts w:ascii="Arial" w:cs="Arial" w:eastAsia="Arial" w:hAnsi="Arial"/>
          <w:sz w:val="18"/>
          <w:szCs w:val="18"/>
          <w:color w:val="auto"/>
        </w:rPr>
      </w:pPr>
    </w:p>
    <w:p>
      <w:pPr>
        <w:ind w:left="860" w:hanging="396"/>
        <w:spacing w:after="0"/>
        <w:tabs>
          <w:tab w:leader="none" w:pos="86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Company’s Class A Common Stock, $0.00001 par value per share.</w:t>
      </w:r>
    </w:p>
    <w:p>
      <w:pPr>
        <w:spacing w:after="0" w:line="117" w:lineRule="exact"/>
        <w:rPr>
          <w:rFonts w:ascii="Arial" w:cs="Arial" w:eastAsia="Arial" w:hAnsi="Arial"/>
          <w:sz w:val="18"/>
          <w:szCs w:val="18"/>
          <w:b w:val="1"/>
          <w:bCs w:val="1"/>
          <w:color w:val="auto"/>
        </w:rPr>
      </w:pPr>
    </w:p>
    <w:p>
      <w:pPr>
        <w:jc w:val="both"/>
        <w:ind w:firstLine="464"/>
        <w:spacing w:after="0" w:line="264" w:lineRule="auto"/>
        <w:tabs>
          <w:tab w:leader="none" w:pos="87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73" w:lineRule="exact"/>
        <w:rPr>
          <w:rFonts w:ascii="Arial" w:cs="Arial" w:eastAsia="Arial" w:hAnsi="Arial"/>
          <w:sz w:val="18"/>
          <w:szCs w:val="18"/>
          <w:b w:val="1"/>
          <w:bCs w:val="1"/>
          <w:color w:val="auto"/>
        </w:rPr>
      </w:pPr>
    </w:p>
    <w:p>
      <w:pPr>
        <w:ind w:right="20" w:firstLine="464"/>
        <w:spacing w:after="0" w:line="277" w:lineRule="auto"/>
        <w:tabs>
          <w:tab w:leader="none" w:pos="82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committee of one or more members of the Board created and appointed by the Board to administer this RSA Agreement, or if no committee is created and appointed, the Board.</w:t>
      </w:r>
    </w:p>
    <w:p>
      <w:pPr>
        <w:spacing w:after="0" w:line="62" w:lineRule="exact"/>
        <w:rPr>
          <w:rFonts w:ascii="Arial" w:cs="Arial" w:eastAsia="Arial" w:hAnsi="Arial"/>
          <w:sz w:val="18"/>
          <w:szCs w:val="18"/>
          <w:b w:val="1"/>
          <w:bCs w:val="1"/>
          <w:color w:val="auto"/>
        </w:rPr>
      </w:pPr>
    </w:p>
    <w:p>
      <w:pPr>
        <w:ind w:left="820" w:hanging="356"/>
        <w:spacing w:after="0"/>
        <w:tabs>
          <w:tab w:leader="none" w:pos="82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Dropbox, Inc., a Delaware corporation, or any successor corporation.</w:t>
      </w:r>
    </w:p>
    <w:p>
      <w:pPr>
        <w:spacing w:after="0" w:line="117" w:lineRule="exact"/>
        <w:rPr>
          <w:rFonts w:ascii="Arial" w:cs="Arial" w:eastAsia="Arial" w:hAnsi="Arial"/>
          <w:sz w:val="18"/>
          <w:szCs w:val="18"/>
          <w:b w:val="1"/>
          <w:bCs w:val="1"/>
          <w:color w:val="auto"/>
        </w:rPr>
      </w:pPr>
    </w:p>
    <w:p>
      <w:pPr>
        <w:ind w:left="860" w:hanging="396"/>
        <w:spacing w:after="0"/>
        <w:tabs>
          <w:tab w:leader="none" w:pos="86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Quarterly Vesting Date”</w:t>
      </w:r>
      <w:r>
        <w:rPr>
          <w:rFonts w:ascii="Arial" w:cs="Arial" w:eastAsia="Arial" w:hAnsi="Arial"/>
          <w:sz w:val="18"/>
          <w:szCs w:val="18"/>
          <w:color w:val="auto"/>
        </w:rPr>
        <w:t xml:space="preserve"> means each of February 15, May 15, August 15, and November 15.</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1"/>
          <w:numId w:val="1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being engaged by the Company or a Parent or Subsidiary to render services to such entity, including as an advisor.</w:t>
      </w:r>
    </w:p>
    <w:p>
      <w:pPr>
        <w:spacing w:after="0" w:line="128" w:lineRule="exact"/>
        <w:rPr>
          <w:rFonts w:ascii="Arial" w:cs="Arial" w:eastAsia="Arial" w:hAnsi="Arial"/>
          <w:sz w:val="17"/>
          <w:szCs w:val="17"/>
          <w:b w:val="1"/>
          <w:bCs w:val="1"/>
          <w:color w:val="auto"/>
        </w:rPr>
      </w:pPr>
    </w:p>
    <w:p>
      <w:pPr>
        <w:ind w:left="920" w:hanging="456"/>
        <w:spacing w:after="0"/>
        <w:tabs>
          <w:tab w:leader="none" w:pos="92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left="860" w:hanging="396"/>
        <w:spacing w:after="0"/>
        <w:tabs>
          <w:tab w:leader="none" w:pos="86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117" w:lineRule="exact"/>
        <w:rPr>
          <w:rFonts w:ascii="Arial" w:cs="Arial" w:eastAsia="Arial" w:hAnsi="Arial"/>
          <w:sz w:val="18"/>
          <w:szCs w:val="18"/>
          <w:b w:val="1"/>
          <w:bCs w:val="1"/>
          <w:color w:val="auto"/>
        </w:rPr>
      </w:pPr>
    </w:p>
    <w:p>
      <w:pPr>
        <w:jc w:val="both"/>
        <w:ind w:firstLine="464"/>
        <w:spacing w:after="0" w:line="259" w:lineRule="auto"/>
        <w:tabs>
          <w:tab w:leader="none" w:pos="968"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being employed by the Company or any Parent or Subsidiary, even while also providing services in another capacity, including as an executive officer or Director. Nevertheless, neither service as a Director nor payment of a director’s fee by the Company shall be sufficient to constitute “employment” by the Company. An Employee will not cease to be such in the case of transfers between locations of the Company or between the Company, its Parent, any Subsidiary, or any successor.</w:t>
      </w:r>
    </w:p>
    <w:p>
      <w:pPr>
        <w:spacing w:after="0" w:line="78" w:lineRule="exact"/>
        <w:rPr>
          <w:rFonts w:ascii="Arial" w:cs="Arial" w:eastAsia="Arial" w:hAnsi="Arial"/>
          <w:sz w:val="18"/>
          <w:szCs w:val="18"/>
          <w:b w:val="1"/>
          <w:bCs w:val="1"/>
          <w:color w:val="auto"/>
        </w:rPr>
      </w:pPr>
    </w:p>
    <w:p>
      <w:pPr>
        <w:ind w:left="860" w:hanging="396"/>
        <w:spacing w:after="0"/>
        <w:tabs>
          <w:tab w:leader="none" w:pos="86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b w:val="1"/>
          <w:bCs w:val="1"/>
          <w:color w:val="auto"/>
        </w:rPr>
      </w:pPr>
    </w:p>
    <w:p>
      <w:pPr>
        <w:jc w:val="both"/>
        <w:ind w:firstLine="464"/>
        <w:spacing w:after="0" w:line="255" w:lineRule="auto"/>
        <w:tabs>
          <w:tab w:leader="none" w:pos="856"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(i) the Company’s removal of Participant from serving in the role as Chief Executive Officer of the Company or Executive Chairman of the Company (it being understood that Participant only needs to be serving in one of those roles at any point in time and that transitioning from one role to the other will not give rise to Participant’s right to resign for Good Reason hereunder); (ii) a material diminution in Participant’s authority, title, duties or responsibilities as in effect immediately prior to such reduction; (iii) the assignment to Participant of any duties or responsibilities that are inconsistent with the customary duties and responsibilities of Chief Executive Officer of the Company or Executive Chairman of the Company, as applicable; or (iv) a material breach by the Company of this Agreement.</w:t>
      </w:r>
    </w:p>
    <w:p>
      <w:pPr>
        <w:spacing w:after="0" w:line="85" w:lineRule="exact"/>
        <w:rPr>
          <w:rFonts w:ascii="Arial" w:cs="Arial" w:eastAsia="Arial" w:hAnsi="Arial"/>
          <w:sz w:val="18"/>
          <w:szCs w:val="18"/>
          <w:b w:val="1"/>
          <w:bCs w:val="1"/>
          <w:color w:val="auto"/>
        </w:rPr>
      </w:pPr>
    </w:p>
    <w:p>
      <w:pPr>
        <w:ind w:left="840" w:hanging="376"/>
        <w:spacing w:after="0"/>
        <w:tabs>
          <w:tab w:leader="none" w:pos="84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first date the Shares are traded on a Securities Exchange.</w:t>
      </w:r>
    </w:p>
    <w:p>
      <w:pPr>
        <w:sectPr>
          <w:pgSz w:w="11900" w:h="16838" w:orient="portrait"/>
          <w:cols w:equalWidth="0" w:num="1">
            <w:col w:w="11420"/>
          </w:cols>
          <w:pgMar w:left="240" w:top="274" w:right="239" w:bottom="1440" w:gutter="0" w:footer="0" w:header="0"/>
        </w:sectPr>
      </w:pPr>
    </w:p>
    <w:bookmarkStart w:id="217" w:name="page218"/>
    <w:bookmarkEnd w:id="217"/>
    <w:p>
      <w:pPr>
        <w:ind w:left="832" w:hanging="376"/>
        <w:spacing w:after="0"/>
        <w:tabs>
          <w:tab w:leader="none" w:pos="832"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17" w:lineRule="exact"/>
        <w:rPr>
          <w:rFonts w:ascii="Arial" w:cs="Arial" w:eastAsia="Arial" w:hAnsi="Arial"/>
          <w:sz w:val="18"/>
          <w:szCs w:val="18"/>
          <w:b w:val="1"/>
          <w:bCs w:val="1"/>
          <w:color w:val="auto"/>
        </w:rPr>
      </w:pPr>
    </w:p>
    <w:p>
      <w:pPr>
        <w:ind w:left="812" w:hanging="356"/>
        <w:spacing w:after="0"/>
        <w:tabs>
          <w:tab w:leader="none" w:pos="812"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8" w:firstLine="464"/>
        <w:spacing w:after="0" w:line="277" w:lineRule="auto"/>
        <w:tabs>
          <w:tab w:leader="none" w:pos="889"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“Securities Exchange</w:t>
      </w:r>
      <w:r>
        <w:rPr>
          <w:rFonts w:ascii="Arial" w:cs="Arial" w:eastAsia="Arial" w:hAnsi="Arial"/>
          <w:sz w:val="18"/>
          <w:szCs w:val="18"/>
          <w:color w:val="auto"/>
        </w:rPr>
        <w:t>” means an established national securities exchange or automated quotation system (e.g., the New York Stock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Nasdaq Global Select Market, or The Nasdaq Global Market).</w:t>
      </w:r>
    </w:p>
    <w:p>
      <w:pPr>
        <w:spacing w:after="0" w:line="62" w:lineRule="exact"/>
        <w:rPr>
          <w:rFonts w:ascii="Arial" w:cs="Arial" w:eastAsia="Arial" w:hAnsi="Arial"/>
          <w:sz w:val="18"/>
          <w:szCs w:val="18"/>
          <w:b w:val="1"/>
          <w:bCs w:val="1"/>
          <w:color w:val="auto"/>
        </w:rPr>
      </w:pPr>
    </w:p>
    <w:p>
      <w:pPr>
        <w:jc w:val="both"/>
        <w:ind w:left="-8" w:firstLine="464"/>
        <w:spacing w:after="0" w:line="259" w:lineRule="auto"/>
        <w:tabs>
          <w:tab w:leader="none" w:pos="838"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Condition</w:t>
      </w:r>
      <w:r>
        <w:rPr>
          <w:rFonts w:ascii="Arial" w:cs="Arial" w:eastAsia="Arial" w:hAnsi="Arial"/>
          <w:sz w:val="18"/>
          <w:szCs w:val="18"/>
          <w:color w:val="auto"/>
        </w:rPr>
        <w:t>” means Participant continuously holding the title of either Chief Executive Officer of the Company or Executive Chairman of the Company. In case of any dispute as to whether Participant fails to meet the Service Condition, the Committee shall have sole discretion to make this determination and the effective date of such failure (in each case, so long as such determination and effective date are reasonable), and such determination shall be binding on the Company, Participant and their successors.</w:t>
      </w:r>
    </w:p>
    <w:p>
      <w:pPr>
        <w:spacing w:after="0" w:line="78" w:lineRule="exact"/>
        <w:rPr>
          <w:rFonts w:ascii="Arial" w:cs="Arial" w:eastAsia="Arial" w:hAnsi="Arial"/>
          <w:sz w:val="18"/>
          <w:szCs w:val="18"/>
          <w:b w:val="1"/>
          <w:bCs w:val="1"/>
          <w:color w:val="auto"/>
        </w:rPr>
      </w:pPr>
    </w:p>
    <w:p>
      <w:pPr>
        <w:ind w:left="892" w:hanging="436"/>
        <w:spacing w:after="0"/>
        <w:tabs>
          <w:tab w:leader="none" w:pos="892"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Director or Consultant.</w:t>
      </w:r>
    </w:p>
    <w:p>
      <w:pPr>
        <w:spacing w:after="0" w:line="117" w:lineRule="exact"/>
        <w:rPr>
          <w:rFonts w:ascii="Arial" w:cs="Arial" w:eastAsia="Arial" w:hAnsi="Arial"/>
          <w:sz w:val="18"/>
          <w:szCs w:val="18"/>
          <w:b w:val="1"/>
          <w:bCs w:val="1"/>
          <w:color w:val="auto"/>
        </w:rPr>
      </w:pPr>
    </w:p>
    <w:p>
      <w:pPr>
        <w:ind w:left="852" w:hanging="396"/>
        <w:spacing w:after="0"/>
        <w:tabs>
          <w:tab w:leader="none" w:pos="852"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17" w:lineRule="exact"/>
        <w:rPr>
          <w:rFonts w:ascii="Arial" w:cs="Arial" w:eastAsia="Arial" w:hAnsi="Arial"/>
          <w:sz w:val="18"/>
          <w:szCs w:val="18"/>
          <w:b w:val="1"/>
          <w:bCs w:val="1"/>
          <w:color w:val="auto"/>
        </w:rPr>
      </w:pPr>
    </w:p>
    <w:p>
      <w:pPr>
        <w:jc w:val="both"/>
        <w:ind w:left="-8" w:firstLine="464"/>
        <w:spacing w:after="0" w:line="302" w:lineRule="auto"/>
        <w:tabs>
          <w:tab w:leader="none" w:pos="838"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Withholding Obligation”</w:t>
      </w:r>
      <w:r>
        <w:rPr>
          <w:rFonts w:ascii="Arial" w:cs="Arial" w:eastAsia="Arial" w:hAnsi="Arial"/>
          <w:sz w:val="16"/>
          <w:szCs w:val="16"/>
          <w:color w:val="auto"/>
        </w:rPr>
        <w:t xml:space="preserve"> means the maximum statutory tax rate applicable to Participant that the Company determines under applicable law that it is able to withhold for federal, state, and local and foreign income, social insurance, payroll, employment and any other taxes applicable to Participant arising from the vesting of this Award without resulting in adverse financial accounting treatment for the Company, as determined by the Company; provided, however, that “Tax Withholding Obligation” shall in no event be less than any minimum amount required by applicable law.</w:t>
      </w:r>
    </w:p>
    <w:p>
      <w:pPr>
        <w:spacing w:after="0" w:line="46" w:lineRule="exact"/>
        <w:rPr>
          <w:rFonts w:ascii="Arial" w:cs="Arial" w:eastAsia="Arial" w:hAnsi="Arial"/>
          <w:sz w:val="16"/>
          <w:szCs w:val="16"/>
          <w:b w:val="1"/>
          <w:bCs w:val="1"/>
          <w:color w:val="auto"/>
        </w:rPr>
      </w:pPr>
    </w:p>
    <w:p>
      <w:pPr>
        <w:jc w:val="both"/>
        <w:ind w:left="-8" w:firstLine="464"/>
        <w:spacing w:after="0" w:line="264" w:lineRule="auto"/>
        <w:tabs>
          <w:tab w:leader="none" w:pos="923"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means the next Company Quarterly Vesting Date to occur following such Achievement Date; provided, however, that if an Achievement Date occurs on or within forty-five (45) calendar days prior to the next Company Quarterly Vesting Date, the Vesting Date shall mean the second Company Quarterly Vesting Date following that Achievement Date.</w:t>
      </w:r>
    </w:p>
    <w:p>
      <w:pPr>
        <w:spacing w:after="0" w:line="69" w:lineRule="exact"/>
        <w:rPr>
          <w:rFonts w:ascii="Arial" w:cs="Arial" w:eastAsia="Arial" w:hAnsi="Arial"/>
          <w:sz w:val="18"/>
          <w:szCs w:val="18"/>
          <w:b w:val="1"/>
          <w:bCs w:val="1"/>
          <w:color w:val="auto"/>
        </w:rPr>
      </w:pPr>
    </w:p>
    <w:p>
      <w:pPr>
        <w:jc w:val="both"/>
        <w:ind w:left="-8" w:firstLine="8"/>
        <w:spacing w:after="0" w:line="266" w:lineRule="auto"/>
        <w:tabs>
          <w:tab w:leader="none" w:pos="33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The Company hereby grants to Participant for past services and as a separate incentive in connection with his future services and not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salary or other compensation for his services, this Award subject to all of the terms and conditions in this RSA Agreement. The issuance of this Award to Participant has been approved by the Board.</w:t>
      </w:r>
    </w:p>
    <w:p>
      <w:pPr>
        <w:spacing w:after="0" w:line="81" w:lineRule="exact"/>
        <w:rPr>
          <w:rFonts w:ascii="Arial" w:cs="Arial" w:eastAsia="Arial" w:hAnsi="Arial"/>
          <w:sz w:val="18"/>
          <w:szCs w:val="18"/>
          <w:b w:val="1"/>
          <w:bCs w:val="1"/>
          <w:color w:val="auto"/>
        </w:rPr>
      </w:pPr>
    </w:p>
    <w:p>
      <w:pPr>
        <w:ind w:left="312" w:hanging="312"/>
        <w:spacing w:after="0"/>
        <w:tabs>
          <w:tab w:leader="none" w:pos="31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Escrowof Shares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20" w:firstLine="464"/>
        <w:spacing w:after="0" w:line="308" w:lineRule="auto"/>
        <w:tabs>
          <w:tab w:leader="none" w:pos="832" w:val="left"/>
        </w:tabs>
        <w:numPr>
          <w:ilvl w:val="1"/>
          <w:numId w:val="125"/>
        </w:numPr>
        <w:rPr>
          <w:rFonts w:ascii="Arial" w:cs="Arial" w:eastAsia="Arial" w:hAnsi="Arial"/>
          <w:sz w:val="17"/>
          <w:szCs w:val="17"/>
          <w:b w:val="1"/>
          <w:bCs w:val="1"/>
          <w:color w:val="auto"/>
        </w:rPr>
      </w:pPr>
      <w:r>
        <w:rPr>
          <w:rFonts w:ascii="Arial" w:cs="Arial" w:eastAsia="Arial" w:hAnsi="Arial"/>
          <w:sz w:val="17"/>
          <w:szCs w:val="17"/>
          <w:color w:val="auto"/>
        </w:rPr>
        <w:t>All Shares subject to this Award will, upon execution of this RSA Agreement, be delivered and deposited with an escrow holder designated by the Company (the “</w:t>
      </w:r>
      <w:r>
        <w:rPr>
          <w:rFonts w:ascii="Arial" w:cs="Arial" w:eastAsia="Arial" w:hAnsi="Arial"/>
          <w:sz w:val="17"/>
          <w:szCs w:val="17"/>
          <w:b w:val="1"/>
          <w:bCs w:val="1"/>
          <w:i w:val="1"/>
          <w:iCs w:val="1"/>
          <w:color w:val="auto"/>
        </w:rPr>
        <w:t>Escrow Holder</w:t>
      </w:r>
      <w:r>
        <w:rPr>
          <w:rFonts w:ascii="Arial" w:cs="Arial" w:eastAsia="Arial" w:hAnsi="Arial"/>
          <w:sz w:val="17"/>
          <w:szCs w:val="17"/>
          <w:color w:val="auto"/>
        </w:rPr>
        <w:t>”). The Shares subject to this Award will be held by the Escrow Holder until the Expiration Date.</w:t>
      </w:r>
    </w:p>
    <w:p>
      <w:pPr>
        <w:spacing w:after="0" w:line="38" w:lineRule="exact"/>
        <w:rPr>
          <w:rFonts w:ascii="Arial" w:cs="Arial" w:eastAsia="Arial" w:hAnsi="Arial"/>
          <w:sz w:val="17"/>
          <w:szCs w:val="17"/>
          <w:b w:val="1"/>
          <w:bCs w:val="1"/>
          <w:color w:val="auto"/>
        </w:rPr>
      </w:pPr>
    </w:p>
    <w:p>
      <w:pPr>
        <w:ind w:left="-8" w:right="20" w:firstLine="464"/>
        <w:spacing w:after="0" w:line="277" w:lineRule="auto"/>
        <w:tabs>
          <w:tab w:leader="none" w:pos="860" w:val="left"/>
        </w:tabs>
        <w:numPr>
          <w:ilvl w:val="1"/>
          <w:numId w:val="125"/>
        </w:numPr>
        <w:rPr>
          <w:rFonts w:ascii="Arial" w:cs="Arial" w:eastAsia="Arial" w:hAnsi="Arial"/>
          <w:sz w:val="18"/>
          <w:szCs w:val="18"/>
          <w:b w:val="1"/>
          <w:bCs w:val="1"/>
          <w:color w:val="auto"/>
        </w:rPr>
      </w:pPr>
      <w:r>
        <w:rPr>
          <w:rFonts w:ascii="Arial" w:cs="Arial" w:eastAsia="Arial" w:hAnsi="Arial"/>
          <w:sz w:val="18"/>
          <w:szCs w:val="18"/>
          <w:color w:val="auto"/>
        </w:rPr>
        <w:t>The Escrow Holder will not be liable for any act it may do or omit to do with respect to holding the Shares subject to this Award in escrow while acting in good faith and in the exercise of its judgment.</w:t>
      </w:r>
    </w:p>
    <w:p>
      <w:pPr>
        <w:spacing w:after="0" w:line="62" w:lineRule="exact"/>
        <w:rPr>
          <w:rFonts w:ascii="Arial" w:cs="Arial" w:eastAsia="Arial" w:hAnsi="Arial"/>
          <w:sz w:val="18"/>
          <w:szCs w:val="18"/>
          <w:b w:val="1"/>
          <w:bCs w:val="1"/>
          <w:color w:val="auto"/>
        </w:rPr>
      </w:pPr>
    </w:p>
    <w:p>
      <w:pPr>
        <w:jc w:val="both"/>
        <w:ind w:left="-8" w:firstLine="464"/>
        <w:spacing w:after="0" w:line="257" w:lineRule="auto"/>
        <w:tabs>
          <w:tab w:leader="none" w:pos="876" w:val="left"/>
        </w:tabs>
        <w:numPr>
          <w:ilvl w:val="1"/>
          <w:numId w:val="125"/>
        </w:numPr>
        <w:rPr>
          <w:rFonts w:ascii="Arial" w:cs="Arial" w:eastAsia="Arial" w:hAnsi="Arial"/>
          <w:sz w:val="18"/>
          <w:szCs w:val="18"/>
          <w:b w:val="1"/>
          <w:bCs w:val="1"/>
          <w:color w:val="auto"/>
        </w:rPr>
      </w:pPr>
      <w:r>
        <w:rPr>
          <w:rFonts w:ascii="Arial" w:cs="Arial" w:eastAsia="Arial" w:hAnsi="Arial"/>
          <w:sz w:val="18"/>
          <w:szCs w:val="18"/>
          <w:color w:val="auto"/>
        </w:rPr>
        <w:t>Upon the Expiration Date, the Escrow Holder, upon receipt of written notice of such expiration, will take all steps necessary to accomplish the transfer of unvested Shares, if any, subject to this Award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if any, subject to this Award to the Company upon such expiration.</w:t>
      </w:r>
    </w:p>
    <w:p>
      <w:pPr>
        <w:sectPr>
          <w:pgSz w:w="11900" w:h="16838" w:orient="portrait"/>
          <w:cols w:equalWidth="0" w:num="1">
            <w:col w:w="11412"/>
          </w:cols>
          <w:pgMar w:left="248" w:top="274" w:right="239" w:bottom="1440" w:gutter="0" w:footer="0" w:header="0"/>
        </w:sectPr>
      </w:pPr>
    </w:p>
    <w:bookmarkStart w:id="218" w:name="page219"/>
    <w:bookmarkEnd w:id="218"/>
    <w:p>
      <w:pPr>
        <w:ind w:left="-8" w:right="20" w:firstLine="464"/>
        <w:spacing w:after="0" w:line="277" w:lineRule="auto"/>
        <w:tabs>
          <w:tab w:leader="none" w:pos="857" w:val="left"/>
        </w:tabs>
        <w:numPr>
          <w:ilvl w:val="1"/>
          <w:numId w:val="12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Escrow Holder will take all steps necessary to accomplish the transfer of Shares subject to this Award to Participant after they vest following Participant’s request that the Escrow Holder do so.</w:t>
      </w:r>
    </w:p>
    <w:p>
      <w:pPr>
        <w:spacing w:after="0" w:line="62" w:lineRule="exact"/>
        <w:rPr>
          <w:rFonts w:ascii="Arial" w:cs="Arial" w:eastAsia="Arial" w:hAnsi="Arial"/>
          <w:sz w:val="18"/>
          <w:szCs w:val="18"/>
          <w:b w:val="1"/>
          <w:bCs w:val="1"/>
          <w:color w:val="auto"/>
        </w:rPr>
      </w:pPr>
    </w:p>
    <w:p>
      <w:pPr>
        <w:ind w:left="-8" w:firstLine="464"/>
        <w:spacing w:after="0" w:line="308" w:lineRule="auto"/>
        <w:tabs>
          <w:tab w:leader="none" w:pos="834" w:val="left"/>
        </w:tabs>
        <w:numPr>
          <w:ilvl w:val="1"/>
          <w:numId w:val="126"/>
        </w:numPr>
        <w:rPr>
          <w:rFonts w:ascii="Arial" w:cs="Arial" w:eastAsia="Arial" w:hAnsi="Arial"/>
          <w:sz w:val="17"/>
          <w:szCs w:val="17"/>
          <w:b w:val="1"/>
          <w:bCs w:val="1"/>
          <w:color w:val="auto"/>
        </w:rPr>
      </w:pPr>
      <w:r>
        <w:rPr>
          <w:rFonts w:ascii="Arial" w:cs="Arial" w:eastAsia="Arial" w:hAnsi="Arial"/>
          <w:sz w:val="17"/>
          <w:szCs w:val="17"/>
          <w:color w:val="auto"/>
        </w:rPr>
        <w:t>Subject to the terms hereof, Participant will have all the rights of a stockholder with respect to the Shares while they are held in escrow, including, without limitation, the right to vote the Shares and to receive any cash dividends declared thereon (but subject to Section 3(f)).</w:t>
      </w:r>
    </w:p>
    <w:p>
      <w:pPr>
        <w:spacing w:after="0" w:line="38" w:lineRule="exact"/>
        <w:rPr>
          <w:rFonts w:ascii="Arial" w:cs="Arial" w:eastAsia="Arial" w:hAnsi="Arial"/>
          <w:sz w:val="17"/>
          <w:szCs w:val="17"/>
          <w:b w:val="1"/>
          <w:bCs w:val="1"/>
          <w:color w:val="auto"/>
        </w:rPr>
      </w:pPr>
    </w:p>
    <w:p>
      <w:pPr>
        <w:jc w:val="both"/>
        <w:ind w:left="-8" w:firstLine="464"/>
        <w:spacing w:after="0" w:line="290" w:lineRule="auto"/>
        <w:tabs>
          <w:tab w:leader="none" w:pos="839" w:val="left"/>
        </w:tabs>
        <w:numPr>
          <w:ilvl w:val="1"/>
          <w:numId w:val="126"/>
        </w:numPr>
        <w:rPr>
          <w:rFonts w:ascii="Arial" w:cs="Arial" w:eastAsia="Arial" w:hAnsi="Arial"/>
          <w:sz w:val="16"/>
          <w:szCs w:val="16"/>
          <w:b w:val="1"/>
          <w:bCs w:val="1"/>
          <w:color w:val="auto"/>
        </w:rPr>
      </w:pPr>
      <w:r>
        <w:rPr>
          <w:rFonts w:ascii="Arial" w:cs="Arial" w:eastAsia="Arial" w:hAnsi="Arial"/>
          <w:sz w:val="16"/>
          <w:szCs w:val="16"/>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subject to this Award will be increased, reduced or otherwise changed, and by virtue of any such change Participant will in his or her capacity as owner of unvested Shares subject to this Award be entitled to new or additional or different shares of stock, cash or securities (other than rights or warrants to purchase securities); such new or additional or different shares, cash or securities will thereupon be considered to be unvested Shares subject to this and will be subject to all of the conditions and restrictions which were applicable to the unvested Shares subject this Award; provided, however, that fractions of a Share will not be issued but will either be paid in cash at the fair market value of such fraction of a Share or will be rounded down to the nearest whole Share, as determined by the Committee.</w:t>
      </w:r>
    </w:p>
    <w:p>
      <w:pPr>
        <w:spacing w:after="0" w:line="54" w:lineRule="exact"/>
        <w:rPr>
          <w:rFonts w:ascii="Arial" w:cs="Arial" w:eastAsia="Arial" w:hAnsi="Arial"/>
          <w:sz w:val="16"/>
          <w:szCs w:val="16"/>
          <w:b w:val="1"/>
          <w:bCs w:val="1"/>
          <w:color w:val="auto"/>
        </w:rPr>
      </w:pPr>
    </w:p>
    <w:p>
      <w:pPr>
        <w:jc w:val="both"/>
        <w:ind w:left="-8" w:firstLine="8"/>
        <w:spacing w:after="0" w:line="261" w:lineRule="auto"/>
        <w:tabs>
          <w:tab w:leader="none" w:pos="347"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Schedule</w:t>
      </w:r>
      <w:r>
        <w:rPr>
          <w:rFonts w:ascii="Arial" w:cs="Arial" w:eastAsia="Arial" w:hAnsi="Arial"/>
          <w:sz w:val="18"/>
          <w:szCs w:val="18"/>
          <w:color w:val="auto"/>
        </w:rPr>
        <w:t>. Except as provided in Section 5, and subject to Section 6, the Shares subject to this Award will vest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set forth in the Notice of Grant of Restricted Stock Award and Exhibit A. Shares subject to this Award scheduled to vest on a certain date or upon the occurrence of a certain condition will not vest in accordance with any of the provisions of this RSA Agreement and Exhibit A, unless Participant has continuously satisfied the Service Condition from the Grant Date until the date such vesting occurs.</w:t>
      </w:r>
    </w:p>
    <w:p>
      <w:pPr>
        <w:spacing w:after="0" w:line="71" w:lineRule="exact"/>
        <w:rPr>
          <w:rFonts w:ascii="Arial" w:cs="Arial" w:eastAsia="Arial" w:hAnsi="Arial"/>
          <w:sz w:val="18"/>
          <w:szCs w:val="18"/>
          <w:b w:val="1"/>
          <w:bCs w:val="1"/>
          <w:color w:val="auto"/>
        </w:rPr>
      </w:pPr>
    </w:p>
    <w:p>
      <w:pPr>
        <w:jc w:val="both"/>
        <w:ind w:left="-8" w:right="20" w:firstLine="8"/>
        <w:spacing w:after="0" w:line="266" w:lineRule="auto"/>
        <w:tabs>
          <w:tab w:leader="none" w:pos="307"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Discretion</w:t>
      </w:r>
      <w:r>
        <w:rPr>
          <w:rFonts w:ascii="Arial" w:cs="Arial" w:eastAsia="Arial" w:hAnsi="Arial"/>
          <w:sz w:val="18"/>
          <w:szCs w:val="18"/>
          <w:color w:val="auto"/>
        </w:rPr>
        <w:t>. The Committee, in its discretion, may accelerate the vesting of the balance, or some lesser portion of the balance, of the 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Award at any time. If so accelerated, such Shares subject to this Award will be considered as having vested as of the date specified by the Committee.</w:t>
      </w:r>
    </w:p>
    <w:p>
      <w:pPr>
        <w:spacing w:after="0" w:line="68" w:lineRule="exact"/>
        <w:rPr>
          <w:rFonts w:ascii="Arial" w:cs="Arial" w:eastAsia="Arial" w:hAnsi="Arial"/>
          <w:sz w:val="18"/>
          <w:szCs w:val="18"/>
          <w:b w:val="1"/>
          <w:bCs w:val="1"/>
          <w:color w:val="auto"/>
        </w:rPr>
      </w:pPr>
    </w:p>
    <w:p>
      <w:pPr>
        <w:jc w:val="both"/>
        <w:ind w:left="-8" w:firstLine="8"/>
        <w:spacing w:after="0" w:line="255" w:lineRule="auto"/>
        <w:tabs>
          <w:tab w:leader="none" w:pos="307"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 upon the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any Shares subject to this Award that may vest on an Acceleration Event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RSA Agreement, and notwithstanding any contrary provision of this RSA Agreement, the balance of the Shares subject to this Award that have not vested as of the Expiration Date will be forfeited and automatically transferred to and reacquired by the Company at no cost to the Company and Participant will have no further rights thereunder.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subject to this Award to the Company upon the Expiration Date.</w:t>
      </w:r>
    </w:p>
    <w:p>
      <w:pPr>
        <w:spacing w:after="0" w:line="81" w:lineRule="exact"/>
        <w:rPr>
          <w:rFonts w:ascii="Arial" w:cs="Arial" w:eastAsia="Arial" w:hAnsi="Arial"/>
          <w:sz w:val="18"/>
          <w:szCs w:val="18"/>
          <w:b w:val="1"/>
          <w:bCs w:val="1"/>
          <w:color w:val="auto"/>
        </w:rPr>
      </w:pPr>
    </w:p>
    <w:p>
      <w:pPr>
        <w:jc w:val="both"/>
        <w:ind w:left="-8" w:firstLine="8"/>
        <w:spacing w:after="0" w:line="261" w:lineRule="auto"/>
        <w:tabs>
          <w:tab w:leader="none" w:pos="3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of Participant</w:t>
      </w:r>
      <w:r>
        <w:rPr>
          <w:rFonts w:ascii="Arial" w:cs="Arial" w:eastAsia="Arial" w:hAnsi="Arial"/>
          <w:sz w:val="18"/>
          <w:szCs w:val="18"/>
          <w:color w:val="auto"/>
        </w:rPr>
        <w:t>. Any distribution or delivery to be made to Participant under this RSA Agreement will, if Participant is then deceased, be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1412"/>
          </w:cols>
          <w:pgMar w:left="248" w:top="274" w:right="239" w:bottom="1440" w:gutter="0" w:footer="0" w:header="0"/>
        </w:sectPr>
      </w:pPr>
    </w:p>
    <w:bookmarkStart w:id="219" w:name="page220"/>
    <w:bookmarkEnd w:id="219"/>
    <w:p>
      <w:pPr>
        <w:ind w:left="320" w:hanging="312"/>
        <w:spacing w:after="0"/>
        <w:tabs>
          <w:tab w:leader="none" w:pos="3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TaxWithholding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firstLine="464"/>
        <w:spacing w:after="0" w:line="285" w:lineRule="auto"/>
        <w:tabs>
          <w:tab w:leader="none" w:pos="873" w:val="left"/>
        </w:tabs>
        <w:numPr>
          <w:ilvl w:val="1"/>
          <w:numId w:val="128"/>
        </w:numPr>
        <w:rPr>
          <w:rFonts w:ascii="Arial" w:cs="Arial" w:eastAsia="Arial" w:hAnsi="Arial"/>
          <w:sz w:val="16"/>
          <w:szCs w:val="16"/>
          <w:b w:val="1"/>
          <w:bCs w:val="1"/>
          <w:color w:val="auto"/>
        </w:rPr>
      </w:pPr>
      <w:r>
        <w:rPr>
          <w:rFonts w:ascii="Arial" w:cs="Arial" w:eastAsia="Arial" w:hAnsi="Arial"/>
          <w:sz w:val="16"/>
          <w:szCs w:val="16"/>
          <w:u w:val="single" w:color="auto"/>
          <w:color w:val="auto"/>
        </w:rPr>
        <w:t>Default Method of Tax Withholding</w:t>
      </w:r>
      <w:r>
        <w:rPr>
          <w:rFonts w:ascii="Arial" w:cs="Arial" w:eastAsia="Arial" w:hAnsi="Arial"/>
          <w:sz w:val="16"/>
          <w:szCs w:val="16"/>
          <w:color w:val="auto"/>
        </w:rPr>
        <w:t>. On the first date following the IPO Date that is during an “open window period” (or term of similar import describing a period wherein Participant is not precluded by the Company from selling Shares on the open market) applicable to Participant on which Participant is not aware of any material nonpublic information about the Company or the shares of the Company, the Company shall request that Participant execute in writing, and Participant shall execute, the instructions set forth in Exhibit B attached hereto (the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xml:space="preserve">”) as the default means of satisfying Participant’s Tax Withholding Obligation. </w:t>
      </w:r>
      <w:r>
        <w:rPr>
          <w:rFonts w:ascii="Arial" w:cs="Arial" w:eastAsia="Arial" w:hAnsi="Arial"/>
          <w:sz w:val="16"/>
          <w:szCs w:val="16"/>
          <w:b w:val="1"/>
          <w:bCs w:val="1"/>
          <w:color w:val="auto"/>
        </w:rPr>
        <w:t>By accepting this Award, Participant expressly consents to the sale of Shares to be delivered under this</w:t>
      </w:r>
    </w:p>
    <w:p>
      <w:pPr>
        <w:spacing w:after="0" w:line="2" w:lineRule="exact"/>
        <w:rPr>
          <w:rFonts w:ascii="Arial" w:cs="Arial" w:eastAsia="Arial" w:hAnsi="Arial"/>
          <w:sz w:val="16"/>
          <w:szCs w:val="16"/>
          <w:b w:val="1"/>
          <w:bCs w:val="1"/>
          <w:color w:val="auto"/>
        </w:rPr>
      </w:pPr>
    </w:p>
    <w:p>
      <w:pPr>
        <w:jc w:val="both"/>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Award to cover Participant’s Tax Withholding Obligation (and any associated broker or other fees) pursuant to the 10b5-1 Plan and agrees and acknowledges that Participant may not satisfy Participant’s Tax Withholding Obligation by any means other than such sale of Shares, except as set forth in Section 8(b).</w:t>
      </w:r>
    </w:p>
    <w:p>
      <w:pPr>
        <w:spacing w:after="0" w:line="82" w:lineRule="exact"/>
        <w:rPr>
          <w:rFonts w:ascii="Arial" w:cs="Arial" w:eastAsia="Arial" w:hAnsi="Arial"/>
          <w:sz w:val="16"/>
          <w:szCs w:val="16"/>
          <w:b w:val="1"/>
          <w:bCs w:val="1"/>
          <w:color w:val="auto"/>
        </w:rPr>
      </w:pPr>
    </w:p>
    <w:p>
      <w:pPr>
        <w:jc w:val="both"/>
        <w:ind w:firstLine="464"/>
        <w:spacing w:after="0" w:line="291" w:lineRule="auto"/>
        <w:tabs>
          <w:tab w:leader="none" w:pos="883" w:val="left"/>
        </w:tabs>
        <w:numPr>
          <w:ilvl w:val="1"/>
          <w:numId w:val="128"/>
        </w:numPr>
        <w:rPr>
          <w:rFonts w:ascii="Arial" w:cs="Arial" w:eastAsia="Arial" w:hAnsi="Arial"/>
          <w:sz w:val="16"/>
          <w:szCs w:val="16"/>
          <w:b w:val="1"/>
          <w:bCs w:val="1"/>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If the Committee determines that Participant cannot satisfy Participant’s Tax Withholding Obligation through the default procedure described in clause (a), it may permit Participant to satisfy Participant’s Tax Withholding Obligation by (i) delivering to the Company Shares that Participant owns and that have vested with a fair market value equal to Participant’s Tax Withholding Obligation (in which case, the Company shall remit the amount that is required under applicable law to the appropriate governmental authorities in cash with the remainder, if any, to be promptly paid to Participant), (ii) electing to have the Company withhold otherwise deliverable Shares having a fair market value equal to Participant’s Tax Withholding Obligation (in which case, the Company shall remit the amount that is required under applicable law to the appropriate governmental authorities in cash with the remainder, if any, to be promptly paid to Participant), (iii) payment by Participant in cash, or (iv) such other means as the Committee deems appropriate.</w:t>
      </w:r>
    </w:p>
    <w:p>
      <w:pPr>
        <w:spacing w:after="0" w:line="59" w:lineRule="exact"/>
        <w:rPr>
          <w:rFonts w:ascii="Arial" w:cs="Arial" w:eastAsia="Arial" w:hAnsi="Arial"/>
          <w:sz w:val="16"/>
          <w:szCs w:val="16"/>
          <w:b w:val="1"/>
          <w:bCs w:val="1"/>
          <w:color w:val="auto"/>
        </w:rPr>
      </w:pPr>
    </w:p>
    <w:p>
      <w:pPr>
        <w:jc w:val="both"/>
        <w:ind w:firstLine="464"/>
        <w:spacing w:after="0" w:line="259" w:lineRule="auto"/>
        <w:tabs>
          <w:tab w:leader="none" w:pos="877" w:val="left"/>
        </w:tabs>
        <w:numPr>
          <w:ilvl w:val="1"/>
          <w:numId w:val="128"/>
        </w:numPr>
        <w:rPr>
          <w:rFonts w:ascii="Arial" w:cs="Arial" w:eastAsia="Arial" w:hAnsi="Arial"/>
          <w:sz w:val="18"/>
          <w:szCs w:val="18"/>
          <w:b w:val="1"/>
          <w:bCs w:val="1"/>
          <w:color w:val="auto"/>
        </w:rPr>
      </w:pPr>
      <w:r>
        <w:rPr>
          <w:rFonts w:ascii="Arial" w:cs="Arial" w:eastAsia="Arial" w:hAnsi="Arial"/>
          <w:sz w:val="18"/>
          <w:szCs w:val="18"/>
          <w:u w:val="single" w:color="auto"/>
          <w:color w:val="auto"/>
        </w:rPr>
        <w:t>Company’s Obligation to Deliver Shares</w:t>
      </w:r>
      <w:r>
        <w:rPr>
          <w:rFonts w:ascii="Arial" w:cs="Arial" w:eastAsia="Arial" w:hAnsi="Arial"/>
          <w:sz w:val="18"/>
          <w:szCs w:val="18"/>
          <w:color w:val="auto"/>
        </w:rPr>
        <w:t>. For clarification purposes, in no event will the Company issue Participant any Shares unless and until arrangements satisfactory to the Committee have been made for the payment of Participant’s Tax Withholding Obligation. If Participant fails to do so by the time they become due, Participant will permanently forfeit the Shares subject to this Award to which Participant’s Tax Withholding Obligation relates, as well as any right to receive Shares subject to this Award otherwise issuable hereunder.</w:t>
      </w:r>
    </w:p>
    <w:p>
      <w:pPr>
        <w:spacing w:after="0" w:line="74" w:lineRule="exact"/>
        <w:rPr>
          <w:rFonts w:ascii="Arial" w:cs="Arial" w:eastAsia="Arial" w:hAnsi="Arial"/>
          <w:sz w:val="18"/>
          <w:szCs w:val="18"/>
          <w:b w:val="1"/>
          <w:bCs w:val="1"/>
          <w:color w:val="auto"/>
        </w:rPr>
      </w:pPr>
    </w:p>
    <w:p>
      <w:pPr>
        <w:jc w:val="both"/>
        <w:ind w:firstLine="8"/>
        <w:spacing w:after="0" w:line="266" w:lineRule="auto"/>
        <w:tabs>
          <w:tab w:leader="none" w:pos="355"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there will be tax consequences in connection with this Award, including upon vesting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this Award and/or disposition of the Shares, if any, received in connection therewith, and Participant should consult a tax adviser regarding Participant’s tax obligations with respect to this Award.</w:t>
      </w:r>
    </w:p>
    <w:p>
      <w:pPr>
        <w:spacing w:after="0" w:line="68" w:lineRule="exact"/>
        <w:rPr>
          <w:rFonts w:ascii="Arial" w:cs="Arial" w:eastAsia="Arial" w:hAnsi="Arial"/>
          <w:sz w:val="18"/>
          <w:szCs w:val="18"/>
          <w:b w:val="1"/>
          <w:bCs w:val="1"/>
          <w:color w:val="auto"/>
        </w:rPr>
      </w:pPr>
    </w:p>
    <w:p>
      <w:pPr>
        <w:ind w:left="560" w:hanging="552"/>
        <w:spacing w:after="0"/>
        <w:tabs>
          <w:tab w:leader="none" w:pos="56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Participant agree that this Award is granted under and governed by this RSA Agreement. Participant:</w:t>
      </w:r>
    </w:p>
    <w:p>
      <w:pPr>
        <w:spacing w:after="0" w:line="38" w:lineRule="exact"/>
        <w:rPr>
          <w:rFonts w:ascii="Arial" w:cs="Arial" w:eastAsia="Arial" w:hAnsi="Arial"/>
          <w:sz w:val="17"/>
          <w:szCs w:val="17"/>
          <w:b w:val="1"/>
          <w:bCs w:val="1"/>
          <w:color w:val="auto"/>
        </w:rPr>
      </w:pPr>
    </w:p>
    <w:p>
      <w:pPr>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(i) acknowledges receipt of a copy of each of the foregoing documents, (ii) represents that Participant has carefully read and is familiar with their provisions, and (iii) hereby accepts this Award subject to all of the terms and conditions set forth herein.</w:t>
      </w:r>
    </w:p>
    <w:p>
      <w:pPr>
        <w:spacing w:after="0" w:line="71" w:lineRule="exact"/>
        <w:rPr>
          <w:rFonts w:ascii="Arial" w:cs="Arial" w:eastAsia="Arial" w:hAnsi="Arial"/>
          <w:sz w:val="17"/>
          <w:szCs w:val="17"/>
          <w:b w:val="1"/>
          <w:bCs w:val="1"/>
          <w:color w:val="auto"/>
        </w:rPr>
      </w:pPr>
    </w:p>
    <w:p>
      <w:pPr>
        <w:jc w:val="both"/>
        <w:ind w:firstLine="8"/>
        <w:spacing w:after="0" w:line="273" w:lineRule="auto"/>
        <w:tabs>
          <w:tab w:leader="none" w:pos="395"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is Not Transferable</w:t>
      </w:r>
      <w:r>
        <w:rPr>
          <w:rFonts w:ascii="Arial" w:cs="Arial" w:eastAsia="Arial" w:hAnsi="Arial"/>
          <w:sz w:val="17"/>
          <w:szCs w:val="17"/>
          <w:color w:val="auto"/>
        </w:rPr>
        <w:t>. Except for the escrow described in Section 3 or transfer of the Shares to the Company or its assignees contemplated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RSA Agreement, and except to the limited extent provided in Section 7, the unvested Shares subject to this Award and the rights and privileges conferred hereby will not be transferred, assigned, donated, encumbered, pledged or hypothecated in any way (whether by operation of law or otherwise) and will not be subject to sale under execution, attachment or similar process until such Shares shall have vested in accordance with the provisions of this RSA Agreement. Any attempt to transfer, assign, pledge, hypothecate or otherwise dispose of any unvested Shares subject to this Award, or any right or privilege conferred hereby, or upon any attempted sale under any execution, attachment or similar process, will be void and not be given effect and the Company will not be bound in any way to take any action to consummate or acknowledge the transaction.</w:t>
      </w:r>
    </w:p>
    <w:p>
      <w:pPr>
        <w:sectPr>
          <w:pgSz w:w="11900" w:h="16838" w:orient="portrait"/>
          <w:cols w:equalWidth="0" w:num="1">
            <w:col w:w="11420"/>
          </w:cols>
          <w:pgMar w:left="240" w:top="270" w:right="239" w:bottom="1440" w:gutter="0" w:footer="0" w:header="0"/>
        </w:sectPr>
      </w:pPr>
    </w:p>
    <w:bookmarkStart w:id="220" w:name="page221"/>
    <w:bookmarkEnd w:id="220"/>
    <w:p>
      <w:pPr>
        <w:jc w:val="both"/>
        <w:ind w:left="-8" w:firstLine="8"/>
        <w:spacing w:after="0" w:line="289" w:lineRule="auto"/>
        <w:tabs>
          <w:tab w:leader="none" w:pos="451"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on Transfer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limitation on transfer created by applicable securities laws, Participant shall not assign,</w:t>
      </w:r>
      <w:r>
        <w:rPr>
          <w:rFonts w:ascii="Arial" w:cs="Arial" w:eastAsia="Arial" w:hAnsi="Arial"/>
          <w:sz w:val="17"/>
          <w:szCs w:val="17"/>
          <w:b w:val="1"/>
          <w:bCs w:val="1"/>
          <w:color w:val="auto"/>
        </w:rPr>
        <w:t xml:space="preserve"> </w:t>
      </w:r>
      <w:r>
        <w:rPr>
          <w:rFonts w:ascii="Arial" w:cs="Arial" w:eastAsia="Arial" w:hAnsi="Arial"/>
          <w:sz w:val="17"/>
          <w:szCs w:val="17"/>
          <w:color w:val="auto"/>
        </w:rPr>
        <w:t>hypothecate, donate, encumber or otherwise dispose of the Shares or any interest in the Shares issued pursuant to this RSA Agreement except in compliance with the provisions of the Bylaws, the Company’s then current Insider Trading Policy, and applicable securities laws.</w:t>
      </w:r>
    </w:p>
    <w:p>
      <w:pPr>
        <w:spacing w:after="0" w:line="50" w:lineRule="exact"/>
        <w:rPr>
          <w:rFonts w:ascii="Arial" w:cs="Arial" w:eastAsia="Arial" w:hAnsi="Arial"/>
          <w:sz w:val="17"/>
          <w:szCs w:val="17"/>
          <w:b w:val="1"/>
          <w:bCs w:val="1"/>
          <w:color w:val="auto"/>
        </w:rPr>
      </w:pPr>
    </w:p>
    <w:p>
      <w:pPr>
        <w:jc w:val="both"/>
        <w:ind w:left="-8" w:firstLine="8"/>
        <w:spacing w:after="0" w:line="266" w:lineRule="auto"/>
        <w:tabs>
          <w:tab w:leader="none" w:pos="47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RSA Agreement, including the transfer restrictions of Sections 11 and 12, and the transferee shall acknowledge such restrictions in writing. Any sale or transfer of the Shares shall be void unless the provisions of this RSA Agreement are satisfied.</w:t>
      </w:r>
    </w:p>
    <w:p>
      <w:pPr>
        <w:spacing w:after="0" w:line="68" w:lineRule="exact"/>
        <w:rPr>
          <w:rFonts w:ascii="Arial" w:cs="Arial" w:eastAsia="Arial" w:hAnsi="Arial"/>
          <w:sz w:val="18"/>
          <w:szCs w:val="18"/>
          <w:b w:val="1"/>
          <w:bCs w:val="1"/>
          <w:color w:val="auto"/>
        </w:rPr>
      </w:pPr>
    </w:p>
    <w:p>
      <w:pPr>
        <w:jc w:val="both"/>
        <w:ind w:left="-8" w:firstLine="8"/>
        <w:spacing w:after="0" w:line="258" w:lineRule="auto"/>
        <w:tabs>
          <w:tab w:leader="none" w:pos="397"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color w:val="auto"/>
        </w:rPr>
        <w:t>. The Shares subject to this Award shall be subject to clawback or recoupment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clawback or recoupment policy adopted by the Board or required by law during the term during which Participant is a Service Provider that is applicable to executive officers, employees, directors or other service providers of the Company, and in addition to any other remedies available under such policy and applicable law may require the forfeiture of the Shares (whether vested or unvested) and the recoupment of any gains realized with respect to any Shares that had previously vest and delivered to Participant.</w:t>
      </w:r>
    </w:p>
    <w:p>
      <w:pPr>
        <w:spacing w:after="0" w:line="75" w:lineRule="exact"/>
        <w:rPr>
          <w:rFonts w:ascii="Arial" w:cs="Arial" w:eastAsia="Arial" w:hAnsi="Arial"/>
          <w:sz w:val="18"/>
          <w:szCs w:val="18"/>
          <w:b w:val="1"/>
          <w:bCs w:val="1"/>
          <w:color w:val="auto"/>
        </w:rPr>
      </w:pPr>
    </w:p>
    <w:p>
      <w:pPr>
        <w:jc w:val="both"/>
        <w:ind w:left="-8" w:firstLine="8"/>
        <w:spacing w:after="0" w:line="271" w:lineRule="auto"/>
        <w:tabs>
          <w:tab w:leader="none" w:pos="397"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issuance of Shares and, if applicable, any subsequent delivery of Shares upon release from escrow</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Section 3, will be subject to and conditioned upon compliance by the Company and Participant (including any written 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automated quotation system upon which the Shares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66" w:lineRule="exact"/>
        <w:rPr>
          <w:rFonts w:ascii="Arial" w:cs="Arial" w:eastAsia="Arial" w:hAnsi="Arial"/>
          <w:sz w:val="17"/>
          <w:szCs w:val="17"/>
          <w:b w:val="1"/>
          <w:bCs w:val="1"/>
          <w:color w:val="auto"/>
        </w:rPr>
      </w:pPr>
    </w:p>
    <w:p>
      <w:pPr>
        <w:jc w:val="both"/>
        <w:ind w:left="-8" w:firstLine="8"/>
        <w:spacing w:after="0" w:line="261" w:lineRule="auto"/>
        <w:tabs>
          <w:tab w:leader="none" w:pos="43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hereunder shall be subject to such stop transfer orders and other restrictions as the Committee may deem advisable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RSA Agreement or the rules, regulations, and other requirements of the U.S.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71" w:lineRule="exact"/>
        <w:rPr>
          <w:rFonts w:ascii="Arial" w:cs="Arial" w:eastAsia="Arial" w:hAnsi="Arial"/>
          <w:sz w:val="18"/>
          <w:szCs w:val="18"/>
          <w:b w:val="1"/>
          <w:bCs w:val="1"/>
          <w:color w:val="auto"/>
        </w:rPr>
      </w:pPr>
    </w:p>
    <w:p>
      <w:pPr>
        <w:jc w:val="both"/>
        <w:ind w:left="-8" w:firstLine="8"/>
        <w:spacing w:after="0" w:line="266" w:lineRule="auto"/>
        <w:tabs>
          <w:tab w:leader="none" w:pos="41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under this RSA Agreement. This RSA Agreement shall be binding upon and inure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benefit of the successors and assigns of the Company. Subject to the restrictions on transfer set forth herein, this RSA Agreement will be binding upon Participant and Participant’s heirs, executors, administrators, legal representatives, successors and assigns.</w:t>
      </w:r>
    </w:p>
    <w:p>
      <w:pPr>
        <w:spacing w:after="0" w:line="68" w:lineRule="exact"/>
        <w:rPr>
          <w:rFonts w:ascii="Arial" w:cs="Arial" w:eastAsia="Arial" w:hAnsi="Arial"/>
          <w:sz w:val="18"/>
          <w:szCs w:val="18"/>
          <w:b w:val="1"/>
          <w:bCs w:val="1"/>
          <w:color w:val="auto"/>
        </w:rPr>
      </w:pPr>
    </w:p>
    <w:p>
      <w:pPr>
        <w:jc w:val="both"/>
        <w:ind w:left="-8" w:firstLine="8"/>
        <w:spacing w:after="0" w:line="277" w:lineRule="auto"/>
        <w:tabs>
          <w:tab w:leader="none" w:pos="451"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RSA Agreement constitutes the entire agreement of the parties with respect to the subject matter 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RSA Agreement is determined by a court of law to be illegal or unenforceable, then such provision will be enforced to the maximum extent possible and the other provisions will remain fully effective and enforceable.</w:t>
      </w:r>
    </w:p>
    <w:p>
      <w:pPr>
        <w:sectPr>
          <w:pgSz w:w="11900" w:h="16838" w:orient="portrait"/>
          <w:cols w:equalWidth="0" w:num="1">
            <w:col w:w="11412"/>
          </w:cols>
          <w:pgMar w:left="248" w:top="270" w:right="239" w:bottom="1440" w:gutter="0" w:footer="0" w:header="0"/>
        </w:sectPr>
      </w:pPr>
    </w:p>
    <w:bookmarkStart w:id="221" w:name="page222"/>
    <w:bookmarkEnd w:id="221"/>
    <w:p>
      <w:pPr>
        <w:jc w:val="both"/>
        <w:ind w:firstLine="8"/>
        <w:spacing w:after="0" w:line="256" w:lineRule="auto"/>
        <w:tabs>
          <w:tab w:leader="none" w:pos="48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that in connection with any registration of the Company’s securities in connection with an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of the Company’s securities that, upon the request of the Company or the underwriters managing such initial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pacing w:after="0" w:line="79" w:lineRule="exact"/>
        <w:rPr>
          <w:rFonts w:ascii="Arial" w:cs="Arial" w:eastAsia="Arial" w:hAnsi="Arial"/>
          <w:sz w:val="18"/>
          <w:szCs w:val="18"/>
          <w:b w:val="1"/>
          <w:bCs w:val="1"/>
          <w:color w:val="auto"/>
        </w:rPr>
      </w:pPr>
    </w:p>
    <w:p>
      <w:pPr>
        <w:ind w:firstLine="8"/>
        <w:spacing w:after="0" w:line="313" w:lineRule="auto"/>
        <w:tabs>
          <w:tab w:leader="none" w:pos="459"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Rights as Employee, Director or Consultant</w:t>
      </w:r>
      <w:r>
        <w:rPr>
          <w:rFonts w:ascii="Arial" w:cs="Arial" w:eastAsia="Arial" w:hAnsi="Arial"/>
          <w:sz w:val="17"/>
          <w:szCs w:val="17"/>
          <w:color w:val="auto"/>
        </w:rPr>
        <w:t>. Nothing in this RSA Agreement shall affect in any manner whatsoever the right or power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 Parent or Subsidiary of the Company, to terminate Participant</w:t>
      </w:r>
      <w:r>
        <w:rPr>
          <w:rFonts w:ascii="Arial" w:cs="Arial" w:eastAsia="Arial" w:hAnsi="Arial"/>
          <w:sz w:val="14"/>
          <w:szCs w:val="14"/>
          <w:color w:val="auto"/>
        </w:rPr>
        <w:t>’</w:t>
      </w:r>
      <w:r>
        <w:rPr>
          <w:rFonts w:ascii="Arial" w:cs="Arial" w:eastAsia="Arial" w:hAnsi="Arial"/>
          <w:sz w:val="17"/>
          <w:szCs w:val="17"/>
          <w:color w:val="auto"/>
        </w:rPr>
        <w:t>s status as a Service Provider, for any reason, with or without cause.</w:t>
      </w:r>
    </w:p>
    <w:p>
      <w:pPr>
        <w:spacing w:after="0" w:line="30" w:lineRule="exact"/>
        <w:rPr>
          <w:rFonts w:ascii="Arial" w:cs="Arial" w:eastAsia="Arial" w:hAnsi="Arial"/>
          <w:sz w:val="17"/>
          <w:szCs w:val="17"/>
          <w:b w:val="1"/>
          <w:bCs w:val="1"/>
          <w:color w:val="auto"/>
        </w:rPr>
      </w:pPr>
    </w:p>
    <w:p>
      <w:pPr>
        <w:jc w:val="both"/>
        <w:ind w:firstLine="8"/>
        <w:spacing w:after="0" w:line="258" w:lineRule="auto"/>
        <w:tabs>
          <w:tab w:leader="none" w:pos="44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the receipt of this Award or notice required or permitted hereunder shall be given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effectively given (except to the extent that this RSA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75" w:lineRule="exact"/>
        <w:rPr>
          <w:rFonts w:ascii="Arial" w:cs="Arial" w:eastAsia="Arial" w:hAnsi="Arial"/>
          <w:sz w:val="18"/>
          <w:szCs w:val="18"/>
          <w:b w:val="1"/>
          <w:bCs w:val="1"/>
          <w:color w:val="auto"/>
        </w:rPr>
      </w:pPr>
    </w:p>
    <w:p>
      <w:pPr>
        <w:jc w:val="both"/>
        <w:ind w:firstLine="8"/>
        <w:spacing w:after="0" w:line="266" w:lineRule="auto"/>
        <w:tabs>
          <w:tab w:leader="none" w:pos="405"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color w:val="auto"/>
        </w:rPr>
        <w:t>. The Company may, in its sole discretion, decide to deliver any documents related to the Shares subject to this Award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means. Participant hereby consents to receive such documents by electronic delivery through any on-line or electronic system established and maintained by the Company or a third party designated by the Company.</w:t>
      </w:r>
    </w:p>
    <w:p>
      <w:pPr>
        <w:spacing w:after="0" w:line="68" w:lineRule="exact"/>
        <w:rPr>
          <w:rFonts w:ascii="Arial" w:cs="Arial" w:eastAsia="Arial" w:hAnsi="Arial"/>
          <w:sz w:val="18"/>
          <w:szCs w:val="18"/>
          <w:b w:val="1"/>
          <w:bCs w:val="1"/>
          <w:color w:val="auto"/>
        </w:rPr>
      </w:pPr>
    </w:p>
    <w:p>
      <w:pPr>
        <w:jc w:val="both"/>
        <w:ind w:firstLine="8"/>
        <w:spacing w:after="0" w:line="261" w:lineRule="auto"/>
        <w:tabs>
          <w:tab w:leader="none" w:pos="44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RSA Agreement will be governed by the laws of California without giving effect to the conflict of law principles thereof.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litigating any dispute that arises under this Award or this RSA Agreement, the parties hereby submit to and consent to the jurisdiction of California, and agree that such litigation will be conducted in the courts of San Francisco County, California, or the federal courts for the United States for the Northern District of California, and no other courts, where this Award is made and/or to be performed.</w:t>
      </w:r>
    </w:p>
    <w:p>
      <w:pPr>
        <w:spacing w:after="0" w:line="71" w:lineRule="exact"/>
        <w:rPr>
          <w:rFonts w:ascii="Arial" w:cs="Arial" w:eastAsia="Arial" w:hAnsi="Arial"/>
          <w:sz w:val="18"/>
          <w:szCs w:val="18"/>
          <w:b w:val="1"/>
          <w:bCs w:val="1"/>
          <w:color w:val="auto"/>
        </w:rPr>
      </w:pPr>
    </w:p>
    <w:p>
      <w:pPr>
        <w:jc w:val="both"/>
        <w:ind w:firstLine="8"/>
        <w:spacing w:after="0" w:line="272" w:lineRule="auto"/>
        <w:tabs>
          <w:tab w:leader="none" w:pos="486"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RSA Agreement will be administered by the Committee. Subject to the general purposes, terms and conditions of this RSA</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to the direction of the Board, the Committee will have full power to implement and carry out this RSA Agreement. Without limitation, the Committee will have the authority to: (a) construe and interpret this RSA Agreement; (b) determine the fair market value in good faith and interpret the applicable provisions of this RSA Agreement in connection with circumstances that impact the fair market value, if necessary; (c) grant waivers of any conditions of this Award; (d) correct any defect, supply any omission, or reconcile any inconsistency in this Award or this RSA Agreement; (e) determine whether this Award has been earned; or (f) make all other determinations necessary or advisable in connection with the administration of this RSA Agreement; provided, that, in each case, no such action shall be in contravention of any express terms of this Award. Any amendment or other modification of this RSA Agreement shall be memorialized in a written instrument executed by the Company and Participant.</w:t>
      </w:r>
    </w:p>
    <w:p>
      <w:pPr>
        <w:spacing w:after="0" w:line="176"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Board may delegate full administrative authority over this Award to a Committee consisting of at least one member of the Board (or such greater number as may then be required by applicable law). Unless in contravention of any express terms of this Award, any determination made by the Committee with respect to any Award will be made in its sole discretion. Any such determination will be final and binding on the Company and on all persons having an interest in any Award under this RSA Agreement and will be given the maximum deference under applicable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222" w:name="page223"/>
    <w:bookmarkEnd w:id="22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Participant’s signature and the signature of the Company’s representative on the, Participant and the Company agree that this Award is granted under and governed by the terms and conditions of this RSA Agreement.</w:t>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HOUSTON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 Andrew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9024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02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 Mary Anne Becking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588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ectPr>
          <w:pgSz w:w="11900" w:h="16838" w:orient="portrait"/>
          <w:cols w:equalWidth="0" w:num="2">
            <w:col w:w="5560" w:space="720"/>
            <w:col w:w="5140"/>
          </w:cols>
          <w:pgMar w:left="240" w:top="274" w:right="239" w:bottom="1440" w:gutter="0" w:footer="0" w:header="0"/>
          <w:type w:val="continuous"/>
        </w:sectPr>
      </w:pPr>
    </w:p>
    <w:bookmarkStart w:id="223" w:name="page224"/>
    <w:bookmarkEnd w:id="2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MATRIX</w:t>
      </w:r>
    </w:p>
    <w:p>
      <w:pPr>
        <w:spacing w:after="0" w:line="1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Capitalized terms used in this Exhibit A shall have the meanings prescribed to them under this RSA Agreement unless otherwise defined herein.</w:t>
      </w:r>
    </w:p>
    <w:p>
      <w:pPr>
        <w:spacing w:after="0" w:line="233" w:lineRule="exact"/>
        <w:rPr>
          <w:sz w:val="20"/>
          <w:szCs w:val="20"/>
          <w:color w:val="auto"/>
        </w:rPr>
      </w:pPr>
    </w:p>
    <w:p>
      <w:pPr>
        <w:jc w:val="both"/>
        <w:ind w:firstLine="464"/>
        <w:spacing w:after="0" w:line="258" w:lineRule="auto"/>
        <w:tabs>
          <w:tab w:leader="none" w:pos="81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Condition</w:t>
      </w:r>
      <w:r>
        <w:rPr>
          <w:rFonts w:ascii="Arial" w:cs="Arial" w:eastAsia="Arial" w:hAnsi="Arial"/>
          <w:sz w:val="18"/>
          <w:szCs w:val="18"/>
          <w:color w:val="auto"/>
        </w:rPr>
        <w:t>. Subject to the following sentence, the actual number of Shares subject to this Award that will vest will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based upon the achievement of Company Stock Price Target(s) during the Performance Period and the satisfaction of the applicable service-based vesting conditions, all in accordance with this Exhibit A. Except as set forth in Section 4 of this Exhibit A, in no case can more than 3,100,000 Shares become Eligible Shares (as defined below) in any calendar year during the Initial Period (such limit, the “</w:t>
      </w:r>
      <w:r>
        <w:rPr>
          <w:rFonts w:ascii="Arial" w:cs="Arial" w:eastAsia="Arial" w:hAnsi="Arial"/>
          <w:sz w:val="18"/>
          <w:szCs w:val="18"/>
          <w:b w:val="1"/>
          <w:bCs w:val="1"/>
          <w:i w:val="1"/>
          <w:iCs w:val="1"/>
          <w:color w:val="auto"/>
        </w:rPr>
        <w:t>Share Limit</w:t>
      </w:r>
      <w:r>
        <w:rPr>
          <w:rFonts w:ascii="Arial" w:cs="Arial" w:eastAsia="Arial" w:hAnsi="Arial"/>
          <w:sz w:val="18"/>
          <w:szCs w:val="18"/>
          <w:color w:val="auto"/>
        </w:rPr>
        <w:t>”). For the avoidance of doubt, following the end of the Initial Period, no Share Limit shall apply.</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“Initial Period” </w:t>
      </w:r>
      <w:r>
        <w:rPr>
          <w:rFonts w:ascii="Arial" w:cs="Arial" w:eastAsia="Arial" w:hAnsi="Arial"/>
          <w:sz w:val="18"/>
          <w:szCs w:val="18"/>
          <w:color w:val="auto"/>
        </w:rPr>
        <w:t>means the period beginning on the start of the Performance Period and ending on the fourth anniversary of the start of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“Performance Period” </w:t>
      </w:r>
      <w:r>
        <w:rPr>
          <w:rFonts w:ascii="Arial" w:cs="Arial" w:eastAsia="Arial" w:hAnsi="Arial"/>
          <w:sz w:val="18"/>
          <w:szCs w:val="18"/>
          <w:color w:val="auto"/>
        </w:rPr>
        <w:t>means the period (a) commencing on the first trading day following the later of (i) the expiration of the lock-up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IPO Date and (ii) January 1, 2019 and (b) ending on the Expiration Date.</w:t>
      </w:r>
    </w:p>
    <w:p>
      <w:pPr>
        <w:spacing w:after="0" w:line="58" w:lineRule="exact"/>
        <w:rPr>
          <w:sz w:val="20"/>
          <w:szCs w:val="20"/>
          <w:color w:val="auto"/>
        </w:rPr>
      </w:pPr>
    </w:p>
    <w:p>
      <w:pPr>
        <w:jc w:val="both"/>
        <w:ind w:firstLine="464"/>
        <w:spacing w:after="0" w:line="273" w:lineRule="auto"/>
        <w:tabs>
          <w:tab w:leader="none" w:pos="825"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 Stock Price</w:t>
      </w:r>
      <w:r>
        <w:rPr>
          <w:rFonts w:ascii="Arial" w:cs="Arial" w:eastAsia="Arial" w:hAnsi="Arial"/>
          <w:sz w:val="17"/>
          <w:szCs w:val="17"/>
          <w:color w:val="auto"/>
        </w:rPr>
        <w:t>. Except as set forth in Sections 3 and 4 of this Exhibit A, on each Achievement Date during the Performance Period, a</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will become eligible to vest equal to the number of Shares listed as the “Shares” corresponding to the applicable Company Stock Price Target in the table below but not to exceed the Share Limit (such Shares, the “</w:t>
      </w:r>
      <w:r>
        <w:rPr>
          <w:rFonts w:ascii="Arial" w:cs="Arial" w:eastAsia="Arial" w:hAnsi="Arial"/>
          <w:sz w:val="17"/>
          <w:szCs w:val="17"/>
          <w:b w:val="1"/>
          <w:bCs w:val="1"/>
          <w:i w:val="1"/>
          <w:iCs w:val="1"/>
          <w:color w:val="auto"/>
        </w:rPr>
        <w:t>Eligible Shares</w:t>
      </w:r>
      <w:r>
        <w:rPr>
          <w:rFonts w:ascii="Arial" w:cs="Arial" w:eastAsia="Arial" w:hAnsi="Arial"/>
          <w:sz w:val="17"/>
          <w:szCs w:val="17"/>
          <w:color w:val="auto"/>
        </w:rPr>
        <w:t>”), and such Eligible Shares will vest on the earlier of: (a) the next Vesting Date subject to Participant satisfying the Service Condition through such date, or (b) an Acceleration Event. If, as a result of the Company Stock Price Target achievement, a number of Shares otherwise would have become Eligible Shares but for the Share Limit, the Shares that exceeded the Share Limit will not become Eligible Shares, and any such Shares will only become Eligible Shares (if at all) upon the next Achievement Date relating to the Company Stock Price Target applicable to such Shares, subject to Sections 3 and 4 of this Exhibit A.</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940" w:type="dxa"/>
            <w:vAlign w:val="bottom"/>
            <w:gridSpan w:val="3"/>
          </w:tcPr>
          <w:p>
            <w:pPr>
              <w:ind w:left="180"/>
              <w:spacing w:after="0"/>
              <w:rPr>
                <w:sz w:val="20"/>
                <w:szCs w:val="20"/>
                <w:color w:val="auto"/>
              </w:rPr>
            </w:pPr>
            <w:r>
              <w:rPr>
                <w:rFonts w:ascii="Arial" w:cs="Arial" w:eastAsia="Arial" w:hAnsi="Arial"/>
                <w:sz w:val="14"/>
                <w:szCs w:val="14"/>
                <w:b w:val="1"/>
                <w:bCs w:val="1"/>
                <w:color w:val="auto"/>
              </w:rPr>
              <w:t>Company Stock</w:t>
            </w:r>
          </w:p>
        </w:tc>
        <w:tc>
          <w:tcPr>
            <w:tcW w:w="3520" w:type="dxa"/>
            <w:vAlign w:val="bottom"/>
            <w:gridSpan w:val="2"/>
            <w:vMerge w:val="restart"/>
          </w:tcPr>
          <w:p>
            <w:pPr>
              <w:ind w:left="27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3940" w:type="dxa"/>
            <w:vAlign w:val="bottom"/>
            <w:gridSpan w:val="3"/>
          </w:tcPr>
          <w:p>
            <w:pPr>
              <w:ind w:left="180"/>
              <w:spacing w:after="0"/>
              <w:rPr>
                <w:sz w:val="20"/>
                <w:szCs w:val="20"/>
                <w:color w:val="auto"/>
              </w:rPr>
            </w:pPr>
            <w:r>
              <w:rPr>
                <w:rFonts w:ascii="Arial" w:cs="Arial" w:eastAsia="Arial" w:hAnsi="Arial"/>
                <w:sz w:val="14"/>
                <w:szCs w:val="14"/>
                <w:b w:val="1"/>
                <w:bCs w:val="1"/>
                <w:color w:val="auto"/>
              </w:rPr>
              <w:t>Price Target*</w:t>
            </w:r>
          </w:p>
        </w:tc>
        <w:tc>
          <w:tcPr>
            <w:tcW w:w="3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1.</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3"/>
              </w:rPr>
              <w:t>$20.00</w:t>
            </w:r>
          </w:p>
        </w:tc>
        <w:tc>
          <w:tcPr>
            <w:tcW w:w="29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3,100,000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$25.00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$45.00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7.</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$55.00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9.</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w w:val="89"/>
              </w:rPr>
              <w:t>1,550,000</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220" w:hanging="212"/>
        <w:spacing w:after="0" w:line="259" w:lineRule="auto"/>
        <w:tabs>
          <w:tab w:leader="none" w:pos="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Stock Price Targets” shall be adjusted as appropriate to reflect any stock splits, stock dividends, combinations, reorganizations, reclassifications or similar event under Section 3(f) of this RSA Agreement. The Committee, in order to prevent diminution or enlargement of the benefits or potential benefits intended to be made available under this RSA Agreement, will make the determination of any such adjustments required in connection with any such event.</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“Achievement Date</w:t>
      </w:r>
      <w:r>
        <w:rPr>
          <w:rFonts w:ascii="Arial" w:cs="Arial" w:eastAsia="Arial" w:hAnsi="Arial"/>
          <w:sz w:val="16"/>
          <w:szCs w:val="16"/>
          <w:color w:val="auto"/>
        </w:rPr>
        <w:t>” means the first trading date occurring during the Performance Period in which a Company Stock Price Target is achieved.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avoidance of doubt, (a) each Company Stock Price Target may only be achieved once during the Performance Period unless the Share Limit would</w:t>
      </w:r>
    </w:p>
    <w:p>
      <w:pPr>
        <w:sectPr>
          <w:pgSz w:w="11900" w:h="16838" w:orient="portrait"/>
          <w:cols w:equalWidth="0" w:num="1">
            <w:col w:w="11420"/>
          </w:cols>
          <w:pgMar w:left="240" w:top="270" w:right="239" w:bottom="1440" w:gutter="0" w:footer="0" w:header="0"/>
        </w:sectPr>
      </w:pPr>
    </w:p>
    <w:bookmarkStart w:id="224" w:name="page225"/>
    <w:bookmarkEnd w:id="224"/>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apply and result in less than all of the Shares corresponding to a Company Stock Price Target becoming Eligible Shares, in which case, such Company Stock Price Target must be achieved again (subject to the Share Limit) for such remaining Shares to become Eligible Shares and (b) more than one Company Stock Price Target may be achieved on a particular date. Except in connection with an Acquisition as set forth in Section 4, no partial achievement will occur and no Shares will become Eligible Shares for achievement between two Company Stock Price Targets.</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For example, assume the Performance Period begins on January 2, 2019 and the Company Stock Price as of February 14, 2019 is $30.10. February 14, 2019 shall be an Achievement Date (assuming the Service Condition is satisfied as of that date) with respect to 6,200,000 Shares (comprising Company Stock Price Targets 1 through 3) but the Share Limit would result in only 3,100,000 Shares becoming Eligible Shares. Accordingly, the number of Shares subject to this Award that will become Eligible Shares on February 14, 2019 will equal 3,100,000 Shares. Such Eligible Shares would vest on the earlier of: (a) the next Vesting Date (May 15, 2019) subject to Participant satisfying the Service Condition through such date, or (b) an Acceleration Event.</w:t>
      </w:r>
    </w:p>
    <w:p>
      <w:pPr>
        <w:spacing w:after="0" w:line="15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Assume instead that the Performance Period begins on January 2, 2019 and the Company Stock Price as of February 14, 2023 is $30.10. Assume for this purpose, no Company Stock Price Target was achieved prior to February 14, 2023. February 14, 2023 shall be an Achievement Date (assuming the Service Condition is satisfied as of that date) with respect to 6,200,000 Shares (comprising Company Stock Price Targets 1 through 3) and no Share Limit would apply because the Initial Period would have terminated. Accordingly, the number of Shares subject to this Award that will become Eligible Shares on February 14, 2023 will equal 6,200,000 Shares. Such Eligible Shares would vest on the earlier of: (a) the next Vesting Date (May 15, 2023) subject to Participant satisfying the Service Condition through such date, or (b) an Acceleration Event.</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 Price</w:t>
      </w:r>
      <w:r>
        <w:rPr>
          <w:rFonts w:ascii="Arial" w:cs="Arial" w:eastAsia="Arial" w:hAnsi="Arial"/>
          <w:sz w:val="18"/>
          <w:szCs w:val="18"/>
          <w:color w:val="auto"/>
        </w:rPr>
        <w:t xml:space="preserve">” means the weighted average closing price of a Share as reported on a Securities Exchange for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thirty (30) consecutive trading day period occurring within the Performance Period.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“Company Stock Price Target” </w:t>
      </w:r>
      <w:r>
        <w:rPr>
          <w:rFonts w:ascii="Arial" w:cs="Arial" w:eastAsia="Arial" w:hAnsi="Arial"/>
          <w:sz w:val="18"/>
          <w:szCs w:val="18"/>
          <w:color w:val="auto"/>
        </w:rPr>
        <w:t>means each Company Stock Price set forth in the table above.</w:t>
      </w:r>
    </w:p>
    <w:p>
      <w:pPr>
        <w:spacing w:after="0" w:line="113" w:lineRule="exact"/>
        <w:rPr>
          <w:sz w:val="20"/>
          <w:szCs w:val="20"/>
          <w:color w:val="auto"/>
        </w:rPr>
      </w:pPr>
    </w:p>
    <w:p>
      <w:pPr>
        <w:jc w:val="both"/>
        <w:ind w:firstLine="464"/>
        <w:spacing w:after="0" w:line="277" w:lineRule="auto"/>
        <w:tabs>
          <w:tab w:leader="none" w:pos="798"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Service Condition and Forfeiture</w:t>
      </w:r>
      <w:r>
        <w:rPr>
          <w:rFonts w:ascii="Arial" w:cs="Arial" w:eastAsia="Arial" w:hAnsi="Arial"/>
          <w:sz w:val="17"/>
          <w:szCs w:val="17"/>
          <w:color w:val="auto"/>
        </w:rPr>
        <w:t>. In order for any Shares hereunder to become Eligible Shares and to vest, Participant must have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satisfied the Service Condition through the applicable Achievement Date, and continue to satisfy the Service Condition through the Vesting Date or experience an Acceleration Event after the Achievement Date but before the Vesting Date. Except with respect to any Eligible Shares that may vest on an Acceleration Event in accordance with the prior sentence, on the Expiration Date, any outstanding Shares subject to this Award that have not vested immediately will be forfeited and returned to the Company, and Participant will have no further rights with respect to such Shares.</w:t>
      </w:r>
    </w:p>
    <w:p>
      <w:pPr>
        <w:spacing w:after="0" w:line="60" w:lineRule="exact"/>
        <w:rPr>
          <w:rFonts w:ascii="Arial" w:cs="Arial" w:eastAsia="Arial" w:hAnsi="Arial"/>
          <w:sz w:val="17"/>
          <w:szCs w:val="17"/>
          <w:b w:val="1"/>
          <w:bCs w:val="1"/>
          <w:color w:val="auto"/>
        </w:rPr>
      </w:pPr>
    </w:p>
    <w:p>
      <w:pPr>
        <w:ind w:left="780" w:hanging="316"/>
        <w:spacing w:after="0"/>
        <w:tabs>
          <w:tab w:leader="none" w:pos="7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Acquisition occurs on or prior to the Expiration Date (but, for the avoidance of doubt, following the IPO Date), then the following rules will apply.</w:t>
      </w:r>
    </w:p>
    <w:p>
      <w:pPr>
        <w:spacing w:after="0" w:line="154" w:lineRule="exact"/>
        <w:rPr>
          <w:sz w:val="20"/>
          <w:szCs w:val="20"/>
          <w:color w:val="auto"/>
        </w:rPr>
      </w:pPr>
    </w:p>
    <w:p>
      <w:pPr>
        <w:jc w:val="both"/>
        <w:ind w:left="900" w:hanging="446"/>
        <w:spacing w:after="0" w:line="279" w:lineRule="auto"/>
        <w:tabs>
          <w:tab w:leader="none" w:pos="900"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Immediately prior to an Acquisition, the Share Limit shall no longer be applicable and rather than applying the definition of “Company Stock Price” in Section 2, “Company Stock Price” instead will mean the Per Share Deal Price. “</w:t>
      </w:r>
      <w:r>
        <w:rPr>
          <w:rFonts w:ascii="Arial" w:cs="Arial" w:eastAsia="Arial" w:hAnsi="Arial"/>
          <w:sz w:val="17"/>
          <w:szCs w:val="17"/>
          <w:b w:val="1"/>
          <w:bCs w:val="1"/>
          <w:i w:val="1"/>
          <w:iCs w:val="1"/>
          <w:color w:val="auto"/>
        </w:rPr>
        <w:t>Per Share Deal Price”</w:t>
      </w:r>
      <w:r>
        <w:rPr>
          <w:rFonts w:ascii="Arial" w:cs="Arial" w:eastAsia="Arial" w:hAnsi="Arial"/>
          <w:sz w:val="17"/>
          <w:szCs w:val="17"/>
          <w:color w:val="auto"/>
        </w:rPr>
        <w:t xml:space="preserve"> means the value of the total amount of consideration received or potentially receivable for a Share by holders of the Company’s Class A Common Stock in connection with the Acquisition. The value of any non-cash consideration will be determined in good faith by the Committee.</w:t>
      </w:r>
    </w:p>
    <w:p>
      <w:pPr>
        <w:spacing w:after="0" w:line="76" w:lineRule="exact"/>
        <w:rPr>
          <w:rFonts w:ascii="Arial" w:cs="Arial" w:eastAsia="Arial" w:hAnsi="Arial"/>
          <w:sz w:val="17"/>
          <w:szCs w:val="17"/>
          <w:b w:val="1"/>
          <w:bCs w:val="1"/>
          <w:color w:val="auto"/>
        </w:rPr>
      </w:pPr>
    </w:p>
    <w:p>
      <w:pPr>
        <w:ind w:left="900" w:hanging="446"/>
        <w:spacing w:after="0" w:line="308" w:lineRule="auto"/>
        <w:tabs>
          <w:tab w:leader="none" w:pos="900"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After determining the “Company Stock Price” under Section 4.a. of this Exhibit A, the same rules under the chart under Section 2 of this Exhibit A apply in determining whether any additional “Company Stock Price Targets” are achieved and additional Shares subject to this</w:t>
      </w:r>
    </w:p>
    <w:p>
      <w:pPr>
        <w:sectPr>
          <w:pgSz w:w="11900" w:h="16838" w:orient="portrait"/>
          <w:cols w:equalWidth="0" w:num="1">
            <w:col w:w="11420"/>
          </w:cols>
          <w:pgMar w:left="240" w:top="274" w:right="239" w:bottom="1440" w:gutter="0" w:footer="0" w:header="0"/>
        </w:sectPr>
      </w:pPr>
    </w:p>
    <w:bookmarkStart w:id="225" w:name="page226"/>
    <w:bookmarkEnd w:id="22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 will become Eligible Shares; provided, however, that if Company Stock Price as determined under Section 4.a. of this Exhibit A is greater</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than $20.00 but falls between two Company Stock Price Targets set forth in the table under Section 2 of this Exhibit A, the Eligible Shares will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 determined based on a linear interpolation using the Company Stock Price Target in the table that is greater than but closest to the Company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Stock Price determined under Section 4.a. of this Exhibit A (such price the “</w:t>
      </w:r>
      <w:r>
        <w:rPr>
          <w:rFonts w:ascii="Arial" w:cs="Arial" w:eastAsia="Arial" w:hAnsi="Arial"/>
          <w:sz w:val="17"/>
          <w:szCs w:val="17"/>
          <w:b w:val="1"/>
          <w:bCs w:val="1"/>
          <w:i w:val="1"/>
          <w:iCs w:val="1"/>
          <w:color w:val="auto"/>
        </w:rPr>
        <w:t>Higher Price</w:t>
      </w:r>
      <w:r>
        <w:rPr>
          <w:rFonts w:ascii="Arial" w:cs="Arial" w:eastAsia="Arial" w:hAnsi="Arial"/>
          <w:sz w:val="17"/>
          <w:szCs w:val="17"/>
          <w:color w:val="auto"/>
        </w:rPr>
        <w:t>”) and the amount in the table that is less than but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closest to the actual Company Stock Price determined under Section 4.a. of this Exhibit A (such price, the “</w:t>
      </w:r>
      <w:r>
        <w:rPr>
          <w:rFonts w:ascii="Arial" w:cs="Arial" w:eastAsia="Arial" w:hAnsi="Arial"/>
          <w:sz w:val="16"/>
          <w:szCs w:val="16"/>
          <w:b w:val="1"/>
          <w:bCs w:val="1"/>
          <w:i w:val="1"/>
          <w:iCs w:val="1"/>
          <w:color w:val="auto"/>
        </w:rPr>
        <w:t>Lower Price”</w:t>
      </w:r>
      <w:r>
        <w:rPr>
          <w:rFonts w:ascii="Arial" w:cs="Arial" w:eastAsia="Arial" w:hAnsi="Arial"/>
          <w:sz w:val="16"/>
          <w:szCs w:val="16"/>
          <w:color w:val="auto"/>
        </w:rPr>
        <w:t>), and using 1,550,000</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Shares for the Higher Price and 0 Shares for the Lower Price, with such number rounded to the nearest Share (such Share number,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Incremental Eligible Shares</w:t>
      </w:r>
      <w:r>
        <w:rPr>
          <w:rFonts w:ascii="Arial" w:cs="Arial" w:eastAsia="Arial" w:hAnsi="Arial"/>
          <w:sz w:val="17"/>
          <w:szCs w:val="17"/>
          <w:color w:val="auto"/>
        </w:rPr>
        <w:t>”). For the avoidance of doubt, if, prior to the Acquisition, Shares subject to this Award already have become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Eligible Shares based on the achievement of a Company Stock Price Target occurring as of the Achievement Date corresponding to such</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achievement, such Shares will not again become Eligible Shares with respect to that Company Stock Price Target achievement, but such Shares,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 the extent they have not yet vested, shall vest immediately prior to the Acquisition subject to Participant satisfying the Service Condition</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through such time. Further, and for the avoidance of doubt, if the Per Share Deal is less than $20.00, no Shares will become Eligible Shares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immediately prior to an Acquisition.</w:t>
      </w:r>
    </w:p>
    <w:p>
      <w:pPr>
        <w:spacing w:after="0" w:line="116"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If, after applying the rules in Sections 4.a. and 4.b. of this Exhibit A, additional Shares will become Eligible Shares, then</w:t>
      </w:r>
    </w:p>
    <w:p>
      <w:pPr>
        <w:spacing w:after="0" w:line="130" w:lineRule="exact"/>
        <w:rPr>
          <w:rFonts w:ascii="Arial" w:cs="Arial" w:eastAsia="Arial" w:hAnsi="Arial"/>
          <w:sz w:val="18"/>
          <w:szCs w:val="18"/>
          <w:b w:val="1"/>
          <w:bCs w:val="1"/>
          <w:color w:val="auto"/>
        </w:rPr>
      </w:pPr>
    </w:p>
    <w:p>
      <w:pPr>
        <w:ind w:left="1920" w:right="20" w:hanging="440"/>
        <w:spacing w:after="0" w:line="277" w:lineRule="auto"/>
        <w:tabs>
          <w:tab w:leader="none" w:pos="192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the Achievement Date shall be the date immediately prior to the Acquisition subject to Participant satisfying the Service Condition; and</w:t>
      </w:r>
    </w:p>
    <w:p>
      <w:pPr>
        <w:spacing w:after="0" w:line="75" w:lineRule="exact"/>
        <w:rPr>
          <w:rFonts w:ascii="Arial" w:cs="Arial" w:eastAsia="Arial" w:hAnsi="Arial"/>
          <w:sz w:val="18"/>
          <w:szCs w:val="18"/>
          <w:b w:val="1"/>
          <w:bCs w:val="1"/>
          <w:color w:val="auto"/>
        </w:rPr>
      </w:pPr>
    </w:p>
    <w:p>
      <w:pPr>
        <w:jc w:val="both"/>
        <w:ind w:left="1920" w:hanging="440"/>
        <w:spacing w:after="0" w:line="276" w:lineRule="auto"/>
        <w:tabs>
          <w:tab w:leader="none" w:pos="1920" w:val="left"/>
        </w:tabs>
        <w:numPr>
          <w:ilvl w:val="1"/>
          <w:numId w:val="136"/>
        </w:numPr>
        <w:rPr>
          <w:rFonts w:ascii="Arial" w:cs="Arial" w:eastAsia="Arial" w:hAnsi="Arial"/>
          <w:sz w:val="17"/>
          <w:szCs w:val="17"/>
          <w:b w:val="1"/>
          <w:bCs w:val="1"/>
          <w:color w:val="auto"/>
        </w:rPr>
      </w:pPr>
      <w:r>
        <w:rPr>
          <w:rFonts w:ascii="Arial" w:cs="Arial" w:eastAsia="Arial" w:hAnsi="Arial"/>
          <w:sz w:val="17"/>
          <w:szCs w:val="17"/>
          <w:color w:val="auto"/>
        </w:rPr>
        <w:t>the number of additional Shares that will become Eligible Shares will equal the sum of: (1) all Shares (as determined under the table in Section 2 of this Exhibit A) corresponding to the Company Stock Price achievement(s) in connection with the Acquisition that have not yet become Eligible Shares plus (2) the Incremental Eligible Shares (if any) (such sum, the “</w:t>
      </w:r>
      <w:r>
        <w:rPr>
          <w:rFonts w:ascii="Arial" w:cs="Arial" w:eastAsia="Arial" w:hAnsi="Arial"/>
          <w:sz w:val="17"/>
          <w:szCs w:val="17"/>
          <w:b w:val="1"/>
          <w:bCs w:val="1"/>
          <w:i w:val="1"/>
          <w:iCs w:val="1"/>
          <w:color w:val="auto"/>
        </w:rPr>
        <w:t>Acquisition Eligible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Unless otherwise determined by the Committee, any remaining Shares that have not become Eligible Shares immediately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forfeited and Participant will have no further rights with respect to such Shares; and</w:t>
      </w:r>
    </w:p>
    <w:p>
      <w:pPr>
        <w:spacing w:after="0" w:line="77" w:lineRule="exact"/>
        <w:rPr>
          <w:rFonts w:ascii="Arial" w:cs="Arial" w:eastAsia="Arial" w:hAnsi="Arial"/>
          <w:sz w:val="17"/>
          <w:szCs w:val="17"/>
          <w:b w:val="1"/>
          <w:bCs w:val="1"/>
          <w:color w:val="auto"/>
        </w:rPr>
      </w:pPr>
    </w:p>
    <w:p>
      <w:pPr>
        <w:ind w:left="1920" w:hanging="440"/>
        <w:spacing w:after="0" w:line="277" w:lineRule="auto"/>
        <w:tabs>
          <w:tab w:leader="none" w:pos="192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the date immediately prior to the Acquisition shall be the Acceleration Event on which such Eligible Shares (and any other unvested Eligible Shares) vest.</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example, assume the Performance Period begins on January 1, 2019 and there is an Acquisition on July 1, 2019 for a Per Share Deal Price of $31.18. Prior to the Acquisition, Company Stock Price Target 1 already was achieved, and such Shares became Eligible Shares and vested. Due to the Acquisition, the Company Stock Price is equal to the Per Share Deal Price ($31.18) and results in Acquisition Eligible Shares of 3,465,800 Shares equal to the sum of:</w:t>
      </w:r>
    </w:p>
    <w:p>
      <w:pPr>
        <w:spacing w:after="0" w:line="92" w:lineRule="exact"/>
        <w:rPr>
          <w:sz w:val="20"/>
          <w:szCs w:val="20"/>
          <w:color w:val="auto"/>
        </w:rPr>
      </w:pPr>
    </w:p>
    <w:p>
      <w:pPr>
        <w:ind w:left="1480" w:hanging="446"/>
        <w:spacing w:after="0"/>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3,100,000 Shares (representing the Shares corresponding to Company Stock Price Targets 2 and 3), </w:t>
      </w:r>
      <w:r>
        <w:rPr>
          <w:rFonts w:ascii="Arial" w:cs="Arial" w:eastAsia="Arial" w:hAnsi="Arial"/>
          <w:sz w:val="18"/>
          <w:szCs w:val="18"/>
          <w:i w:val="1"/>
          <w:iCs w:val="1"/>
          <w:color w:val="auto"/>
        </w:rPr>
        <w:t>plus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365,800 Shares (representing 100% of the Incremental Eligible Shares (determined based on linear interpolation between Company Stock Price Targets 3 and 4)).</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 result, on the date immediately prior to the Acquisition, an additional 3,465,800 Shares of the Total Number of Shares set forth in the Notice of Grant of Restricted Stock Award will become Eligible Shares and will vest as of such time.</w:t>
      </w:r>
    </w:p>
    <w:p>
      <w:pPr>
        <w:sectPr>
          <w:pgSz w:w="11900" w:h="16838" w:orient="portrait"/>
          <w:cols w:equalWidth="0" w:num="1">
            <w:col w:w="11420"/>
          </w:cols>
          <w:pgMar w:left="240" w:top="274"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10B5-1 PLAN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hereby consents and agrees that Participant’s Tax Withholding Obligation shall be satisfied by Shares being sold on the undersigned’s behalf pursuant to the procedures set forth below in this 10b5-1 Plan. All capitalized terms used but not otherwise defined herein shall have the meanings ascribed to them in that certain Restricted Stock Award Agreement, dated as of December 12, 2017, by and between Dropbox, Inc. and the undersigned.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 hereby irrevocably instructs and authorizes the Company and the Company’s designated broker, or such other broker-dealer that is a member of the Financial Industry Regulatory Authority reasonably acceptable to the Company for such purpose (the “</w:t>
      </w:r>
      <w:r>
        <w:rPr>
          <w:rFonts w:ascii="Arial" w:cs="Arial" w:eastAsia="Arial" w:hAnsi="Arial"/>
          <w:sz w:val="17"/>
          <w:szCs w:val="17"/>
          <w:b w:val="1"/>
          <w:bCs w:val="1"/>
          <w:i w:val="1"/>
          <w:iCs w:val="1"/>
          <w:color w:val="auto"/>
        </w:rPr>
        <w:t>Broker</w:t>
      </w:r>
      <w:r>
        <w:rPr>
          <w:rFonts w:ascii="Arial" w:cs="Arial" w:eastAsia="Arial" w:hAnsi="Arial"/>
          <w:sz w:val="17"/>
          <w:szCs w:val="17"/>
          <w:color w:val="auto"/>
        </w:rPr>
        <w:t>”), to sell on Participant’s behalf a whole number of Shares (it being understood that such Shares to be sold must have vested pursuant to the terms of this RSA Agreement) sufficient to generate cash proceeds to satisfy Participant’s Tax Withholding Obligation (and any associated broker or other fees); provided that the Company shall not enter into any arrangements with any Broker that would require payment by Participant of broker or other fees in excess of those that are reasonable and customary; provided further that all sales of Shares pursuant to the 10b5-1 Plan shall be at prevailing market prices and in compliance with Rule 144 of the Securities Act, and the Broker shall, and the Company shall cause the Broker to, file all Form 144s on behalf of Participant with respect to the sale of Shares under the 10b5-1 Plan. Participant hereby irrevocably instructs and authorizes the Broker to (i) remit to the Company the cash proceeds necessary to satisfy Participant’s Tax Withholding Obligation, (ii) retain the amount required to cover associated broker or other fees, and (iii) deposit any remaining funds in Participant’s account in accordance with procedures the Company may specify from time to time. Only whole Shares will be sold by the Broker to satisfy Participant’s Tax Withholding Obligation.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10b5-1 Plan may be amended, modified, terminated or suspended only with the consent of Participant and the Committee. An amendment or modification may only be made during an “open window period” (or term of similar import describing a period wherein Participant is not precluded by the Company from selling Shares on the open market) applicable to Participant and on which Participant is not aware of any material nonpublic information about the Company or the Shares.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Participant and the Company acknowledge that the 10b5-1 Plan is intended to comply with the requirements of Rule 10b5-1(c)(1)(B) under the Exchange Act and to be interpreted to comply with the requirements of Rule 10b5-1(c)(1) under the Exchange Act. Participant expressly consents and agrees that he is adopting the 10b5-1 Plan to permit the sale of Shares to cover Participant’s Tax Withholding Obligation consistent with the above. Participant hereby appoints the Company as his agent and attorney-in-fact to instruct the Broker with respect to the number of Shares that must be sold under the 10b5-1 Plan to satisfy Participant’s Tax Withholding Obligation. This 10b5-1 Plan shall be binding on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144145</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Name: Andrew Houston</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52" w:lineRule="exact"/>
        <w:rPr>
          <w:sz w:val="20"/>
          <w:szCs w:val="20"/>
          <w:color w:val="auto"/>
        </w:rPr>
      </w:pPr>
    </w:p>
    <w:p>
      <w:pPr>
        <w:ind w:left="300" w:hanging="292"/>
        <w:spacing w:after="0"/>
        <w:tabs>
          <w:tab w:leader="none" w:pos="3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NOTICEOF GRANT OF RESTRICTED STOCK AWARD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Arash Ferdowsi</w:t>
      </w:r>
    </w:p>
    <w:p>
      <w:pPr>
        <w:spacing w:after="0" w:line="211"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individual named above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has been granted an award of shares of Class A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restricted stock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subject to the terms and conditions of this Restricted Stock Award Agreement (including all exhibits) (hereinafter “</w:t>
      </w:r>
      <w:r>
        <w:rPr>
          <w:rFonts w:ascii="Arial" w:cs="Arial" w:eastAsia="Arial" w:hAnsi="Arial"/>
          <w:sz w:val="18"/>
          <w:szCs w:val="18"/>
          <w:b w:val="1"/>
          <w:bCs w:val="1"/>
          <w:i w:val="1"/>
          <w:iCs w:val="1"/>
          <w:color w:val="auto"/>
        </w:rPr>
        <w:t>RSA Agreement</w:t>
      </w:r>
      <w:r>
        <w:rPr>
          <w:rFonts w:ascii="Arial" w:cs="Arial" w:eastAsia="Arial" w:hAnsi="Arial"/>
          <w:sz w:val="18"/>
          <w:szCs w:val="18"/>
          <w:color w:val="auto"/>
        </w:rPr>
        <w:t>”) on the terms set forth herein.</w:t>
      </w:r>
    </w:p>
    <w:p>
      <w:pPr>
        <w:sectPr>
          <w:pgSz w:w="11900" w:h="16838" w:orient="portrait"/>
          <w:cols w:equalWidth="0" w:num="1">
            <w:col w:w="11420"/>
          </w:cols>
          <w:pgMar w:left="240" w:top="121" w:right="239" w:bottom="1440" w:gutter="0" w:footer="0" w:header="0"/>
          <w:type w:val="continuous"/>
        </w:sectPr>
      </w:pP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Grant Number: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640"/>
        <w:spacing w:after="0"/>
        <w:rPr>
          <w:sz w:val="20"/>
          <w:szCs w:val="20"/>
          <w:color w:val="auto"/>
        </w:rPr>
      </w:pPr>
      <w:r>
        <w:rPr>
          <w:rFonts w:ascii="Arial" w:cs="Arial" w:eastAsia="Arial" w:hAnsi="Arial"/>
          <w:sz w:val="16"/>
          <w:szCs w:val="16"/>
          <w:color w:val="auto"/>
        </w:rPr>
        <w:t>Founder-2</w:t>
      </w:r>
    </w:p>
    <w:p>
      <w:pPr>
        <w:spacing w:after="0" w:line="207"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Number of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6,600,000</w:t>
      </w:r>
    </w:p>
    <w:p>
      <w:pPr>
        <w:spacing w:after="0" w:line="200"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2017</w:t>
      </w:r>
    </w:p>
    <w:p>
      <w:pPr>
        <w:spacing w:after="0" w:line="147" w:lineRule="exact"/>
        <w:rPr>
          <w:sz w:val="20"/>
          <w:szCs w:val="20"/>
          <w:color w:val="auto"/>
        </w:rPr>
      </w:pPr>
    </w:p>
    <w:p>
      <w:pPr>
        <w:sectPr>
          <w:pgSz w:w="11900" w:h="16838" w:orient="portrait"/>
          <w:cols w:equalWidth="0" w:num="2">
            <w:col w:w="5320" w:space="720"/>
            <w:col w:w="5380"/>
          </w:cols>
          <w:pgMar w:left="240" w:top="121" w:right="239" w:bottom="1440" w:gutter="0" w:footer="0" w:header="0"/>
          <w:type w:val="continuous"/>
        </w:sectPr>
      </w:pPr>
    </w:p>
    <w:p>
      <w:pPr>
        <w:jc w:val="both"/>
        <w:ind w:left="460"/>
        <w:spacing w:after="0" w:line="266" w:lineRule="auto"/>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means the earliest to occur of: (a) the date on which all Shares granted hereunder vest, (b)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ceases to satisfy the Service Condition, (c) the tenth anniversary of the IPO Date (the “</w:t>
      </w:r>
      <w:r>
        <w:rPr>
          <w:rFonts w:ascii="Arial" w:cs="Arial" w:eastAsia="Arial" w:hAnsi="Arial"/>
          <w:sz w:val="18"/>
          <w:szCs w:val="18"/>
          <w:b w:val="1"/>
          <w:bCs w:val="1"/>
          <w:i w:val="1"/>
          <w:iCs w:val="1"/>
          <w:color w:val="auto"/>
        </w:rPr>
        <w:t>Award Term</w:t>
      </w:r>
      <w:r>
        <w:rPr>
          <w:rFonts w:ascii="Arial" w:cs="Arial" w:eastAsia="Arial" w:hAnsi="Arial"/>
          <w:sz w:val="18"/>
          <w:szCs w:val="18"/>
          <w:color w:val="auto"/>
        </w:rPr>
        <w:t>”), and (d) the occurrence of an Acquisition prior to the IPO Date.</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number of Shares subject to this Award that will vest (if any) will be determined based upon the achievement of the performance-based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conditions set forth in Exhibit A (attached) and the provisions of this RSA Agreement. The actual number of Shares subject to this Award that vest, if any, may be lower than the Total Number of Shares set forth above depending on the extent to which the vesting criteria for this Award are satisfied.</w:t>
      </w:r>
    </w:p>
    <w:p>
      <w:pPr>
        <w:spacing w:after="0" w:line="250" w:lineRule="exact"/>
        <w:rPr>
          <w:sz w:val="20"/>
          <w:szCs w:val="20"/>
          <w:color w:val="auto"/>
        </w:rPr>
      </w:pPr>
    </w:p>
    <w:p>
      <w:pPr>
        <w:ind w:left="380" w:hanging="372"/>
        <w:spacing w:after="0"/>
        <w:tabs>
          <w:tab w:leader="none" w:pos="3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RESTRICTED STOCK AWARD</w:t>
      </w:r>
    </w:p>
    <w:p>
      <w:pPr>
        <w:spacing w:after="0" w:line="117"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following definitions shall apply:</w:t>
      </w:r>
    </w:p>
    <w:p>
      <w:pPr>
        <w:spacing w:after="0" w:line="121" w:lineRule="exact"/>
        <w:rPr>
          <w:rFonts w:ascii="Arial" w:cs="Arial" w:eastAsia="Arial" w:hAnsi="Arial"/>
          <w:sz w:val="18"/>
          <w:szCs w:val="18"/>
          <w:b w:val="1"/>
          <w:bCs w:val="1"/>
          <w:color w:val="auto"/>
        </w:rPr>
      </w:pPr>
    </w:p>
    <w:p>
      <w:pPr>
        <w:jc w:val="both"/>
        <w:ind w:firstLine="464"/>
        <w:spacing w:after="0" w:line="288" w:lineRule="auto"/>
        <w:tabs>
          <w:tab w:leader="none" w:pos="860" w:val="left"/>
        </w:tabs>
        <w:numPr>
          <w:ilvl w:val="1"/>
          <w:numId w:val="14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Acceleration Event</w:t>
      </w:r>
      <w:r>
        <w:rPr>
          <w:rFonts w:ascii="Arial" w:cs="Arial" w:eastAsia="Arial" w:hAnsi="Arial"/>
          <w:sz w:val="16"/>
          <w:szCs w:val="16"/>
          <w:color w:val="auto"/>
        </w:rPr>
        <w:t>” means the earliest of (i) the failure of Participant to satisfy the Service Condition due to (A) the Company’s termination of Participant’s employment with the Company for any reason other than for Cause, (B) Participant ceasing to be an employee of the Company as a result of his death or Disability, or (C) Participant’s termination of his employment with the Company for Good Reason; provided that with respect to this clause</w:t>
      </w:r>
    </w:p>
    <w:p>
      <w:pPr>
        <w:jc w:val="both"/>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(C) Participant must first provide the Company with written notice within ninety (90) days following the first occurrence of the condition(s) that Participant believes constitutes Good Reason and the Company fails to cure such condition(s), if curable, within thirty (30) days following receipt of such written notice, (ii) the date immediately prior to an Acquisition subject to Participant continuing to have satisfied the Service Condition through such time, or (iii) the last date of the Award Term subject to Participant continuing to have satisfied the Service Condition through such time.</w:t>
      </w:r>
    </w:p>
    <w:p>
      <w:pPr>
        <w:spacing w:after="0" w:line="68" w:lineRule="exact"/>
        <w:rPr>
          <w:rFonts w:ascii="Arial" w:cs="Arial" w:eastAsia="Arial" w:hAnsi="Arial"/>
          <w:sz w:val="16"/>
          <w:szCs w:val="16"/>
          <w:b w:val="1"/>
          <w:bCs w:val="1"/>
          <w:color w:val="auto"/>
        </w:rPr>
      </w:pPr>
    </w:p>
    <w:p>
      <w:pPr>
        <w:ind w:left="860" w:hanging="396"/>
        <w:spacing w:after="0"/>
        <w:tabs>
          <w:tab w:leader="none" w:pos="860"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Achievement Date</w:t>
      </w:r>
      <w:r>
        <w:rPr>
          <w:rFonts w:ascii="Arial" w:cs="Arial" w:eastAsia="Arial" w:hAnsi="Arial"/>
          <w:sz w:val="18"/>
          <w:szCs w:val="18"/>
          <w:color w:val="auto"/>
        </w:rPr>
        <w:t>” has the meaning set forth in Exhibit A.</w:t>
      </w:r>
    </w:p>
    <w:p>
      <w:pPr>
        <w:sectPr>
          <w:pgSz w:w="11900" w:h="16838" w:orient="portrait"/>
          <w:cols w:equalWidth="0" w:num="1">
            <w:col w:w="11420"/>
          </w:cols>
          <w:pgMar w:left="240" w:top="121" w:right="239" w:bottom="1440" w:gutter="0" w:footer="0" w:header="0"/>
          <w:type w:val="continuous"/>
        </w:sectPr>
      </w:pPr>
    </w:p>
    <w:bookmarkStart w:id="228" w:name="page229"/>
    <w:bookmarkEnd w:id="228"/>
    <w:p>
      <w:pPr>
        <w:ind w:left="840" w:hanging="376"/>
        <w:spacing w:after="0"/>
        <w:tabs>
          <w:tab w:leader="none" w:pos="84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means:</w:t>
      </w:r>
    </w:p>
    <w:p>
      <w:pPr>
        <w:spacing w:after="0" w:line="117" w:lineRule="exact"/>
        <w:rPr>
          <w:rFonts w:ascii="Arial" w:cs="Arial" w:eastAsia="Arial" w:hAnsi="Arial"/>
          <w:sz w:val="18"/>
          <w:szCs w:val="18"/>
          <w:b w:val="1"/>
          <w:bCs w:val="1"/>
          <w:color w:val="auto"/>
        </w:rPr>
      </w:pPr>
    </w:p>
    <w:p>
      <w:pPr>
        <w:jc w:val="both"/>
        <w:ind w:firstLine="921"/>
        <w:spacing w:after="0" w:line="276" w:lineRule="auto"/>
        <w:tabs>
          <w:tab w:leader="none" w:pos="1284" w:val="left"/>
        </w:tabs>
        <w:numPr>
          <w:ilvl w:val="1"/>
          <w:numId w:val="141"/>
        </w:numPr>
        <w:rPr>
          <w:rFonts w:ascii="Arial" w:cs="Arial" w:eastAsia="Arial" w:hAnsi="Arial"/>
          <w:sz w:val="17"/>
          <w:szCs w:val="17"/>
          <w:b w:val="1"/>
          <w:bCs w:val="1"/>
          <w:color w:val="auto"/>
        </w:rPr>
      </w:pPr>
      <w:r>
        <w:rPr>
          <w:rFonts w:ascii="Arial" w:cs="Arial" w:eastAsia="Arial" w:hAnsi="Arial"/>
          <w:sz w:val="17"/>
          <w:szCs w:val="17"/>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64" w:lineRule="exact"/>
        <w:rPr>
          <w:rFonts w:ascii="Arial" w:cs="Arial" w:eastAsia="Arial" w:hAnsi="Arial"/>
          <w:sz w:val="17"/>
          <w:szCs w:val="17"/>
          <w:b w:val="1"/>
          <w:bCs w:val="1"/>
          <w:color w:val="auto"/>
        </w:rPr>
      </w:pPr>
    </w:p>
    <w:p>
      <w:pPr>
        <w:jc w:val="both"/>
        <w:ind w:firstLine="921"/>
        <w:spacing w:after="0" w:line="257" w:lineRule="auto"/>
        <w:tabs>
          <w:tab w:leader="none" w:pos="1356" w:val="left"/>
        </w:tabs>
        <w:numPr>
          <w:ilvl w:val="1"/>
          <w:numId w:val="141"/>
        </w:numPr>
        <w:rPr>
          <w:rFonts w:ascii="Arial" w:cs="Arial" w:eastAsia="Arial" w:hAnsi="Arial"/>
          <w:sz w:val="18"/>
          <w:szCs w:val="18"/>
          <w:b w:val="1"/>
          <w:bCs w:val="1"/>
          <w:color w:val="auto"/>
        </w:rPr>
      </w:pPr>
      <w:r>
        <w:rPr>
          <w:rFonts w:ascii="Arial" w:cs="Arial" w:eastAsia="Arial" w:hAnsi="Arial"/>
          <w:sz w:val="18"/>
          <w:szCs w:val="18"/>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80" w:lineRule="exact"/>
        <w:rPr>
          <w:rFonts w:ascii="Arial" w:cs="Arial" w:eastAsia="Arial" w:hAnsi="Arial"/>
          <w:sz w:val="18"/>
          <w:szCs w:val="18"/>
          <w:b w:val="1"/>
          <w:bCs w:val="1"/>
          <w:color w:val="auto"/>
        </w:rPr>
      </w:pPr>
    </w:p>
    <w:p>
      <w:pPr>
        <w:jc w:val="both"/>
        <w:ind w:firstLine="921"/>
        <w:spacing w:after="0" w:line="276" w:lineRule="auto"/>
        <w:tabs>
          <w:tab w:leader="none" w:pos="1380" w:val="left"/>
        </w:tabs>
        <w:numPr>
          <w:ilvl w:val="1"/>
          <w:numId w:val="141"/>
        </w:numPr>
        <w:rPr>
          <w:rFonts w:ascii="Arial" w:cs="Arial" w:eastAsia="Arial" w:hAnsi="Arial"/>
          <w:sz w:val="17"/>
          <w:szCs w:val="17"/>
          <w:b w:val="1"/>
          <w:bCs w:val="1"/>
          <w:color w:val="auto"/>
        </w:rPr>
      </w:pPr>
      <w:r>
        <w:rPr>
          <w:rFonts w:ascii="Arial" w:cs="Arial" w:eastAsia="Arial" w:hAnsi="Arial"/>
          <w:sz w:val="17"/>
          <w:szCs w:val="17"/>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7"/>
          <w:szCs w:val="17"/>
          <w:b w:val="1"/>
          <w:bCs w:val="1"/>
          <w:i w:val="1"/>
          <w:iCs w:val="1"/>
          <w:color w:val="auto"/>
        </w:rPr>
        <w:t>Acquisition by Sale of Assets</w:t>
      </w:r>
      <w:r>
        <w:rPr>
          <w:rFonts w:ascii="Arial" w:cs="Arial" w:eastAsia="Arial" w:hAnsi="Arial"/>
          <w:sz w:val="17"/>
          <w:szCs w:val="17"/>
          <w:color w:val="auto"/>
        </w:rPr>
        <w:t>”).</w:t>
      </w:r>
    </w:p>
    <w:p>
      <w:pPr>
        <w:spacing w:after="0" w:line="169"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For purposes of subsections </w:t>
      </w:r>
      <w:r>
        <w:rPr>
          <w:rFonts w:ascii="Arial" w:cs="Arial" w:eastAsia="Arial" w:hAnsi="Arial"/>
          <w:sz w:val="17"/>
          <w:szCs w:val="17"/>
          <w:b w:val="1"/>
          <w:bCs w:val="1"/>
          <w:color w:val="auto"/>
        </w:rPr>
        <w:t>(i)</w:t>
      </w:r>
      <w:r>
        <w:rPr>
          <w:rFonts w:ascii="Arial" w:cs="Arial" w:eastAsia="Arial" w:hAnsi="Arial"/>
          <w:sz w:val="17"/>
          <w:szCs w:val="17"/>
          <w:color w:val="auto"/>
        </w:rPr>
        <w:t xml:space="preserve"> and </w:t>
      </w:r>
      <w:r>
        <w:rPr>
          <w:rFonts w:ascii="Arial" w:cs="Arial" w:eastAsia="Arial" w:hAnsi="Arial"/>
          <w:sz w:val="17"/>
          <w:szCs w:val="17"/>
          <w:b w:val="1"/>
          <w:bCs w:val="1"/>
          <w:color w:val="auto"/>
        </w:rPr>
        <w:t>(ii)</w:t>
      </w:r>
      <w:r>
        <w:rPr>
          <w:rFonts w:ascii="Arial" w:cs="Arial" w:eastAsia="Arial" w:hAnsi="Arial"/>
          <w:sz w:val="17"/>
          <w:szCs w:val="17"/>
          <w:color w:val="auto"/>
        </w:rPr>
        <w:t>, (A) the acquisition of additional stock by any one person, or more than one person acting as a group, who is considered to own fifty percent (50%) or more of the total voting power of the stock of the Company immediately prior to such acquisition will not be considered an Acquisition,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an Acquisition.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68" w:lineRule="exact"/>
        <w:rPr>
          <w:sz w:val="20"/>
          <w:szCs w:val="20"/>
          <w:color w:val="auto"/>
        </w:rPr>
      </w:pPr>
    </w:p>
    <w:p>
      <w:pPr>
        <w:jc w:val="both"/>
        <w:ind w:firstLine="464"/>
        <w:spacing w:after="0" w:line="259" w:lineRule="auto"/>
        <w:tabs>
          <w:tab w:leader="none" w:pos="883"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78" w:lineRule="exact"/>
        <w:rPr>
          <w:rFonts w:ascii="Arial" w:cs="Arial" w:eastAsia="Arial" w:hAnsi="Arial"/>
          <w:sz w:val="18"/>
          <w:szCs w:val="18"/>
          <w:b w:val="1"/>
          <w:bCs w:val="1"/>
          <w:color w:val="auto"/>
        </w:rPr>
      </w:pPr>
    </w:p>
    <w:p>
      <w:pPr>
        <w:ind w:left="840" w:hanging="376"/>
        <w:spacing w:after="0"/>
        <w:tabs>
          <w:tab w:leader="none" w:pos="840"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jc w:val="both"/>
        <w:ind w:firstLine="464"/>
        <w:spacing w:after="0" w:line="274" w:lineRule="auto"/>
        <w:tabs>
          <w:tab w:leader="none" w:pos="938" w:val="left"/>
        </w:tabs>
        <w:numPr>
          <w:ilvl w:val="1"/>
          <w:numId w:val="14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(i) Participant’s conviction for, or guilty plea to, a felony, (ii) Participant’s commission of any intentional act of fraud or dishonesty against the Company that results in material harm to the business of the Company, its Parent (if any) and its Subsidiaries, taken as a whole,</w:t>
      </w:r>
    </w:p>
    <w:p>
      <w:pPr>
        <w:jc w:val="both"/>
        <w:ind w:firstLine="8"/>
        <w:spacing w:after="0" w:line="255" w:lineRule="auto"/>
        <w:tabs>
          <w:tab w:leader="none" w:pos="33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material breach by Participant of any provision of any written agreement between the Company or any Parent or Subsidiary of the Company and Participant regarding the terms of Participant’s service to the Company or a Parent or Subsidiary of the Company, including without limitation, any material breach of any applicable</w:t>
      </w:r>
    </w:p>
    <w:p>
      <w:pPr>
        <w:sectPr>
          <w:pgSz w:w="11900" w:h="16838" w:orient="portrait"/>
          <w:cols w:equalWidth="0" w:num="1">
            <w:col w:w="11420"/>
          </w:cols>
          <w:pgMar w:left="240" w:top="274" w:right="239" w:bottom="1440" w:gutter="0" w:footer="0" w:header="0"/>
        </w:sectPr>
      </w:pPr>
    </w:p>
    <w:bookmarkStart w:id="229" w:name="page230"/>
    <w:bookmarkEnd w:id="229"/>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 assignment and confidentiality agreement or similar agreement between the Company or a Parent or Subsidiary of the Company and Participant, in each case that results in material harm to the business of the Company, its Parent (if any) and its Subsidiaries, taken as a whole, or (iv) any other intentional, material misconduct by Participant in the performance of his duties and responsibilities to the Company that results in material harm to the business of the Company, its Parent (if any) and its Subsidiaries, taken as a whole; provided that any action, breach, or misconduct described in clauses (ii) through (iv) will constitute “Cause” only if such action, breach or misconduct continues after the Company has provided Participant with written notice thereof and thirty</w:t>
      </w:r>
    </w:p>
    <w:p>
      <w:pPr>
        <w:spacing w:after="0" w:line="2" w:lineRule="exact"/>
        <w:rPr>
          <w:sz w:val="20"/>
          <w:szCs w:val="20"/>
          <w:color w:val="auto"/>
        </w:rPr>
      </w:pPr>
    </w:p>
    <w:p>
      <w:pPr>
        <w:ind w:left="360" w:hanging="352"/>
        <w:spacing w:after="0"/>
        <w:tabs>
          <w:tab w:leader="none" w:pos="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days to cure the same if such action, breach or misconduct is curable.</w:t>
      </w:r>
    </w:p>
    <w:p>
      <w:pPr>
        <w:spacing w:after="0" w:line="102" w:lineRule="exact"/>
        <w:rPr>
          <w:rFonts w:ascii="Arial" w:cs="Arial" w:eastAsia="Arial" w:hAnsi="Arial"/>
          <w:sz w:val="18"/>
          <w:szCs w:val="18"/>
          <w:color w:val="auto"/>
        </w:rPr>
      </w:pPr>
    </w:p>
    <w:p>
      <w:pPr>
        <w:ind w:left="860" w:hanging="396"/>
        <w:spacing w:after="0"/>
        <w:tabs>
          <w:tab w:leader="none" w:pos="860"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Company’s Class A Common Stock, $0.00001 par value per share.</w:t>
      </w:r>
    </w:p>
    <w:p>
      <w:pPr>
        <w:spacing w:after="0" w:line="117" w:lineRule="exact"/>
        <w:rPr>
          <w:rFonts w:ascii="Arial" w:cs="Arial" w:eastAsia="Arial" w:hAnsi="Arial"/>
          <w:sz w:val="18"/>
          <w:szCs w:val="18"/>
          <w:b w:val="1"/>
          <w:bCs w:val="1"/>
          <w:color w:val="auto"/>
        </w:rPr>
      </w:pPr>
    </w:p>
    <w:p>
      <w:pPr>
        <w:jc w:val="both"/>
        <w:ind w:firstLine="464"/>
        <w:spacing w:after="0" w:line="264" w:lineRule="auto"/>
        <w:tabs>
          <w:tab w:leader="none" w:pos="87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73" w:lineRule="exact"/>
        <w:rPr>
          <w:rFonts w:ascii="Arial" w:cs="Arial" w:eastAsia="Arial" w:hAnsi="Arial"/>
          <w:sz w:val="18"/>
          <w:szCs w:val="18"/>
          <w:b w:val="1"/>
          <w:bCs w:val="1"/>
          <w:color w:val="auto"/>
        </w:rPr>
      </w:pPr>
    </w:p>
    <w:p>
      <w:pPr>
        <w:ind w:right="20" w:firstLine="464"/>
        <w:spacing w:after="0" w:line="277" w:lineRule="auto"/>
        <w:tabs>
          <w:tab w:leader="none" w:pos="82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committee of one or more members of the Board created and appointed by the Board to administer this RSA Agreement, or if no committee is created and appointed, the Board.</w:t>
      </w:r>
    </w:p>
    <w:p>
      <w:pPr>
        <w:spacing w:after="0" w:line="62" w:lineRule="exact"/>
        <w:rPr>
          <w:rFonts w:ascii="Arial" w:cs="Arial" w:eastAsia="Arial" w:hAnsi="Arial"/>
          <w:sz w:val="18"/>
          <w:szCs w:val="18"/>
          <w:b w:val="1"/>
          <w:bCs w:val="1"/>
          <w:color w:val="auto"/>
        </w:rPr>
      </w:pPr>
    </w:p>
    <w:p>
      <w:pPr>
        <w:ind w:left="820" w:hanging="356"/>
        <w:spacing w:after="0"/>
        <w:tabs>
          <w:tab w:leader="none" w:pos="82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Dropbox, Inc., a Delaware corporation, or any successor corporation.</w:t>
      </w:r>
    </w:p>
    <w:p>
      <w:pPr>
        <w:spacing w:after="0" w:line="117" w:lineRule="exact"/>
        <w:rPr>
          <w:rFonts w:ascii="Arial" w:cs="Arial" w:eastAsia="Arial" w:hAnsi="Arial"/>
          <w:sz w:val="18"/>
          <w:szCs w:val="18"/>
          <w:b w:val="1"/>
          <w:bCs w:val="1"/>
          <w:color w:val="auto"/>
        </w:rPr>
      </w:pPr>
    </w:p>
    <w:p>
      <w:pPr>
        <w:ind w:left="860" w:hanging="396"/>
        <w:spacing w:after="0"/>
        <w:tabs>
          <w:tab w:leader="none" w:pos="86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Quarterly Vesting Date”</w:t>
      </w:r>
      <w:r>
        <w:rPr>
          <w:rFonts w:ascii="Arial" w:cs="Arial" w:eastAsia="Arial" w:hAnsi="Arial"/>
          <w:sz w:val="18"/>
          <w:szCs w:val="18"/>
          <w:color w:val="auto"/>
        </w:rPr>
        <w:t xml:space="preserve"> means each of February 15, May 15, August 15, and November 15.</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1"/>
          <w:numId w:val="14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being engaged by the Company or a Parent or Subsidiary to render services to such entity, including as an advisor.</w:t>
      </w:r>
    </w:p>
    <w:p>
      <w:pPr>
        <w:spacing w:after="0" w:line="128" w:lineRule="exact"/>
        <w:rPr>
          <w:rFonts w:ascii="Arial" w:cs="Arial" w:eastAsia="Arial" w:hAnsi="Arial"/>
          <w:sz w:val="17"/>
          <w:szCs w:val="17"/>
          <w:b w:val="1"/>
          <w:bCs w:val="1"/>
          <w:color w:val="auto"/>
        </w:rPr>
      </w:pPr>
    </w:p>
    <w:p>
      <w:pPr>
        <w:ind w:left="920" w:hanging="456"/>
        <w:spacing w:after="0"/>
        <w:tabs>
          <w:tab w:leader="none" w:pos="92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left="860" w:hanging="396"/>
        <w:spacing w:after="0"/>
        <w:tabs>
          <w:tab w:leader="none" w:pos="86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117" w:lineRule="exact"/>
        <w:rPr>
          <w:rFonts w:ascii="Arial" w:cs="Arial" w:eastAsia="Arial" w:hAnsi="Arial"/>
          <w:sz w:val="18"/>
          <w:szCs w:val="18"/>
          <w:b w:val="1"/>
          <w:bCs w:val="1"/>
          <w:color w:val="auto"/>
        </w:rPr>
      </w:pPr>
    </w:p>
    <w:p>
      <w:pPr>
        <w:jc w:val="both"/>
        <w:ind w:firstLine="464"/>
        <w:spacing w:after="0" w:line="259" w:lineRule="auto"/>
        <w:tabs>
          <w:tab w:leader="none" w:pos="968"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being employed by the Company or any Parent or Subsidiary, even while also providing services in another capacity, including as an executive officer or Director. Nevertheless, neither service as a Director nor payment of a director’s fee by the Company shall be sufficient to constitute “employment” by the Company. An Employee will not cease to be such in the case of transfers between locations of the Company or between the Company, its Parent, any Subsidiary, or any successor.</w:t>
      </w:r>
    </w:p>
    <w:p>
      <w:pPr>
        <w:spacing w:after="0" w:line="78" w:lineRule="exact"/>
        <w:rPr>
          <w:rFonts w:ascii="Arial" w:cs="Arial" w:eastAsia="Arial" w:hAnsi="Arial"/>
          <w:sz w:val="18"/>
          <w:szCs w:val="18"/>
          <w:b w:val="1"/>
          <w:bCs w:val="1"/>
          <w:color w:val="auto"/>
        </w:rPr>
      </w:pPr>
    </w:p>
    <w:p>
      <w:pPr>
        <w:ind w:left="860" w:hanging="396"/>
        <w:spacing w:after="0"/>
        <w:tabs>
          <w:tab w:leader="none" w:pos="86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b w:val="1"/>
          <w:bCs w:val="1"/>
          <w:color w:val="auto"/>
        </w:rPr>
      </w:pPr>
    </w:p>
    <w:p>
      <w:pPr>
        <w:jc w:val="both"/>
        <w:ind w:firstLine="464"/>
        <w:spacing w:after="0" w:line="259" w:lineRule="auto"/>
        <w:tabs>
          <w:tab w:leader="none" w:pos="856"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(i) the Company’s removal of Participant from serving in the role as an employee holding a senior management title at the Company; (ii) a material diminution in Participant’s authority, title, duties or responsibilities as in effect immediately prior to such reduction; (iii) the assignment to Participant of any duties or responsibilities that are inconsistent with the customary duties and responsibilities of an employee holding a senior management title at the Company; or (iv) a material breach by the Company of this Agreement.</w:t>
      </w:r>
    </w:p>
    <w:p>
      <w:pPr>
        <w:spacing w:after="0" w:line="78" w:lineRule="exact"/>
        <w:rPr>
          <w:rFonts w:ascii="Arial" w:cs="Arial" w:eastAsia="Arial" w:hAnsi="Arial"/>
          <w:sz w:val="18"/>
          <w:szCs w:val="18"/>
          <w:b w:val="1"/>
          <w:bCs w:val="1"/>
          <w:color w:val="auto"/>
        </w:rPr>
      </w:pPr>
    </w:p>
    <w:p>
      <w:pPr>
        <w:ind w:left="840" w:hanging="376"/>
        <w:spacing w:after="0"/>
        <w:tabs>
          <w:tab w:leader="none" w:pos="84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first date the Shares are traded on a Securities Exchange.</w:t>
      </w:r>
    </w:p>
    <w:p>
      <w:pPr>
        <w:spacing w:after="0" w:line="117" w:lineRule="exact"/>
        <w:rPr>
          <w:rFonts w:ascii="Arial" w:cs="Arial" w:eastAsia="Arial" w:hAnsi="Arial"/>
          <w:sz w:val="18"/>
          <w:szCs w:val="18"/>
          <w:b w:val="1"/>
          <w:bCs w:val="1"/>
          <w:color w:val="auto"/>
        </w:rPr>
      </w:pPr>
    </w:p>
    <w:p>
      <w:pPr>
        <w:ind w:left="840" w:hanging="376"/>
        <w:spacing w:after="0"/>
        <w:tabs>
          <w:tab w:leader="none" w:pos="840"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 “parent corporation,” whether now or hereafter existing, as defined in Section 424(e) of the Code.</w:t>
      </w:r>
    </w:p>
    <w:p>
      <w:pPr>
        <w:sectPr>
          <w:pgSz w:w="11900" w:h="16838" w:orient="portrait"/>
          <w:cols w:equalWidth="0" w:num="1">
            <w:col w:w="11420"/>
          </w:cols>
          <w:pgMar w:left="240" w:top="274" w:right="239" w:bottom="1440" w:gutter="0" w:footer="0" w:header="0"/>
        </w:sectPr>
      </w:pPr>
    </w:p>
    <w:bookmarkStart w:id="230" w:name="page231"/>
    <w:bookmarkEnd w:id="230"/>
    <w:p>
      <w:pPr>
        <w:ind w:left="812" w:hanging="356"/>
        <w:spacing w:after="0"/>
        <w:tabs>
          <w:tab w:leader="none" w:pos="812" w:val="left"/>
        </w:tabs>
        <w:numPr>
          <w:ilvl w:val="1"/>
          <w:numId w:val="1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8" w:firstLine="464"/>
        <w:spacing w:after="0" w:line="277" w:lineRule="auto"/>
        <w:tabs>
          <w:tab w:leader="none" w:pos="889"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“Securities Exchange</w:t>
      </w:r>
      <w:r>
        <w:rPr>
          <w:rFonts w:ascii="Arial" w:cs="Arial" w:eastAsia="Arial" w:hAnsi="Arial"/>
          <w:sz w:val="18"/>
          <w:szCs w:val="18"/>
          <w:color w:val="auto"/>
        </w:rPr>
        <w:t>” means an established national securities exchange or automated quotation system (e.g., the New York Stock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Nasdaq Global Select Market, or The Nasdaq Global Market).</w:t>
      </w:r>
    </w:p>
    <w:p>
      <w:pPr>
        <w:spacing w:after="0" w:line="62" w:lineRule="exact"/>
        <w:rPr>
          <w:rFonts w:ascii="Arial" w:cs="Arial" w:eastAsia="Arial" w:hAnsi="Arial"/>
          <w:sz w:val="18"/>
          <w:szCs w:val="18"/>
          <w:b w:val="1"/>
          <w:bCs w:val="1"/>
          <w:color w:val="auto"/>
        </w:rPr>
      </w:pPr>
    </w:p>
    <w:p>
      <w:pPr>
        <w:jc w:val="both"/>
        <w:ind w:left="-8" w:firstLine="464"/>
        <w:spacing w:after="0" w:line="259" w:lineRule="auto"/>
        <w:tabs>
          <w:tab w:leader="none" w:pos="906" w:val="left"/>
        </w:tabs>
        <w:numPr>
          <w:ilvl w:val="1"/>
          <w:numId w:val="14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Condition</w:t>
      </w:r>
      <w:r>
        <w:rPr>
          <w:rFonts w:ascii="Arial" w:cs="Arial" w:eastAsia="Arial" w:hAnsi="Arial"/>
          <w:sz w:val="18"/>
          <w:szCs w:val="18"/>
          <w:color w:val="auto"/>
        </w:rPr>
        <w:t>” means Participant continuously holding a senior management title at the Company. In case of any dispute as to whether Participant fails to meet the Service Condition, the Committee shall have sole discretion to make this determination and the effective date of such failure (in each case, so long as such determination and effective date are reasonable), and such determination shall be binding on the Company, Participant and their successors.</w:t>
      </w:r>
    </w:p>
    <w:p>
      <w:pPr>
        <w:spacing w:after="0" w:line="78" w:lineRule="exact"/>
        <w:rPr>
          <w:rFonts w:ascii="Arial" w:cs="Arial" w:eastAsia="Arial" w:hAnsi="Arial"/>
          <w:sz w:val="18"/>
          <w:szCs w:val="18"/>
          <w:b w:val="1"/>
          <w:bCs w:val="1"/>
          <w:color w:val="auto"/>
        </w:rPr>
      </w:pPr>
    </w:p>
    <w:p>
      <w:pPr>
        <w:ind w:left="892" w:hanging="436"/>
        <w:spacing w:after="0"/>
        <w:tabs>
          <w:tab w:leader="none" w:pos="892" w:val="left"/>
        </w:tabs>
        <w:numPr>
          <w:ilvl w:val="1"/>
          <w:numId w:val="14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Director or Consultant.</w:t>
      </w:r>
    </w:p>
    <w:p>
      <w:pPr>
        <w:spacing w:after="0" w:line="117" w:lineRule="exact"/>
        <w:rPr>
          <w:rFonts w:ascii="Arial" w:cs="Arial" w:eastAsia="Arial" w:hAnsi="Arial"/>
          <w:sz w:val="18"/>
          <w:szCs w:val="18"/>
          <w:b w:val="1"/>
          <w:bCs w:val="1"/>
          <w:color w:val="auto"/>
        </w:rPr>
      </w:pPr>
    </w:p>
    <w:p>
      <w:pPr>
        <w:ind w:left="852" w:hanging="396"/>
        <w:spacing w:after="0"/>
        <w:tabs>
          <w:tab w:leader="none" w:pos="852" w:val="left"/>
        </w:tabs>
        <w:numPr>
          <w:ilvl w:val="1"/>
          <w:numId w:val="14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17" w:lineRule="exact"/>
        <w:rPr>
          <w:rFonts w:ascii="Arial" w:cs="Arial" w:eastAsia="Arial" w:hAnsi="Arial"/>
          <w:sz w:val="18"/>
          <w:szCs w:val="18"/>
          <w:b w:val="1"/>
          <w:bCs w:val="1"/>
          <w:color w:val="auto"/>
        </w:rPr>
      </w:pPr>
    </w:p>
    <w:p>
      <w:pPr>
        <w:jc w:val="both"/>
        <w:ind w:left="-8" w:firstLine="464"/>
        <w:spacing w:after="0" w:line="302" w:lineRule="auto"/>
        <w:tabs>
          <w:tab w:leader="none" w:pos="838"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Withholding Obligation”</w:t>
      </w:r>
      <w:r>
        <w:rPr>
          <w:rFonts w:ascii="Arial" w:cs="Arial" w:eastAsia="Arial" w:hAnsi="Arial"/>
          <w:sz w:val="16"/>
          <w:szCs w:val="16"/>
          <w:color w:val="auto"/>
        </w:rPr>
        <w:t xml:space="preserve"> means the maximum statutory tax rate applicable to Participant that the Company determines under applicable law that it is able to withhold for federal, state, and local and foreign income, social insurance, payroll, employment and any other taxes applicable to Participant arising from the vesting of this Award without resulting in adverse financial accounting treatment for the Company, as determined by the Company; provided, however, that “Tax Withholding Obligation” shall in no event be less than any minimum amount required by applicable law.</w:t>
      </w:r>
    </w:p>
    <w:p>
      <w:pPr>
        <w:spacing w:after="0" w:line="46" w:lineRule="exact"/>
        <w:rPr>
          <w:rFonts w:ascii="Arial" w:cs="Arial" w:eastAsia="Arial" w:hAnsi="Arial"/>
          <w:sz w:val="16"/>
          <w:szCs w:val="16"/>
          <w:b w:val="1"/>
          <w:bCs w:val="1"/>
          <w:color w:val="auto"/>
        </w:rPr>
      </w:pPr>
    </w:p>
    <w:p>
      <w:pPr>
        <w:jc w:val="both"/>
        <w:ind w:left="-8" w:firstLine="464"/>
        <w:spacing w:after="0" w:line="264" w:lineRule="auto"/>
        <w:tabs>
          <w:tab w:leader="none" w:pos="923" w:val="left"/>
        </w:tabs>
        <w:numPr>
          <w:ilvl w:val="1"/>
          <w:numId w:val="14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means the next Company Quarterly Vesting Date to occur following such Achievement Date; provided, however, that if an Achievement Date occurs on or within forty-five (45) calendar days prior to the next Company Quarterly Vesting Date, the Vesting Date shall mean the second Company Quarterly Vesting Date following that Achievement Date.</w:t>
      </w:r>
    </w:p>
    <w:p>
      <w:pPr>
        <w:spacing w:after="0" w:line="69" w:lineRule="exact"/>
        <w:rPr>
          <w:rFonts w:ascii="Arial" w:cs="Arial" w:eastAsia="Arial" w:hAnsi="Arial"/>
          <w:sz w:val="18"/>
          <w:szCs w:val="18"/>
          <w:b w:val="1"/>
          <w:bCs w:val="1"/>
          <w:color w:val="auto"/>
        </w:rPr>
      </w:pPr>
    </w:p>
    <w:p>
      <w:pPr>
        <w:jc w:val="both"/>
        <w:ind w:left="-8" w:firstLine="8"/>
        <w:spacing w:after="0" w:line="266" w:lineRule="auto"/>
        <w:tabs>
          <w:tab w:leader="none" w:pos="33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The Company hereby grants to Participant for past services and as a separate incentive in connection with his future services and not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salary or other compensation for his services, this Award subject to all of the terms and conditions in this RSA Agreement. The issuance of this Award to Participant has been approved by the Board.</w:t>
      </w:r>
    </w:p>
    <w:p>
      <w:pPr>
        <w:spacing w:after="0" w:line="81" w:lineRule="exact"/>
        <w:rPr>
          <w:rFonts w:ascii="Arial" w:cs="Arial" w:eastAsia="Arial" w:hAnsi="Arial"/>
          <w:sz w:val="18"/>
          <w:szCs w:val="18"/>
          <w:b w:val="1"/>
          <w:bCs w:val="1"/>
          <w:color w:val="auto"/>
        </w:rPr>
      </w:pPr>
    </w:p>
    <w:p>
      <w:pPr>
        <w:ind w:left="312" w:hanging="312"/>
        <w:spacing w:after="0"/>
        <w:tabs>
          <w:tab w:leader="none" w:pos="31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Escrowof Shares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20" w:firstLine="464"/>
        <w:spacing w:after="0" w:line="308" w:lineRule="auto"/>
        <w:tabs>
          <w:tab w:leader="none" w:pos="832"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All Shares subject to this Award will, upon execution of this RSA Agreement, be delivered and deposited with an escrow holder designated by the Company (the “</w:t>
      </w:r>
      <w:r>
        <w:rPr>
          <w:rFonts w:ascii="Arial" w:cs="Arial" w:eastAsia="Arial" w:hAnsi="Arial"/>
          <w:sz w:val="17"/>
          <w:szCs w:val="17"/>
          <w:b w:val="1"/>
          <w:bCs w:val="1"/>
          <w:i w:val="1"/>
          <w:iCs w:val="1"/>
          <w:color w:val="auto"/>
        </w:rPr>
        <w:t>Escrow Holder</w:t>
      </w:r>
      <w:r>
        <w:rPr>
          <w:rFonts w:ascii="Arial" w:cs="Arial" w:eastAsia="Arial" w:hAnsi="Arial"/>
          <w:sz w:val="17"/>
          <w:szCs w:val="17"/>
          <w:color w:val="auto"/>
        </w:rPr>
        <w:t>”). The Shares subject to this Award will be held by the Escrow Holder until the Expiration Date.</w:t>
      </w:r>
    </w:p>
    <w:p>
      <w:pPr>
        <w:spacing w:after="0" w:line="38" w:lineRule="exact"/>
        <w:rPr>
          <w:rFonts w:ascii="Arial" w:cs="Arial" w:eastAsia="Arial" w:hAnsi="Arial"/>
          <w:sz w:val="17"/>
          <w:szCs w:val="17"/>
          <w:b w:val="1"/>
          <w:bCs w:val="1"/>
          <w:color w:val="auto"/>
        </w:rPr>
      </w:pPr>
    </w:p>
    <w:p>
      <w:pPr>
        <w:ind w:left="-8" w:right="20" w:firstLine="464"/>
        <w:spacing w:after="0" w:line="277" w:lineRule="auto"/>
        <w:tabs>
          <w:tab w:leader="none" w:pos="860" w:val="left"/>
        </w:tabs>
        <w:numPr>
          <w:ilvl w:val="1"/>
          <w:numId w:val="146"/>
        </w:numPr>
        <w:rPr>
          <w:rFonts w:ascii="Arial" w:cs="Arial" w:eastAsia="Arial" w:hAnsi="Arial"/>
          <w:sz w:val="18"/>
          <w:szCs w:val="18"/>
          <w:b w:val="1"/>
          <w:bCs w:val="1"/>
          <w:color w:val="auto"/>
        </w:rPr>
      </w:pPr>
      <w:r>
        <w:rPr>
          <w:rFonts w:ascii="Arial" w:cs="Arial" w:eastAsia="Arial" w:hAnsi="Arial"/>
          <w:sz w:val="18"/>
          <w:szCs w:val="18"/>
          <w:color w:val="auto"/>
        </w:rPr>
        <w:t>The Escrow Holder will not be liable for any act it may do or omit to do with respect to holding the Shares subject to this Award in escrow while acting in good faith and in the exercise of its judgment.</w:t>
      </w:r>
    </w:p>
    <w:p>
      <w:pPr>
        <w:spacing w:after="0" w:line="62" w:lineRule="exact"/>
        <w:rPr>
          <w:rFonts w:ascii="Arial" w:cs="Arial" w:eastAsia="Arial" w:hAnsi="Arial"/>
          <w:sz w:val="18"/>
          <w:szCs w:val="18"/>
          <w:b w:val="1"/>
          <w:bCs w:val="1"/>
          <w:color w:val="auto"/>
        </w:rPr>
      </w:pPr>
    </w:p>
    <w:p>
      <w:pPr>
        <w:jc w:val="both"/>
        <w:ind w:left="-8" w:firstLine="464"/>
        <w:spacing w:after="0" w:line="257" w:lineRule="auto"/>
        <w:tabs>
          <w:tab w:leader="none" w:pos="876" w:val="left"/>
        </w:tabs>
        <w:numPr>
          <w:ilvl w:val="1"/>
          <w:numId w:val="146"/>
        </w:numPr>
        <w:rPr>
          <w:rFonts w:ascii="Arial" w:cs="Arial" w:eastAsia="Arial" w:hAnsi="Arial"/>
          <w:sz w:val="18"/>
          <w:szCs w:val="18"/>
          <w:b w:val="1"/>
          <w:bCs w:val="1"/>
          <w:color w:val="auto"/>
        </w:rPr>
      </w:pPr>
      <w:r>
        <w:rPr>
          <w:rFonts w:ascii="Arial" w:cs="Arial" w:eastAsia="Arial" w:hAnsi="Arial"/>
          <w:sz w:val="18"/>
          <w:szCs w:val="18"/>
          <w:color w:val="auto"/>
        </w:rPr>
        <w:t>Upon the Expiration Date, the Escrow Holder, upon receipt of written notice of such expiration, will take all steps necessary to accomplish the transfer of unvested Shares, if any, subject to this Award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if any, subject to this Award to the Company upon such expiration.</w:t>
      </w:r>
    </w:p>
    <w:p>
      <w:pPr>
        <w:sectPr>
          <w:pgSz w:w="11900" w:h="16838" w:orient="portrait"/>
          <w:cols w:equalWidth="0" w:num="1">
            <w:col w:w="11412"/>
          </w:cols>
          <w:pgMar w:left="248" w:top="274" w:right="239" w:bottom="1440" w:gutter="0" w:footer="0" w:header="0"/>
        </w:sectPr>
      </w:pPr>
    </w:p>
    <w:bookmarkStart w:id="231" w:name="page232"/>
    <w:bookmarkEnd w:id="231"/>
    <w:p>
      <w:pPr>
        <w:ind w:left="-8" w:right="20" w:firstLine="464"/>
        <w:spacing w:after="0" w:line="277" w:lineRule="auto"/>
        <w:tabs>
          <w:tab w:leader="none" w:pos="857"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Escrow Holder will take all steps necessary to accomplish the transfer of Shares subject to this Award to Participant after they vest following Participant’s request that the Escrow Holder do so.</w:t>
      </w:r>
    </w:p>
    <w:p>
      <w:pPr>
        <w:spacing w:after="0" w:line="62" w:lineRule="exact"/>
        <w:rPr>
          <w:rFonts w:ascii="Arial" w:cs="Arial" w:eastAsia="Arial" w:hAnsi="Arial"/>
          <w:sz w:val="18"/>
          <w:szCs w:val="18"/>
          <w:b w:val="1"/>
          <w:bCs w:val="1"/>
          <w:color w:val="auto"/>
        </w:rPr>
      </w:pPr>
    </w:p>
    <w:p>
      <w:pPr>
        <w:ind w:left="-8" w:firstLine="464"/>
        <w:spacing w:after="0" w:line="308" w:lineRule="auto"/>
        <w:tabs>
          <w:tab w:leader="none" w:pos="834"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Subject to the terms hereof, Participant will have all the rights of a stockholder with respect to the Shares while they are held in escrow, including, without limitation, the right to vote the Shares and to receive any cash dividends declared thereon (but subject to Section 3(f)).</w:t>
      </w:r>
    </w:p>
    <w:p>
      <w:pPr>
        <w:spacing w:after="0" w:line="38" w:lineRule="exact"/>
        <w:rPr>
          <w:rFonts w:ascii="Arial" w:cs="Arial" w:eastAsia="Arial" w:hAnsi="Arial"/>
          <w:sz w:val="17"/>
          <w:szCs w:val="17"/>
          <w:b w:val="1"/>
          <w:bCs w:val="1"/>
          <w:color w:val="auto"/>
        </w:rPr>
      </w:pPr>
    </w:p>
    <w:p>
      <w:pPr>
        <w:jc w:val="both"/>
        <w:ind w:left="-8" w:firstLine="464"/>
        <w:spacing w:after="0" w:line="290" w:lineRule="auto"/>
        <w:tabs>
          <w:tab w:leader="none" w:pos="839" w:val="left"/>
        </w:tabs>
        <w:numPr>
          <w:ilvl w:val="1"/>
          <w:numId w:val="147"/>
        </w:numPr>
        <w:rPr>
          <w:rFonts w:ascii="Arial" w:cs="Arial" w:eastAsia="Arial" w:hAnsi="Arial"/>
          <w:sz w:val="16"/>
          <w:szCs w:val="16"/>
          <w:b w:val="1"/>
          <w:bCs w:val="1"/>
          <w:color w:val="auto"/>
        </w:rPr>
      </w:pPr>
      <w:r>
        <w:rPr>
          <w:rFonts w:ascii="Arial" w:cs="Arial" w:eastAsia="Arial" w:hAnsi="Arial"/>
          <w:sz w:val="16"/>
          <w:szCs w:val="16"/>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subject to this Award will be increased, reduced or otherwise changed, and by virtue of any such change Participant will in his or her capacity as owner of unvested Shares subject to this Award be entitled to new or additional or different shares of stock, cash or securities (other than rights or warrants to purchase securities); such new or additional or different shares, cash or securities will thereupon be considered to be unvested Shares subject to this and will be subject to all of the conditions and restrictions which were applicable to the unvested Shares subject this Award; provided, however, that fractions of a Share will not be issued but will either be paid in cash at the fair market value of such fraction of a Share or will be rounded down to the nearest whole Share, as determined by the Committee.</w:t>
      </w:r>
    </w:p>
    <w:p>
      <w:pPr>
        <w:spacing w:after="0" w:line="54" w:lineRule="exact"/>
        <w:rPr>
          <w:rFonts w:ascii="Arial" w:cs="Arial" w:eastAsia="Arial" w:hAnsi="Arial"/>
          <w:sz w:val="16"/>
          <w:szCs w:val="16"/>
          <w:b w:val="1"/>
          <w:bCs w:val="1"/>
          <w:color w:val="auto"/>
        </w:rPr>
      </w:pPr>
    </w:p>
    <w:p>
      <w:pPr>
        <w:jc w:val="both"/>
        <w:ind w:left="-8" w:firstLine="8"/>
        <w:spacing w:after="0" w:line="261" w:lineRule="auto"/>
        <w:tabs>
          <w:tab w:leader="none" w:pos="347"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Schedule</w:t>
      </w:r>
      <w:r>
        <w:rPr>
          <w:rFonts w:ascii="Arial" w:cs="Arial" w:eastAsia="Arial" w:hAnsi="Arial"/>
          <w:sz w:val="18"/>
          <w:szCs w:val="18"/>
          <w:color w:val="auto"/>
        </w:rPr>
        <w:t>. Except as provided in Section 5, and subject to Section 6, the Shares subject to this Award will vest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set forth in the Notice of Grant of Restricted Stock Award and Exhibit A. Shares subject to this Award scheduled to vest on a certain date or upon the occurrence of a certain condition will not vest in accordance with any of the provisions of this RSA Agreement and Exhibit A, unless Participant has continuously satisfied the Service Condition from the Grant Date until the date such vesting occurs.</w:t>
      </w:r>
    </w:p>
    <w:p>
      <w:pPr>
        <w:spacing w:after="0" w:line="71" w:lineRule="exact"/>
        <w:rPr>
          <w:rFonts w:ascii="Arial" w:cs="Arial" w:eastAsia="Arial" w:hAnsi="Arial"/>
          <w:sz w:val="18"/>
          <w:szCs w:val="18"/>
          <w:b w:val="1"/>
          <w:bCs w:val="1"/>
          <w:color w:val="auto"/>
        </w:rPr>
      </w:pPr>
    </w:p>
    <w:p>
      <w:pPr>
        <w:jc w:val="both"/>
        <w:ind w:left="-8" w:right="20" w:firstLine="8"/>
        <w:spacing w:after="0" w:line="266" w:lineRule="auto"/>
        <w:tabs>
          <w:tab w:leader="none" w:pos="307"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Discretion</w:t>
      </w:r>
      <w:r>
        <w:rPr>
          <w:rFonts w:ascii="Arial" w:cs="Arial" w:eastAsia="Arial" w:hAnsi="Arial"/>
          <w:sz w:val="18"/>
          <w:szCs w:val="18"/>
          <w:color w:val="auto"/>
        </w:rPr>
        <w:t>. The Committee, in its discretion, may accelerate the vesting of the balance, or some lesser portion of the balance, of the unvested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Award at any time. If so accelerated, such Shares subject to this Award will be considered as having vested as of the date specified by the Committee.</w:t>
      </w:r>
    </w:p>
    <w:p>
      <w:pPr>
        <w:spacing w:after="0" w:line="68" w:lineRule="exact"/>
        <w:rPr>
          <w:rFonts w:ascii="Arial" w:cs="Arial" w:eastAsia="Arial" w:hAnsi="Arial"/>
          <w:sz w:val="18"/>
          <w:szCs w:val="18"/>
          <w:b w:val="1"/>
          <w:bCs w:val="1"/>
          <w:color w:val="auto"/>
        </w:rPr>
      </w:pPr>
    </w:p>
    <w:p>
      <w:pPr>
        <w:jc w:val="both"/>
        <w:ind w:left="-8" w:firstLine="8"/>
        <w:spacing w:after="0" w:line="255" w:lineRule="auto"/>
        <w:tabs>
          <w:tab w:leader="none" w:pos="307"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 upon the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any Shares subject to this Award that may vest on an Acceleration Event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RSA Agreement, and notwithstanding any contrary provision of this RSA Agreement, the balance of the Shares subject to this Award that have not vested as of the Expiration Date will be forfeited and automatically transferred to and reacquired by the Company at no cost to the Company and Participant will have no further rights thereunder.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subject to this Award to the Company upon the Expiration Date.</w:t>
      </w:r>
    </w:p>
    <w:p>
      <w:pPr>
        <w:spacing w:after="0" w:line="81" w:lineRule="exact"/>
        <w:rPr>
          <w:rFonts w:ascii="Arial" w:cs="Arial" w:eastAsia="Arial" w:hAnsi="Arial"/>
          <w:sz w:val="18"/>
          <w:szCs w:val="18"/>
          <w:b w:val="1"/>
          <w:bCs w:val="1"/>
          <w:color w:val="auto"/>
        </w:rPr>
      </w:pPr>
    </w:p>
    <w:p>
      <w:pPr>
        <w:jc w:val="both"/>
        <w:ind w:left="-8" w:firstLine="8"/>
        <w:spacing w:after="0" w:line="261" w:lineRule="auto"/>
        <w:tabs>
          <w:tab w:leader="none" w:pos="3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of Participant</w:t>
      </w:r>
      <w:r>
        <w:rPr>
          <w:rFonts w:ascii="Arial" w:cs="Arial" w:eastAsia="Arial" w:hAnsi="Arial"/>
          <w:sz w:val="18"/>
          <w:szCs w:val="18"/>
          <w:color w:val="auto"/>
        </w:rPr>
        <w:t>. Any distribution or delivery to be made to Participant under this RSA Agreement will, if Participant is then deceased, be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ectPr>
          <w:pgSz w:w="11900" w:h="16838" w:orient="portrait"/>
          <w:cols w:equalWidth="0" w:num="1">
            <w:col w:w="11412"/>
          </w:cols>
          <w:pgMar w:left="248" w:top="274" w:right="239" w:bottom="1440" w:gutter="0" w:footer="0" w:header="0"/>
        </w:sectPr>
      </w:pPr>
    </w:p>
    <w:bookmarkStart w:id="232" w:name="page233"/>
    <w:bookmarkEnd w:id="232"/>
    <w:p>
      <w:pPr>
        <w:ind w:left="320" w:hanging="312"/>
        <w:spacing w:after="0"/>
        <w:tabs>
          <w:tab w:leader="none" w:pos="3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TaxWithholding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firstLine="464"/>
        <w:spacing w:after="0" w:line="285" w:lineRule="auto"/>
        <w:tabs>
          <w:tab w:leader="none" w:pos="873" w:val="left"/>
        </w:tabs>
        <w:numPr>
          <w:ilvl w:val="1"/>
          <w:numId w:val="149"/>
        </w:numPr>
        <w:rPr>
          <w:rFonts w:ascii="Arial" w:cs="Arial" w:eastAsia="Arial" w:hAnsi="Arial"/>
          <w:sz w:val="16"/>
          <w:szCs w:val="16"/>
          <w:b w:val="1"/>
          <w:bCs w:val="1"/>
          <w:color w:val="auto"/>
        </w:rPr>
      </w:pPr>
      <w:r>
        <w:rPr>
          <w:rFonts w:ascii="Arial" w:cs="Arial" w:eastAsia="Arial" w:hAnsi="Arial"/>
          <w:sz w:val="16"/>
          <w:szCs w:val="16"/>
          <w:u w:val="single" w:color="auto"/>
          <w:color w:val="auto"/>
        </w:rPr>
        <w:t>Default Method of Tax Withholding</w:t>
      </w:r>
      <w:r>
        <w:rPr>
          <w:rFonts w:ascii="Arial" w:cs="Arial" w:eastAsia="Arial" w:hAnsi="Arial"/>
          <w:sz w:val="16"/>
          <w:szCs w:val="16"/>
          <w:color w:val="auto"/>
        </w:rPr>
        <w:t>. On the first date following the IPO Date that is during an “open window period” (or term of similar import describing a period wherein Participant is not precluded by the Company from selling Shares on the open market) applicable to Participant on which Participant is not aware of any material nonpublic information about the Company or the shares of the Company, the Company shall request that Participant execute in writing, and Participant shall execute, the instructions set forth in Exhibit B attached hereto (the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xml:space="preserve">”) as the default means of satisfying Participant’s Tax Withholding Obligation. </w:t>
      </w:r>
      <w:r>
        <w:rPr>
          <w:rFonts w:ascii="Arial" w:cs="Arial" w:eastAsia="Arial" w:hAnsi="Arial"/>
          <w:sz w:val="16"/>
          <w:szCs w:val="16"/>
          <w:b w:val="1"/>
          <w:bCs w:val="1"/>
          <w:color w:val="auto"/>
        </w:rPr>
        <w:t>By accepting this Award, Participant expressly consents to the sale of Shares to be delivered under this</w:t>
      </w:r>
    </w:p>
    <w:p>
      <w:pPr>
        <w:spacing w:after="0" w:line="2" w:lineRule="exact"/>
        <w:rPr>
          <w:rFonts w:ascii="Arial" w:cs="Arial" w:eastAsia="Arial" w:hAnsi="Arial"/>
          <w:sz w:val="16"/>
          <w:szCs w:val="16"/>
          <w:b w:val="1"/>
          <w:bCs w:val="1"/>
          <w:color w:val="auto"/>
        </w:rPr>
      </w:pPr>
    </w:p>
    <w:p>
      <w:pPr>
        <w:jc w:val="both"/>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Award to cover Participant’s Tax Withholding Obligation (and any associated broker or other fees) pursuant to the 10b5-1 Plan and agrees and acknowledges that Participant may not satisfy Participant’s Tax Withholding Obligation by any means other than such sale of Shares, except as set forth in Section 8(b).</w:t>
      </w:r>
    </w:p>
    <w:p>
      <w:pPr>
        <w:spacing w:after="0" w:line="82" w:lineRule="exact"/>
        <w:rPr>
          <w:rFonts w:ascii="Arial" w:cs="Arial" w:eastAsia="Arial" w:hAnsi="Arial"/>
          <w:sz w:val="16"/>
          <w:szCs w:val="16"/>
          <w:b w:val="1"/>
          <w:bCs w:val="1"/>
          <w:color w:val="auto"/>
        </w:rPr>
      </w:pPr>
    </w:p>
    <w:p>
      <w:pPr>
        <w:jc w:val="both"/>
        <w:ind w:firstLine="464"/>
        <w:spacing w:after="0" w:line="291" w:lineRule="auto"/>
        <w:tabs>
          <w:tab w:leader="none" w:pos="883" w:val="left"/>
        </w:tabs>
        <w:numPr>
          <w:ilvl w:val="1"/>
          <w:numId w:val="149"/>
        </w:numPr>
        <w:rPr>
          <w:rFonts w:ascii="Arial" w:cs="Arial" w:eastAsia="Arial" w:hAnsi="Arial"/>
          <w:sz w:val="16"/>
          <w:szCs w:val="16"/>
          <w:b w:val="1"/>
          <w:bCs w:val="1"/>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If the Committee determines that Participant cannot satisfy Participant’s Tax Withholding Obligation through the default procedure described in clause (a), it may permit Participant to satisfy Participant’s Tax Withholding Obligation by (i) delivering to the Company Shares that Participant owns and that have vested with a fair market value equal to Participant’s Tax Withholding Obligation (in which case, the Company shall remit the amount that is required under applicable law to the appropriate governmental authorities in cash with the remainder, if any, to be promptly paid to Participant), (ii) electing to have the Company withhold otherwise deliverable Shares having a fair market value equal to Participant’s Tax Withholding Obligation (in which case, the Company shall remit the amount that is required under applicable law to the appropriate governmental authorities in cash with the remainder, if any, to be promptly paid to Participant), (iii) payment by Participant in cash, or (iv) such other means as the Committee deems appropriate.</w:t>
      </w:r>
    </w:p>
    <w:p>
      <w:pPr>
        <w:spacing w:after="0" w:line="59" w:lineRule="exact"/>
        <w:rPr>
          <w:rFonts w:ascii="Arial" w:cs="Arial" w:eastAsia="Arial" w:hAnsi="Arial"/>
          <w:sz w:val="16"/>
          <w:szCs w:val="16"/>
          <w:b w:val="1"/>
          <w:bCs w:val="1"/>
          <w:color w:val="auto"/>
        </w:rPr>
      </w:pPr>
    </w:p>
    <w:p>
      <w:pPr>
        <w:jc w:val="both"/>
        <w:ind w:firstLine="464"/>
        <w:spacing w:after="0" w:line="259" w:lineRule="auto"/>
        <w:tabs>
          <w:tab w:leader="none" w:pos="877" w:val="left"/>
        </w:tabs>
        <w:numPr>
          <w:ilvl w:val="1"/>
          <w:numId w:val="149"/>
        </w:numPr>
        <w:rPr>
          <w:rFonts w:ascii="Arial" w:cs="Arial" w:eastAsia="Arial" w:hAnsi="Arial"/>
          <w:sz w:val="18"/>
          <w:szCs w:val="18"/>
          <w:b w:val="1"/>
          <w:bCs w:val="1"/>
          <w:color w:val="auto"/>
        </w:rPr>
      </w:pPr>
      <w:r>
        <w:rPr>
          <w:rFonts w:ascii="Arial" w:cs="Arial" w:eastAsia="Arial" w:hAnsi="Arial"/>
          <w:sz w:val="18"/>
          <w:szCs w:val="18"/>
          <w:u w:val="single" w:color="auto"/>
          <w:color w:val="auto"/>
        </w:rPr>
        <w:t>Company’s Obligation to Deliver Shares</w:t>
      </w:r>
      <w:r>
        <w:rPr>
          <w:rFonts w:ascii="Arial" w:cs="Arial" w:eastAsia="Arial" w:hAnsi="Arial"/>
          <w:sz w:val="18"/>
          <w:szCs w:val="18"/>
          <w:color w:val="auto"/>
        </w:rPr>
        <w:t>. For clarification purposes, in no event will the Company issue Participant any Shares unless and until arrangements satisfactory to the Committee have been made for the payment of Participant’s Tax Withholding Obligation. If Participant fails to do so by the time they become due, Participant will permanently forfeit the Shares subject to this Award to which Participant’s Tax Withholding Obligation relates, as well as any right to receive Shares subject to this Award otherwise issuable hereunder.</w:t>
      </w:r>
    </w:p>
    <w:p>
      <w:pPr>
        <w:spacing w:after="0" w:line="74" w:lineRule="exact"/>
        <w:rPr>
          <w:rFonts w:ascii="Arial" w:cs="Arial" w:eastAsia="Arial" w:hAnsi="Arial"/>
          <w:sz w:val="18"/>
          <w:szCs w:val="18"/>
          <w:b w:val="1"/>
          <w:bCs w:val="1"/>
          <w:color w:val="auto"/>
        </w:rPr>
      </w:pPr>
    </w:p>
    <w:p>
      <w:pPr>
        <w:jc w:val="both"/>
        <w:ind w:firstLine="8"/>
        <w:spacing w:after="0" w:line="266" w:lineRule="auto"/>
        <w:tabs>
          <w:tab w:leader="none" w:pos="355"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acknowledges that there will be tax consequences in connection with this Award, including upon vesting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this Award and/or disposition of the Shares, if any, received in connection therewith, and Participant should consult a tax adviser regarding Participant’s tax obligations with respect to this Award.</w:t>
      </w:r>
    </w:p>
    <w:p>
      <w:pPr>
        <w:spacing w:after="0" w:line="68" w:lineRule="exact"/>
        <w:rPr>
          <w:rFonts w:ascii="Arial" w:cs="Arial" w:eastAsia="Arial" w:hAnsi="Arial"/>
          <w:sz w:val="18"/>
          <w:szCs w:val="18"/>
          <w:b w:val="1"/>
          <w:bCs w:val="1"/>
          <w:color w:val="auto"/>
        </w:rPr>
      </w:pPr>
    </w:p>
    <w:p>
      <w:pPr>
        <w:ind w:left="560" w:hanging="552"/>
        <w:spacing w:after="0"/>
        <w:tabs>
          <w:tab w:leader="none" w:pos="56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Participant agree that this Award is granted under and governed by this RSA Agreement. Participant:</w:t>
      </w:r>
    </w:p>
    <w:p>
      <w:pPr>
        <w:spacing w:after="0" w:line="38" w:lineRule="exact"/>
        <w:rPr>
          <w:rFonts w:ascii="Arial" w:cs="Arial" w:eastAsia="Arial" w:hAnsi="Arial"/>
          <w:sz w:val="17"/>
          <w:szCs w:val="17"/>
          <w:b w:val="1"/>
          <w:bCs w:val="1"/>
          <w:color w:val="auto"/>
        </w:rPr>
      </w:pPr>
    </w:p>
    <w:p>
      <w:pPr>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(i) acknowledges receipt of a copy of each of the foregoing documents, (ii) represents that Participant has carefully read and is familiar with their provisions, and (iii) hereby accepts this Award subject to all of the terms and conditions set forth herein.</w:t>
      </w:r>
    </w:p>
    <w:p>
      <w:pPr>
        <w:spacing w:after="0" w:line="71" w:lineRule="exact"/>
        <w:rPr>
          <w:rFonts w:ascii="Arial" w:cs="Arial" w:eastAsia="Arial" w:hAnsi="Arial"/>
          <w:sz w:val="17"/>
          <w:szCs w:val="17"/>
          <w:b w:val="1"/>
          <w:bCs w:val="1"/>
          <w:color w:val="auto"/>
        </w:rPr>
      </w:pPr>
    </w:p>
    <w:p>
      <w:pPr>
        <w:jc w:val="both"/>
        <w:ind w:firstLine="8"/>
        <w:spacing w:after="0" w:line="273" w:lineRule="auto"/>
        <w:tabs>
          <w:tab w:leader="none" w:pos="395"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is Not Transferable</w:t>
      </w:r>
      <w:r>
        <w:rPr>
          <w:rFonts w:ascii="Arial" w:cs="Arial" w:eastAsia="Arial" w:hAnsi="Arial"/>
          <w:sz w:val="17"/>
          <w:szCs w:val="17"/>
          <w:color w:val="auto"/>
        </w:rPr>
        <w:t>. Except for the escrow described in Section 3 or transfer of the Shares to the Company or its assignees contemplated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RSA Agreement, and except to the limited extent provided in Section 7, the unvested Shares subject to this Award and the rights and privileges conferred hereby will not be transferred, assigned, donated, encumbered, pledged or hypothecated in any way (whether by operation of law or otherwise) and will not be subject to sale under execution, attachment or similar process until such Shares shall have vested in accordance with the provisions of this RSA Agreement. Any attempt to transfer, assign, pledge, hypothecate or otherwise dispose of any unvested Shares subject to this Award, or any right or privilege conferred hereby, or upon any attempted sale under any execution, attachment or similar process, will be void and not be given effect and the Company will not be bound in any way to take any action to consummate or acknowledge the transaction.</w:t>
      </w:r>
    </w:p>
    <w:p>
      <w:pPr>
        <w:spacing w:after="0" w:line="64" w:lineRule="exact"/>
        <w:rPr>
          <w:rFonts w:ascii="Arial" w:cs="Arial" w:eastAsia="Arial" w:hAnsi="Arial"/>
          <w:sz w:val="17"/>
          <w:szCs w:val="17"/>
          <w:b w:val="1"/>
          <w:bCs w:val="1"/>
          <w:color w:val="auto"/>
        </w:rPr>
      </w:pPr>
    </w:p>
    <w:p>
      <w:pPr>
        <w:jc w:val="both"/>
        <w:ind w:firstLine="8"/>
        <w:spacing w:after="0" w:line="289" w:lineRule="auto"/>
        <w:tabs>
          <w:tab w:leader="none" w:pos="459"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Limitations on Transfer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limitation on transfer created by applicable securities laws, Participant shall not assign,</w:t>
      </w:r>
      <w:r>
        <w:rPr>
          <w:rFonts w:ascii="Arial" w:cs="Arial" w:eastAsia="Arial" w:hAnsi="Arial"/>
          <w:sz w:val="17"/>
          <w:szCs w:val="17"/>
          <w:b w:val="1"/>
          <w:bCs w:val="1"/>
          <w:color w:val="auto"/>
        </w:rPr>
        <w:t xml:space="preserve"> </w:t>
      </w:r>
      <w:r>
        <w:rPr>
          <w:rFonts w:ascii="Arial" w:cs="Arial" w:eastAsia="Arial" w:hAnsi="Arial"/>
          <w:sz w:val="17"/>
          <w:szCs w:val="17"/>
          <w:color w:val="auto"/>
        </w:rPr>
        <w:t>hypothecate, donate, encumber or otherwise dispose of the Shares or any interest in the Shares issued pursuant to this RSA Agreement except in compliance with the provisions of the Bylaws, the Company’s then current Insider Trading Policy, and applicable securities laws.</w:t>
      </w:r>
    </w:p>
    <w:p>
      <w:pPr>
        <w:sectPr>
          <w:pgSz w:w="11900" w:h="16838" w:orient="portrait"/>
          <w:cols w:equalWidth="0" w:num="1">
            <w:col w:w="11420"/>
          </w:cols>
          <w:pgMar w:left="240" w:top="270" w:right="239" w:bottom="1440" w:gutter="0" w:footer="0" w:header="0"/>
        </w:sectPr>
      </w:pPr>
    </w:p>
    <w:bookmarkStart w:id="233" w:name="page234"/>
    <w:bookmarkEnd w:id="233"/>
    <w:p>
      <w:pPr>
        <w:jc w:val="both"/>
        <w:ind w:left="-8" w:firstLine="8"/>
        <w:spacing w:after="0" w:line="266" w:lineRule="auto"/>
        <w:tabs>
          <w:tab w:leader="none" w:pos="478"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Binding on Transferees</w:t>
      </w:r>
      <w:r>
        <w:rPr>
          <w:rFonts w:ascii="Arial" w:cs="Arial" w:eastAsia="Arial" w:hAnsi="Arial"/>
          <w:sz w:val="18"/>
          <w:szCs w:val="18"/>
          <w:b w:val="1"/>
          <w:bCs w:val="1"/>
          <w:color w:val="auto"/>
        </w:rPr>
        <w:t xml:space="preserve">. </w:t>
      </w:r>
      <w:r>
        <w:rPr>
          <w:rFonts w:ascii="Arial" w:cs="Arial" w:eastAsia="Arial" w:hAnsi="Arial"/>
          <w:sz w:val="18"/>
          <w:szCs w:val="18"/>
          <w:color w:val="auto"/>
        </w:rPr>
        <w:t>All transferees of Shares or any interest therein will receive and hold such shares or interest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RSA Agreement, including the transfer restrictions of Sections 11 and 12, and the transferee shall acknowledge such restrictions in writing. Any sale or transfer of the Shares shall be void unless the provisions of this RSA Agreement are satisfied.</w:t>
      </w:r>
    </w:p>
    <w:p>
      <w:pPr>
        <w:spacing w:after="0" w:line="68" w:lineRule="exact"/>
        <w:rPr>
          <w:rFonts w:ascii="Arial" w:cs="Arial" w:eastAsia="Arial" w:hAnsi="Arial"/>
          <w:sz w:val="18"/>
          <w:szCs w:val="18"/>
          <w:b w:val="1"/>
          <w:bCs w:val="1"/>
          <w:color w:val="auto"/>
        </w:rPr>
      </w:pPr>
    </w:p>
    <w:p>
      <w:pPr>
        <w:jc w:val="both"/>
        <w:ind w:left="-8" w:firstLine="8"/>
        <w:spacing w:after="0" w:line="258" w:lineRule="auto"/>
        <w:tabs>
          <w:tab w:leader="none" w:pos="397"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color w:val="auto"/>
        </w:rPr>
        <w:t>. The Shares subject to this Award shall be subject to clawback or recoupment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clawback or recoupment policy adopted by the Board or required by law during the term during which Participant is a Service Provider that is applicable to executive officers, employees, directors or other service providers of the Company, and in addition to any other remedies available under such policy and applicable law may require the forfeiture of the Shares (whether vested or unvested) and the recoupment of any gains realized with respect to any Shares that had previously vest and delivered to Participant.</w:t>
      </w:r>
    </w:p>
    <w:p>
      <w:pPr>
        <w:spacing w:after="0" w:line="75" w:lineRule="exact"/>
        <w:rPr>
          <w:rFonts w:ascii="Arial" w:cs="Arial" w:eastAsia="Arial" w:hAnsi="Arial"/>
          <w:sz w:val="18"/>
          <w:szCs w:val="18"/>
          <w:b w:val="1"/>
          <w:bCs w:val="1"/>
          <w:color w:val="auto"/>
        </w:rPr>
      </w:pPr>
    </w:p>
    <w:p>
      <w:pPr>
        <w:jc w:val="both"/>
        <w:ind w:left="-8" w:firstLine="8"/>
        <w:spacing w:after="0" w:line="271" w:lineRule="auto"/>
        <w:tabs>
          <w:tab w:leader="none" w:pos="397"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issuance of Shares and, if applicable, any subsequent delivery of Shares upon release from escrow</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Section 3, will be subject to and conditioned upon compliance by the Company and Participant (including any written 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automated quotation system upon which the Shares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66" w:lineRule="exact"/>
        <w:rPr>
          <w:rFonts w:ascii="Arial" w:cs="Arial" w:eastAsia="Arial" w:hAnsi="Arial"/>
          <w:sz w:val="17"/>
          <w:szCs w:val="17"/>
          <w:b w:val="1"/>
          <w:bCs w:val="1"/>
          <w:color w:val="auto"/>
        </w:rPr>
      </w:pPr>
    </w:p>
    <w:p>
      <w:pPr>
        <w:jc w:val="both"/>
        <w:ind w:left="-8" w:firstLine="8"/>
        <w:spacing w:after="0" w:line="261" w:lineRule="auto"/>
        <w:tabs>
          <w:tab w:leader="none" w:pos="438"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Legend</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issued hereunder shall be subject to such stop transfer orders and other restrictions as the Committee may deem advisable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RSA Agreement or the rules, regulations, and other requirements of the U.S.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71" w:lineRule="exact"/>
        <w:rPr>
          <w:rFonts w:ascii="Arial" w:cs="Arial" w:eastAsia="Arial" w:hAnsi="Arial"/>
          <w:sz w:val="18"/>
          <w:szCs w:val="18"/>
          <w:b w:val="1"/>
          <w:bCs w:val="1"/>
          <w:color w:val="auto"/>
        </w:rPr>
      </w:pPr>
    </w:p>
    <w:p>
      <w:pPr>
        <w:jc w:val="both"/>
        <w:ind w:left="-8" w:firstLine="8"/>
        <w:spacing w:after="0" w:line="266" w:lineRule="auto"/>
        <w:tabs>
          <w:tab w:leader="none" w:pos="41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any of its rights under this RSA Agreement. This RSA Agreement shall be binding upon and inure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benefit of the successors and assigns of the Company. Subject to the restrictions on transfer set forth herein, this RSA Agreement will be binding upon Participant and Participant’s heirs, executors, administrators, legal representatives, successors and assigns.</w:t>
      </w:r>
    </w:p>
    <w:p>
      <w:pPr>
        <w:spacing w:after="0" w:line="68" w:lineRule="exact"/>
        <w:rPr>
          <w:rFonts w:ascii="Arial" w:cs="Arial" w:eastAsia="Arial" w:hAnsi="Arial"/>
          <w:sz w:val="18"/>
          <w:szCs w:val="18"/>
          <w:b w:val="1"/>
          <w:bCs w:val="1"/>
          <w:color w:val="auto"/>
        </w:rPr>
      </w:pPr>
    </w:p>
    <w:p>
      <w:pPr>
        <w:jc w:val="both"/>
        <w:ind w:left="-8" w:firstLine="8"/>
        <w:spacing w:after="0" w:line="277" w:lineRule="auto"/>
        <w:tabs>
          <w:tab w:leader="none" w:pos="451"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RSA Agreement constitutes the entire agreement of the parties with respect to the subject matter 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RSA Agreement is determined by a court of law to be illegal or unenforceable, then such provision will be enforced to the maximum extent possible and the other provisions will remain fully effective and enforceable.</w:t>
      </w:r>
    </w:p>
    <w:p>
      <w:pPr>
        <w:spacing w:after="0" w:line="60" w:lineRule="exact"/>
        <w:rPr>
          <w:rFonts w:ascii="Arial" w:cs="Arial" w:eastAsia="Arial" w:hAnsi="Arial"/>
          <w:sz w:val="17"/>
          <w:szCs w:val="17"/>
          <w:b w:val="1"/>
          <w:bCs w:val="1"/>
          <w:color w:val="auto"/>
        </w:rPr>
      </w:pPr>
    </w:p>
    <w:p>
      <w:pPr>
        <w:jc w:val="both"/>
        <w:ind w:left="-8" w:firstLine="8"/>
        <w:spacing w:after="0" w:line="256" w:lineRule="auto"/>
        <w:tabs>
          <w:tab w:leader="none" w:pos="478"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that in connection with any registration of the Company’s securities in connection with an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of the Company’s securities that, upon the request of the Company or the underwriters managing such initial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ectPr>
          <w:pgSz w:w="11900" w:h="16838" w:orient="portrait"/>
          <w:cols w:equalWidth="0" w:num="1">
            <w:col w:w="11412"/>
          </w:cols>
          <w:pgMar w:left="248" w:top="270" w:right="239" w:bottom="1440" w:gutter="0" w:footer="0" w:header="0"/>
        </w:sectPr>
      </w:pPr>
    </w:p>
    <w:bookmarkStart w:id="234" w:name="page235"/>
    <w:bookmarkEnd w:id="234"/>
    <w:p>
      <w:pPr>
        <w:ind w:firstLine="8"/>
        <w:spacing w:after="0" w:line="313" w:lineRule="auto"/>
        <w:tabs>
          <w:tab w:leader="none" w:pos="459"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Rights as Employee, Director or Consultant</w:t>
      </w:r>
      <w:r>
        <w:rPr>
          <w:rFonts w:ascii="Arial" w:cs="Arial" w:eastAsia="Arial" w:hAnsi="Arial"/>
          <w:sz w:val="17"/>
          <w:szCs w:val="17"/>
          <w:color w:val="auto"/>
        </w:rPr>
        <w:t>. Nothing in this RSA Agreement shall affect in any manner whatsoever the right or power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 Parent or Subsidiary of the Company, to terminate Participant</w:t>
      </w:r>
      <w:r>
        <w:rPr>
          <w:rFonts w:ascii="Arial" w:cs="Arial" w:eastAsia="Arial" w:hAnsi="Arial"/>
          <w:sz w:val="14"/>
          <w:szCs w:val="14"/>
          <w:color w:val="auto"/>
        </w:rPr>
        <w:t>’</w:t>
      </w:r>
      <w:r>
        <w:rPr>
          <w:rFonts w:ascii="Arial" w:cs="Arial" w:eastAsia="Arial" w:hAnsi="Arial"/>
          <w:sz w:val="17"/>
          <w:szCs w:val="17"/>
          <w:color w:val="auto"/>
        </w:rPr>
        <w:t>s status as a Service Provider, for any reason, with or without cause.</w:t>
      </w:r>
    </w:p>
    <w:p>
      <w:pPr>
        <w:spacing w:after="0" w:line="30" w:lineRule="exact"/>
        <w:rPr>
          <w:rFonts w:ascii="Arial" w:cs="Arial" w:eastAsia="Arial" w:hAnsi="Arial"/>
          <w:sz w:val="17"/>
          <w:szCs w:val="17"/>
          <w:b w:val="1"/>
          <w:bCs w:val="1"/>
          <w:color w:val="auto"/>
        </w:rPr>
      </w:pPr>
    </w:p>
    <w:p>
      <w:pPr>
        <w:jc w:val="both"/>
        <w:ind w:firstLine="8"/>
        <w:spacing w:after="0" w:line="258" w:lineRule="auto"/>
        <w:tabs>
          <w:tab w:leader="none" w:pos="446"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the receipt of this Award or notice required or permitted hereunder shall be given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shall be deemed effectively given (except to the extent that this RSA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75" w:lineRule="exact"/>
        <w:rPr>
          <w:rFonts w:ascii="Arial" w:cs="Arial" w:eastAsia="Arial" w:hAnsi="Arial"/>
          <w:sz w:val="18"/>
          <w:szCs w:val="18"/>
          <w:b w:val="1"/>
          <w:bCs w:val="1"/>
          <w:color w:val="auto"/>
        </w:rPr>
      </w:pPr>
    </w:p>
    <w:p>
      <w:pPr>
        <w:jc w:val="both"/>
        <w:ind w:firstLine="8"/>
        <w:spacing w:after="0" w:line="266" w:lineRule="auto"/>
        <w:tabs>
          <w:tab w:leader="none" w:pos="405"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color w:val="auto"/>
        </w:rPr>
        <w:t>. The Company may, in its sole discretion, decide to deliver any documents related to the Shares subject to this Award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means. Participant hereby consents to receive such documents by electronic delivery through any on-line or electronic system established and maintained by the Company or a third party designated by the Company.</w:t>
      </w:r>
    </w:p>
    <w:p>
      <w:pPr>
        <w:spacing w:after="0" w:line="68" w:lineRule="exact"/>
        <w:rPr>
          <w:rFonts w:ascii="Arial" w:cs="Arial" w:eastAsia="Arial" w:hAnsi="Arial"/>
          <w:sz w:val="18"/>
          <w:szCs w:val="18"/>
          <w:b w:val="1"/>
          <w:bCs w:val="1"/>
          <w:color w:val="auto"/>
        </w:rPr>
      </w:pPr>
    </w:p>
    <w:p>
      <w:pPr>
        <w:jc w:val="both"/>
        <w:ind w:firstLine="8"/>
        <w:spacing w:after="0" w:line="261" w:lineRule="auto"/>
        <w:tabs>
          <w:tab w:leader="none" w:pos="446"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RSA Agreement will be governed by the laws of California without giving effect to the conflict of law principles thereof.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litigating any dispute that arises under this Award or this RSA Agreement, the parties hereby submit to and consent to the jurisdiction of California, and agree that such litigation will be conducted in the courts of San Francisco County, California, or the federal courts for the United States for the Northern District of California, and no other courts, where this Award is made and/or to be performed.</w:t>
      </w:r>
    </w:p>
    <w:p>
      <w:pPr>
        <w:spacing w:after="0" w:line="71" w:lineRule="exact"/>
        <w:rPr>
          <w:rFonts w:ascii="Arial" w:cs="Arial" w:eastAsia="Arial" w:hAnsi="Arial"/>
          <w:sz w:val="18"/>
          <w:szCs w:val="18"/>
          <w:b w:val="1"/>
          <w:bCs w:val="1"/>
          <w:color w:val="auto"/>
        </w:rPr>
      </w:pPr>
    </w:p>
    <w:p>
      <w:pPr>
        <w:jc w:val="both"/>
        <w:ind w:firstLine="8"/>
        <w:spacing w:after="0" w:line="272" w:lineRule="auto"/>
        <w:tabs>
          <w:tab w:leader="none" w:pos="486"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RSA Agreement will be administered by the Committee. Subject to the general purposes, terms and conditions of this RSA</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to the direction of the Board, the Committee will have full power to implement and carry out this RSA Agreement. Without limitation, the Committee will have the authority to: (a) construe and interpret this RSA Agreement; (b) determine the fair market value in good faith and interpret the applicable provisions of this RSA Agreement in connection with circumstances that impact the fair market value, if necessary; (c) grant waivers of any conditions of this Award; (d) correct any defect, supply any omission, or reconcile any inconsistency in this Award or this RSA Agreement; (e) determine whether this Award has been earned; or (f) make all other determinations necessary or advisable in connection with the administration of this RSA Agreement; provided, that, in each case, no such action shall be in contravention of any express terms of this Award. Any amendment or other modification of this RSA Agreement shall be memorialized in a written instrument executed by the Company and Participant.</w:t>
      </w:r>
    </w:p>
    <w:p>
      <w:pPr>
        <w:spacing w:after="0" w:line="176"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Board may delegate full administrative authority over this Award to a Committee consisting of at least one member of the Board (or such greater number as may then be required by applicable law). Unless in contravention of any express terms of this Award, any determination made by the Committee with respect to any Award will be made in its sole discretion. Any such determination will be final and binding on the Company and on all persons having an interest in any Award under this RSA Agreement and will be given the maximum deference under applicable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235" w:name="page236"/>
    <w:bookmarkEnd w:id="23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Participant’s signature and the signature of the Company’s representative on the, Participant and the Company agree that this Award is granted under and governed by the terms and conditions of this RSA Agreement.</w:t>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ARASH FERDOWSI</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Arash Ferdowsi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670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 Mary Anne Becking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3274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ectPr>
          <w:pgSz w:w="11900" w:h="16838" w:orient="portrait"/>
          <w:cols w:equalWidth="0" w:num="2">
            <w:col w:w="5460" w:space="720"/>
            <w:col w:w="5240"/>
          </w:cols>
          <w:pgMar w:left="240" w:top="274" w:right="239" w:bottom="1440" w:gutter="0" w:footer="0" w:header="0"/>
          <w:type w:val="continuous"/>
        </w:sectPr>
      </w:pPr>
    </w:p>
    <w:bookmarkStart w:id="236" w:name="page237"/>
    <w:bookmarkEnd w:id="23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MATRIX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Capitalized terms used in this Exhibit A shall have the meanings prescribed to them under this RSA Agreement unless otherwise defined herein.</w:t>
      </w:r>
    </w:p>
    <w:p>
      <w:pPr>
        <w:spacing w:after="0" w:line="233" w:lineRule="exact"/>
        <w:rPr>
          <w:sz w:val="20"/>
          <w:szCs w:val="20"/>
          <w:color w:val="auto"/>
        </w:rPr>
      </w:pPr>
    </w:p>
    <w:p>
      <w:pPr>
        <w:jc w:val="both"/>
        <w:ind w:firstLine="464"/>
        <w:spacing w:after="0" w:line="258" w:lineRule="auto"/>
        <w:tabs>
          <w:tab w:leader="none" w:pos="812"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Condition</w:t>
      </w:r>
      <w:r>
        <w:rPr>
          <w:rFonts w:ascii="Arial" w:cs="Arial" w:eastAsia="Arial" w:hAnsi="Arial"/>
          <w:sz w:val="18"/>
          <w:szCs w:val="18"/>
          <w:color w:val="auto"/>
        </w:rPr>
        <w:t>. Subject to the following sentence, the actual number of Shares subject to this Award that will vest will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based upon the achievement of Company Stock Price Target(s) during the Performance Period and the satisfaction of the applicable service-based vesting conditions, all in accordance with this Exhibit A. Except as set forth in Section 4 of this Exhibit A, in no case can more than 1,320,000 Shares become Eligible Shares (as defined below) in any calendar year during the Initial Period (such limit, the “</w:t>
      </w:r>
      <w:r>
        <w:rPr>
          <w:rFonts w:ascii="Arial" w:cs="Arial" w:eastAsia="Arial" w:hAnsi="Arial"/>
          <w:sz w:val="18"/>
          <w:szCs w:val="18"/>
          <w:b w:val="1"/>
          <w:bCs w:val="1"/>
          <w:i w:val="1"/>
          <w:iCs w:val="1"/>
          <w:color w:val="auto"/>
        </w:rPr>
        <w:t>Share Limit</w:t>
      </w:r>
      <w:r>
        <w:rPr>
          <w:rFonts w:ascii="Arial" w:cs="Arial" w:eastAsia="Arial" w:hAnsi="Arial"/>
          <w:sz w:val="18"/>
          <w:szCs w:val="18"/>
          <w:color w:val="auto"/>
        </w:rPr>
        <w:t>”). For the avoidance of doubt, following the end of the Initial Period, no Share Limit shall apply.</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“Initial Period” </w:t>
      </w:r>
      <w:r>
        <w:rPr>
          <w:rFonts w:ascii="Arial" w:cs="Arial" w:eastAsia="Arial" w:hAnsi="Arial"/>
          <w:sz w:val="18"/>
          <w:szCs w:val="18"/>
          <w:color w:val="auto"/>
        </w:rPr>
        <w:t>means the period beginning on the start of the Performance Period and ending on the fourth anniversary of the start of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“Performance Period” </w:t>
      </w:r>
      <w:r>
        <w:rPr>
          <w:rFonts w:ascii="Arial" w:cs="Arial" w:eastAsia="Arial" w:hAnsi="Arial"/>
          <w:sz w:val="18"/>
          <w:szCs w:val="18"/>
          <w:color w:val="auto"/>
        </w:rPr>
        <w:t>means the period (a) commencing on the first trading day following the later of (i) the expiration of the lock-up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IPO Date and (ii) January 1, 2019 and (b) ending on the Expiration Date.</w:t>
      </w:r>
    </w:p>
    <w:p>
      <w:pPr>
        <w:spacing w:after="0" w:line="58" w:lineRule="exact"/>
        <w:rPr>
          <w:sz w:val="20"/>
          <w:szCs w:val="20"/>
          <w:color w:val="auto"/>
        </w:rPr>
      </w:pPr>
    </w:p>
    <w:p>
      <w:pPr>
        <w:jc w:val="both"/>
        <w:ind w:firstLine="464"/>
        <w:spacing w:after="0" w:line="273" w:lineRule="auto"/>
        <w:tabs>
          <w:tab w:leader="none" w:pos="825"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 Stock Price</w:t>
      </w:r>
      <w:r>
        <w:rPr>
          <w:rFonts w:ascii="Arial" w:cs="Arial" w:eastAsia="Arial" w:hAnsi="Arial"/>
          <w:sz w:val="17"/>
          <w:szCs w:val="17"/>
          <w:color w:val="auto"/>
        </w:rPr>
        <w:t>. Except as set forth in Sections 3 and 4 of this Exhibit A, on each Achievement Date during the Performance Period, a</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will become eligible to vest equal to the number of Shares listed as the “Shares” corresponding to the applicable Company Stock Price Target in the table below but not to exceed the Share Limit (such Shares, the “</w:t>
      </w:r>
      <w:r>
        <w:rPr>
          <w:rFonts w:ascii="Arial" w:cs="Arial" w:eastAsia="Arial" w:hAnsi="Arial"/>
          <w:sz w:val="17"/>
          <w:szCs w:val="17"/>
          <w:b w:val="1"/>
          <w:bCs w:val="1"/>
          <w:i w:val="1"/>
          <w:iCs w:val="1"/>
          <w:color w:val="auto"/>
        </w:rPr>
        <w:t>Eligible Shares</w:t>
      </w:r>
      <w:r>
        <w:rPr>
          <w:rFonts w:ascii="Arial" w:cs="Arial" w:eastAsia="Arial" w:hAnsi="Arial"/>
          <w:sz w:val="17"/>
          <w:szCs w:val="17"/>
          <w:color w:val="auto"/>
        </w:rPr>
        <w:t>”), and such Eligible Shares will vest on the earlier of: (a) the next Vesting Date subject to Participant satisfying the Service Condition through such date, or (b) an Acceleration Event. If, as a result of the Company Stock Price Target achievement, a number of Shares otherwise would have become Eligible Shares but for the Share Limit, the Shares that exceeded the Share Limit will not become Eligible Shares, and any such Shares will only become Eligible Shares (if at all) upon the next Achievement Date relating to the Company Stock Price Target applicable to such Shares, subject to Sections 3 and 4 of this Exhibit A.</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940" w:type="dxa"/>
            <w:vAlign w:val="bottom"/>
            <w:gridSpan w:val="3"/>
          </w:tcPr>
          <w:p>
            <w:pPr>
              <w:ind w:left="180"/>
              <w:spacing w:after="0"/>
              <w:rPr>
                <w:sz w:val="20"/>
                <w:szCs w:val="20"/>
                <w:color w:val="auto"/>
              </w:rPr>
            </w:pPr>
            <w:r>
              <w:rPr>
                <w:rFonts w:ascii="Arial" w:cs="Arial" w:eastAsia="Arial" w:hAnsi="Arial"/>
                <w:sz w:val="14"/>
                <w:szCs w:val="14"/>
                <w:b w:val="1"/>
                <w:bCs w:val="1"/>
                <w:color w:val="auto"/>
              </w:rPr>
              <w:t>Company Stock</w:t>
            </w:r>
          </w:p>
        </w:tc>
        <w:tc>
          <w:tcPr>
            <w:tcW w:w="3520" w:type="dxa"/>
            <w:vAlign w:val="bottom"/>
            <w:gridSpan w:val="2"/>
            <w:vMerge w:val="restart"/>
          </w:tcPr>
          <w:p>
            <w:pPr>
              <w:ind w:left="27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3940" w:type="dxa"/>
            <w:vAlign w:val="bottom"/>
            <w:gridSpan w:val="3"/>
          </w:tcPr>
          <w:p>
            <w:pPr>
              <w:ind w:left="180"/>
              <w:spacing w:after="0"/>
              <w:rPr>
                <w:sz w:val="20"/>
                <w:szCs w:val="20"/>
                <w:color w:val="auto"/>
              </w:rPr>
            </w:pPr>
            <w:r>
              <w:rPr>
                <w:rFonts w:ascii="Arial" w:cs="Arial" w:eastAsia="Arial" w:hAnsi="Arial"/>
                <w:sz w:val="14"/>
                <w:szCs w:val="14"/>
                <w:b w:val="1"/>
                <w:bCs w:val="1"/>
                <w:color w:val="auto"/>
              </w:rPr>
              <w:t>Price Target*</w:t>
            </w:r>
          </w:p>
        </w:tc>
        <w:tc>
          <w:tcPr>
            <w:tcW w:w="3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1.</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3"/>
              </w:rPr>
              <w:t>$20.00</w:t>
            </w:r>
          </w:p>
        </w:tc>
        <w:tc>
          <w:tcPr>
            <w:tcW w:w="29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1,320,000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$25.00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3.</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$35.00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$45.00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7.</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8.</w:t>
            </w: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$55.00</w:t>
            </w:r>
          </w:p>
        </w:tc>
        <w:tc>
          <w:tcPr>
            <w:tcW w:w="2940" w:type="dxa"/>
            <w:vAlign w:val="bottom"/>
          </w:tcPr>
          <w:p>
            <w:pPr>
              <w:spacing w:after="0"/>
              <w:rPr>
                <w:sz w:val="18"/>
                <w:szCs w:val="18"/>
                <w:color w:val="auto"/>
              </w:rPr>
            </w:pPr>
          </w:p>
        </w:tc>
        <w:tc>
          <w:tcPr>
            <w:tcW w:w="3520" w:type="dxa"/>
            <w:vAlign w:val="bottom"/>
            <w:gridSpan w:val="2"/>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9.</w:t>
            </w: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$60.00</w:t>
            </w:r>
          </w:p>
        </w:tc>
        <w:tc>
          <w:tcPr>
            <w:tcW w:w="29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220" w:hanging="212"/>
        <w:spacing w:after="0" w:line="259" w:lineRule="auto"/>
        <w:tabs>
          <w:tab w:leader="none" w:pos="2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Stock Price Targets” shall be adjusted as appropriate to reflect any stock splits, stock dividends, combinations, reorganizations, reclassifications or similar event under Section 3(f) of this RSA Agreement. The Committee, in order to prevent diminution or enlargement of the benefits or potential benefits intended to be made available under this RSA Agreement, will make the determination of any such adjustments required in connection with any such event.</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“Achievement Date</w:t>
      </w:r>
      <w:r>
        <w:rPr>
          <w:rFonts w:ascii="Arial" w:cs="Arial" w:eastAsia="Arial" w:hAnsi="Arial"/>
          <w:sz w:val="16"/>
          <w:szCs w:val="16"/>
          <w:color w:val="auto"/>
        </w:rPr>
        <w:t>” means the first trading date occurring during the Performance Period in which a Company Stock Price Target is achieved.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avoidance of doubt, (a) each Company Stock Price Target may only be achieved once during the Performance Period unless the Share Limit would</w:t>
      </w:r>
    </w:p>
    <w:p>
      <w:pPr>
        <w:sectPr>
          <w:pgSz w:w="11900" w:h="16838" w:orient="portrait"/>
          <w:cols w:equalWidth="0" w:num="1">
            <w:col w:w="11420"/>
          </w:cols>
          <w:pgMar w:left="240" w:top="270" w:right="239" w:bottom="1440" w:gutter="0" w:footer="0" w:header="0"/>
        </w:sectPr>
      </w:pPr>
    </w:p>
    <w:bookmarkStart w:id="237" w:name="page238"/>
    <w:bookmarkEnd w:id="237"/>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apply and result in less than all of the Shares corresponding to a Company Stock Price Target becoming Eligible Shares, in which case, such Company Stock Price Target must be achieved again (subject to the Share Limit) for such remaining Shares to become Eligible Shares and (b) more than one Company Stock Price Target may be achieved on a particular date. Except in connection with an Acquisition as set forth in Section 4, no partial achievement will occur and no Shares will become Eligible Shares for achievement between two Company Stock Price Targets.</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For example, assume the Performance Period begins on January 2, 2019 and the Company Stock Price as of February 14, 2019 is $30.10. February 14, 2019 shall be an Achievement Date (assuming the Service Condition is satisfied as of that date) with respect to 2,640,000 Shares (comprising Company Stock Price Targets 1 through 3) but the Share Limit would result in only 1,320,000 Shares becoming Eligible Shares. Accordingly, the number of Shares subject to this Award that will become Eligible Shares on February 14, 2019 will equal 1,320,000 Shares. Such Eligible Shares would vest on the earlier of: (a) the next Vesting Date (May 15, 2019) subject to Participant satisfying the Service Condition through such date, or (b) an Acceleration Event.</w:t>
      </w:r>
    </w:p>
    <w:p>
      <w:pPr>
        <w:spacing w:after="0" w:line="15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Assume instead that the Performance Period begins on January 2, 2019 and the Company Stock Price as of February 14, 2023 is $30.10. Assume for this purpose, no Company Stock Price Target was achieved prior to February 14, 2023. February 14, 2023 shall be an Achievement Date (assuming the Service Condition is satisfied as of that date) with respect to 2,640,000 Shares (comprising Company Stock Price Targets 1 through 3) and no Share Limit would apply because the Initial Period would have terminated. Accordingly, the number of Shares subject to this Award that will become Eligible Shares on February 14, 2023 will equal 2,640,000 Shares. Such Eligible Shares would vest on the earlier of: (a) the next Vesting Date (May 15, 2023) subject to Participant satisfying the Service Condition through such date, or (b) an Acceleration Event.</w:t>
      </w:r>
    </w:p>
    <w:p>
      <w:pPr>
        <w:spacing w:after="0" w:line="17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 Price</w:t>
      </w:r>
      <w:r>
        <w:rPr>
          <w:rFonts w:ascii="Arial" w:cs="Arial" w:eastAsia="Arial" w:hAnsi="Arial"/>
          <w:sz w:val="18"/>
          <w:szCs w:val="18"/>
          <w:color w:val="auto"/>
        </w:rPr>
        <w:t xml:space="preserve">” means the weighted average closing price of a Share as reported on a Securities Exchange for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thirty (30) consecutive trading day period occurring within the Performance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“Company Stock Price Target” </w:t>
      </w:r>
      <w:r>
        <w:rPr>
          <w:rFonts w:ascii="Arial" w:cs="Arial" w:eastAsia="Arial" w:hAnsi="Arial"/>
          <w:sz w:val="18"/>
          <w:szCs w:val="18"/>
          <w:color w:val="auto"/>
        </w:rPr>
        <w:t>means each Company Stock Price set forth in the table above.</w:t>
      </w:r>
    </w:p>
    <w:p>
      <w:pPr>
        <w:spacing w:after="0" w:line="113" w:lineRule="exact"/>
        <w:rPr>
          <w:sz w:val="20"/>
          <w:szCs w:val="20"/>
          <w:color w:val="auto"/>
        </w:rPr>
      </w:pPr>
    </w:p>
    <w:p>
      <w:pPr>
        <w:jc w:val="both"/>
        <w:ind w:firstLine="464"/>
        <w:spacing w:after="0" w:line="277" w:lineRule="auto"/>
        <w:tabs>
          <w:tab w:leader="none" w:pos="798"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Service Condition and Forfeiture</w:t>
      </w:r>
      <w:r>
        <w:rPr>
          <w:rFonts w:ascii="Arial" w:cs="Arial" w:eastAsia="Arial" w:hAnsi="Arial"/>
          <w:sz w:val="17"/>
          <w:szCs w:val="17"/>
          <w:color w:val="auto"/>
        </w:rPr>
        <w:t>. In order for any Shares hereunder to become Eligible Shares and to vest, Participant must have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satisfied the Service Condition through the applicable Achievement Date, and continue to satisfy the Service Condition through the Vesting Date or experience an Acceleration Event after the Achievement Date but before the Vesting Date. Except with respect to any Eligible Shares that may vest on an Acceleration Event in accordance with the prior sentence, on the Expiration Date, any outstanding Shares subject to this Award that have not vested immediately will be forfeited and returned to the Company, and Participant will have no further rights with respect to such Shares.</w:t>
      </w:r>
    </w:p>
    <w:p>
      <w:pPr>
        <w:spacing w:after="0" w:line="60" w:lineRule="exact"/>
        <w:rPr>
          <w:rFonts w:ascii="Arial" w:cs="Arial" w:eastAsia="Arial" w:hAnsi="Arial"/>
          <w:sz w:val="17"/>
          <w:szCs w:val="17"/>
          <w:b w:val="1"/>
          <w:bCs w:val="1"/>
          <w:color w:val="auto"/>
        </w:rPr>
      </w:pPr>
    </w:p>
    <w:p>
      <w:pPr>
        <w:ind w:left="780" w:hanging="316"/>
        <w:spacing w:after="0"/>
        <w:tabs>
          <w:tab w:leader="none" w:pos="7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Acquisition occurs on or prior to the Expiration Date (but, for the avoidance of doubt, following the IPO Date), then the following rules will apply.</w:t>
      </w:r>
    </w:p>
    <w:p>
      <w:pPr>
        <w:spacing w:after="0" w:line="154" w:lineRule="exact"/>
        <w:rPr>
          <w:sz w:val="20"/>
          <w:szCs w:val="20"/>
          <w:color w:val="auto"/>
        </w:rPr>
      </w:pPr>
    </w:p>
    <w:p>
      <w:pPr>
        <w:jc w:val="both"/>
        <w:ind w:left="900" w:hanging="446"/>
        <w:spacing w:after="0" w:line="279"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Immediately prior to an Acquisition, the Share Limit shall no longer be applicable and rather than applying the definition of “Company Stock Price” in Section 2, “Company Stock Price” instead will mean the Per Share Deal Price. “</w:t>
      </w:r>
      <w:r>
        <w:rPr>
          <w:rFonts w:ascii="Arial" w:cs="Arial" w:eastAsia="Arial" w:hAnsi="Arial"/>
          <w:sz w:val="17"/>
          <w:szCs w:val="17"/>
          <w:b w:val="1"/>
          <w:bCs w:val="1"/>
          <w:i w:val="1"/>
          <w:iCs w:val="1"/>
          <w:color w:val="auto"/>
        </w:rPr>
        <w:t>Per Share Deal Price”</w:t>
      </w:r>
      <w:r>
        <w:rPr>
          <w:rFonts w:ascii="Arial" w:cs="Arial" w:eastAsia="Arial" w:hAnsi="Arial"/>
          <w:sz w:val="17"/>
          <w:szCs w:val="17"/>
          <w:color w:val="auto"/>
        </w:rPr>
        <w:t xml:space="preserve"> means the value of the total amount of consideration received or potentially receivable for a Share by holders of the Company’s Class A Common Stock in connection with the Acquisition. The value of any non-cash consideration will be determined in good faith by the Committee.</w:t>
      </w:r>
    </w:p>
    <w:p>
      <w:pPr>
        <w:spacing w:after="0" w:line="76" w:lineRule="exact"/>
        <w:rPr>
          <w:rFonts w:ascii="Arial" w:cs="Arial" w:eastAsia="Arial" w:hAnsi="Arial"/>
          <w:sz w:val="17"/>
          <w:szCs w:val="17"/>
          <w:color w:val="auto"/>
        </w:rPr>
      </w:pPr>
    </w:p>
    <w:p>
      <w:pPr>
        <w:ind w:left="900" w:hanging="446"/>
        <w:spacing w:after="0" w:line="308"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After determining the “Company Stock Price” under Section 4.a. of this Exhibit A, the same rules under the chart under Section 2 of this Exhibit A apply in determining whether any additional “Company Stock Price Targets” are achieved and additional Shares subject to this</w:t>
      </w:r>
    </w:p>
    <w:p>
      <w:pPr>
        <w:sectPr>
          <w:pgSz w:w="11900" w:h="16838" w:orient="portrait"/>
          <w:cols w:equalWidth="0" w:num="1">
            <w:col w:w="11420"/>
          </w:cols>
          <w:pgMar w:left="240" w:top="274" w:right="239" w:bottom="1440" w:gutter="0" w:footer="0" w:header="0"/>
        </w:sectPr>
      </w:pPr>
    </w:p>
    <w:bookmarkStart w:id="238" w:name="page239"/>
    <w:bookmarkEnd w:id="23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will become Eligible Shares; provided, however, that if Company Stock Price as determined under Section 4.a. of this Exhibit A is greater</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than $20.00 but falls between two Company Stock Price Targets set forth in the table under Section 2 of this Exhibit A, the Eligible Shares will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be determined based on a linear interpolation using the Company Stock Price Target in the table that is greater than but closest to the Company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Stock Price determined under Section 4.a. of this Exhibit A (such price the “</w:t>
      </w:r>
      <w:r>
        <w:rPr>
          <w:rFonts w:ascii="Arial" w:cs="Arial" w:eastAsia="Arial" w:hAnsi="Arial"/>
          <w:sz w:val="17"/>
          <w:szCs w:val="17"/>
          <w:b w:val="1"/>
          <w:bCs w:val="1"/>
          <w:i w:val="1"/>
          <w:iCs w:val="1"/>
          <w:color w:val="auto"/>
        </w:rPr>
        <w:t>Higher Price</w:t>
      </w:r>
      <w:r>
        <w:rPr>
          <w:rFonts w:ascii="Arial" w:cs="Arial" w:eastAsia="Arial" w:hAnsi="Arial"/>
          <w:sz w:val="17"/>
          <w:szCs w:val="17"/>
          <w:color w:val="auto"/>
        </w:rPr>
        <w:t>”) and the amount in the table that is less than but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closest to the actual Company Stock Price determined under Section 4.a. of this Exhibit A (such price, the “</w:t>
      </w:r>
      <w:r>
        <w:rPr>
          <w:rFonts w:ascii="Arial" w:cs="Arial" w:eastAsia="Arial" w:hAnsi="Arial"/>
          <w:sz w:val="16"/>
          <w:szCs w:val="16"/>
          <w:b w:val="1"/>
          <w:bCs w:val="1"/>
          <w:i w:val="1"/>
          <w:iCs w:val="1"/>
          <w:color w:val="auto"/>
        </w:rPr>
        <w:t>Lower Price”</w:t>
      </w:r>
      <w:r>
        <w:rPr>
          <w:rFonts w:ascii="Arial" w:cs="Arial" w:eastAsia="Arial" w:hAnsi="Arial"/>
          <w:sz w:val="16"/>
          <w:szCs w:val="16"/>
          <w:color w:val="auto"/>
        </w:rPr>
        <w:t>), and using 660,000</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Shares for the Higher Price and 0 Shares for the Lower Price, with such number rounded to the nearest Share (such Share number, the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Incremental Eligible Shares</w:t>
      </w:r>
      <w:r>
        <w:rPr>
          <w:rFonts w:ascii="Arial" w:cs="Arial" w:eastAsia="Arial" w:hAnsi="Arial"/>
          <w:sz w:val="17"/>
          <w:szCs w:val="17"/>
          <w:color w:val="auto"/>
        </w:rPr>
        <w:t>”). For the avoidance of doubt, if, prior to the Acquisition, Shares subject to this Award already have become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Eligible Shares based on the achievement of a Company Stock Price Target occurring as of the Achievement Date corresponding to such</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achievement, such Shares will not again become Eligible Shares with respect to that Company Stock Price Target achievement, but such Shares,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to the extent they have not yet vested, shall vest immediately prior to the Acquisition subject to Participant satisfying the Service Condition</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through such time. Further, and for the avoidance of doubt, if the Per Share Deal is less than $20.00, no Shares will become Eligible Shares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immediately prior to an Acquisition.</w:t>
      </w:r>
    </w:p>
    <w:p>
      <w:pPr>
        <w:spacing w:after="0" w:line="103" w:lineRule="exact"/>
        <w:rPr>
          <w:sz w:val="20"/>
          <w:szCs w:val="20"/>
          <w:color w:val="auto"/>
        </w:rPr>
      </w:pPr>
    </w:p>
    <w:p>
      <w:pPr>
        <w:ind w:left="760" w:hanging="296"/>
        <w:spacing w:after="0"/>
        <w:tabs>
          <w:tab w:leader="none" w:pos="760"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If, after applying the rules in Sections 4.a. and 4.b. of this Exhibit A, additional Shares will become Eligible Shares, then</w:t>
      </w:r>
    </w:p>
    <w:p>
      <w:pPr>
        <w:spacing w:after="0" w:line="130" w:lineRule="exact"/>
        <w:rPr>
          <w:rFonts w:ascii="Arial" w:cs="Arial" w:eastAsia="Arial" w:hAnsi="Arial"/>
          <w:sz w:val="18"/>
          <w:szCs w:val="18"/>
          <w:b w:val="1"/>
          <w:bCs w:val="1"/>
          <w:color w:val="auto"/>
        </w:rPr>
      </w:pPr>
    </w:p>
    <w:p>
      <w:pPr>
        <w:ind w:left="1920" w:right="20" w:hanging="440"/>
        <w:spacing w:after="0" w:line="277" w:lineRule="auto"/>
        <w:tabs>
          <w:tab w:leader="none" w:pos="19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Achievement Date shall be the date immediately prior to the Acquisition subject to Participant satisfying the Service Condition; and</w:t>
      </w:r>
    </w:p>
    <w:p>
      <w:pPr>
        <w:spacing w:after="0" w:line="75" w:lineRule="exact"/>
        <w:rPr>
          <w:rFonts w:ascii="Arial" w:cs="Arial" w:eastAsia="Arial" w:hAnsi="Arial"/>
          <w:sz w:val="18"/>
          <w:szCs w:val="18"/>
          <w:color w:val="auto"/>
        </w:rPr>
      </w:pPr>
    </w:p>
    <w:p>
      <w:pPr>
        <w:jc w:val="both"/>
        <w:ind w:left="1920" w:hanging="440"/>
        <w:spacing w:after="0" w:line="276" w:lineRule="auto"/>
        <w:tabs>
          <w:tab w:leader="none" w:pos="19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number of additional Shares that will become Eligible Shares will equal the sum of: (1) all Shares (as determined under the table in Section 2 of this Exhibit A) corresponding to the Company Stock Price achievement(s) in connection with the Acquisition that have not yet become Eligible Shares plus (2) the Incremental Eligible Shares (if any) (such sum, the “</w:t>
      </w:r>
      <w:r>
        <w:rPr>
          <w:rFonts w:ascii="Arial" w:cs="Arial" w:eastAsia="Arial" w:hAnsi="Arial"/>
          <w:sz w:val="17"/>
          <w:szCs w:val="17"/>
          <w:b w:val="1"/>
          <w:bCs w:val="1"/>
          <w:i w:val="1"/>
          <w:iCs w:val="1"/>
          <w:color w:val="auto"/>
        </w:rPr>
        <w:t>Acquisition Eligible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Unless otherwise determined by the Committee, any remaining Shares that have not become Eligible Shares immediately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forfeited and Participant will have no further rights with respect to such Shares; and</w:t>
      </w:r>
    </w:p>
    <w:p>
      <w:pPr>
        <w:spacing w:after="0" w:line="77" w:lineRule="exact"/>
        <w:rPr>
          <w:rFonts w:ascii="Arial" w:cs="Arial" w:eastAsia="Arial" w:hAnsi="Arial"/>
          <w:sz w:val="17"/>
          <w:szCs w:val="17"/>
          <w:color w:val="auto"/>
        </w:rPr>
      </w:pPr>
    </w:p>
    <w:p>
      <w:pPr>
        <w:ind w:left="1920" w:hanging="440"/>
        <w:spacing w:after="0" w:line="277" w:lineRule="auto"/>
        <w:tabs>
          <w:tab w:leader="none" w:pos="19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date immediately prior to the Acquisition shall be the Acceleration Event on which such Eligible Shares (and any other unvested Eligible Shares) vest.</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example, assume the Performance Period begins on January 1, 2019 and there is an Acquisition on July 1, 2019 for a Per Share Deal Price of $31.18. Prior to the Acquisition, Company Stock Price Target 1 already was achieved, and such Shares became Eligible Shares and vested. Due to the Acquisition, the Company Stock Price is equal to the Per Share Deal Price ($31.18) and results in Acquisition Eligible Shares of 1,475,760 Shares equal to the sum of:</w:t>
      </w:r>
    </w:p>
    <w:p>
      <w:pPr>
        <w:spacing w:after="0" w:line="92" w:lineRule="exact"/>
        <w:rPr>
          <w:sz w:val="20"/>
          <w:szCs w:val="20"/>
          <w:color w:val="auto"/>
        </w:rPr>
      </w:pPr>
    </w:p>
    <w:p>
      <w:pPr>
        <w:ind w:left="1480" w:hanging="446"/>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1,320,000 Shares (representing the Shares corresponding to Company Stock Price Targets 2 and 3), </w:t>
      </w:r>
      <w:r>
        <w:rPr>
          <w:rFonts w:ascii="Arial" w:cs="Arial" w:eastAsia="Arial" w:hAnsi="Arial"/>
          <w:sz w:val="18"/>
          <w:szCs w:val="18"/>
          <w:i w:val="1"/>
          <w:iCs w:val="1"/>
          <w:color w:val="auto"/>
        </w:rPr>
        <w:t>plus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155,760 Shares (representing 100% of the Incremental Eligible Shares (determined based on linear interpolation between Company Stock Price Targets 3 and 4)).</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 result, on the date immediately prior to the Acquisition, an additional 1,475,760 Shares of the Total Number of Shares set forth in the Notice of Grant of Restricted Stock Award will become Eligible Shares and will vest as of such time.</w:t>
      </w:r>
    </w:p>
    <w:p>
      <w:pPr>
        <w:sectPr>
          <w:pgSz w:w="11900" w:h="16838" w:orient="portrait"/>
          <w:cols w:equalWidth="0" w:num="1">
            <w:col w:w="11420"/>
          </w:cols>
          <w:pgMar w:left="240" w:top="274"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10B5-1 PLAN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hereby consents and agrees that Participant’s Tax Withholding Obligation shall be satisfied by Shares being sold on the undersigned’s behalf pursuant to the procedures set forth below in this 10b5-1 Plan. All capitalized terms used but not otherwise defined herein shall have the meanings ascribed to them in that certain Restricted Stock Award Agreement, dated as of December 12, 2017, by and between Dropbox, Inc. and the undersigned.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 hereby irrevocably instructs and authorizes the Company and the Company’s designated broker, or such other broker-dealer that is a member of the Financial Industry Regulatory Authority reasonably acceptable to the Company for such purpose (the “</w:t>
      </w:r>
      <w:r>
        <w:rPr>
          <w:rFonts w:ascii="Arial" w:cs="Arial" w:eastAsia="Arial" w:hAnsi="Arial"/>
          <w:sz w:val="17"/>
          <w:szCs w:val="17"/>
          <w:b w:val="1"/>
          <w:bCs w:val="1"/>
          <w:i w:val="1"/>
          <w:iCs w:val="1"/>
          <w:color w:val="auto"/>
        </w:rPr>
        <w:t>Broker</w:t>
      </w:r>
      <w:r>
        <w:rPr>
          <w:rFonts w:ascii="Arial" w:cs="Arial" w:eastAsia="Arial" w:hAnsi="Arial"/>
          <w:sz w:val="17"/>
          <w:szCs w:val="17"/>
          <w:color w:val="auto"/>
        </w:rPr>
        <w:t>”), to sell on Participant’s behalf a whole number of Shares (it being understood that such Shares to be sold must have vested pursuant to the terms of this RSA Agreement) sufficient to generate cash proceeds to satisfy Participant’s Tax Withholding Obligation (and any associated broker or other fees); provided that the Company shall not enter into any arrangements with any Broker that would require payment by Participant of broker or other fees in excess of those that are reasonable and customary; provided further that all sales of Shares pursuant to the 10b5-1 Plan shall be at prevailing market prices and in compliance with Rule 144 of the Securities Act, and the Broker shall, and the Company shall cause the Broker to, file all Form 144s on behalf of Participant with respect to the sale of Shares under the 10b5-1 Plan. Participant hereby irrevocably instructs and authorizes the Broker to (i) remit to the Company the cash proceeds necessary to satisfy Participant’s Tax Withholding Obligation, (ii) retain the amount required to cover associated broker or other fees, and (iii) deposit any remaining funds in Participant’s account in accordance with procedures the Company may specify from time to time. Only whole Shares will be sold by the Broker to satisfy Participant’s Tax Withholding Obligation.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10b5-1 Plan may be amended, modified, terminated or suspended only with the consent of Participant and the Committee. An amendment or modification may only be made during an “open window period” (or term of similar import describing a period wherein Participant is not precluded by the Company from selling Shares on the open market) applicable to Participant and on which Participant is not aware of any material nonpublic information about the Company or the Shares.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Participant and the Company acknowledge that the 10b5-1 Plan is intended to comply with the requirements of Rule 10b5-1(c)(1)(B) under the Exchange Act and to be interpreted to comply with the requirements of Rule 10b5-1(c)(1) under the Exchange Act. Participant expressly consents and agrees that he is adopting the 10b5-1 Plan to permit the sale of Shares to cover Participant’s Tax Withholding Obligation consistent with the above. Participant hereby appoints the Company as his agent and attorney-in-fact to instruct the Broker with respect to the number of Shares that must be sold under the 10b5-1 Plan to satisfy Participant’s Tax Withholding Obligation. This 10b5-1 Plan shall be binding on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281305</wp:posOffset>
            </wp:positionV>
            <wp:extent cx="28987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 Name: Arash Ferdowsi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270"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THE EXCHANGE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KR MISSION BAY,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 Delaware limited liability company</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Tenant.</w:t>
      </w:r>
    </w:p>
    <w:p>
      <w:pPr>
        <w:sectPr>
          <w:pgSz w:w="11900" w:h="16838" w:orient="portrait"/>
          <w:cols w:equalWidth="0" w:num="1">
            <w:col w:w="10220"/>
          </w:cols>
          <w:pgMar w:left="1440" w:top="121" w:right="239" w:bottom="1440" w:gutter="0" w:footer="0" w:header="0"/>
        </w:sectPr>
      </w:pPr>
    </w:p>
    <w:bookmarkStart w:id="241" w:name="page242"/>
    <w:bookmarkEnd w:id="24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ARTICLE 1</w:t>
            </w:r>
          </w:p>
        </w:tc>
        <w:tc>
          <w:tcPr>
            <w:tcW w:w="9860" w:type="dxa"/>
            <w:vAlign w:val="bottom"/>
            <w:vMerge w:val="restart"/>
          </w:tcPr>
          <w:p>
            <w:pPr>
              <w:ind w:left="140"/>
              <w:spacing w:after="0"/>
              <w:rPr>
                <w:sz w:val="20"/>
                <w:szCs w:val="20"/>
                <w:color w:val="auto"/>
              </w:rPr>
            </w:pPr>
            <w:r>
              <w:rPr>
                <w:rFonts w:ascii="Arial" w:cs="Arial" w:eastAsia="Arial" w:hAnsi="Arial"/>
                <w:sz w:val="18"/>
                <w:szCs w:val="18"/>
                <w:color w:val="auto"/>
              </w:rPr>
              <w:t>PREMISES, BUILDINGS, PROJECT, AND COMMON AREAS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986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9860" w:type="dxa"/>
            <w:vAlign w:val="bottom"/>
          </w:tcPr>
          <w:p>
            <w:pPr>
              <w:ind w:left="140"/>
              <w:spacing w:after="0"/>
              <w:rPr>
                <w:sz w:val="20"/>
                <w:szCs w:val="20"/>
                <w:color w:val="auto"/>
              </w:rPr>
            </w:pPr>
            <w:r>
              <w:rPr>
                <w:rFonts w:ascii="Arial" w:cs="Arial" w:eastAsia="Arial" w:hAnsi="Arial"/>
                <w:sz w:val="18"/>
                <w:szCs w:val="18"/>
                <w:color w:val="auto"/>
              </w:rPr>
              <w:t>LEASE TERM; OPTION TERMS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9860" w:type="dxa"/>
            <w:vAlign w:val="bottom"/>
          </w:tcPr>
          <w:p>
            <w:pPr>
              <w:ind w:left="140"/>
              <w:spacing w:after="0"/>
              <w:rPr>
                <w:sz w:val="20"/>
                <w:szCs w:val="20"/>
                <w:color w:val="auto"/>
              </w:rPr>
            </w:pPr>
            <w:r>
              <w:rPr>
                <w:rFonts w:ascii="Arial" w:cs="Arial" w:eastAsia="Arial" w:hAnsi="Arial"/>
                <w:sz w:val="18"/>
                <w:szCs w:val="18"/>
                <w:color w:val="auto"/>
              </w:rPr>
              <w:t>BASE RENT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9860" w:type="dxa"/>
            <w:vAlign w:val="bottom"/>
          </w:tcPr>
          <w:p>
            <w:pPr>
              <w:ind w:left="140"/>
              <w:spacing w:after="0"/>
              <w:rPr>
                <w:sz w:val="20"/>
                <w:szCs w:val="20"/>
                <w:color w:val="auto"/>
              </w:rPr>
            </w:pPr>
            <w:r>
              <w:rPr>
                <w:rFonts w:ascii="Arial" w:cs="Arial" w:eastAsia="Arial" w:hAnsi="Arial"/>
                <w:sz w:val="18"/>
                <w:szCs w:val="18"/>
                <w:color w:val="auto"/>
              </w:rPr>
              <w:t>ADDITIONAL RENT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5</w:t>
            </w:r>
          </w:p>
        </w:tc>
        <w:tc>
          <w:tcPr>
            <w:tcW w:w="9860" w:type="dxa"/>
            <w:vAlign w:val="bottom"/>
          </w:tcPr>
          <w:p>
            <w:pPr>
              <w:ind w:left="140"/>
              <w:spacing w:after="0"/>
              <w:rPr>
                <w:sz w:val="20"/>
                <w:szCs w:val="20"/>
                <w:color w:val="auto"/>
              </w:rPr>
            </w:pPr>
            <w:r>
              <w:rPr>
                <w:rFonts w:ascii="Arial" w:cs="Arial" w:eastAsia="Arial" w:hAnsi="Arial"/>
                <w:sz w:val="18"/>
                <w:szCs w:val="18"/>
                <w:color w:val="auto"/>
              </w:rPr>
              <w:t>USE OF PREMISES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9860" w:type="dxa"/>
            <w:vAlign w:val="bottom"/>
          </w:tcPr>
          <w:p>
            <w:pPr>
              <w:ind w:left="140"/>
              <w:spacing w:after="0"/>
              <w:rPr>
                <w:sz w:val="20"/>
                <w:szCs w:val="20"/>
                <w:color w:val="auto"/>
              </w:rPr>
            </w:pPr>
            <w:r>
              <w:rPr>
                <w:rFonts w:ascii="Arial" w:cs="Arial" w:eastAsia="Arial" w:hAnsi="Arial"/>
                <w:sz w:val="18"/>
                <w:szCs w:val="18"/>
                <w:color w:val="auto"/>
              </w:rPr>
              <w:t>SERVICES AND UTILITIES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7</w:t>
            </w:r>
          </w:p>
        </w:tc>
        <w:tc>
          <w:tcPr>
            <w:tcW w:w="9860" w:type="dxa"/>
            <w:vAlign w:val="bottom"/>
          </w:tcPr>
          <w:p>
            <w:pPr>
              <w:ind w:left="140"/>
              <w:spacing w:after="0"/>
              <w:rPr>
                <w:sz w:val="20"/>
                <w:szCs w:val="20"/>
                <w:color w:val="auto"/>
              </w:rPr>
            </w:pPr>
            <w:r>
              <w:rPr>
                <w:rFonts w:ascii="Arial" w:cs="Arial" w:eastAsia="Arial" w:hAnsi="Arial"/>
                <w:sz w:val="18"/>
                <w:szCs w:val="18"/>
                <w:color w:val="auto"/>
              </w:rPr>
              <w:t>REPAIRS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9860" w:type="dxa"/>
            <w:vAlign w:val="bottom"/>
          </w:tcPr>
          <w:p>
            <w:pPr>
              <w:ind w:left="140"/>
              <w:spacing w:after="0"/>
              <w:rPr>
                <w:sz w:val="20"/>
                <w:szCs w:val="20"/>
                <w:color w:val="auto"/>
              </w:rPr>
            </w:pPr>
            <w:r>
              <w:rPr>
                <w:rFonts w:ascii="Arial" w:cs="Arial" w:eastAsia="Arial" w:hAnsi="Arial"/>
                <w:sz w:val="18"/>
                <w:szCs w:val="18"/>
                <w:color w:val="auto"/>
              </w:rPr>
              <w:t>ADDITIONS AND ALTERATIONS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9860" w:type="dxa"/>
            <w:vAlign w:val="bottom"/>
          </w:tcPr>
          <w:p>
            <w:pPr>
              <w:ind w:left="140"/>
              <w:spacing w:after="0"/>
              <w:rPr>
                <w:sz w:val="20"/>
                <w:szCs w:val="20"/>
                <w:color w:val="auto"/>
              </w:rPr>
            </w:pPr>
            <w:r>
              <w:rPr>
                <w:rFonts w:ascii="Arial" w:cs="Arial" w:eastAsia="Arial" w:hAnsi="Arial"/>
                <w:sz w:val="18"/>
                <w:szCs w:val="18"/>
                <w:color w:val="auto"/>
              </w:rPr>
              <w:t>COVENANT AGAINST LIENS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10</w:t>
            </w:r>
          </w:p>
        </w:tc>
        <w:tc>
          <w:tcPr>
            <w:tcW w:w="9860" w:type="dxa"/>
            <w:vAlign w:val="bottom"/>
          </w:tcPr>
          <w:p>
            <w:pPr>
              <w:ind w:left="140"/>
              <w:spacing w:after="0"/>
              <w:rPr>
                <w:sz w:val="20"/>
                <w:szCs w:val="20"/>
                <w:color w:val="auto"/>
              </w:rPr>
            </w:pPr>
            <w:r>
              <w:rPr>
                <w:rFonts w:ascii="Arial" w:cs="Arial" w:eastAsia="Arial" w:hAnsi="Arial"/>
                <w:sz w:val="18"/>
                <w:szCs w:val="18"/>
                <w:color w:val="auto"/>
              </w:rPr>
              <w:t>INDEMNIFICATION AND 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11</w:t>
            </w:r>
          </w:p>
        </w:tc>
        <w:tc>
          <w:tcPr>
            <w:tcW w:w="9860" w:type="dxa"/>
            <w:vAlign w:val="bottom"/>
          </w:tcPr>
          <w:p>
            <w:pPr>
              <w:ind w:left="140"/>
              <w:spacing w:after="0"/>
              <w:rPr>
                <w:sz w:val="20"/>
                <w:szCs w:val="20"/>
                <w:color w:val="auto"/>
              </w:rPr>
            </w:pPr>
            <w:r>
              <w:rPr>
                <w:rFonts w:ascii="Arial" w:cs="Arial" w:eastAsia="Arial" w:hAnsi="Arial"/>
                <w:sz w:val="18"/>
                <w:szCs w:val="18"/>
                <w:color w:val="auto"/>
              </w:rPr>
              <w:t>DAMAGE AND DESTRUCTION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12</w:t>
            </w:r>
          </w:p>
        </w:tc>
        <w:tc>
          <w:tcPr>
            <w:tcW w:w="9860" w:type="dxa"/>
            <w:vAlign w:val="bottom"/>
          </w:tcPr>
          <w:p>
            <w:pPr>
              <w:ind w:left="140"/>
              <w:spacing w:after="0"/>
              <w:rPr>
                <w:sz w:val="20"/>
                <w:szCs w:val="20"/>
                <w:color w:val="auto"/>
              </w:rPr>
            </w:pPr>
            <w:r>
              <w:rPr>
                <w:rFonts w:ascii="Arial" w:cs="Arial" w:eastAsia="Arial" w:hAnsi="Arial"/>
                <w:sz w:val="18"/>
                <w:szCs w:val="18"/>
                <w:color w:val="auto"/>
              </w:rPr>
              <w:t>NONWAIVER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13</w:t>
            </w:r>
          </w:p>
        </w:tc>
        <w:tc>
          <w:tcPr>
            <w:tcW w:w="9860" w:type="dxa"/>
            <w:vAlign w:val="bottom"/>
          </w:tcPr>
          <w:p>
            <w:pPr>
              <w:ind w:left="140"/>
              <w:spacing w:after="0"/>
              <w:rPr>
                <w:sz w:val="20"/>
                <w:szCs w:val="20"/>
                <w:color w:val="auto"/>
              </w:rPr>
            </w:pPr>
            <w:r>
              <w:rPr>
                <w:rFonts w:ascii="Arial" w:cs="Arial" w:eastAsia="Arial" w:hAnsi="Arial"/>
                <w:sz w:val="18"/>
                <w:szCs w:val="18"/>
                <w:color w:val="auto"/>
              </w:rPr>
              <w:t>CONDEMNATION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14</w:t>
            </w:r>
          </w:p>
        </w:tc>
        <w:tc>
          <w:tcPr>
            <w:tcW w:w="9860" w:type="dxa"/>
            <w:vAlign w:val="bottom"/>
          </w:tcPr>
          <w:p>
            <w:pPr>
              <w:ind w:left="140"/>
              <w:spacing w:after="0"/>
              <w:rPr>
                <w:sz w:val="20"/>
                <w:szCs w:val="20"/>
                <w:color w:val="auto"/>
              </w:rPr>
            </w:pPr>
            <w:r>
              <w:rPr>
                <w:rFonts w:ascii="Arial" w:cs="Arial" w:eastAsia="Arial" w:hAnsi="Arial"/>
                <w:sz w:val="18"/>
                <w:szCs w:val="18"/>
                <w:color w:val="auto"/>
              </w:rPr>
              <w:t>ASSIGNMENT AND SUBLETTING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15</w:t>
            </w:r>
          </w:p>
        </w:tc>
        <w:tc>
          <w:tcPr>
            <w:tcW w:w="9860" w:type="dxa"/>
            <w:vAlign w:val="bottom"/>
          </w:tcPr>
          <w:p>
            <w:pPr>
              <w:ind w:left="140"/>
              <w:spacing w:after="0"/>
              <w:rPr>
                <w:sz w:val="20"/>
                <w:szCs w:val="20"/>
                <w:color w:val="auto"/>
              </w:rPr>
            </w:pPr>
            <w:r>
              <w:rPr>
                <w:rFonts w:ascii="Arial" w:cs="Arial" w:eastAsia="Arial" w:hAnsi="Arial"/>
                <w:sz w:val="18"/>
                <w:szCs w:val="18"/>
                <w:color w:val="auto"/>
              </w:rPr>
              <w:t>SURRENDER OF PREMISES; OWNERSHIP AND REMOVAL OF TRADE FIXTURES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16</w:t>
            </w:r>
          </w:p>
        </w:tc>
        <w:tc>
          <w:tcPr>
            <w:tcW w:w="9860" w:type="dxa"/>
            <w:vAlign w:val="bottom"/>
          </w:tcPr>
          <w:p>
            <w:pPr>
              <w:ind w:left="140"/>
              <w:spacing w:after="0"/>
              <w:rPr>
                <w:sz w:val="20"/>
                <w:szCs w:val="20"/>
                <w:color w:val="auto"/>
              </w:rPr>
            </w:pPr>
            <w:r>
              <w:rPr>
                <w:rFonts w:ascii="Arial" w:cs="Arial" w:eastAsia="Arial" w:hAnsi="Arial"/>
                <w:sz w:val="18"/>
                <w:szCs w:val="18"/>
                <w:color w:val="auto"/>
              </w:rPr>
              <w:t>HOLDING OVER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17</w:t>
            </w:r>
          </w:p>
        </w:tc>
        <w:tc>
          <w:tcPr>
            <w:tcW w:w="9860" w:type="dxa"/>
            <w:vAlign w:val="bottom"/>
          </w:tcPr>
          <w:p>
            <w:pPr>
              <w:ind w:left="140"/>
              <w:spacing w:after="0"/>
              <w:rPr>
                <w:sz w:val="20"/>
                <w:szCs w:val="20"/>
                <w:color w:val="auto"/>
              </w:rPr>
            </w:pPr>
            <w:r>
              <w:rPr>
                <w:rFonts w:ascii="Arial" w:cs="Arial" w:eastAsia="Arial" w:hAnsi="Arial"/>
                <w:sz w:val="18"/>
                <w:szCs w:val="18"/>
                <w:color w:val="auto"/>
              </w:rPr>
              <w:t>ESTOPPEL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18</w:t>
            </w:r>
          </w:p>
        </w:tc>
        <w:tc>
          <w:tcPr>
            <w:tcW w:w="9860" w:type="dxa"/>
            <w:vAlign w:val="bottom"/>
          </w:tcPr>
          <w:p>
            <w:pPr>
              <w:ind w:left="140"/>
              <w:spacing w:after="0"/>
              <w:rPr>
                <w:sz w:val="20"/>
                <w:szCs w:val="20"/>
                <w:color w:val="auto"/>
              </w:rPr>
            </w:pPr>
            <w:r>
              <w:rPr>
                <w:rFonts w:ascii="Arial" w:cs="Arial" w:eastAsia="Arial" w:hAnsi="Arial"/>
                <w:sz w:val="18"/>
                <w:szCs w:val="18"/>
                <w:color w:val="auto"/>
              </w:rPr>
              <w:t>SUBORDINATION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19</w:t>
            </w:r>
          </w:p>
        </w:tc>
        <w:tc>
          <w:tcPr>
            <w:tcW w:w="9860" w:type="dxa"/>
            <w:vAlign w:val="bottom"/>
          </w:tcPr>
          <w:p>
            <w:pPr>
              <w:ind w:left="140"/>
              <w:spacing w:after="0"/>
              <w:rPr>
                <w:sz w:val="20"/>
                <w:szCs w:val="20"/>
                <w:color w:val="auto"/>
              </w:rPr>
            </w:pPr>
            <w:r>
              <w:rPr>
                <w:rFonts w:ascii="Arial" w:cs="Arial" w:eastAsia="Arial" w:hAnsi="Arial"/>
                <w:sz w:val="18"/>
                <w:szCs w:val="18"/>
                <w:color w:val="auto"/>
              </w:rPr>
              <w:t>DEFAULTS; REMEDIES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20</w:t>
            </w:r>
          </w:p>
        </w:tc>
        <w:tc>
          <w:tcPr>
            <w:tcW w:w="9860" w:type="dxa"/>
            <w:vAlign w:val="bottom"/>
          </w:tcPr>
          <w:p>
            <w:pPr>
              <w:ind w:left="140"/>
              <w:spacing w:after="0"/>
              <w:rPr>
                <w:sz w:val="20"/>
                <w:szCs w:val="20"/>
                <w:color w:val="auto"/>
              </w:rPr>
            </w:pPr>
            <w:r>
              <w:rPr>
                <w:rFonts w:ascii="Arial" w:cs="Arial" w:eastAsia="Arial" w:hAnsi="Arial"/>
                <w:sz w:val="18"/>
                <w:szCs w:val="18"/>
                <w:color w:val="auto"/>
              </w:rPr>
              <w:t>COVENANT OF QUIET ENJOYMENT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21</w:t>
            </w:r>
          </w:p>
        </w:tc>
        <w:tc>
          <w:tcPr>
            <w:tcW w:w="9860" w:type="dxa"/>
            <w:vAlign w:val="bottom"/>
          </w:tcPr>
          <w:p>
            <w:pPr>
              <w:ind w:left="140"/>
              <w:spacing w:after="0"/>
              <w:rPr>
                <w:sz w:val="20"/>
                <w:szCs w:val="20"/>
                <w:color w:val="auto"/>
              </w:rPr>
            </w:pPr>
            <w:r>
              <w:rPr>
                <w:rFonts w:ascii="Arial" w:cs="Arial" w:eastAsia="Arial" w:hAnsi="Arial"/>
                <w:sz w:val="18"/>
                <w:szCs w:val="18"/>
                <w:color w:val="auto"/>
              </w:rPr>
              <w:t>LETTER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22</w:t>
            </w:r>
          </w:p>
        </w:tc>
        <w:tc>
          <w:tcPr>
            <w:tcW w:w="9860" w:type="dxa"/>
            <w:vAlign w:val="bottom"/>
          </w:tcPr>
          <w:p>
            <w:pPr>
              <w:ind w:left="140"/>
              <w:spacing w:after="0"/>
              <w:rPr>
                <w:sz w:val="20"/>
                <w:szCs w:val="20"/>
                <w:color w:val="auto"/>
              </w:rPr>
            </w:pPr>
            <w:r>
              <w:rPr>
                <w:rFonts w:ascii="Arial" w:cs="Arial" w:eastAsia="Arial" w:hAnsi="Arial"/>
                <w:sz w:val="18"/>
                <w:szCs w:val="18"/>
                <w:color w:val="auto"/>
              </w:rPr>
              <w:t>USE OF ROOF DECK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23</w:t>
            </w:r>
          </w:p>
        </w:tc>
        <w:tc>
          <w:tcPr>
            <w:tcW w:w="9860" w:type="dxa"/>
            <w:vAlign w:val="bottom"/>
          </w:tcPr>
          <w:p>
            <w:pPr>
              <w:ind w:left="140"/>
              <w:spacing w:after="0"/>
              <w:rPr>
                <w:sz w:val="20"/>
                <w:szCs w:val="20"/>
                <w:color w:val="auto"/>
              </w:rPr>
            </w:pPr>
            <w:r>
              <w:rPr>
                <w:rFonts w:ascii="Arial" w:cs="Arial" w:eastAsia="Arial" w:hAnsi="Arial"/>
                <w:sz w:val="18"/>
                <w:szCs w:val="18"/>
                <w:color w:val="auto"/>
              </w:rPr>
              <w:t>SIGNS; ROOF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242" w:name="page243"/>
    <w:bookmarkEnd w:id="2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1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24   </w:t>
            </w:r>
            <w:r>
              <w:rPr>
                <w:rFonts w:ascii="Arial" w:cs="Arial" w:eastAsia="Arial" w:hAnsi="Arial"/>
                <w:sz w:val="18"/>
                <w:szCs w:val="18"/>
                <w:color w:val="auto"/>
              </w:rPr>
              <w:t>COMPLIANCE WITH LAW</w:t>
            </w: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25</w:t>
            </w:r>
          </w:p>
        </w:tc>
        <w:tc>
          <w:tcPr>
            <w:tcW w:w="9860" w:type="dxa"/>
            <w:vAlign w:val="bottom"/>
          </w:tcPr>
          <w:p>
            <w:pPr>
              <w:ind w:left="140"/>
              <w:spacing w:after="0"/>
              <w:rPr>
                <w:sz w:val="20"/>
                <w:szCs w:val="20"/>
                <w:color w:val="auto"/>
              </w:rPr>
            </w:pPr>
            <w:r>
              <w:rPr>
                <w:rFonts w:ascii="Arial" w:cs="Arial" w:eastAsia="Arial" w:hAnsi="Arial"/>
                <w:sz w:val="18"/>
                <w:szCs w:val="18"/>
                <w:color w:val="auto"/>
              </w:rPr>
              <w:t>LATE CHARGES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26   </w:t>
            </w:r>
            <w:r>
              <w:rPr>
                <w:rFonts w:ascii="Arial" w:cs="Arial" w:eastAsia="Arial" w:hAnsi="Arial"/>
                <w:sz w:val="18"/>
                <w:szCs w:val="18"/>
                <w:color w:val="auto"/>
              </w:rPr>
              <w:t>LANDLORD’S RIGHT TO CURE DEFAULT; PAYMENTS BY TENANT</w:t>
            </w: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27   </w:t>
            </w:r>
            <w:r>
              <w:rPr>
                <w:rFonts w:ascii="Arial" w:cs="Arial" w:eastAsia="Arial" w:hAnsi="Arial"/>
                <w:sz w:val="18"/>
                <w:szCs w:val="18"/>
                <w:color w:val="auto"/>
              </w:rPr>
              <w:t>ENTRY BY LANDLORD</w:t>
            </w: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28</w:t>
            </w:r>
          </w:p>
        </w:tc>
        <w:tc>
          <w:tcPr>
            <w:tcW w:w="9860" w:type="dxa"/>
            <w:vAlign w:val="bottom"/>
          </w:tcPr>
          <w:p>
            <w:pPr>
              <w:ind w:left="140"/>
              <w:spacing w:after="0"/>
              <w:rPr>
                <w:sz w:val="20"/>
                <w:szCs w:val="20"/>
                <w:color w:val="auto"/>
              </w:rPr>
            </w:pPr>
            <w:r>
              <w:rPr>
                <w:rFonts w:ascii="Arial" w:cs="Arial" w:eastAsia="Arial" w:hAnsi="Arial"/>
                <w:sz w:val="18"/>
                <w:szCs w:val="18"/>
                <w:color w:val="auto"/>
              </w:rPr>
              <w:t>TENANT PARKING</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29</w:t>
            </w:r>
          </w:p>
        </w:tc>
        <w:tc>
          <w:tcPr>
            <w:tcW w:w="9860" w:type="dxa"/>
            <w:vAlign w:val="bottom"/>
          </w:tcPr>
          <w:p>
            <w:pPr>
              <w:ind w:left="140"/>
              <w:spacing w:after="0"/>
              <w:rPr>
                <w:sz w:val="20"/>
                <w:szCs w:val="20"/>
                <w:color w:val="auto"/>
              </w:rPr>
            </w:pPr>
            <w:r>
              <w:rPr>
                <w:rFonts w:ascii="Arial" w:cs="Arial" w:eastAsia="Arial" w:hAnsi="Arial"/>
                <w:sz w:val="18"/>
                <w:szCs w:val="18"/>
                <w:color w:val="auto"/>
              </w:rPr>
              <w:t>MISCELLANEOUS PROVISIONS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200" w:type="dxa"/>
            <w:vAlign w:val="bottom"/>
          </w:tcPr>
          <w:p>
            <w:pPr>
              <w:spacing w:after="0"/>
              <w:rPr>
                <w:sz w:val="20"/>
                <w:szCs w:val="20"/>
                <w:color w:val="auto"/>
              </w:rPr>
            </w:pPr>
            <w:r>
              <w:rPr>
                <w:rFonts w:ascii="Arial" w:cs="Arial" w:eastAsia="Arial" w:hAnsi="Arial"/>
                <w:sz w:val="18"/>
                <w:szCs w:val="18"/>
                <w:b w:val="1"/>
                <w:bCs w:val="1"/>
                <w:color w:val="auto"/>
              </w:rPr>
              <w:t>ARTICLE 30</w:t>
            </w:r>
          </w:p>
        </w:tc>
        <w:tc>
          <w:tcPr>
            <w:tcW w:w="9860" w:type="dxa"/>
            <w:vAlign w:val="bottom"/>
          </w:tcPr>
          <w:p>
            <w:pPr>
              <w:ind w:left="140"/>
              <w:spacing w:after="0"/>
              <w:rPr>
                <w:sz w:val="20"/>
                <w:szCs w:val="20"/>
                <w:color w:val="auto"/>
              </w:rPr>
            </w:pPr>
            <w:r>
              <w:rPr>
                <w:rFonts w:ascii="Arial" w:cs="Arial" w:eastAsia="Arial" w:hAnsi="Arial"/>
                <w:sz w:val="18"/>
                <w:szCs w:val="18"/>
                <w:color w:val="auto"/>
              </w:rPr>
              <w:t>FLOWER MART EXPANSION</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ectPr>
          <w:pgSz w:w="11900" w:h="16838" w:orient="portrait"/>
          <w:cols w:equalWidth="0" w:num="1">
            <w:col w:w="11360"/>
          </w:cols>
          <w:pgMar w:left="240" w:top="266" w:right="29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LIST OF EXHIBITS AND SCHEDULES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1 TO 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2 TO 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3 TO 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4 TO 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5 TO 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6 TO EXHIBIT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117" w:lineRule="exact"/>
        <w:rPr>
          <w:sz w:val="20"/>
          <w:szCs w:val="20"/>
          <w:color w:val="auto"/>
        </w:rPr>
      </w:pPr>
    </w:p>
    <w:p>
      <w:pPr>
        <w:ind w:right="760"/>
        <w:spacing w:after="0" w:line="375" w:lineRule="auto"/>
        <w:rPr>
          <w:sz w:val="20"/>
          <w:szCs w:val="20"/>
          <w:color w:val="auto"/>
        </w:rPr>
      </w:pPr>
      <w:r>
        <w:rPr>
          <w:rFonts w:ascii="Arial" w:cs="Arial" w:eastAsia="Arial" w:hAnsi="Arial"/>
          <w:sz w:val="18"/>
          <w:szCs w:val="18"/>
          <w:color w:val="auto"/>
        </w:rPr>
        <w:t>SCHEDULE 1 TO EXHIBIT F EXHIBIT 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SCHEDULE 1 TO EXHIBIT 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I-1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I-2</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OUTLINE OF THE PREMISES</w:t>
      </w:r>
    </w:p>
    <w:p>
      <w:pPr>
        <w:spacing w:after="0" w:line="117" w:lineRule="exact"/>
        <w:rPr>
          <w:sz w:val="20"/>
          <w:szCs w:val="20"/>
          <w:color w:val="auto"/>
        </w:rPr>
      </w:pPr>
    </w:p>
    <w:p>
      <w:pPr>
        <w:ind w:right="2440"/>
        <w:spacing w:after="0" w:line="375" w:lineRule="auto"/>
        <w:rPr>
          <w:sz w:val="20"/>
          <w:szCs w:val="20"/>
          <w:color w:val="auto"/>
        </w:rPr>
      </w:pPr>
      <w:r>
        <w:rPr>
          <w:rFonts w:ascii="Arial" w:cs="Arial" w:eastAsia="Arial" w:hAnsi="Arial"/>
          <w:sz w:val="18"/>
          <w:szCs w:val="18"/>
          <w:color w:val="auto"/>
        </w:rPr>
        <w:t>RENTABLE SQUARE FOOTAGE OF EACH FLOOR OF THE PREMISES WORK LETTER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BASE BUILDING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 BUILDING DEFINITION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DELIVERY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LIST OF TENANT DELIVERABLES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DEPICTION OF SHAFT 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EXCERPTS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NOTICE OF LEASE TERM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TENANT ESTOPPEL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MISSION BAY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SUCCESSOR PROJECT LABOR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MARKET RENT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DEPICTION OF COMPARABLE AREA</w:t>
      </w:r>
    </w:p>
    <w:p>
      <w:pPr>
        <w:spacing w:after="0" w:line="117" w:lineRule="exact"/>
        <w:rPr>
          <w:sz w:val="20"/>
          <w:szCs w:val="20"/>
          <w:color w:val="auto"/>
        </w:rPr>
      </w:pPr>
    </w:p>
    <w:p>
      <w:pPr>
        <w:ind w:right="2400"/>
        <w:spacing w:after="0" w:line="375" w:lineRule="auto"/>
        <w:rPr>
          <w:sz w:val="20"/>
          <w:szCs w:val="20"/>
          <w:color w:val="auto"/>
        </w:rPr>
      </w:pPr>
      <w:r>
        <w:rPr>
          <w:rFonts w:ascii="Arial" w:cs="Arial" w:eastAsia="Arial" w:hAnsi="Arial"/>
          <w:sz w:val="18"/>
          <w:szCs w:val="18"/>
          <w:color w:val="auto"/>
        </w:rPr>
        <w:t>RECOGNITION OF COVENANTS, CONDITIONS, AND RESTRICTIONS FORM OF LETTER OF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 OF INITIAL LETTER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ectPr>
          <w:pgSz w:w="11900" w:h="16838" w:orient="portrait"/>
          <w:cols w:equalWidth="0" w:num="2">
            <w:col w:w="3040" w:space="300"/>
            <w:col w:w="8020"/>
          </w:cols>
          <w:pgMar w:left="240" w:top="266" w:right="299" w:bottom="1440" w:gutter="0" w:footer="0" w:header="0"/>
          <w:type w:val="continuous"/>
        </w:sectPr>
      </w:pPr>
    </w:p>
    <w:bookmarkStart w:id="243" w:name="page244"/>
    <w:bookmarkEnd w:id="243"/>
    <w:p>
      <w:pPr>
        <w:jc w:val="right"/>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w:t>
      </w:r>
    </w:p>
    <w:p>
      <w:pPr>
        <w:sectPr>
          <w:pgSz w:w="11900" w:h="16838" w:orient="portrait"/>
          <w:cols w:equalWidth="0" w:num="1">
            <w:col w:w="11420"/>
          </w:cols>
          <w:pgMar w:left="240" w:top="265"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EXHIBIT J</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LOCATION OF EXTERIOR SIGNAGE</w:t>
      </w:r>
    </w:p>
    <w:p>
      <w:pPr>
        <w:spacing w:after="0" w:line="129" w:lineRule="exact"/>
        <w:rPr>
          <w:sz w:val="20"/>
          <w:szCs w:val="20"/>
          <w:color w:val="auto"/>
        </w:rPr>
      </w:pPr>
    </w:p>
    <w:p>
      <w:pPr>
        <w:sectPr>
          <w:pgSz w:w="11900" w:h="16838" w:orient="portrait"/>
          <w:cols w:equalWidth="0" w:num="2">
            <w:col w:w="2480" w:space="720"/>
            <w:col w:w="8220"/>
          </w:cols>
          <w:pgMar w:left="240" w:top="265" w:right="239" w:bottom="1440" w:gutter="0" w:footer="0" w:header="0"/>
          <w:type w:val="continuous"/>
        </w:sectPr>
      </w:pPr>
    </w:p>
    <w:p>
      <w:pPr>
        <w:spacing w:after="0"/>
        <w:rPr>
          <w:sz w:val="20"/>
          <w:szCs w:val="20"/>
          <w:color w:val="auto"/>
        </w:rPr>
      </w:pPr>
      <w:r>
        <w:rPr>
          <w:rFonts w:ascii="Arial" w:cs="Arial" w:eastAsia="Arial" w:hAnsi="Arial"/>
          <w:sz w:val="17"/>
          <w:szCs w:val="17"/>
          <w:color w:val="auto"/>
        </w:rPr>
        <w:t>EXHIBIT 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ANTICIPATED LOCATION OF RETAIL SIGNAGE</w:t>
      </w:r>
    </w:p>
    <w:p>
      <w:pPr>
        <w:spacing w:after="0" w:line="129" w:lineRule="exact"/>
        <w:rPr>
          <w:sz w:val="20"/>
          <w:szCs w:val="20"/>
          <w:color w:val="auto"/>
        </w:rPr>
      </w:pPr>
    </w:p>
    <w:p>
      <w:pPr>
        <w:sectPr>
          <w:pgSz w:w="11900" w:h="16838" w:orient="portrait"/>
          <w:cols w:equalWidth="0" w:num="2">
            <w:col w:w="2480" w:space="720"/>
            <w:col w:w="8220"/>
          </w:cols>
          <w:pgMar w:left="240" w:top="265" w:right="239" w:bottom="1440" w:gutter="0" w:footer="0" w:header="0"/>
          <w:type w:val="continuous"/>
        </w:sectPr>
      </w:pPr>
    </w:p>
    <w:p>
      <w:pPr>
        <w:spacing w:after="0"/>
        <w:rPr>
          <w:sz w:val="20"/>
          <w:szCs w:val="20"/>
          <w:color w:val="auto"/>
        </w:rPr>
      </w:pPr>
      <w:r>
        <w:rPr>
          <w:rFonts w:ascii="Arial" w:cs="Arial" w:eastAsia="Arial" w:hAnsi="Arial"/>
          <w:sz w:val="18"/>
          <w:szCs w:val="18"/>
          <w:color w:val="auto"/>
        </w:rPr>
        <w:t>EXHIBIT 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MULTI-TENANT PROVISIONS</w:t>
      </w:r>
    </w:p>
    <w:p>
      <w:pPr>
        <w:sectPr>
          <w:pgSz w:w="11900" w:h="16838" w:orient="portrait"/>
          <w:cols w:equalWidth="0" w:num="2">
            <w:col w:w="2480" w:space="720"/>
            <w:col w:w="8220"/>
          </w:cols>
          <w:pgMar w:left="240" w:top="265" w:right="239" w:bottom="1440" w:gutter="0" w:footer="0" w:header="0"/>
          <w:type w:val="continuous"/>
        </w:sectPr>
      </w:pPr>
    </w:p>
    <w:bookmarkStart w:id="244" w:name="page245"/>
    <w:bookmarkEnd w:id="244"/>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6980" w:type="dxa"/>
            <w:vAlign w:val="bottom"/>
            <w:gridSpan w:val="4"/>
          </w:tcPr>
          <w:p>
            <w:pPr>
              <w:jc w:val="right"/>
              <w:ind w:right="4659"/>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4440" w:type="dxa"/>
            <w:vAlign w:val="bottom"/>
            <w:vMerge w:val="restart"/>
          </w:tcPr>
          <w:p>
            <w:pPr>
              <w:spacing w:after="0"/>
              <w:rPr>
                <w:sz w:val="20"/>
                <w:szCs w:val="20"/>
                <w:color w:val="auto"/>
              </w:rPr>
            </w:pPr>
            <w:r>
              <w:rPr>
                <w:rFonts w:ascii="Arial" w:cs="Arial" w:eastAsia="Arial" w:hAnsi="Arial"/>
                <w:sz w:val="18"/>
                <w:szCs w:val="18"/>
                <w:color w:val="auto"/>
              </w:rPr>
              <w:t>333 Brannan Building</w:t>
            </w:r>
          </w:p>
        </w:tc>
        <w:tc>
          <w:tcPr>
            <w:tcW w:w="3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4440" w:type="dxa"/>
            <w:vAlign w:val="bottom"/>
            <w:vMerge w:val="continue"/>
          </w:tcPr>
          <w:p>
            <w:pPr>
              <w:spacing w:after="0"/>
              <w:rPr>
                <w:sz w:val="15"/>
                <w:szCs w:val="15"/>
                <w:color w:val="auto"/>
              </w:rPr>
            </w:pPr>
          </w:p>
        </w:tc>
        <w:tc>
          <w:tcPr>
            <w:tcW w:w="6680" w:type="dxa"/>
            <w:vAlign w:val="bottom"/>
            <w:gridSpan w:val="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333 Brannan Lease</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Abatement Condition</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Abatement Event</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Addendum</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F</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Additional Rent</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Adverse Condition</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Advocate Arbitrators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Affiliate</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Affiliate Threshold</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Alterations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Amortization Interest Rate</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Anticipated Costs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Anticipated Over-Allowance Amount</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Appealable Tax Expenses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Appeals Notice</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Applicable Laws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Approved Working Drawings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Arbitration Agreement</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Architect</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Availability Notice</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Bank Credit Threat</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Bank Prime Loan</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Bankruptcy Code</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Building</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8"/>
              </w:rPr>
              <w:t>Base Building Construction Drawings and Specifications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Building Definition</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Building Plans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Building Punch List Items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Rent</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Rent Abatement Amount</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Rent Abatement Period</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Base, Shell and Core</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BB HVAC System</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Bicycle Improvements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Bicycle Storage Area</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Bicycles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Block 40 Purchase Agreement</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 B</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Briefs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Brokers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Builder’s All Risk</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Building</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Arial" w:cs="Arial" w:eastAsia="Arial" w:hAnsi="Arial"/>
                <w:sz w:val="18"/>
                <w:szCs w:val="18"/>
                <w:i w:val="1"/>
                <w:iCs w:val="1"/>
                <w:color w:val="auto"/>
              </w:rPr>
              <w:t>Summary</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Building Common Areas,</w:t>
            </w:r>
          </w:p>
        </w:tc>
        <w:tc>
          <w:tcPr>
            <w:tcW w:w="698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5" w:name="page246"/>
    <w:bookmarkEnd w:id="245"/>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Building Hours</w:t>
            </w:r>
          </w:p>
        </w:tc>
        <w:tc>
          <w:tcPr>
            <w:tcW w:w="4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Building Structure</w:t>
            </w:r>
          </w:p>
        </w:tc>
        <w:tc>
          <w:tcPr>
            <w:tcW w:w="4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Building Systems</w:t>
            </w:r>
          </w:p>
        </w:tc>
        <w:tc>
          <w:tcPr>
            <w:tcW w:w="4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Buildings</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CASp</w:t>
            </w:r>
          </w:p>
        </w:tc>
        <w:tc>
          <w:tcPr>
            <w:tcW w:w="4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CDC</w:t>
            </w:r>
          </w:p>
        </w:tc>
        <w:tc>
          <w:tcPr>
            <w:tcW w:w="4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CFD Assessments</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CFDs</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City</w:t>
            </w:r>
          </w:p>
        </w:tc>
        <w:tc>
          <w:tcPr>
            <w:tcW w:w="4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Close-Out Package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Code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CofO</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Commercial Kitchen</w:t>
            </w:r>
          </w:p>
        </w:tc>
        <w:tc>
          <w:tcPr>
            <w:tcW w:w="4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Common Areas</w:t>
            </w:r>
          </w:p>
        </w:tc>
        <w:tc>
          <w:tcPr>
            <w:tcW w:w="4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Communications Equipment</w:t>
            </w:r>
          </w:p>
        </w:tc>
        <w:tc>
          <w:tcPr>
            <w:tcW w:w="4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Comparable Buildings</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G</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Comparable Transactions</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G</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Complex</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Concessions</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G</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Construction Documents</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Construction Period</w:t>
            </w:r>
          </w:p>
        </w:tc>
        <w:tc>
          <w:tcPr>
            <w:tcW w:w="4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Contemplated Effective Date</w:t>
            </w:r>
          </w:p>
        </w:tc>
        <w:tc>
          <w:tcPr>
            <w:tcW w:w="4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Contemplated Transfer Space</w:t>
            </w:r>
          </w:p>
        </w:tc>
        <w:tc>
          <w:tcPr>
            <w:tcW w:w="4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Contract</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Contractor</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Control</w:t>
            </w:r>
          </w:p>
        </w:tc>
        <w:tc>
          <w:tcPr>
            <w:tcW w:w="4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Controllable Expenses</w:t>
            </w:r>
          </w:p>
        </w:tc>
        <w:tc>
          <w:tcPr>
            <w:tcW w:w="4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Coordination Fee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Cost Pool</w:t>
            </w:r>
          </w:p>
        </w:tc>
        <w:tc>
          <w:tcPr>
            <w:tcW w:w="4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Cost Saving Capital Expenditures</w:t>
            </w:r>
          </w:p>
        </w:tc>
        <w:tc>
          <w:tcPr>
            <w:tcW w:w="4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Costs of Reletting</w:t>
            </w:r>
          </w:p>
        </w:tc>
        <w:tc>
          <w:tcPr>
            <w:tcW w:w="4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Council</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Covered Property</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Covered Successor</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CofO Date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Damage Termination Date</w:t>
            </w:r>
          </w:p>
        </w:tc>
        <w:tc>
          <w:tcPr>
            <w:tcW w:w="4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Damage Termination Notice</w:t>
            </w:r>
          </w:p>
        </w:tc>
        <w:tc>
          <w:tcPr>
            <w:tcW w:w="4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Declaration of Tax Appeal Waiver Agreement</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Default</w:t>
            </w:r>
          </w:p>
        </w:tc>
        <w:tc>
          <w:tcPr>
            <w:tcW w:w="4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Delay Notice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Delivery Condition</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Delivery Date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Delivery Failure Termination Notice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Delivery Outside Date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Delivery Termination Effective Date</w:t>
            </w:r>
          </w:p>
        </w:tc>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Direct Expenses</w:t>
            </w:r>
          </w:p>
        </w:tc>
        <w:tc>
          <w:tcPr>
            <w:tcW w:w="436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6" w:name="page247"/>
    <w:bookmarkEnd w:id="246"/>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Discretionary Approvals Notice</w:t>
            </w:r>
          </w:p>
        </w:tc>
        <w:tc>
          <w:tcPr>
            <w:tcW w:w="4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Downsized Space</w:t>
            </w:r>
          </w:p>
        </w:tc>
        <w:tc>
          <w:tcPr>
            <w:tcW w:w="4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Drawing Change Notice</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Eligibility Period</w:t>
            </w:r>
          </w:p>
        </w:tc>
        <w:tc>
          <w:tcPr>
            <w:tcW w:w="40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Emergency Repairs</w:t>
            </w:r>
          </w:p>
        </w:tc>
        <w:tc>
          <w:tcPr>
            <w:tcW w:w="4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Emergency Situation</w:t>
            </w:r>
          </w:p>
        </w:tc>
        <w:tc>
          <w:tcPr>
            <w:tcW w:w="4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Engineers</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Environmental Covenant</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Estimate</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Estimate Statement</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Estimated Direct Expenses</w:t>
            </w:r>
          </w:p>
        </w:tc>
        <w:tc>
          <w:tcPr>
            <w:tcW w:w="4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Excess Hours</w:t>
            </w:r>
          </w:p>
        </w:tc>
        <w:tc>
          <w:tcPr>
            <w:tcW w:w="4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Expense Year</w:t>
            </w:r>
          </w:p>
        </w:tc>
        <w:tc>
          <w:tcPr>
            <w:tcW w:w="4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Extra HVAC Costs</w:t>
            </w:r>
          </w:p>
        </w:tc>
        <w:tc>
          <w:tcPr>
            <w:tcW w:w="4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FDIC</w:t>
            </w:r>
          </w:p>
        </w:tc>
        <w:tc>
          <w:tcPr>
            <w:tcW w:w="4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Final Condition</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Final Retention</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Final Space Plan</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Final Working Drawings</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Flower Mart</w:t>
            </w:r>
          </w:p>
        </w:tc>
        <w:tc>
          <w:tcPr>
            <w:tcW w:w="4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Focil</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Force Majeure</w:t>
            </w:r>
          </w:p>
        </w:tc>
        <w:tc>
          <w:tcPr>
            <w:tcW w:w="40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Force Majeure Delay</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Generator</w:t>
            </w:r>
          </w:p>
        </w:tc>
        <w:tc>
          <w:tcPr>
            <w:tcW w:w="4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Generator Facilities</w:t>
            </w:r>
          </w:p>
        </w:tc>
        <w:tc>
          <w:tcPr>
            <w:tcW w:w="4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Give-Back Parking Passes</w:t>
            </w:r>
          </w:p>
        </w:tc>
        <w:tc>
          <w:tcPr>
            <w:tcW w:w="4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Governmental Approvals</w:t>
            </w:r>
          </w:p>
        </w:tc>
        <w:tc>
          <w:tcPr>
            <w:tcW w:w="4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Grant Deed</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Hazardous Substance</w:t>
            </w:r>
          </w:p>
        </w:tc>
        <w:tc>
          <w:tcPr>
            <w:tcW w:w="4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HVAC</w:t>
            </w:r>
          </w:p>
        </w:tc>
        <w:tc>
          <w:tcPr>
            <w:tcW w:w="4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HVAC System Hours</w:t>
            </w:r>
          </w:p>
        </w:tc>
        <w:tc>
          <w:tcPr>
            <w:tcW w:w="4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IA Qualifying Improvements</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Improvement Allowance</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Improvement Allowance Items</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Improvement Allowance Payments</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Improvements</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Infrastructure CFD</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Initial Reduction Date</w:t>
            </w:r>
          </w:p>
        </w:tc>
        <w:tc>
          <w:tcPr>
            <w:tcW w:w="4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Initial Required Square Footage</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Intention to Transfer Notice</w:t>
            </w:r>
          </w:p>
        </w:tc>
        <w:tc>
          <w:tcPr>
            <w:tcW w:w="4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Interest Rate</w:t>
            </w:r>
          </w:p>
        </w:tc>
        <w:tc>
          <w:tcPr>
            <w:tcW w:w="4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Issuing Bank</w:t>
            </w:r>
          </w:p>
        </w:tc>
        <w:tc>
          <w:tcPr>
            <w:tcW w:w="4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KRFM</w:t>
            </w:r>
          </w:p>
        </w:tc>
        <w:tc>
          <w:tcPr>
            <w:tcW w:w="4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Landlord</w:t>
            </w:r>
          </w:p>
        </w:tc>
        <w:tc>
          <w:tcPr>
            <w:tcW w:w="408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Landlord Base Rent Abatement Acceleration Election</w:t>
            </w:r>
          </w:p>
        </w:tc>
        <w:tc>
          <w:tcPr>
            <w:tcW w:w="4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Landlord Bicycle Storage Area</w:t>
            </w:r>
          </w:p>
        </w:tc>
        <w:tc>
          <w:tcPr>
            <w:tcW w:w="4080" w:type="dxa"/>
            <w:vAlign w:val="bottom"/>
          </w:tcPr>
          <w:p>
            <w:pPr>
              <w:jc w:val="right"/>
              <w:spacing w:after="0"/>
              <w:rPr>
                <w:sz w:val="20"/>
                <w:szCs w:val="20"/>
                <w:color w:val="auto"/>
              </w:rPr>
            </w:pPr>
            <w:r>
              <w:rPr>
                <w:rFonts w:ascii="Arial" w:cs="Arial" w:eastAsia="Arial" w:hAnsi="Arial"/>
                <w:sz w:val="18"/>
                <w:szCs w:val="18"/>
                <w:color w:val="auto"/>
              </w:rPr>
              <w:t>31</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7" w:name="page248"/>
    <w:bookmarkEnd w:id="247"/>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 Breach</w:t>
            </w:r>
          </w:p>
        </w:tc>
        <w:tc>
          <w:tcPr>
            <w:tcW w:w="4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 Caused Delay</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 Event Use Rights</w:t>
            </w:r>
          </w:p>
        </w:tc>
        <w:tc>
          <w:tcPr>
            <w:tcW w:w="4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 Minor Change</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 Parties</w:t>
            </w:r>
          </w:p>
        </w:tc>
        <w:tc>
          <w:tcPr>
            <w:tcW w:w="4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 Repair Notice</w:t>
            </w:r>
          </w:p>
        </w:tc>
        <w:tc>
          <w:tcPr>
            <w:tcW w:w="4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 Use Rights</w:t>
            </w:r>
          </w:p>
        </w:tc>
        <w:tc>
          <w:tcPr>
            <w:tcW w:w="4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Landlord’s Completion Notice</w:t>
            </w:r>
          </w:p>
        </w:tc>
        <w:tc>
          <w:tcPr>
            <w:tcW w:w="4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Landlord’s Drawing Contribution</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Landlord’s Initial Statement</w:t>
            </w:r>
          </w:p>
        </w:tc>
        <w:tc>
          <w:tcPr>
            <w:tcW w:w="4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Landlord’s Project Costs</w:t>
            </w:r>
          </w:p>
        </w:tc>
        <w:tc>
          <w:tcPr>
            <w:tcW w:w="4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Landlord’s Security Personnel</w:t>
            </w:r>
          </w:p>
        </w:tc>
        <w:tc>
          <w:tcPr>
            <w:tcW w:w="4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Landlord’s Separate Schedules of Value Notice</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Landlord’s Set-Off Notice</w:t>
            </w:r>
          </w:p>
        </w:tc>
        <w:tc>
          <w:tcPr>
            <w:tcW w:w="4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L-C</w:t>
            </w:r>
          </w:p>
        </w:tc>
        <w:tc>
          <w:tcPr>
            <w:tcW w:w="4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L-C Amount</w:t>
            </w:r>
          </w:p>
        </w:tc>
        <w:tc>
          <w:tcPr>
            <w:tcW w:w="4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LC Expiration Date</w:t>
            </w:r>
          </w:p>
        </w:tc>
        <w:tc>
          <w:tcPr>
            <w:tcW w:w="4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L-C Reduction Amount</w:t>
            </w:r>
          </w:p>
        </w:tc>
        <w:tc>
          <w:tcPr>
            <w:tcW w:w="4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L-C Reduction Conditions</w:t>
            </w:r>
          </w:p>
        </w:tc>
        <w:tc>
          <w:tcPr>
            <w:tcW w:w="4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w:t>
            </w:r>
          </w:p>
        </w:tc>
        <w:tc>
          <w:tcPr>
            <w:tcW w:w="4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 Commencement Date</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 Commencement Date Delay</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 Expiration Date</w:t>
            </w:r>
          </w:p>
        </w:tc>
        <w:tc>
          <w:tcPr>
            <w:tcW w:w="4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 Term</w:t>
            </w:r>
          </w:p>
        </w:tc>
        <w:tc>
          <w:tcPr>
            <w:tcW w:w="4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 Year</w:t>
            </w:r>
          </w:p>
        </w:tc>
        <w:tc>
          <w:tcPr>
            <w:tcW w:w="4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Lines</w:t>
            </w:r>
          </w:p>
        </w:tc>
        <w:tc>
          <w:tcPr>
            <w:tcW w:w="4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Loss</w:t>
            </w:r>
          </w:p>
        </w:tc>
        <w:tc>
          <w:tcPr>
            <w:tcW w:w="4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Maintenance CFD</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Management Fee Percentage</w:t>
            </w:r>
          </w:p>
        </w:tc>
        <w:tc>
          <w:tcPr>
            <w:tcW w:w="4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Market Rent</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G</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Measuring Expense Year</w:t>
            </w:r>
          </w:p>
        </w:tc>
        <w:tc>
          <w:tcPr>
            <w:tcW w:w="4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Meeting Period</w:t>
            </w:r>
          </w:p>
        </w:tc>
        <w:tc>
          <w:tcPr>
            <w:tcW w:w="43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Minimum Amount</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Minimum Square Footage</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Mission Bay Requirements</w:t>
            </w:r>
          </w:p>
        </w:tc>
        <w:tc>
          <w:tcPr>
            <w:tcW w:w="4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Neutral Arbitrator</w:t>
            </w:r>
          </w:p>
        </w:tc>
        <w:tc>
          <w:tcPr>
            <w:tcW w:w="4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Neutral Audit</w:t>
            </w:r>
          </w:p>
        </w:tc>
        <w:tc>
          <w:tcPr>
            <w:tcW w:w="4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 Reduction Period</w:t>
            </w:r>
          </w:p>
        </w:tc>
        <w:tc>
          <w:tcPr>
            <w:tcW w:w="43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Non Contribution Items</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NON IA Qualifying Improvements</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Non Web-Enabled Water Sensors</w:t>
            </w:r>
          </w:p>
        </w:tc>
        <w:tc>
          <w:tcPr>
            <w:tcW w:w="4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North Building</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North Complex</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North Lobby</w:t>
            </w:r>
          </w:p>
        </w:tc>
        <w:tc>
          <w:tcPr>
            <w:tcW w:w="4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North Tower</w:t>
            </w:r>
          </w:p>
        </w:tc>
        <w:tc>
          <w:tcPr>
            <w:tcW w:w="434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Notices</w:t>
            </w:r>
          </w:p>
        </w:tc>
        <w:tc>
          <w:tcPr>
            <w:tcW w:w="4340" w:type="dxa"/>
            <w:vAlign w:val="bottom"/>
          </w:tcPr>
          <w:p>
            <w:pPr>
              <w:jc w:val="right"/>
              <w:spacing w:after="0"/>
              <w:rPr>
                <w:sz w:val="20"/>
                <w:szCs w:val="20"/>
                <w:color w:val="auto"/>
              </w:rPr>
            </w:pPr>
            <w:r>
              <w:rPr>
                <w:rFonts w:ascii="Arial" w:cs="Arial" w:eastAsia="Arial" w:hAnsi="Arial"/>
                <w:sz w:val="18"/>
                <w:szCs w:val="18"/>
                <w:color w:val="auto"/>
              </w:rPr>
              <w:t>84</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48" w:name="page249"/>
    <w:bookmarkEnd w:id="248"/>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OFAC</w:t>
            </w:r>
          </w:p>
        </w:tc>
        <w:tc>
          <w:tcPr>
            <w:tcW w:w="4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Official Records</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OPA</w:t>
            </w:r>
          </w:p>
        </w:tc>
        <w:tc>
          <w:tcPr>
            <w:tcW w:w="4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Cashflow</w:t>
            </w:r>
          </w:p>
        </w:tc>
        <w:tc>
          <w:tcPr>
            <w:tcW w:w="4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4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 Exercise Notice</w:t>
            </w:r>
          </w:p>
        </w:tc>
        <w:tc>
          <w:tcPr>
            <w:tcW w:w="4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 Interest Notice</w:t>
            </w:r>
          </w:p>
        </w:tc>
        <w:tc>
          <w:tcPr>
            <w:tcW w:w="4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 Rent</w:t>
            </w:r>
          </w:p>
        </w:tc>
        <w:tc>
          <w:tcPr>
            <w:tcW w:w="4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 Rent Notice</w:t>
            </w:r>
          </w:p>
        </w:tc>
        <w:tc>
          <w:tcPr>
            <w:tcW w:w="4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 Term</w:t>
            </w:r>
          </w:p>
        </w:tc>
        <w:tc>
          <w:tcPr>
            <w:tcW w:w="4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Option to Extend</w:t>
            </w:r>
          </w:p>
        </w:tc>
        <w:tc>
          <w:tcPr>
            <w:tcW w:w="4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Original Improvements</w:t>
            </w:r>
          </w:p>
        </w:tc>
        <w:tc>
          <w:tcPr>
            <w:tcW w:w="4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Original Project Labor Agreement</w:t>
            </w:r>
          </w:p>
        </w:tc>
        <w:tc>
          <w:tcPr>
            <w:tcW w:w="4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Improvements</w:t>
            </w:r>
          </w:p>
        </w:tc>
        <w:tc>
          <w:tcPr>
            <w:tcW w:w="46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Outside Agreement Date</w:t>
            </w:r>
          </w:p>
        </w:tc>
        <w:tc>
          <w:tcPr>
            <w:tcW w:w="4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Outside Allowance Date</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Outside Restoration Date</w:t>
            </w:r>
          </w:p>
        </w:tc>
        <w:tc>
          <w:tcPr>
            <w:tcW w:w="4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Over-Allowance Payments</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Parking Facilities</w:t>
            </w:r>
          </w:p>
        </w:tc>
        <w:tc>
          <w:tcPr>
            <w:tcW w:w="4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Parking Passes</w:t>
            </w:r>
          </w:p>
        </w:tc>
        <w:tc>
          <w:tcPr>
            <w:tcW w:w="4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Parking Rate</w:t>
            </w:r>
          </w:p>
        </w:tc>
        <w:tc>
          <w:tcPr>
            <w:tcW w:w="4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Parking Rate Floor</w:t>
            </w:r>
          </w:p>
        </w:tc>
        <w:tc>
          <w:tcPr>
            <w:tcW w:w="4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Patriot Act</w:t>
            </w:r>
          </w:p>
        </w:tc>
        <w:tc>
          <w:tcPr>
            <w:tcW w:w="4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Payment Notice</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Percentage</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Permits</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Permitted Capital Expenditures</w:t>
            </w:r>
          </w:p>
        </w:tc>
        <w:tc>
          <w:tcPr>
            <w:tcW w:w="4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Permitted Transferee</w:t>
            </w:r>
          </w:p>
        </w:tc>
        <w:tc>
          <w:tcPr>
            <w:tcW w:w="4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Permitted Transferee Assignee</w:t>
            </w:r>
          </w:p>
        </w:tc>
        <w:tc>
          <w:tcPr>
            <w:tcW w:w="4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 Designation Notice</w:t>
            </w:r>
          </w:p>
        </w:tc>
        <w:tc>
          <w:tcPr>
            <w:tcW w:w="4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 I Lease Commencement Date</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 I Premises</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 II Lease Commencement Date</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 II Premises</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 III Lease Commencement Date</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Phase III Premises</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Premises</w:t>
            </w:r>
          </w:p>
        </w:tc>
        <w:tc>
          <w:tcPr>
            <w:tcW w:w="4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Prohibited Persons</w:t>
            </w:r>
          </w:p>
        </w:tc>
        <w:tc>
          <w:tcPr>
            <w:tcW w:w="4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Project</w:t>
            </w:r>
          </w:p>
        </w:tc>
        <w:tc>
          <w:tcPr>
            <w:tcW w:w="4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Project Common Areas,</w:t>
            </w:r>
          </w:p>
        </w:tc>
        <w:tc>
          <w:tcPr>
            <w:tcW w:w="4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Project Labor Agreement</w:t>
            </w:r>
          </w:p>
        </w:tc>
        <w:tc>
          <w:tcPr>
            <w:tcW w:w="46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Project Parking Use</w:t>
            </w:r>
          </w:p>
        </w:tc>
        <w:tc>
          <w:tcPr>
            <w:tcW w:w="46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Proposition 13</w:t>
            </w:r>
          </w:p>
        </w:tc>
        <w:tc>
          <w:tcPr>
            <w:tcW w:w="4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Provider</w:t>
            </w:r>
          </w:p>
        </w:tc>
        <w:tc>
          <w:tcPr>
            <w:tcW w:w="4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Public Parking Use</w:t>
            </w:r>
          </w:p>
        </w:tc>
        <w:tc>
          <w:tcPr>
            <w:tcW w:w="4660" w:type="dxa"/>
            <w:vAlign w:val="bottom"/>
          </w:tcPr>
          <w:p>
            <w:pPr>
              <w:jc w:val="right"/>
              <w:spacing w:after="0"/>
              <w:rPr>
                <w:sz w:val="20"/>
                <w:szCs w:val="20"/>
                <w:color w:val="auto"/>
              </w:rPr>
            </w:pPr>
            <w:r>
              <w:rPr>
                <w:rFonts w:ascii="Arial" w:cs="Arial" w:eastAsia="Arial" w:hAnsi="Arial"/>
                <w:sz w:val="18"/>
                <w:szCs w:val="18"/>
                <w:color w:val="auto"/>
              </w:rPr>
              <w:t>81</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9" w:name="page250"/>
    <w:bookmarkEnd w:id="249"/>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Public School CFD</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Rebuttals</w:t>
            </w:r>
          </w:p>
        </w:tc>
        <w:tc>
          <w:tcPr>
            <w:tcW w:w="4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Receivership</w:t>
            </w:r>
          </w:p>
        </w:tc>
        <w:tc>
          <w:tcPr>
            <w:tcW w:w="4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Record Set</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Redevelopment Agency</w:t>
            </w:r>
          </w:p>
        </w:tc>
        <w:tc>
          <w:tcPr>
            <w:tcW w:w="4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Redevelopment Plan</w:t>
            </w:r>
          </w:p>
        </w:tc>
        <w:tc>
          <w:tcPr>
            <w:tcW w:w="4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Reduction Date</w:t>
            </w:r>
          </w:p>
        </w:tc>
        <w:tc>
          <w:tcPr>
            <w:tcW w:w="4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Reduction Right</w:t>
            </w:r>
          </w:p>
        </w:tc>
        <w:tc>
          <w:tcPr>
            <w:tcW w:w="4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Refusal Notice</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REIT</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Relet Term</w:t>
            </w:r>
          </w:p>
        </w:tc>
        <w:tc>
          <w:tcPr>
            <w:tcW w:w="44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Renewal Premises</w:t>
            </w:r>
          </w:p>
        </w:tc>
        <w:tc>
          <w:tcPr>
            <w:tcW w:w="4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Renovations</w:t>
            </w:r>
          </w:p>
        </w:tc>
        <w:tc>
          <w:tcPr>
            <w:tcW w:w="4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Rent</w:t>
            </w:r>
          </w:p>
        </w:tc>
        <w:tc>
          <w:tcPr>
            <w:tcW w:w="4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Retail Space</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Review Period</w:t>
            </w:r>
          </w:p>
        </w:tc>
        <w:tc>
          <w:tcPr>
            <w:tcW w:w="4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RMP</w:t>
            </w:r>
          </w:p>
        </w:tc>
        <w:tc>
          <w:tcPr>
            <w:tcW w:w="4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Roof Deck</w:t>
            </w:r>
          </w:p>
        </w:tc>
        <w:tc>
          <w:tcPr>
            <w:tcW w:w="4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Roof Deck Users</w:t>
            </w:r>
          </w:p>
        </w:tc>
        <w:tc>
          <w:tcPr>
            <w:tcW w:w="44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Rules and Regulations</w:t>
            </w:r>
          </w:p>
        </w:tc>
        <w:tc>
          <w:tcPr>
            <w:tcW w:w="4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Ruling</w:t>
            </w:r>
          </w:p>
        </w:tc>
        <w:tc>
          <w:tcPr>
            <w:tcW w:w="4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Secured Areas</w:t>
            </w:r>
          </w:p>
        </w:tc>
        <w:tc>
          <w:tcPr>
            <w:tcW w:w="44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Security Deposit</w:t>
            </w:r>
          </w:p>
        </w:tc>
        <w:tc>
          <w:tcPr>
            <w:tcW w:w="4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Security Deposit Bank</w:t>
            </w:r>
          </w:p>
        </w:tc>
        <w:tc>
          <w:tcPr>
            <w:tcW w:w="4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Security Deposit Laws</w:t>
            </w:r>
          </w:p>
        </w:tc>
        <w:tc>
          <w:tcPr>
            <w:tcW w:w="4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Security Personnel</w:t>
            </w:r>
          </w:p>
        </w:tc>
        <w:tc>
          <w:tcPr>
            <w:tcW w:w="4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Sensor Areas</w:t>
            </w:r>
          </w:p>
        </w:tc>
        <w:tc>
          <w:tcPr>
            <w:tcW w:w="4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Separate Schedules of Value Alternative</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Shaft Work</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Shuttle Service</w:t>
            </w:r>
          </w:p>
        </w:tc>
        <w:tc>
          <w:tcPr>
            <w:tcW w:w="44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Shuttle Service Hours</w:t>
            </w:r>
          </w:p>
        </w:tc>
        <w:tc>
          <w:tcPr>
            <w:tcW w:w="44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Shuttle Service Riders</w:t>
            </w:r>
          </w:p>
        </w:tc>
        <w:tc>
          <w:tcPr>
            <w:tcW w:w="44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Six Month Period</w:t>
            </w:r>
          </w:p>
        </w:tc>
        <w:tc>
          <w:tcPr>
            <w:tcW w:w="4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SNDA</w:t>
            </w:r>
          </w:p>
        </w:tc>
        <w:tc>
          <w:tcPr>
            <w:tcW w:w="4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South Building</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South Complex</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South Lobby</w:t>
            </w:r>
          </w:p>
        </w:tc>
        <w:tc>
          <w:tcPr>
            <w:tcW w:w="4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South Tower</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Specialty Alterations</w:t>
            </w:r>
          </w:p>
        </w:tc>
        <w:tc>
          <w:tcPr>
            <w:tcW w:w="4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Stairwell</w:t>
            </w:r>
          </w:p>
        </w:tc>
        <w:tc>
          <w:tcPr>
            <w:tcW w:w="4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Statement</w:t>
            </w:r>
          </w:p>
        </w:tc>
        <w:tc>
          <w:tcPr>
            <w:tcW w:w="4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Subject Space</w:t>
            </w:r>
          </w:p>
        </w:tc>
        <w:tc>
          <w:tcPr>
            <w:tcW w:w="4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Subleased Parking Passes</w:t>
            </w:r>
          </w:p>
        </w:tc>
        <w:tc>
          <w:tcPr>
            <w:tcW w:w="4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Submetering Equipment</w:t>
            </w:r>
          </w:p>
        </w:tc>
        <w:tc>
          <w:tcPr>
            <w:tcW w:w="4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Substantial Completion of the Improvements</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Successor Project Labor Agreement</w:t>
            </w:r>
          </w:p>
        </w:tc>
        <w:tc>
          <w:tcPr>
            <w:tcW w:w="440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0" w:name="page251"/>
    <w:bookmarkEnd w:id="250"/>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Summary</w:t>
            </w:r>
          </w:p>
        </w:tc>
        <w:tc>
          <w:tcPr>
            <w:tcW w:w="41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Superior Holders</w:t>
            </w:r>
          </w:p>
        </w:tc>
        <w:tc>
          <w:tcPr>
            <w:tcW w:w="4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Tax Exempt Entity</w:t>
            </w:r>
          </w:p>
        </w:tc>
        <w:tc>
          <w:tcPr>
            <w:tcW w:w="4160" w:type="dxa"/>
            <w:vAlign w:val="bottom"/>
          </w:tcPr>
          <w:p>
            <w:pPr>
              <w:jc w:val="right"/>
              <w:spacing w:after="0"/>
              <w:rPr>
                <w:sz w:val="20"/>
                <w:szCs w:val="20"/>
                <w:color w:val="auto"/>
              </w:rPr>
            </w:pPr>
            <w:r>
              <w:rPr>
                <w:rFonts w:ascii="Arial" w:cs="Arial" w:eastAsia="Arial" w:hAnsi="Arial"/>
                <w:sz w:val="18"/>
                <w:szCs w:val="18"/>
                <w:i w:val="1"/>
                <w:iCs w:val="1"/>
                <w:color w:val="auto"/>
              </w:rPr>
              <w:t>Exhibit F</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Tax Expenses</w:t>
            </w:r>
          </w:p>
        </w:tc>
        <w:tc>
          <w:tcPr>
            <w:tcW w:w="4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w:t>
            </w:r>
          </w:p>
        </w:tc>
        <w:tc>
          <w:tcPr>
            <w:tcW w:w="4160" w:type="dxa"/>
            <w:vAlign w:val="bottom"/>
          </w:tcPr>
          <w:p>
            <w:pPr>
              <w:jc w:val="right"/>
              <w:spacing w:after="0"/>
              <w:rPr>
                <w:sz w:val="20"/>
                <w:szCs w:val="20"/>
                <w:color w:val="auto"/>
              </w:rPr>
            </w:pPr>
            <w:r>
              <w:rPr>
                <w:rFonts w:ascii="Arial" w:cs="Arial" w:eastAsia="Arial" w:hAnsi="Arial"/>
                <w:sz w:val="18"/>
                <w:szCs w:val="18"/>
                <w:i w:val="1"/>
                <w:iCs w:val="1"/>
                <w:color w:val="auto"/>
              </w:rPr>
              <w:t>Summary</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 Base Rent Abatement Acceleration Election</w:t>
            </w:r>
          </w:p>
        </w:tc>
        <w:tc>
          <w:tcPr>
            <w:tcW w:w="4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 Bicycle Storage Area</w:t>
            </w:r>
          </w:p>
        </w:tc>
        <w:tc>
          <w:tcPr>
            <w:tcW w:w="4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 Change</w:t>
            </w:r>
          </w:p>
        </w:tc>
        <w:tc>
          <w:tcPr>
            <w:tcW w:w="41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 Delay</w:t>
            </w:r>
          </w:p>
        </w:tc>
        <w:tc>
          <w:tcPr>
            <w:tcW w:w="41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 Deliverables</w:t>
            </w:r>
          </w:p>
        </w:tc>
        <w:tc>
          <w:tcPr>
            <w:tcW w:w="41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 Energy Use Disclosure</w:t>
            </w:r>
          </w:p>
        </w:tc>
        <w:tc>
          <w:tcPr>
            <w:tcW w:w="4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 Parties</w:t>
            </w:r>
          </w:p>
        </w:tc>
        <w:tc>
          <w:tcPr>
            <w:tcW w:w="4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Tenant-Exempt Tax Expenses</w:t>
            </w:r>
          </w:p>
        </w:tc>
        <w:tc>
          <w:tcPr>
            <w:tcW w:w="4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Agents</w:t>
            </w:r>
          </w:p>
        </w:tc>
        <w:tc>
          <w:tcPr>
            <w:tcW w:w="4160" w:type="dxa"/>
            <w:vAlign w:val="bottom"/>
          </w:tcPr>
          <w:p>
            <w:pPr>
              <w:jc w:val="right"/>
              <w:spacing w:after="0"/>
              <w:rPr>
                <w:sz w:val="20"/>
                <w:szCs w:val="20"/>
                <w:color w:val="auto"/>
              </w:rPr>
            </w:pPr>
            <w:r>
              <w:rPr>
                <w:rFonts w:ascii="Arial" w:cs="Arial" w:eastAsia="Arial" w:hAnsi="Arial"/>
                <w:sz w:val="18"/>
                <w:szCs w:val="18"/>
                <w:i w:val="1"/>
                <w:iCs w:val="1"/>
                <w:color w:val="auto"/>
              </w:rPr>
              <w:t>Exhibit B</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Availability Interest Notice</w:t>
            </w:r>
          </w:p>
        </w:tc>
        <w:tc>
          <w:tcPr>
            <w:tcW w:w="4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Initial Statement</w:t>
            </w:r>
          </w:p>
        </w:tc>
        <w:tc>
          <w:tcPr>
            <w:tcW w:w="4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Interest Notice</w:t>
            </w:r>
          </w:p>
        </w:tc>
        <w:tc>
          <w:tcPr>
            <w:tcW w:w="4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Off-Premises Equipment</w:t>
            </w:r>
          </w:p>
        </w:tc>
        <w:tc>
          <w:tcPr>
            <w:tcW w:w="4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Property</w:t>
            </w:r>
          </w:p>
        </w:tc>
        <w:tc>
          <w:tcPr>
            <w:tcW w:w="4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Rebuttal Statement</w:t>
            </w:r>
          </w:p>
        </w:tc>
        <w:tc>
          <w:tcPr>
            <w:tcW w:w="4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Security Personnel</w:t>
            </w:r>
          </w:p>
        </w:tc>
        <w:tc>
          <w:tcPr>
            <w:tcW w:w="4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Security System</w:t>
            </w:r>
          </w:p>
        </w:tc>
        <w:tc>
          <w:tcPr>
            <w:tcW w:w="4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Tenant’s Share</w:t>
            </w:r>
          </w:p>
        </w:tc>
        <w:tc>
          <w:tcPr>
            <w:tcW w:w="4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Third Party Contractor</w:t>
            </w:r>
          </w:p>
        </w:tc>
        <w:tc>
          <w:tcPr>
            <w:tcW w:w="4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Third Party Operator</w:t>
            </w:r>
          </w:p>
        </w:tc>
        <w:tc>
          <w:tcPr>
            <w:tcW w:w="4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Total Liquidity</w:t>
            </w:r>
          </w:p>
        </w:tc>
        <w:tc>
          <w:tcPr>
            <w:tcW w:w="4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Transfer</w:t>
            </w:r>
          </w:p>
        </w:tc>
        <w:tc>
          <w:tcPr>
            <w:tcW w:w="4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Transfer Notice</w:t>
            </w:r>
          </w:p>
        </w:tc>
        <w:tc>
          <w:tcPr>
            <w:tcW w:w="4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Transfer Premium</w:t>
            </w:r>
          </w:p>
        </w:tc>
        <w:tc>
          <w:tcPr>
            <w:tcW w:w="4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Transferee</w:t>
            </w:r>
          </w:p>
        </w:tc>
        <w:tc>
          <w:tcPr>
            <w:tcW w:w="4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Transfers</w:t>
            </w:r>
          </w:p>
        </w:tc>
        <w:tc>
          <w:tcPr>
            <w:tcW w:w="4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Underlying Documents</w:t>
            </w:r>
          </w:p>
        </w:tc>
        <w:tc>
          <w:tcPr>
            <w:tcW w:w="4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Unused L-C Proceeds</w:t>
            </w:r>
          </w:p>
        </w:tc>
        <w:tc>
          <w:tcPr>
            <w:tcW w:w="4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Water Sensors</w:t>
            </w:r>
          </w:p>
        </w:tc>
        <w:tc>
          <w:tcPr>
            <w:tcW w:w="4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Web-Enabled Water Sensors</w:t>
            </w:r>
          </w:p>
        </w:tc>
        <w:tc>
          <w:tcPr>
            <w:tcW w:w="4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Work Letter</w:t>
            </w:r>
          </w:p>
        </w:tc>
        <w:tc>
          <w:tcPr>
            <w:tcW w:w="416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1" w:name="page252"/>
    <w:bookmarkEnd w:id="25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EXCHANGE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25"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This Office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as of the date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Summary of Basic Lease Information (the “</w:t>
      </w:r>
      <w:r>
        <w:rPr>
          <w:rFonts w:ascii="Arial" w:cs="Arial" w:eastAsia="Arial" w:hAnsi="Arial"/>
          <w:sz w:val="18"/>
          <w:szCs w:val="18"/>
          <w:b w:val="1"/>
          <w:bCs w:val="1"/>
          <w:color w:val="auto"/>
        </w:rPr>
        <w:t>Summary</w:t>
      </w:r>
      <w:r>
        <w:rPr>
          <w:rFonts w:ascii="Arial" w:cs="Arial" w:eastAsia="Arial" w:hAnsi="Arial"/>
          <w:sz w:val="18"/>
          <w:szCs w:val="18"/>
          <w:color w:val="auto"/>
        </w:rPr>
        <w:t>”), below, is made by and between KR MISSION BAY,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DROPBOX,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SUMMARY OF BASIC LEASE INFORMATION</w:t>
      </w:r>
    </w:p>
    <w:p>
      <w:pPr>
        <w:sectPr>
          <w:pgSz w:w="11900" w:h="16838" w:orient="portrait"/>
          <w:cols w:equalWidth="0" w:num="1">
            <w:col w:w="11400"/>
          </w:cols>
          <w:pgMar w:left="240" w:top="270" w:right="25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TERMS OF LEASE</w:t>
      </w:r>
    </w:p>
    <w:p>
      <w:pPr>
        <w:spacing w:after="0" w:line="8" w:lineRule="exact"/>
        <w:rPr>
          <w:sz w:val="20"/>
          <w:szCs w:val="20"/>
          <w:color w:val="auto"/>
        </w:rPr>
      </w:pPr>
    </w:p>
    <w:p>
      <w:pPr>
        <w:ind w:left="360" w:hanging="352"/>
        <w:spacing w:after="0"/>
        <w:tabs>
          <w:tab w:leader="none" w:pos="3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Date:</w:t>
      </w:r>
    </w:p>
    <w:p>
      <w:pPr>
        <w:spacing w:after="0" w:line="7" w:lineRule="exact"/>
        <w:rPr>
          <w:rFonts w:ascii="Arial" w:cs="Arial" w:eastAsia="Arial" w:hAnsi="Arial"/>
          <w:sz w:val="18"/>
          <w:szCs w:val="18"/>
          <w:color w:val="auto"/>
        </w:rPr>
      </w:pPr>
    </w:p>
    <w:p>
      <w:pPr>
        <w:ind w:left="360" w:hanging="352"/>
        <w:spacing w:after="0"/>
        <w:tabs>
          <w:tab w:leader="none" w:pos="3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Buildings; Premises (</w:t>
      </w:r>
      <w:r>
        <w:rPr>
          <w:rFonts w:ascii="Arial" w:cs="Arial" w:eastAsia="Arial" w:hAnsi="Arial"/>
          <w:sz w:val="16"/>
          <w:szCs w:val="16"/>
          <w:u w:val="single" w:color="auto"/>
          <w:color w:val="auto"/>
        </w:rPr>
        <w:t>Article 1</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2.1  Buildings: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12700</wp:posOffset>
            </wp:positionV>
            <wp:extent cx="34048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October 6, 2017.</w:t>
      </w:r>
    </w:p>
    <w:p>
      <w:pPr>
        <w:spacing w:after="0" w:line="3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Each of the following is a “</w:t>
      </w:r>
      <w:r>
        <w:rPr>
          <w:rFonts w:ascii="Arial" w:cs="Arial" w:eastAsia="Arial" w:hAnsi="Arial"/>
          <w:sz w:val="18"/>
          <w:szCs w:val="18"/>
          <w:b w:val="1"/>
          <w:bCs w:val="1"/>
          <w:color w:val="auto"/>
        </w:rPr>
        <w:t>Building</w:t>
      </w:r>
      <w:r>
        <w:rPr>
          <w:rFonts w:ascii="Arial" w:cs="Arial" w:eastAsia="Arial" w:hAnsi="Arial"/>
          <w:sz w:val="18"/>
          <w:szCs w:val="18"/>
          <w:color w:val="auto"/>
        </w:rPr>
        <w:t>” and are, collectively, the</w:t>
      </w:r>
    </w:p>
    <w:p>
      <w:pPr>
        <w:spacing w:after="0" w:line="27" w:lineRule="exact"/>
        <w:rPr>
          <w:sz w:val="20"/>
          <w:szCs w:val="20"/>
          <w:color w:val="auto"/>
        </w:rPr>
      </w:pPr>
    </w:p>
    <w:p>
      <w:pPr>
        <w:ind w:left="400" w:right="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Buildings</w:t>
      </w:r>
      <w:r>
        <w:rPr>
          <w:rFonts w:ascii="Arial" w:cs="Arial" w:eastAsia="Arial" w:hAnsi="Arial"/>
          <w:sz w:val="16"/>
          <w:szCs w:val="16"/>
          <w:color w:val="auto"/>
        </w:rPr>
        <w:t>”: (i) , that certain twelve (12)-story building (the “</w:t>
      </w:r>
      <w:r>
        <w:rPr>
          <w:rFonts w:ascii="Arial" w:cs="Arial" w:eastAsia="Arial" w:hAnsi="Arial"/>
          <w:sz w:val="16"/>
          <w:szCs w:val="16"/>
          <w:b w:val="1"/>
          <w:bCs w:val="1"/>
          <w:color w:val="auto"/>
        </w:rPr>
        <w:t>North</w:t>
      </w:r>
      <w:r>
        <w:rPr>
          <w:rFonts w:ascii="Arial" w:cs="Arial" w:eastAsia="Arial" w:hAnsi="Arial"/>
          <w:sz w:val="16"/>
          <w:szCs w:val="16"/>
          <w:color w:val="auto"/>
        </w:rPr>
        <w:t xml:space="preserve"> </w:t>
      </w:r>
      <w:r>
        <w:rPr>
          <w:rFonts w:ascii="Arial" w:cs="Arial" w:eastAsia="Arial" w:hAnsi="Arial"/>
          <w:sz w:val="16"/>
          <w:szCs w:val="16"/>
          <w:b w:val="1"/>
          <w:bCs w:val="1"/>
          <w:color w:val="auto"/>
        </w:rPr>
        <w:t>Tower</w:t>
      </w:r>
      <w:r>
        <w:rPr>
          <w:rFonts w:ascii="Arial" w:cs="Arial" w:eastAsia="Arial" w:hAnsi="Arial"/>
          <w:sz w:val="16"/>
          <w:szCs w:val="16"/>
          <w:color w:val="auto"/>
        </w:rPr>
        <w:t>”) to be located at 1800 Owens, Sector 1, San Francisco, California</w:t>
      </w:r>
      <w:r>
        <w:rPr>
          <w:rFonts w:ascii="Arial" w:cs="Arial" w:eastAsia="Arial" w:hAnsi="Arial"/>
          <w:sz w:val="16"/>
          <w:szCs w:val="16"/>
          <w:b w:val="1"/>
          <w:bCs w:val="1"/>
          <w:color w:val="auto"/>
        </w:rPr>
        <w:t xml:space="preserve"> </w:t>
      </w:r>
      <w:r>
        <w:rPr>
          <w:rFonts w:ascii="Arial" w:cs="Arial" w:eastAsia="Arial" w:hAnsi="Arial"/>
          <w:sz w:val="16"/>
          <w:szCs w:val="16"/>
          <w:color w:val="auto"/>
        </w:rPr>
        <w:t>94158, containing 299,255 rentable square feet, (ii) that certain six (6)-story building (the “</w:t>
      </w:r>
      <w:r>
        <w:rPr>
          <w:rFonts w:ascii="Arial" w:cs="Arial" w:eastAsia="Arial" w:hAnsi="Arial"/>
          <w:sz w:val="16"/>
          <w:szCs w:val="16"/>
          <w:b w:val="1"/>
          <w:bCs w:val="1"/>
          <w:color w:val="auto"/>
        </w:rPr>
        <w:t>North Building</w:t>
      </w:r>
      <w:r>
        <w:rPr>
          <w:rFonts w:ascii="Arial" w:cs="Arial" w:eastAsia="Arial" w:hAnsi="Arial"/>
          <w:sz w:val="16"/>
          <w:szCs w:val="16"/>
          <w:color w:val="auto"/>
        </w:rPr>
        <w:t>”) to be located at 1800 Owens, Sector 2, San Francisco, California 94158, containing 125,200 rentable square feet, (iii) that certain twelve (12)-story building (the “</w:t>
      </w:r>
      <w:r>
        <w:rPr>
          <w:rFonts w:ascii="Arial" w:cs="Arial" w:eastAsia="Arial" w:hAnsi="Arial"/>
          <w:sz w:val="16"/>
          <w:szCs w:val="16"/>
          <w:b w:val="1"/>
          <w:bCs w:val="1"/>
          <w:color w:val="auto"/>
        </w:rPr>
        <w:t>South</w:t>
      </w:r>
      <w:r>
        <w:rPr>
          <w:rFonts w:ascii="Arial" w:cs="Arial" w:eastAsia="Arial" w:hAnsi="Arial"/>
          <w:sz w:val="16"/>
          <w:szCs w:val="16"/>
          <w:color w:val="auto"/>
        </w:rPr>
        <w:t xml:space="preserve"> </w:t>
      </w:r>
      <w:r>
        <w:rPr>
          <w:rFonts w:ascii="Arial" w:cs="Arial" w:eastAsia="Arial" w:hAnsi="Arial"/>
          <w:sz w:val="16"/>
          <w:szCs w:val="16"/>
          <w:b w:val="1"/>
          <w:bCs w:val="1"/>
          <w:color w:val="auto"/>
        </w:rPr>
        <w:t>Tower</w:t>
      </w:r>
      <w:r>
        <w:rPr>
          <w:rFonts w:ascii="Arial" w:cs="Arial" w:eastAsia="Arial" w:hAnsi="Arial"/>
          <w:sz w:val="16"/>
          <w:szCs w:val="16"/>
          <w:color w:val="auto"/>
        </w:rPr>
        <w:t>”) to be located at 1800 Owens, Sector 3, San Francisco, California</w:t>
      </w:r>
      <w:r>
        <w:rPr>
          <w:rFonts w:ascii="Arial" w:cs="Arial" w:eastAsia="Arial" w:hAnsi="Arial"/>
          <w:sz w:val="16"/>
          <w:szCs w:val="16"/>
          <w:b w:val="1"/>
          <w:bCs w:val="1"/>
          <w:color w:val="auto"/>
        </w:rPr>
        <w:t xml:space="preserve"> </w:t>
      </w:r>
      <w:r>
        <w:rPr>
          <w:rFonts w:ascii="Arial" w:cs="Arial" w:eastAsia="Arial" w:hAnsi="Arial"/>
          <w:sz w:val="16"/>
          <w:szCs w:val="16"/>
          <w:color w:val="auto"/>
        </w:rPr>
        <w:t>94158, containing 259,551 rentable square feet, and (iv) that certain six</w:t>
      </w:r>
    </w:p>
    <w:p>
      <w:pPr>
        <w:spacing w:after="0" w:line="5" w:lineRule="exact"/>
        <w:rPr>
          <w:sz w:val="20"/>
          <w:szCs w:val="20"/>
          <w:color w:val="auto"/>
        </w:rPr>
      </w:pPr>
    </w:p>
    <w:p>
      <w:pPr>
        <w:ind w:left="400"/>
        <w:spacing w:after="0" w:line="287" w:lineRule="auto"/>
        <w:rPr>
          <w:sz w:val="20"/>
          <w:szCs w:val="20"/>
          <w:color w:val="auto"/>
        </w:rPr>
      </w:pPr>
      <w:r>
        <w:rPr>
          <w:rFonts w:ascii="Arial" w:cs="Arial" w:eastAsia="Arial" w:hAnsi="Arial"/>
          <w:sz w:val="16"/>
          <w:szCs w:val="16"/>
          <w:color w:val="auto"/>
        </w:rPr>
        <w:t>(6)-story building (the “</w:t>
      </w:r>
      <w:r>
        <w:rPr>
          <w:rFonts w:ascii="Arial" w:cs="Arial" w:eastAsia="Arial" w:hAnsi="Arial"/>
          <w:sz w:val="16"/>
          <w:szCs w:val="16"/>
          <w:b w:val="1"/>
          <w:bCs w:val="1"/>
          <w:color w:val="auto"/>
        </w:rPr>
        <w:t>South Building</w:t>
      </w:r>
      <w:r>
        <w:rPr>
          <w:rFonts w:ascii="Arial" w:cs="Arial" w:eastAsia="Arial" w:hAnsi="Arial"/>
          <w:sz w:val="16"/>
          <w:szCs w:val="16"/>
          <w:color w:val="auto"/>
        </w:rPr>
        <w:t>”) to be located at 1800 Owens, Sector 4, San Francisco, California 94158, containing 66,365 rentable square feet. The North Tower and the North Building are collectively, the “</w:t>
      </w:r>
      <w:r>
        <w:rPr>
          <w:rFonts w:ascii="Arial" w:cs="Arial" w:eastAsia="Arial" w:hAnsi="Arial"/>
          <w:sz w:val="16"/>
          <w:szCs w:val="16"/>
          <w:b w:val="1"/>
          <w:bCs w:val="1"/>
          <w:color w:val="auto"/>
        </w:rPr>
        <w:t>North Complex</w:t>
      </w:r>
      <w:r>
        <w:rPr>
          <w:rFonts w:ascii="Arial" w:cs="Arial" w:eastAsia="Arial" w:hAnsi="Arial"/>
          <w:sz w:val="16"/>
          <w:szCs w:val="16"/>
          <w:color w:val="auto"/>
        </w:rPr>
        <w:t>”, containing a total of 424,455 rentable square feet. The South Tower and the South Building are collectively, the “</w:t>
      </w:r>
      <w:r>
        <w:rPr>
          <w:rFonts w:ascii="Arial" w:cs="Arial" w:eastAsia="Arial" w:hAnsi="Arial"/>
          <w:sz w:val="16"/>
          <w:szCs w:val="16"/>
          <w:b w:val="1"/>
          <w:bCs w:val="1"/>
          <w:color w:val="auto"/>
        </w:rPr>
        <w:t>South</w:t>
      </w:r>
      <w:r>
        <w:rPr>
          <w:rFonts w:ascii="Arial" w:cs="Arial" w:eastAsia="Arial" w:hAnsi="Arial"/>
          <w:sz w:val="16"/>
          <w:szCs w:val="16"/>
          <w:color w:val="auto"/>
        </w:rPr>
        <w:t xml:space="preserve"> </w:t>
      </w:r>
      <w:r>
        <w:rPr>
          <w:rFonts w:ascii="Arial" w:cs="Arial" w:eastAsia="Arial" w:hAnsi="Arial"/>
          <w:sz w:val="16"/>
          <w:szCs w:val="16"/>
          <w:b w:val="1"/>
          <w:bCs w:val="1"/>
          <w:color w:val="auto"/>
        </w:rPr>
        <w:t>Complex</w:t>
      </w:r>
      <w:r>
        <w:rPr>
          <w:rFonts w:ascii="Arial" w:cs="Arial" w:eastAsia="Arial" w:hAnsi="Arial"/>
          <w:sz w:val="16"/>
          <w:szCs w:val="16"/>
          <w:color w:val="auto"/>
        </w:rPr>
        <w:t>”, containing a total of 325,916 rentable square feet. The North</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and South Complex are each referred to herein as a “</w:t>
      </w:r>
      <w:r>
        <w:rPr>
          <w:rFonts w:ascii="Arial" w:cs="Arial" w:eastAsia="Arial" w:hAnsi="Arial"/>
          <w:sz w:val="16"/>
          <w:szCs w:val="16"/>
          <w:b w:val="1"/>
          <w:bCs w:val="1"/>
          <w:color w:val="auto"/>
        </w:rPr>
        <w:t>Complex</w:t>
      </w:r>
      <w:r>
        <w:rPr>
          <w:rFonts w:ascii="Arial" w:cs="Arial" w:eastAsia="Arial" w:hAnsi="Arial"/>
          <w:sz w:val="16"/>
          <w:szCs w:val="16"/>
          <w:color w:val="auto"/>
        </w:rPr>
        <w:t>”. The Project contains a total of 750,370 rentable square feet.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4940" w:space="720"/>
            <w:col w:w="5740"/>
          </w:cols>
          <w:pgMar w:left="240" w:top="270" w:right="259" w:bottom="1440" w:gutter="0" w:footer="0" w:header="0"/>
          <w:type w:val="continuous"/>
        </w:sectPr>
      </w:pPr>
    </w:p>
    <w:bookmarkStart w:id="252" w:name="page253"/>
    <w:bookmarkEnd w:id="252"/>
    <w:tbl>
      <w:tblPr>
        <w:tblLayout w:type="fixed"/>
        <w:tblInd w:w="352" w:type="dxa"/>
        <w:tblCellMar>
          <w:top w:w="0" w:type="dxa"/>
          <w:left w:w="0" w:type="dxa"/>
          <w:bottom w:w="0" w:type="dxa"/>
          <w:right w:w="0" w:type="dxa"/>
        </w:tblCellMar>
      </w:tblPr>
      <w:tr>
        <w:trPr>
          <w:trHeight w:val="212"/>
        </w:trPr>
        <w:tc>
          <w:tcPr>
            <w:tcW w:w="5700" w:type="dxa"/>
            <w:vAlign w:val="bottom"/>
          </w:tcPr>
          <w:p>
            <w:pPr>
              <w:spacing w:after="0"/>
              <w:rPr>
                <w:sz w:val="20"/>
                <w:szCs w:val="20"/>
                <w:color w:val="auto"/>
              </w:rPr>
            </w:pPr>
            <w:r>
              <w:rPr>
                <w:rFonts w:ascii="Arial" w:cs="Arial" w:eastAsia="Arial" w:hAnsi="Arial"/>
                <w:sz w:val="18"/>
                <w:szCs w:val="18"/>
                <w:color w:val="auto"/>
              </w:rPr>
              <w:t>2.2  Premises:</w:t>
            </w:r>
          </w:p>
        </w:tc>
        <w:tc>
          <w:tcPr>
            <w:tcW w:w="5340" w:type="dxa"/>
            <w:vAlign w:val="bottom"/>
            <w:gridSpan w:val="6"/>
          </w:tcPr>
          <w:p>
            <w:pPr>
              <w:spacing w:after="0"/>
              <w:rPr>
                <w:sz w:val="20"/>
                <w:szCs w:val="20"/>
                <w:color w:val="auto"/>
              </w:rPr>
            </w:pPr>
            <w:r>
              <w:rPr>
                <w:rFonts w:ascii="Arial" w:cs="Arial" w:eastAsia="Arial" w:hAnsi="Arial"/>
                <w:sz w:val="18"/>
                <w:szCs w:val="18"/>
                <w:color w:val="auto"/>
                <w:w w:val="90"/>
              </w:rPr>
              <w:t>735,700 rentable square feet of space, consisting of all of the office space</w:t>
            </w:r>
          </w:p>
        </w:tc>
      </w:tr>
      <w:tr>
        <w:trPr>
          <w:trHeight w:val="194"/>
        </w:trPr>
        <w:tc>
          <w:tcPr>
            <w:tcW w:w="5700" w:type="dxa"/>
            <w:vAlign w:val="bottom"/>
          </w:tcPr>
          <w:p>
            <w:pPr>
              <w:spacing w:after="0"/>
              <w:rPr>
                <w:sz w:val="16"/>
                <w:szCs w:val="16"/>
                <w:color w:val="auto"/>
              </w:rPr>
            </w:pPr>
          </w:p>
        </w:tc>
        <w:tc>
          <w:tcPr>
            <w:tcW w:w="5340" w:type="dxa"/>
            <w:vAlign w:val="bottom"/>
            <w:gridSpan w:val="6"/>
          </w:tcPr>
          <w:p>
            <w:pPr>
              <w:spacing w:after="0" w:line="194" w:lineRule="exact"/>
              <w:rPr>
                <w:sz w:val="20"/>
                <w:szCs w:val="20"/>
                <w:color w:val="auto"/>
              </w:rPr>
            </w:pPr>
            <w:r>
              <w:rPr>
                <w:rFonts w:ascii="Arial" w:cs="Arial" w:eastAsia="Arial" w:hAnsi="Arial"/>
                <w:sz w:val="18"/>
                <w:szCs w:val="18"/>
                <w:color w:val="auto"/>
              </w:rPr>
              <w:t xml:space="preserve">in the Project, as further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this Lease, and</w:t>
            </w: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2"/>
        </w:trPr>
        <w:tc>
          <w:tcPr>
            <w:tcW w:w="5700" w:type="dxa"/>
            <w:vAlign w:val="bottom"/>
          </w:tcPr>
          <w:p>
            <w:pPr>
              <w:spacing w:after="0"/>
              <w:rPr>
                <w:sz w:val="19"/>
                <w:szCs w:val="19"/>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6"/>
              </w:rPr>
              <w:t>expressly excluding the approximately 14,670 rentable square feet of</w:t>
            </w:r>
          </w:p>
        </w:tc>
      </w:tr>
      <w:tr>
        <w:trPr>
          <w:trHeight w:val="216"/>
        </w:trPr>
        <w:tc>
          <w:tcPr>
            <w:tcW w:w="570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9"/>
              </w:rPr>
              <w:t>retail spaces on the ground floor of the North Complex, with 12,289</w:t>
            </w:r>
          </w:p>
        </w:tc>
      </w:tr>
      <w:tr>
        <w:trPr>
          <w:trHeight w:val="212"/>
        </w:trPr>
        <w:tc>
          <w:tcPr>
            <w:tcW w:w="570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1"/>
              </w:rPr>
              <w:t>rentable square feet in the North Tower and 2,381 rentable square feet in</w:t>
            </w:r>
          </w:p>
        </w:tc>
      </w:tr>
      <w:tr>
        <w:trPr>
          <w:trHeight w:val="220"/>
        </w:trPr>
        <w:tc>
          <w:tcPr>
            <w:tcW w:w="5700" w:type="dxa"/>
            <w:vAlign w:val="bottom"/>
          </w:tcPr>
          <w:p>
            <w:pPr>
              <w:spacing w:after="0"/>
              <w:rPr>
                <w:sz w:val="19"/>
                <w:szCs w:val="19"/>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3"/>
              </w:rPr>
              <w:t>the North Building (collectively, the “</w:t>
            </w:r>
            <w:r>
              <w:rPr>
                <w:rFonts w:ascii="Arial" w:cs="Arial" w:eastAsia="Arial" w:hAnsi="Arial"/>
                <w:sz w:val="18"/>
                <w:szCs w:val="18"/>
                <w:b w:val="1"/>
                <w:bCs w:val="1"/>
                <w:color w:val="auto"/>
                <w:w w:val="93"/>
              </w:rPr>
              <w:t>Retail Space</w:t>
            </w:r>
            <w:r>
              <w:rPr>
                <w:rFonts w:ascii="Arial" w:cs="Arial" w:eastAsia="Arial" w:hAnsi="Arial"/>
                <w:sz w:val="18"/>
                <w:szCs w:val="18"/>
                <w:color w:val="auto"/>
                <w:w w:val="93"/>
              </w:rPr>
              <w:t>”). The Premises shall</w:t>
            </w:r>
          </w:p>
        </w:tc>
      </w:tr>
      <w:tr>
        <w:trPr>
          <w:trHeight w:val="212"/>
        </w:trPr>
        <w:tc>
          <w:tcPr>
            <w:tcW w:w="570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2"/>
              </w:rPr>
              <w:t>consist of (i) no less than 360,000 rentable square feet within the Project</w:t>
            </w:r>
          </w:p>
        </w:tc>
      </w:tr>
      <w:tr>
        <w:trPr>
          <w:trHeight w:val="216"/>
        </w:trPr>
        <w:tc>
          <w:tcPr>
            <w:tcW w:w="570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color w:val="auto"/>
                <w:w w:val="93"/>
              </w:rPr>
              <w:t>Phase I Premises</w:t>
            </w:r>
            <w:r>
              <w:rPr>
                <w:rFonts w:ascii="Arial" w:cs="Arial" w:eastAsia="Arial" w:hAnsi="Arial"/>
                <w:sz w:val="18"/>
                <w:szCs w:val="18"/>
                <w:color w:val="auto"/>
                <w:w w:val="93"/>
              </w:rPr>
              <w:t>”), (ii) no less than 200,000 rentable square feet</w:t>
            </w:r>
          </w:p>
        </w:tc>
      </w:tr>
      <w:tr>
        <w:trPr>
          <w:trHeight w:val="216"/>
        </w:trPr>
        <w:tc>
          <w:tcPr>
            <w:tcW w:w="570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2"/>
              </w:rPr>
              <w:t>within the Project (the “</w:t>
            </w:r>
            <w:r>
              <w:rPr>
                <w:rFonts w:ascii="Arial" w:cs="Arial" w:eastAsia="Arial" w:hAnsi="Arial"/>
                <w:sz w:val="18"/>
                <w:szCs w:val="18"/>
                <w:b w:val="1"/>
                <w:bCs w:val="1"/>
                <w:color w:val="auto"/>
                <w:w w:val="92"/>
              </w:rPr>
              <w:t>Phase II Premises</w:t>
            </w:r>
            <w:r>
              <w:rPr>
                <w:rFonts w:ascii="Arial" w:cs="Arial" w:eastAsia="Arial" w:hAnsi="Arial"/>
                <w:sz w:val="18"/>
                <w:szCs w:val="18"/>
                <w:color w:val="auto"/>
                <w:w w:val="92"/>
              </w:rPr>
              <w:t>”), and the remaining rentable</w:t>
            </w:r>
          </w:p>
        </w:tc>
      </w:tr>
      <w:tr>
        <w:trPr>
          <w:trHeight w:val="216"/>
        </w:trPr>
        <w:tc>
          <w:tcPr>
            <w:tcW w:w="570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99"/>
              </w:rPr>
              <w:t>square footage of the office space within the Project (the “</w:t>
            </w:r>
            <w:r>
              <w:rPr>
                <w:rFonts w:ascii="Arial" w:cs="Arial" w:eastAsia="Arial" w:hAnsi="Arial"/>
                <w:sz w:val="18"/>
                <w:szCs w:val="18"/>
                <w:b w:val="1"/>
                <w:bCs w:val="1"/>
                <w:color w:val="auto"/>
                <w:w w:val="99"/>
              </w:rPr>
              <w:t>Phase III</w:t>
            </w:r>
          </w:p>
        </w:tc>
      </w:tr>
      <w:tr>
        <w:trPr>
          <w:trHeight w:val="216"/>
        </w:trPr>
        <w:tc>
          <w:tcPr>
            <w:tcW w:w="570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Arial" w:cs="Arial" w:eastAsia="Arial" w:hAnsi="Arial"/>
                <w:sz w:val="18"/>
                <w:szCs w:val="18"/>
                <w:b w:val="1"/>
                <w:bCs w:val="1"/>
                <w:color w:val="auto"/>
                <w:w w:val="97"/>
              </w:rPr>
              <w:t>Premises</w:t>
            </w:r>
            <w:r>
              <w:rPr>
                <w:rFonts w:ascii="Arial" w:cs="Arial" w:eastAsia="Arial" w:hAnsi="Arial"/>
                <w:sz w:val="18"/>
                <w:szCs w:val="18"/>
                <w:color w:val="auto"/>
                <w:w w:val="97"/>
              </w:rPr>
              <w:t>”). The Phase I Premises, Phase II Premises and Phase III</w:t>
            </w:r>
          </w:p>
        </w:tc>
      </w:tr>
      <w:tr>
        <w:trPr>
          <w:trHeight w:val="234"/>
        </w:trPr>
        <w:tc>
          <w:tcPr>
            <w:tcW w:w="5700" w:type="dxa"/>
            <w:vAlign w:val="bottom"/>
          </w:tcPr>
          <w:p>
            <w:pPr>
              <w:spacing w:after="0"/>
              <w:rPr>
                <w:sz w:val="20"/>
                <w:szCs w:val="20"/>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rPr>
              <w:t>Premises are each referred to herein as a “</w:t>
            </w:r>
            <w:r>
              <w:rPr>
                <w:rFonts w:ascii="Arial" w:cs="Arial" w:eastAsia="Arial" w:hAnsi="Arial"/>
                <w:sz w:val="18"/>
                <w:szCs w:val="18"/>
                <w:b w:val="1"/>
                <w:bCs w:val="1"/>
                <w:color w:val="auto"/>
              </w:rPr>
              <w:t>Phase</w:t>
            </w:r>
            <w:r>
              <w:rPr>
                <w:rFonts w:ascii="Arial" w:cs="Arial" w:eastAsia="Arial" w:hAnsi="Arial"/>
                <w:sz w:val="18"/>
                <w:szCs w:val="18"/>
                <w:color w:val="auto"/>
              </w:rPr>
              <w:t>”.</w:t>
            </w:r>
          </w:p>
        </w:tc>
      </w:tr>
      <w:tr>
        <w:trPr>
          <w:trHeight w:val="323"/>
        </w:trPr>
        <w:tc>
          <w:tcPr>
            <w:tcW w:w="5700" w:type="dxa"/>
            <w:vAlign w:val="bottom"/>
          </w:tcPr>
          <w:p>
            <w:pPr>
              <w:spacing w:after="0"/>
              <w:rPr>
                <w:sz w:val="24"/>
                <w:szCs w:val="24"/>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89"/>
              </w:rPr>
              <w:t>The exact location and size of each Phase shall be determined as set forth</w:t>
            </w:r>
          </w:p>
        </w:tc>
      </w:tr>
      <w:tr>
        <w:trPr>
          <w:trHeight w:val="190"/>
        </w:trPr>
        <w:tc>
          <w:tcPr>
            <w:tcW w:w="5700" w:type="dxa"/>
            <w:vAlign w:val="bottom"/>
          </w:tcPr>
          <w:p>
            <w:pPr>
              <w:spacing w:after="0"/>
              <w:rPr>
                <w:sz w:val="16"/>
                <w:szCs w:val="16"/>
                <w:color w:val="auto"/>
              </w:rPr>
            </w:pPr>
          </w:p>
        </w:tc>
        <w:tc>
          <w:tcPr>
            <w:tcW w:w="5340" w:type="dxa"/>
            <w:vAlign w:val="bottom"/>
            <w:gridSpan w:val="6"/>
          </w:tcPr>
          <w:p>
            <w:pPr>
              <w:spacing w:after="0" w:line="190" w:lineRule="exact"/>
              <w:rPr>
                <w:sz w:val="20"/>
                <w:szCs w:val="20"/>
                <w:color w:val="auto"/>
              </w:rPr>
            </w:pPr>
            <w:r>
              <w:rPr>
                <w:rFonts w:ascii="Arial" w:cs="Arial" w:eastAsia="Arial" w:hAnsi="Arial"/>
                <w:sz w:val="18"/>
                <w:szCs w:val="18"/>
                <w:color w:val="auto"/>
              </w:rPr>
              <w:t>in Section 1.1.1 below.</w:t>
            </w: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r>
      <w:tr>
        <w:trPr>
          <w:trHeight w:val="340"/>
        </w:trPr>
        <w:tc>
          <w:tcPr>
            <w:tcW w:w="5700" w:type="dxa"/>
            <w:vAlign w:val="bottom"/>
          </w:tcPr>
          <w:p>
            <w:pPr>
              <w:spacing w:after="0"/>
              <w:rPr>
                <w:sz w:val="24"/>
                <w:szCs w:val="24"/>
                <w:color w:val="auto"/>
              </w:rPr>
            </w:pPr>
          </w:p>
        </w:tc>
        <w:tc>
          <w:tcPr>
            <w:tcW w:w="5340" w:type="dxa"/>
            <w:vAlign w:val="bottom"/>
            <w:gridSpan w:val="6"/>
          </w:tcPr>
          <w:p>
            <w:pPr>
              <w:spacing w:after="0"/>
              <w:rPr>
                <w:sz w:val="20"/>
                <w:szCs w:val="20"/>
                <w:color w:val="auto"/>
              </w:rPr>
            </w:pPr>
            <w:r>
              <w:rPr>
                <w:rFonts w:ascii="Arial" w:cs="Arial" w:eastAsia="Arial" w:hAnsi="Arial"/>
                <w:sz w:val="18"/>
                <w:szCs w:val="18"/>
                <w:color w:val="auto"/>
                <w:w w:val="89"/>
              </w:rPr>
              <w:t>The rentable square footage of each floor of the Premises is as set forth on</w:t>
            </w:r>
          </w:p>
        </w:tc>
      </w:tr>
      <w:tr>
        <w:trPr>
          <w:trHeight w:val="194"/>
        </w:trPr>
        <w:tc>
          <w:tcPr>
            <w:tcW w:w="5700" w:type="dxa"/>
            <w:vAlign w:val="bottom"/>
          </w:tcPr>
          <w:p>
            <w:pPr>
              <w:spacing w:after="0"/>
              <w:rPr>
                <w:sz w:val="16"/>
                <w:szCs w:val="16"/>
                <w:color w:val="auto"/>
              </w:rPr>
            </w:pPr>
          </w:p>
        </w:tc>
        <w:tc>
          <w:tcPr>
            <w:tcW w:w="534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 xml:space="preserve">Exhibit A-1 </w:t>
            </w:r>
            <w:r>
              <w:rPr>
                <w:rFonts w:ascii="Arial" w:cs="Arial" w:eastAsia="Arial" w:hAnsi="Arial"/>
                <w:sz w:val="18"/>
                <w:szCs w:val="18"/>
                <w:color w:val="auto"/>
              </w:rPr>
              <w:t>attached hereto.</w:t>
            </w:r>
          </w:p>
        </w:tc>
      </w:tr>
      <w:tr>
        <w:trPr>
          <w:trHeight w:val="20"/>
        </w:trPr>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52" w:hanging="352"/>
        <w:spacing w:after="0"/>
        <w:tabs>
          <w:tab w:leader="none" w:pos="35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Lease Term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117"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3.1</w:t>
            </w:r>
          </w:p>
        </w:tc>
        <w:tc>
          <w:tcPr>
            <w:tcW w:w="4280" w:type="dxa"/>
            <w:vAlign w:val="bottom"/>
          </w:tcPr>
          <w:p>
            <w:pPr>
              <w:ind w:left="60"/>
              <w:spacing w:after="0"/>
              <w:rPr>
                <w:sz w:val="20"/>
                <w:szCs w:val="20"/>
                <w:color w:val="auto"/>
              </w:rPr>
            </w:pPr>
            <w:r>
              <w:rPr>
                <w:rFonts w:ascii="Arial" w:cs="Arial" w:eastAsia="Arial" w:hAnsi="Arial"/>
                <w:sz w:val="18"/>
                <w:szCs w:val="18"/>
                <w:color w:val="auto"/>
              </w:rPr>
              <w:t>Length of Term:</w:t>
            </w:r>
          </w:p>
        </w:tc>
        <w:tc>
          <w:tcPr>
            <w:tcW w:w="6420" w:type="dxa"/>
            <w:vAlign w:val="bottom"/>
          </w:tcPr>
          <w:p>
            <w:pPr>
              <w:ind w:left="1120"/>
              <w:spacing w:after="0"/>
              <w:rPr>
                <w:sz w:val="20"/>
                <w:szCs w:val="20"/>
                <w:color w:val="auto"/>
              </w:rPr>
            </w:pPr>
            <w:r>
              <w:rPr>
                <w:rFonts w:ascii="Arial" w:cs="Arial" w:eastAsia="Arial" w:hAnsi="Arial"/>
                <w:sz w:val="18"/>
                <w:szCs w:val="18"/>
                <w:color w:val="auto"/>
              </w:rPr>
              <w:t>Approximately fifteen (15) years from the “Phase I Lease</w:t>
            </w:r>
          </w:p>
        </w:tc>
      </w:tr>
      <w:tr>
        <w:trPr>
          <w:trHeight w:val="230"/>
        </w:trPr>
        <w:tc>
          <w:tcPr>
            <w:tcW w:w="3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420" w:type="dxa"/>
            <w:vAlign w:val="bottom"/>
          </w:tcPr>
          <w:p>
            <w:pPr>
              <w:ind w:left="1120"/>
              <w:spacing w:after="0"/>
              <w:rPr>
                <w:sz w:val="20"/>
                <w:szCs w:val="20"/>
                <w:color w:val="auto"/>
              </w:rPr>
            </w:pPr>
            <w:r>
              <w:rPr>
                <w:rFonts w:ascii="Arial" w:cs="Arial" w:eastAsia="Arial" w:hAnsi="Arial"/>
                <w:sz w:val="18"/>
                <w:szCs w:val="18"/>
                <w:color w:val="auto"/>
              </w:rPr>
              <w:t>Commencement Date”, as defined below.</w:t>
            </w:r>
          </w:p>
        </w:tc>
      </w:tr>
      <w:tr>
        <w:trPr>
          <w:trHeight w:val="306"/>
        </w:trPr>
        <w:tc>
          <w:tcPr>
            <w:tcW w:w="300" w:type="dxa"/>
            <w:vAlign w:val="bottom"/>
          </w:tcPr>
          <w:p>
            <w:pPr>
              <w:jc w:val="right"/>
              <w:spacing w:after="0"/>
              <w:rPr>
                <w:sz w:val="20"/>
                <w:szCs w:val="20"/>
                <w:color w:val="auto"/>
              </w:rPr>
            </w:pPr>
            <w:r>
              <w:rPr>
                <w:rFonts w:ascii="Arial" w:cs="Arial" w:eastAsia="Arial" w:hAnsi="Arial"/>
                <w:sz w:val="18"/>
                <w:szCs w:val="18"/>
                <w:color w:val="auto"/>
                <w:w w:val="87"/>
              </w:rPr>
              <w:t>3.2</w:t>
            </w:r>
          </w:p>
        </w:tc>
        <w:tc>
          <w:tcPr>
            <w:tcW w:w="4280" w:type="dxa"/>
            <w:vAlign w:val="bottom"/>
          </w:tcPr>
          <w:p>
            <w:pPr>
              <w:ind w:left="60"/>
              <w:spacing w:after="0"/>
              <w:rPr>
                <w:sz w:val="20"/>
                <w:szCs w:val="20"/>
                <w:color w:val="auto"/>
              </w:rPr>
            </w:pPr>
            <w:r>
              <w:rPr>
                <w:rFonts w:ascii="Arial" w:cs="Arial" w:eastAsia="Arial" w:hAnsi="Arial"/>
                <w:sz w:val="18"/>
                <w:szCs w:val="18"/>
                <w:color w:val="auto"/>
              </w:rPr>
              <w:t>Lease Commencement Date:</w:t>
            </w:r>
          </w:p>
        </w:tc>
        <w:tc>
          <w:tcPr>
            <w:tcW w:w="6420" w:type="dxa"/>
            <w:vAlign w:val="bottom"/>
          </w:tcPr>
          <w:p>
            <w:pPr>
              <w:ind w:left="1120"/>
              <w:spacing w:after="0"/>
              <w:rPr>
                <w:sz w:val="20"/>
                <w:szCs w:val="20"/>
                <w:color w:val="auto"/>
              </w:rPr>
            </w:pPr>
            <w:r>
              <w:rPr>
                <w:rFonts w:ascii="Arial" w:cs="Arial" w:eastAsia="Arial" w:hAnsi="Arial"/>
                <w:sz w:val="18"/>
                <w:szCs w:val="18"/>
                <w:color w:val="auto"/>
                <w:w w:val="95"/>
              </w:rPr>
              <w:t>Tenant’s lease of each Phase shall commence separately as set forth</w:t>
            </w:r>
          </w:p>
        </w:tc>
      </w:tr>
      <w:tr>
        <w:trPr>
          <w:trHeight w:val="234"/>
        </w:trPr>
        <w:tc>
          <w:tcPr>
            <w:tcW w:w="3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420" w:type="dxa"/>
            <w:vAlign w:val="bottom"/>
          </w:tcPr>
          <w:p>
            <w:pPr>
              <w:ind w:left="1120"/>
              <w:spacing w:after="0"/>
              <w:rPr>
                <w:sz w:val="20"/>
                <w:szCs w:val="20"/>
                <w:color w:val="auto"/>
              </w:rPr>
            </w:pPr>
            <w:r>
              <w:rPr>
                <w:rFonts w:ascii="Arial" w:cs="Arial" w:eastAsia="Arial" w:hAnsi="Arial"/>
                <w:sz w:val="18"/>
                <w:szCs w:val="18"/>
                <w:color w:val="auto"/>
                <w:w w:val="95"/>
              </w:rPr>
              <w:t>below, each date, as applicable, is a “</w:t>
            </w:r>
            <w:r>
              <w:rPr>
                <w:rFonts w:ascii="Arial" w:cs="Arial" w:eastAsia="Arial" w:hAnsi="Arial"/>
                <w:sz w:val="18"/>
                <w:szCs w:val="18"/>
                <w:b w:val="1"/>
                <w:bCs w:val="1"/>
                <w:color w:val="auto"/>
                <w:w w:val="95"/>
              </w:rPr>
              <w:t>Lease Commencement Date</w:t>
            </w:r>
            <w:r>
              <w:rPr>
                <w:rFonts w:ascii="Arial" w:cs="Arial" w:eastAsia="Arial" w:hAnsi="Arial"/>
                <w:sz w:val="18"/>
                <w:szCs w:val="18"/>
                <w:color w:val="auto"/>
                <w:w w:val="95"/>
              </w:rPr>
              <w:t>”.</w:t>
            </w:r>
          </w:p>
        </w:tc>
      </w:tr>
      <w:tr>
        <w:trPr>
          <w:trHeight w:val="310"/>
        </w:trPr>
        <w:tc>
          <w:tcPr>
            <w:tcW w:w="30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Arial" w:cs="Arial" w:eastAsia="Arial" w:hAnsi="Arial"/>
                <w:sz w:val="18"/>
                <w:szCs w:val="18"/>
                <w:color w:val="auto"/>
              </w:rPr>
              <w:t>3.2.1 Phase I Lease Commencement Date:</w:t>
            </w:r>
          </w:p>
        </w:tc>
        <w:tc>
          <w:tcPr>
            <w:tcW w:w="6420" w:type="dxa"/>
            <w:vAlign w:val="bottom"/>
          </w:tcPr>
          <w:p>
            <w:pPr>
              <w:ind w:left="1120"/>
              <w:spacing w:after="0"/>
              <w:rPr>
                <w:sz w:val="20"/>
                <w:szCs w:val="20"/>
                <w:color w:val="auto"/>
              </w:rPr>
            </w:pPr>
            <w:r>
              <w:rPr>
                <w:rFonts w:ascii="Arial" w:cs="Arial" w:eastAsia="Arial" w:hAnsi="Arial"/>
                <w:sz w:val="18"/>
                <w:szCs w:val="18"/>
                <w:color w:val="auto"/>
                <w:w w:val="90"/>
              </w:rPr>
              <w:t>The date (the “</w:t>
            </w:r>
            <w:r>
              <w:rPr>
                <w:rFonts w:ascii="Arial" w:cs="Arial" w:eastAsia="Arial" w:hAnsi="Arial"/>
                <w:sz w:val="18"/>
                <w:szCs w:val="18"/>
                <w:b w:val="1"/>
                <w:bCs w:val="1"/>
                <w:color w:val="auto"/>
                <w:w w:val="90"/>
              </w:rPr>
              <w:t>Phase I Lease Commencement Date</w:t>
            </w:r>
            <w:r>
              <w:rPr>
                <w:rFonts w:ascii="Arial" w:cs="Arial" w:eastAsia="Arial" w:hAnsi="Arial"/>
                <w:sz w:val="18"/>
                <w:szCs w:val="18"/>
                <w:color w:val="auto"/>
                <w:w w:val="90"/>
              </w:rPr>
              <w:t>”) that is the later to</w:t>
            </w:r>
          </w:p>
        </w:tc>
      </w:tr>
      <w:tr>
        <w:trPr>
          <w:trHeight w:val="230"/>
        </w:trPr>
        <w:tc>
          <w:tcPr>
            <w:tcW w:w="3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420" w:type="dxa"/>
            <w:vAlign w:val="bottom"/>
          </w:tcPr>
          <w:p>
            <w:pPr>
              <w:ind w:left="1120"/>
              <w:spacing w:after="0"/>
              <w:rPr>
                <w:sz w:val="20"/>
                <w:szCs w:val="20"/>
                <w:color w:val="auto"/>
              </w:rPr>
            </w:pPr>
            <w:r>
              <w:rPr>
                <w:rFonts w:ascii="Arial" w:cs="Arial" w:eastAsia="Arial" w:hAnsi="Arial"/>
                <w:sz w:val="18"/>
                <w:szCs w:val="18"/>
                <w:color w:val="auto"/>
                <w:w w:val="91"/>
              </w:rPr>
              <w:t>occur of (i) six (6) months after the date on which Landlord has delivered</w:t>
            </w:r>
          </w:p>
        </w:tc>
      </w:tr>
    </w:tbl>
    <w:p>
      <w:pPr>
        <w:ind w:left="6052"/>
        <w:spacing w:after="0"/>
        <w:rPr>
          <w:sz w:val="20"/>
          <w:szCs w:val="20"/>
          <w:color w:val="auto"/>
        </w:rPr>
      </w:pPr>
      <w:r>
        <w:rPr>
          <w:rFonts w:ascii="Arial" w:cs="Arial" w:eastAsia="Arial" w:hAnsi="Arial"/>
          <w:sz w:val="16"/>
          <w:szCs w:val="16"/>
          <w:color w:val="auto"/>
        </w:rPr>
        <w:t>possession of the Phase I Premises to Tenant in the “Delivery Condition”,</w:t>
      </w:r>
    </w:p>
    <w:p>
      <w:pPr>
        <w:spacing w:after="0" w:line="32" w:lineRule="exact"/>
        <w:rPr>
          <w:sz w:val="20"/>
          <w:szCs w:val="20"/>
          <w:color w:val="auto"/>
        </w:rPr>
      </w:pPr>
    </w:p>
    <w:p>
      <w:pPr>
        <w:ind w:left="6052"/>
        <w:spacing w:after="0"/>
        <w:rPr>
          <w:sz w:val="20"/>
          <w:szCs w:val="20"/>
          <w:color w:val="auto"/>
        </w:rPr>
      </w:pPr>
      <w:r>
        <w:rPr>
          <w:rFonts w:ascii="Arial" w:cs="Arial" w:eastAsia="Arial" w:hAnsi="Arial"/>
          <w:sz w:val="17"/>
          <w:szCs w:val="17"/>
          <w:color w:val="auto"/>
        </w:rPr>
        <w:t xml:space="preserve">as that term is defined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attached hereto and</w:t>
      </w:r>
    </w:p>
    <w:p>
      <w:pPr>
        <w:spacing w:after="0" w:line="21" w:lineRule="exact"/>
        <w:rPr>
          <w:sz w:val="20"/>
          <w:szCs w:val="20"/>
          <w:color w:val="auto"/>
        </w:rPr>
      </w:pPr>
    </w:p>
    <w:p>
      <w:pPr>
        <w:ind w:left="6052"/>
        <w:spacing w:after="0"/>
        <w:rPr>
          <w:sz w:val="20"/>
          <w:szCs w:val="20"/>
          <w:color w:val="auto"/>
        </w:rPr>
      </w:pPr>
      <w:r>
        <w:rPr>
          <w:rFonts w:ascii="Arial" w:cs="Arial" w:eastAsia="Arial" w:hAnsi="Arial"/>
          <w:sz w:val="17"/>
          <w:szCs w:val="17"/>
          <w:color w:val="auto"/>
        </w:rPr>
        <w:t>(ii) October 1, 2018, provided, however, that (a) in the event that the</w:t>
      </w:r>
    </w:p>
    <w:p>
      <w:pPr>
        <w:spacing w:after="0" w:line="21" w:lineRule="exact"/>
        <w:rPr>
          <w:sz w:val="20"/>
          <w:szCs w:val="20"/>
          <w:color w:val="auto"/>
        </w:rPr>
      </w:pPr>
    </w:p>
    <w:p>
      <w:pPr>
        <w:ind w:left="6052"/>
        <w:spacing w:after="0"/>
        <w:rPr>
          <w:sz w:val="20"/>
          <w:szCs w:val="20"/>
          <w:color w:val="auto"/>
        </w:rPr>
      </w:pPr>
      <w:r>
        <w:rPr>
          <w:rFonts w:ascii="Arial" w:cs="Arial" w:eastAsia="Arial" w:hAnsi="Arial"/>
          <w:sz w:val="16"/>
          <w:szCs w:val="16"/>
          <w:color w:val="auto"/>
        </w:rPr>
        <w:t>Delivery Condition for the Phase I Premises is not achieved by October 1,</w:t>
      </w:r>
    </w:p>
    <w:p>
      <w:pPr>
        <w:spacing w:after="0" w:line="32" w:lineRule="exact"/>
        <w:rPr>
          <w:sz w:val="20"/>
          <w:szCs w:val="20"/>
          <w:color w:val="auto"/>
        </w:rPr>
      </w:pPr>
    </w:p>
    <w:p>
      <w:pPr>
        <w:ind w:left="6052"/>
        <w:spacing w:after="0"/>
        <w:rPr>
          <w:sz w:val="20"/>
          <w:szCs w:val="20"/>
          <w:color w:val="auto"/>
        </w:rPr>
      </w:pPr>
      <w:r>
        <w:rPr>
          <w:rFonts w:ascii="Arial" w:cs="Arial" w:eastAsia="Arial" w:hAnsi="Arial"/>
          <w:sz w:val="18"/>
          <w:szCs w:val="18"/>
          <w:color w:val="auto"/>
        </w:rPr>
        <w:t>2018, the six (6) month period referenced in clause (i) above</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89"/>
              </w:rPr>
              <w:t>shall be extended by one (1) day for each day after such date until the date</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9"/>
              </w:rPr>
              <w:t>that the Delivery Condition is achieved, and (b) in no event shall the</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1"/>
              </w:rPr>
              <w:t>Phase I Lease Commencement Date occur until Landlord has caused the</w:t>
            </w:r>
          </w:p>
        </w:tc>
      </w:tr>
      <w:tr>
        <w:trPr>
          <w:trHeight w:val="212"/>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1"/>
              </w:rPr>
              <w:t>“Final Condition” of the Phase I Premises to occur, as that term is defined</w:t>
            </w:r>
          </w:p>
        </w:tc>
      </w:tr>
      <w:tr>
        <w:trPr>
          <w:trHeight w:val="194"/>
        </w:trPr>
        <w:tc>
          <w:tcPr>
            <w:tcW w:w="7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6420" w:type="dxa"/>
            <w:vAlign w:val="bottom"/>
            <w:gridSpan w:val="5"/>
          </w:tcPr>
          <w:p>
            <w:pPr>
              <w:ind w:left="1060"/>
              <w:spacing w:after="0" w:line="194" w:lineRule="exact"/>
              <w:rPr>
                <w:sz w:val="20"/>
                <w:szCs w:val="20"/>
                <w:color w:val="auto"/>
              </w:rPr>
            </w:pPr>
            <w:r>
              <w:rPr>
                <w:rFonts w:ascii="Arial" w:cs="Arial" w:eastAsia="Arial" w:hAnsi="Arial"/>
                <w:sz w:val="18"/>
                <w:szCs w:val="18"/>
                <w:color w:val="auto"/>
              </w:rPr>
              <w:t xml:space="preserve">in Section 1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w:t>
            </w:r>
          </w:p>
        </w:tc>
      </w:tr>
      <w:tr>
        <w:trPr>
          <w:trHeight w:val="20"/>
        </w:trPr>
        <w:tc>
          <w:tcPr>
            <w:tcW w:w="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30"/>
        </w:trPr>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3860" w:type="dxa"/>
            <w:vAlign w:val="bottom"/>
          </w:tcPr>
          <w:p>
            <w:pPr>
              <w:ind w:left="40"/>
              <w:spacing w:after="0"/>
              <w:rPr>
                <w:sz w:val="20"/>
                <w:szCs w:val="20"/>
                <w:color w:val="auto"/>
              </w:rPr>
            </w:pPr>
            <w:r>
              <w:rPr>
                <w:rFonts w:ascii="Arial" w:cs="Arial" w:eastAsia="Arial" w:hAnsi="Arial"/>
                <w:sz w:val="18"/>
                <w:szCs w:val="18"/>
                <w:color w:val="auto"/>
              </w:rPr>
              <w:t>Phase II Lease Commencement Date:</w:t>
            </w: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1"/>
              </w:rPr>
              <w:t>The date (the “</w:t>
            </w:r>
            <w:r>
              <w:rPr>
                <w:rFonts w:ascii="Arial" w:cs="Arial" w:eastAsia="Arial" w:hAnsi="Arial"/>
                <w:sz w:val="18"/>
                <w:szCs w:val="18"/>
                <w:b w:val="1"/>
                <w:bCs w:val="1"/>
                <w:color w:val="auto"/>
                <w:w w:val="91"/>
              </w:rPr>
              <w:t>Phase II Lease Commencement Date</w:t>
            </w:r>
            <w:r>
              <w:rPr>
                <w:rFonts w:ascii="Arial" w:cs="Arial" w:eastAsia="Arial" w:hAnsi="Arial"/>
                <w:sz w:val="18"/>
                <w:szCs w:val="18"/>
                <w:color w:val="auto"/>
                <w:w w:val="91"/>
              </w:rPr>
              <w:t>”) that is the earlier</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5"/>
              </w:rPr>
              <w:t>to occur of (i) the date upon which Tenant first commences to conduct</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0"/>
              </w:rPr>
              <w:t>business in any portion of the Phase II Premises and (ii) the later of (a) six</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2"/>
              </w:rPr>
              <w:t>(6) months after the date on which Landlord has delivered possession of</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2"/>
              </w:rPr>
              <w:t>the Phase II Premises to Tenant in the Delivery Condition and (b) April 1,</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rPr>
              <w:t>2019, provided, however, in no event shall the Phase II Lease</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9"/>
              </w:rPr>
              <w:t>Commencement Date occur under this clause (ii) until Landlord has</w:t>
            </w:r>
          </w:p>
        </w:tc>
      </w:tr>
      <w:tr>
        <w:trPr>
          <w:trHeight w:val="230"/>
        </w:trPr>
        <w:tc>
          <w:tcPr>
            <w:tcW w:w="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rPr>
              <w:t>caused the Final Condition of the Phase II Premises to occur.</w:t>
            </w:r>
          </w:p>
        </w:tc>
      </w:tr>
      <w:tr>
        <w:trPr>
          <w:trHeight w:val="310"/>
        </w:trPr>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3860" w:type="dxa"/>
            <w:vAlign w:val="bottom"/>
          </w:tcPr>
          <w:p>
            <w:pPr>
              <w:ind w:left="40"/>
              <w:spacing w:after="0"/>
              <w:rPr>
                <w:sz w:val="20"/>
                <w:szCs w:val="20"/>
                <w:color w:val="auto"/>
              </w:rPr>
            </w:pPr>
            <w:r>
              <w:rPr>
                <w:rFonts w:ascii="Arial" w:cs="Arial" w:eastAsia="Arial" w:hAnsi="Arial"/>
                <w:sz w:val="18"/>
                <w:szCs w:val="18"/>
                <w:color w:val="auto"/>
              </w:rPr>
              <w:t>Phase III Lease Commencement Date:</w:t>
            </w: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1"/>
              </w:rPr>
              <w:t>The date (the “</w:t>
            </w:r>
            <w:r>
              <w:rPr>
                <w:rFonts w:ascii="Arial" w:cs="Arial" w:eastAsia="Arial" w:hAnsi="Arial"/>
                <w:sz w:val="18"/>
                <w:szCs w:val="18"/>
                <w:b w:val="1"/>
                <w:bCs w:val="1"/>
                <w:color w:val="auto"/>
                <w:w w:val="91"/>
              </w:rPr>
              <w:t>Phase III Lease Commencement Date</w:t>
            </w:r>
            <w:r>
              <w:rPr>
                <w:rFonts w:ascii="Arial" w:cs="Arial" w:eastAsia="Arial" w:hAnsi="Arial"/>
                <w:sz w:val="18"/>
                <w:szCs w:val="18"/>
                <w:color w:val="auto"/>
                <w:w w:val="91"/>
              </w:rPr>
              <w:t>”) that is the earlier</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5"/>
              </w:rPr>
              <w:t>to occur of (i) the date upon which Tenant first commences to conduct</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8"/>
              </w:rPr>
              <w:t>business in any portion of the Phase III Premises and (ii) the later of</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rPr>
              <w:t>(a) six (6) months after the date on which Landlord has delivered</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2"/>
              </w:rPr>
              <w:t>possession of the Phase III Premises to Tenant in the Delivery Condition</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89"/>
              </w:rPr>
              <w:t>and (b) December 1, 2019, provided, however, in no event shall the Phase</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2"/>
              </w:rPr>
              <w:t>III Lease Commencement Date occur under this clause (ii) until Landlord</w:t>
            </w:r>
          </w:p>
        </w:tc>
      </w:tr>
      <w:tr>
        <w:trPr>
          <w:trHeight w:val="230"/>
        </w:trPr>
        <w:tc>
          <w:tcPr>
            <w:tcW w:w="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rPr>
              <w:t>has caused the Final Condition of the Phase III Premises to occur.</w:t>
            </w: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color w:val="auto"/>
              </w:rPr>
              <w:t>3.3  Lease Expiration Date:</w:t>
            </w: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8"/>
              </w:rPr>
              <w:t>If the Phase I Lease Commencement Date shall be the first day of a</w:t>
            </w:r>
          </w:p>
        </w:tc>
      </w:tr>
      <w:tr>
        <w:trPr>
          <w:trHeight w:val="216"/>
        </w:trPr>
        <w:tc>
          <w:tcPr>
            <w:tcW w:w="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4"/>
              </w:rPr>
              <w:t>calendar month, then the day immediately preceding the fifteenth (15</w:t>
            </w:r>
            <w:r>
              <w:rPr>
                <w:rFonts w:ascii="Arial" w:cs="Arial" w:eastAsia="Arial" w:hAnsi="Arial"/>
                <w:sz w:val="15"/>
                <w:szCs w:val="15"/>
                <w:color w:val="auto"/>
                <w:w w:val="94"/>
              </w:rPr>
              <w:t>th</w:t>
            </w:r>
            <w:r>
              <w:rPr>
                <w:rFonts w:ascii="Arial" w:cs="Arial" w:eastAsia="Arial" w:hAnsi="Arial"/>
                <w:sz w:val="18"/>
                <w:szCs w:val="18"/>
                <w:color w:val="auto"/>
                <w:w w:val="94"/>
              </w:rPr>
              <w:t>)</w:t>
            </w:r>
          </w:p>
        </w:tc>
      </w:tr>
      <w:tr>
        <w:trPr>
          <w:trHeight w:val="230"/>
        </w:trPr>
        <w:tc>
          <w:tcPr>
            <w:tcW w:w="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420" w:type="dxa"/>
            <w:vAlign w:val="bottom"/>
            <w:gridSpan w:val="5"/>
          </w:tcPr>
          <w:p>
            <w:pPr>
              <w:ind w:left="1060"/>
              <w:spacing w:after="0"/>
              <w:rPr>
                <w:sz w:val="20"/>
                <w:szCs w:val="20"/>
                <w:color w:val="auto"/>
              </w:rPr>
            </w:pPr>
            <w:r>
              <w:rPr>
                <w:rFonts w:ascii="Arial" w:cs="Arial" w:eastAsia="Arial" w:hAnsi="Arial"/>
                <w:sz w:val="18"/>
                <w:szCs w:val="18"/>
                <w:color w:val="auto"/>
                <w:w w:val="92"/>
              </w:rPr>
              <w:t>anniversary of the Phase I Lease Commencement Date; or if the Phase I</w:t>
            </w:r>
          </w:p>
        </w:tc>
      </w:tr>
    </w:tbl>
    <w:p>
      <w:pPr>
        <w:ind w:left="5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Commencement Date shall be other than the first day of a calendar</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month, then the last day of the calendar month in which the</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fifteenth (15</w:t>
      </w:r>
      <w:r>
        <w:rPr>
          <w:rFonts w:ascii="Arial" w:cs="Arial" w:eastAsia="Arial" w:hAnsi="Arial"/>
          <w:sz w:val="14"/>
          <w:szCs w:val="14"/>
          <w:color w:val="auto"/>
        </w:rPr>
        <w:t>th</w:t>
      </w:r>
      <w:r>
        <w:rPr>
          <w:rFonts w:ascii="Arial" w:cs="Arial" w:eastAsia="Arial" w:hAnsi="Arial"/>
          <w:sz w:val="17"/>
          <w:szCs w:val="17"/>
          <w:color w:val="auto"/>
        </w:rPr>
        <w:t>) anniversary of the Phase I Lease Commencement Date</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occurs.</w:t>
      </w: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600" w:top="274" w:right="2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16"/>
        </w:trPr>
        <w:tc>
          <w:tcPr>
            <w:tcW w:w="2760" w:type="dxa"/>
            <w:vAlign w:val="bottom"/>
            <w:gridSpan w:val="4"/>
          </w:tcPr>
          <w:p>
            <w:pPr>
              <w:ind w:left="360"/>
              <w:spacing w:after="0"/>
              <w:rPr>
                <w:sz w:val="20"/>
                <w:szCs w:val="20"/>
                <w:color w:val="auto"/>
              </w:rPr>
            </w:pPr>
            <w:r>
              <w:rPr>
                <w:rFonts w:ascii="Arial" w:cs="Arial" w:eastAsia="Arial" w:hAnsi="Arial"/>
                <w:sz w:val="18"/>
                <w:szCs w:val="18"/>
                <w:color w:val="auto"/>
              </w:rPr>
              <w:t>3.4  Option Terms: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gridSpan w:val="7"/>
          </w:tcPr>
          <w:p>
            <w:pPr>
              <w:ind w:left="900"/>
              <w:spacing w:after="0"/>
              <w:rPr>
                <w:sz w:val="20"/>
                <w:szCs w:val="20"/>
                <w:color w:val="auto"/>
              </w:rPr>
            </w:pPr>
            <w:r>
              <w:rPr>
                <w:rFonts w:ascii="Arial" w:cs="Arial" w:eastAsia="Arial" w:hAnsi="Arial"/>
                <w:sz w:val="18"/>
                <w:szCs w:val="18"/>
                <w:color w:val="auto"/>
              </w:rPr>
              <w:t>Two (2) five (5)-year options to extend the Lease Term, as more</w:t>
            </w:r>
          </w:p>
        </w:tc>
      </w:tr>
      <w:tr>
        <w:trPr>
          <w:trHeight w:val="190"/>
        </w:trPr>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60" w:type="dxa"/>
            <w:vAlign w:val="bottom"/>
            <w:gridSpan w:val="7"/>
          </w:tcPr>
          <w:p>
            <w:pPr>
              <w:ind w:left="900"/>
              <w:spacing w:after="0" w:line="190" w:lineRule="exact"/>
              <w:rPr>
                <w:sz w:val="20"/>
                <w:szCs w:val="20"/>
                <w:color w:val="auto"/>
              </w:rPr>
            </w:pPr>
            <w:r>
              <w:rPr>
                <w:rFonts w:ascii="Arial" w:cs="Arial" w:eastAsia="Arial" w:hAnsi="Arial"/>
                <w:sz w:val="18"/>
                <w:szCs w:val="18"/>
                <w:color w:val="auto"/>
              </w:rPr>
              <w:t>particularly set forth in Section 2.2 of this Lease.</w:t>
            </w:r>
          </w:p>
        </w:tc>
      </w:tr>
      <w:tr>
        <w:trPr>
          <w:trHeight w:val="20"/>
        </w:trPr>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2760" w:type="dxa"/>
            <w:vAlign w:val="bottom"/>
            <w:gridSpan w:val="4"/>
          </w:tcPr>
          <w:p>
            <w:pPr>
              <w:spacing w:after="0"/>
              <w:rPr>
                <w:sz w:val="20"/>
                <w:szCs w:val="20"/>
                <w:color w:val="auto"/>
              </w:rPr>
            </w:pPr>
            <w:r>
              <w:rPr>
                <w:rFonts w:ascii="Arial" w:cs="Arial" w:eastAsia="Arial" w:hAnsi="Arial"/>
                <w:sz w:val="18"/>
                <w:szCs w:val="18"/>
                <w:color w:val="auto"/>
              </w:rPr>
              <w:t>4.   Base Rent (Article 3):</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7"/>
          </w:tcPr>
          <w:p>
            <w:pPr>
              <w:ind w:left="900"/>
              <w:spacing w:after="0"/>
              <w:rPr>
                <w:sz w:val="20"/>
                <w:szCs w:val="20"/>
                <w:color w:val="auto"/>
              </w:rPr>
            </w:pPr>
            <w:r>
              <w:rPr>
                <w:rFonts w:ascii="Arial" w:cs="Arial" w:eastAsia="Arial" w:hAnsi="Arial"/>
                <w:sz w:val="18"/>
                <w:szCs w:val="18"/>
                <w:color w:val="auto"/>
                <w:w w:val="96"/>
              </w:rPr>
              <w:t>The following Base Rent schedule was determined based on the total</w:t>
            </w:r>
          </w:p>
        </w:tc>
      </w:tr>
      <w:tr>
        <w:trPr>
          <w:trHeight w:val="222"/>
        </w:trPr>
        <w:tc>
          <w:tcPr>
            <w:tcW w:w="1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gridSpan w:val="7"/>
          </w:tcPr>
          <w:p>
            <w:pPr>
              <w:ind w:left="900"/>
              <w:spacing w:after="0"/>
              <w:rPr>
                <w:sz w:val="20"/>
                <w:szCs w:val="20"/>
                <w:color w:val="auto"/>
              </w:rPr>
            </w:pPr>
            <w:r>
              <w:rPr>
                <w:rFonts w:ascii="Arial" w:cs="Arial" w:eastAsia="Arial" w:hAnsi="Arial"/>
                <w:sz w:val="18"/>
                <w:szCs w:val="18"/>
                <w:color w:val="auto"/>
                <w:w w:val="98"/>
              </w:rPr>
              <w:t>rentable square footage of the entire Premises, without regard to the</w:t>
            </w: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gridSpan w:val="7"/>
          </w:tcPr>
          <w:p>
            <w:pPr>
              <w:ind w:left="900"/>
              <w:spacing w:after="0"/>
              <w:rPr>
                <w:sz w:val="20"/>
                <w:szCs w:val="20"/>
                <w:color w:val="auto"/>
              </w:rPr>
            </w:pPr>
            <w:r>
              <w:rPr>
                <w:rFonts w:ascii="Arial" w:cs="Arial" w:eastAsia="Arial" w:hAnsi="Arial"/>
                <w:sz w:val="18"/>
                <w:szCs w:val="18"/>
                <w:color w:val="auto"/>
                <w:w w:val="91"/>
              </w:rPr>
              <w:t>phasing of the Lease Commencement Dates. Following the determination</w:t>
            </w: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gridSpan w:val="7"/>
          </w:tcPr>
          <w:p>
            <w:pPr>
              <w:ind w:left="900"/>
              <w:spacing w:after="0"/>
              <w:rPr>
                <w:sz w:val="20"/>
                <w:szCs w:val="20"/>
                <w:color w:val="auto"/>
              </w:rPr>
            </w:pPr>
            <w:r>
              <w:rPr>
                <w:rFonts w:ascii="Arial" w:cs="Arial" w:eastAsia="Arial" w:hAnsi="Arial"/>
                <w:sz w:val="18"/>
                <w:szCs w:val="18"/>
                <w:color w:val="auto"/>
                <w:w w:val="90"/>
              </w:rPr>
              <w:t>of the location and rentable square footage of each Phase of the Premises</w:t>
            </w:r>
          </w:p>
        </w:tc>
      </w:tr>
      <w:tr>
        <w:trPr>
          <w:trHeight w:val="190"/>
        </w:trPr>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60" w:type="dxa"/>
            <w:vAlign w:val="bottom"/>
            <w:gridSpan w:val="7"/>
          </w:tcPr>
          <w:p>
            <w:pPr>
              <w:ind w:left="900"/>
              <w:spacing w:after="0" w:line="190" w:lineRule="exact"/>
              <w:rPr>
                <w:sz w:val="20"/>
                <w:szCs w:val="20"/>
                <w:color w:val="auto"/>
              </w:rPr>
            </w:pPr>
            <w:r>
              <w:rPr>
                <w:rFonts w:ascii="Arial" w:cs="Arial" w:eastAsia="Arial" w:hAnsi="Arial"/>
                <w:sz w:val="18"/>
                <w:szCs w:val="18"/>
                <w:color w:val="auto"/>
                <w:w w:val="96"/>
              </w:rPr>
              <w:t>pursuant to, and as set forth in, Section 1.1.1 of this Lease below, the</w:t>
            </w:r>
          </w:p>
        </w:tc>
      </w:tr>
      <w:tr>
        <w:trPr>
          <w:trHeight w:val="20"/>
        </w:trPr>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2"/>
        </w:trPr>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gridSpan w:val="7"/>
          </w:tcPr>
          <w:p>
            <w:pPr>
              <w:ind w:left="900"/>
              <w:spacing w:after="0"/>
              <w:rPr>
                <w:sz w:val="20"/>
                <w:szCs w:val="20"/>
                <w:color w:val="auto"/>
              </w:rPr>
            </w:pPr>
            <w:r>
              <w:rPr>
                <w:rFonts w:ascii="Arial" w:cs="Arial" w:eastAsia="Arial" w:hAnsi="Arial"/>
                <w:sz w:val="18"/>
                <w:szCs w:val="18"/>
                <w:color w:val="auto"/>
                <w:w w:val="93"/>
              </w:rPr>
              <w:t>parties shall execute an amendment to this Lease setting forth the Base</w:t>
            </w:r>
          </w:p>
        </w:tc>
      </w:tr>
      <w:tr>
        <w:trPr>
          <w:trHeight w:val="230"/>
        </w:trPr>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gridSpan w:val="7"/>
          </w:tcPr>
          <w:p>
            <w:pPr>
              <w:ind w:left="900"/>
              <w:spacing w:after="0"/>
              <w:rPr>
                <w:sz w:val="20"/>
                <w:szCs w:val="20"/>
                <w:color w:val="auto"/>
              </w:rPr>
            </w:pPr>
            <w:r>
              <w:rPr>
                <w:rFonts w:ascii="Arial" w:cs="Arial" w:eastAsia="Arial" w:hAnsi="Arial"/>
                <w:sz w:val="18"/>
                <w:szCs w:val="18"/>
                <w:color w:val="auto"/>
              </w:rPr>
              <w:t>Rent schedule applicable to each Phase of the Premises.</w:t>
            </w:r>
          </w:p>
        </w:tc>
      </w:tr>
      <w:tr>
        <w:trPr>
          <w:trHeight w:val="373"/>
        </w:trPr>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2"/>
          </w:tcPr>
          <w:p>
            <w:pPr>
              <w:jc w:val="center"/>
              <w:ind w:right="1040"/>
              <w:spacing w:after="0"/>
              <w:rPr>
                <w:sz w:val="20"/>
                <w:szCs w:val="20"/>
                <w:color w:val="auto"/>
              </w:rPr>
            </w:pPr>
            <w:r>
              <w:rPr>
                <w:rFonts w:ascii="Arial" w:cs="Arial" w:eastAsia="Arial" w:hAnsi="Arial"/>
                <w:sz w:val="14"/>
                <w:szCs w:val="14"/>
                <w:color w:val="auto"/>
                <w:w w:val="93"/>
              </w:rPr>
              <w:t>Annual Base</w:t>
            </w:r>
          </w:p>
        </w:tc>
      </w:tr>
      <w:tr>
        <w:trPr>
          <w:trHeight w:val="149"/>
        </w:trPr>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2"/>
          </w:tcPr>
          <w:p>
            <w:pPr>
              <w:jc w:val="center"/>
              <w:ind w:right="1040"/>
              <w:spacing w:after="0" w:line="149" w:lineRule="exact"/>
              <w:rPr>
                <w:sz w:val="20"/>
                <w:szCs w:val="20"/>
                <w:color w:val="auto"/>
              </w:rPr>
            </w:pPr>
            <w:r>
              <w:rPr>
                <w:rFonts w:ascii="Arial" w:cs="Arial" w:eastAsia="Arial" w:hAnsi="Arial"/>
                <w:sz w:val="14"/>
                <w:szCs w:val="14"/>
                <w:color w:val="auto"/>
                <w:w w:val="90"/>
              </w:rPr>
              <w:t>Rental Rate Per</w:t>
            </w:r>
          </w:p>
        </w:tc>
      </w:tr>
      <w:tr>
        <w:trPr>
          <w:trHeight w:val="149"/>
        </w:trPr>
        <w:tc>
          <w:tcPr>
            <w:tcW w:w="2760" w:type="dxa"/>
            <w:vAlign w:val="bottom"/>
            <w:gridSpan w:val="4"/>
          </w:tcPr>
          <w:p>
            <w:pPr>
              <w:spacing w:after="0" w:line="149" w:lineRule="exact"/>
              <w:rPr>
                <w:sz w:val="20"/>
                <w:szCs w:val="20"/>
                <w:color w:val="auto"/>
              </w:rPr>
            </w:pPr>
            <w:r>
              <w:rPr>
                <w:rFonts w:ascii="Arial" w:cs="Arial" w:eastAsia="Arial" w:hAnsi="Arial"/>
                <w:sz w:val="14"/>
                <w:szCs w:val="14"/>
                <w:color w:val="auto"/>
              </w:rPr>
              <w:t>Period During</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Monthly Installment of Base</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2"/>
          </w:tcPr>
          <w:p>
            <w:pPr>
              <w:jc w:val="center"/>
              <w:ind w:right="1020"/>
              <w:spacing w:after="0" w:line="149" w:lineRule="exact"/>
              <w:rPr>
                <w:sz w:val="20"/>
                <w:szCs w:val="20"/>
                <w:color w:val="auto"/>
              </w:rPr>
            </w:pPr>
            <w:r>
              <w:rPr>
                <w:rFonts w:ascii="Arial" w:cs="Arial" w:eastAsia="Arial" w:hAnsi="Arial"/>
                <w:sz w:val="14"/>
                <w:szCs w:val="14"/>
                <w:color w:val="auto"/>
                <w:w w:val="90"/>
              </w:rPr>
              <w:t>Rentable Square Foot</w:t>
            </w:r>
          </w:p>
        </w:tc>
      </w:tr>
      <w:tr>
        <w:trPr>
          <w:trHeight w:val="181"/>
        </w:trPr>
        <w:tc>
          <w:tcPr>
            <w:tcW w:w="2760" w:type="dxa"/>
            <w:vAlign w:val="bottom"/>
            <w:gridSpan w:val="4"/>
          </w:tcPr>
          <w:p>
            <w:pPr>
              <w:spacing w:after="0"/>
              <w:rPr>
                <w:sz w:val="20"/>
                <w:szCs w:val="20"/>
                <w:color w:val="auto"/>
              </w:rPr>
            </w:pPr>
            <w:r>
              <w:rPr>
                <w:rFonts w:ascii="Arial" w:cs="Arial" w:eastAsia="Arial" w:hAnsi="Arial"/>
                <w:sz w:val="14"/>
                <w:szCs w:val="14"/>
                <w:color w:val="auto"/>
              </w:rPr>
              <w:t>Lease Term</w:t>
            </w:r>
          </w:p>
        </w:tc>
        <w:tc>
          <w:tcPr>
            <w:tcW w:w="2400" w:type="dxa"/>
            <w:vAlign w:val="bottom"/>
            <w:gridSpan w:val="2"/>
          </w:tcPr>
          <w:p>
            <w:pPr>
              <w:jc w:val="right"/>
              <w:ind w:right="700"/>
              <w:spacing w:after="0"/>
              <w:rPr>
                <w:sz w:val="20"/>
                <w:szCs w:val="20"/>
                <w:color w:val="auto"/>
              </w:rPr>
            </w:pPr>
            <w:r>
              <w:rPr>
                <w:rFonts w:ascii="Arial" w:cs="Arial" w:eastAsia="Arial" w:hAnsi="Arial"/>
                <w:sz w:val="14"/>
                <w:szCs w:val="14"/>
                <w:color w:val="auto"/>
              </w:rPr>
              <w:t>Annual Base Rent*</w:t>
            </w:r>
          </w:p>
        </w:tc>
        <w:tc>
          <w:tcPr>
            <w:tcW w:w="2380" w:type="dxa"/>
            <w:vAlign w:val="bottom"/>
            <w:gridSpan w:val="2"/>
          </w:tcPr>
          <w:p>
            <w:pPr>
              <w:ind w:left="960"/>
              <w:spacing w:after="0"/>
              <w:rPr>
                <w:sz w:val="20"/>
                <w:szCs w:val="20"/>
                <w:color w:val="auto"/>
              </w:rPr>
            </w:pPr>
            <w:r>
              <w:rPr>
                <w:rFonts w:ascii="Arial" w:cs="Arial" w:eastAsia="Arial" w:hAnsi="Arial"/>
                <w:sz w:val="14"/>
                <w:szCs w:val="14"/>
                <w:color w:val="auto"/>
              </w:rPr>
              <w:t>Rent*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2"/>
          </w:tcPr>
          <w:p>
            <w:pPr>
              <w:jc w:val="center"/>
              <w:ind w:right="1020"/>
              <w:spacing w:after="0"/>
              <w:rPr>
                <w:sz w:val="20"/>
                <w:szCs w:val="20"/>
                <w:color w:val="auto"/>
              </w:rPr>
            </w:pPr>
            <w:r>
              <w:rPr>
                <w:rFonts w:ascii="Arial" w:cs="Arial" w:eastAsia="Arial" w:hAnsi="Arial"/>
                <w:sz w:val="14"/>
                <w:szCs w:val="14"/>
                <w:color w:val="auto"/>
              </w:rPr>
              <w:t>[Approximate]**</w:t>
            </w:r>
          </w:p>
        </w:tc>
      </w:tr>
      <w:tr>
        <w:trPr>
          <w:trHeight w:val="210"/>
        </w:trPr>
        <w:tc>
          <w:tcPr>
            <w:tcW w:w="2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Lease Year 1à</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$45,613,400.00</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$3,801,116.67</w:t>
            </w:r>
          </w:p>
        </w:tc>
        <w:tc>
          <w:tcPr>
            <w:tcW w:w="10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color w:val="auto"/>
                <w:w w:val="87"/>
              </w:rPr>
              <w:t>$62.00</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rPr>
              <w:t>Lease Year 2à</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$46,981,802.00</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$3,915,150.17</w:t>
            </w: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7"/>
              </w:rPr>
              <w:t>$63.86</w:t>
            </w:r>
          </w:p>
        </w:tc>
      </w:tr>
      <w:tr>
        <w:trPr>
          <w:trHeight w:val="216"/>
        </w:trPr>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Year 3</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$48,391,256.06</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$4,032,604.67</w:t>
            </w:r>
          </w:p>
        </w:tc>
        <w:tc>
          <w:tcPr>
            <w:tcW w:w="3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$65.78</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rPr>
              <w:t>Lease Year 4</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$49,842,993.74</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$4,153,582.81</w:t>
            </w: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7"/>
              </w:rPr>
              <w:t>$67.75</w:t>
            </w:r>
          </w:p>
        </w:tc>
      </w:tr>
      <w:tr>
        <w:trPr>
          <w:trHeight w:val="216"/>
        </w:trPr>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Year 5</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$51,338,283.55</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$4,278,190.30</w:t>
            </w:r>
          </w:p>
        </w:tc>
        <w:tc>
          <w:tcPr>
            <w:tcW w:w="3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$69.78</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rPr>
              <w:t>Lease Year 6</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$52,878,432.06</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$4,406,536.01</w:t>
            </w: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7"/>
              </w:rPr>
              <w:t>$71.88</w:t>
            </w:r>
          </w:p>
        </w:tc>
      </w:tr>
      <w:tr>
        <w:trPr>
          <w:trHeight w:val="216"/>
        </w:trPr>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Year 7</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$54,464,785.02</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$4,538,732.09</w:t>
            </w:r>
          </w:p>
        </w:tc>
        <w:tc>
          <w:tcPr>
            <w:tcW w:w="3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$74.03</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rPr>
              <w:t>Lease Year 8</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$56,098,728.57</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$4,674,894.05</w:t>
            </w: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7"/>
              </w:rPr>
              <w:t>$76.25</w:t>
            </w:r>
          </w:p>
        </w:tc>
      </w:tr>
      <w:tr>
        <w:trPr>
          <w:trHeight w:val="216"/>
        </w:trPr>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Year 9</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$57,781,690.43</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$4,815,140.87</w:t>
            </w:r>
          </w:p>
        </w:tc>
        <w:tc>
          <w:tcPr>
            <w:tcW w:w="3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$78.54</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rPr>
              <w:t>Lease Year 10</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$59,515,141.14</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$4,959,595.10</w:t>
            </w: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7"/>
              </w:rPr>
              <w:t>$80.90</w:t>
            </w:r>
          </w:p>
        </w:tc>
      </w:tr>
      <w:tr>
        <w:trPr>
          <w:trHeight w:val="216"/>
        </w:trPr>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Year 11</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$61,300,595.37</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$5,108,382.95</w:t>
            </w:r>
          </w:p>
        </w:tc>
        <w:tc>
          <w:tcPr>
            <w:tcW w:w="3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$83.32</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rPr>
              <w:t>Lease Year 12</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$63,139,613.23</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$5,261,634.44</w:t>
            </w: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7"/>
              </w:rPr>
              <w:t>$85.82</w:t>
            </w:r>
          </w:p>
        </w:tc>
      </w:tr>
      <w:tr>
        <w:trPr>
          <w:trHeight w:val="216"/>
        </w:trPr>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Year 13</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$65,033,801.63</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$5,419,483.47</w:t>
            </w:r>
          </w:p>
        </w:tc>
        <w:tc>
          <w:tcPr>
            <w:tcW w:w="3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$88.40</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rPr>
              <w:t>Lease Year 14</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$66,984,815.68</w:t>
            </w: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$5,582,067.97</w:t>
            </w:r>
          </w:p>
        </w:tc>
        <w:tc>
          <w:tcPr>
            <w:tcW w:w="3880" w:type="dxa"/>
            <w:vAlign w:val="bottom"/>
            <w:gridSpan w:val="5"/>
          </w:tcPr>
          <w:p>
            <w:pPr>
              <w:jc w:val="center"/>
              <w:spacing w:after="0"/>
              <w:rPr>
                <w:sz w:val="20"/>
                <w:szCs w:val="20"/>
                <w:color w:val="auto"/>
              </w:rPr>
            </w:pPr>
            <w:r>
              <w:rPr>
                <w:rFonts w:ascii="Arial" w:cs="Arial" w:eastAsia="Arial" w:hAnsi="Arial"/>
                <w:sz w:val="18"/>
                <w:szCs w:val="18"/>
                <w:color w:val="auto"/>
                <w:w w:val="87"/>
              </w:rPr>
              <w:t>$91.05</w:t>
            </w:r>
          </w:p>
        </w:tc>
      </w:tr>
      <w:tr>
        <w:trPr>
          <w:trHeight w:val="216"/>
        </w:trPr>
        <w:tc>
          <w:tcPr>
            <w:tcW w:w="2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 Year 15</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$68,994,360.15</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$5,749,530.01</w:t>
            </w:r>
          </w:p>
        </w:tc>
        <w:tc>
          <w:tcPr>
            <w:tcW w:w="38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$93.78</w:t>
            </w:r>
          </w:p>
        </w:tc>
      </w:tr>
      <w:tr>
        <w:trPr>
          <w:trHeight w:val="365"/>
        </w:trPr>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right"/>
              <w:ind w:right="159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5" w:name="page256"/>
    <w:bookmarkEnd w:id="255"/>
    <w:p>
      <w:pPr>
        <w:ind w:left="220" w:right="220" w:hanging="212"/>
        <w:spacing w:after="0" w:line="288" w:lineRule="auto"/>
        <w:tabs>
          <w:tab w:leader="none" w:pos="2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initial Annual Base Rent amount above was calculated by multiplying the initial Annual Base Rental Rate per Rentable Square Foot amount by the number of rentable square feet of space in the Premises, and the initial Monthly Installment of Base Rent amount was calculated by dividing the initial Annual Base Rent amount by twelve (12). Both Tenant and Landlord acknowledge and agree that multiplying the Monthly Installment of Base Rent</w:t>
      </w:r>
    </w:p>
    <w:p>
      <w:pPr>
        <w:ind w:left="220" w:right="40"/>
        <w:spacing w:after="0" w:line="265" w:lineRule="auto"/>
        <w:rPr>
          <w:sz w:val="20"/>
          <w:szCs w:val="20"/>
          <w:color w:val="auto"/>
        </w:rPr>
      </w:pPr>
      <w:r>
        <w:rPr>
          <w:rFonts w:ascii="Arial" w:cs="Arial" w:eastAsia="Arial" w:hAnsi="Arial"/>
          <w:sz w:val="17"/>
          <w:szCs w:val="17"/>
          <w:color w:val="auto"/>
        </w:rPr>
        <w:t>amount by twelve (12) does not always equal the Annual Base Rent amount. In all subsequent Base Rent payment periods during the Lease Term commencing on the first (1st) day of Lease Year 2, the calculation of each Annual Base Rent amount reflects an annual increase of three percent (3%) and each Monthly Installment of Base Rent amount was calculated by dividing the corresponding Annual Base Rent amount by twelve (12).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à  Subject to the terms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below, the Base Rent attributable to the periods specified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below shall be abated.</w:t>
      </w:r>
    </w:p>
    <w:p>
      <w:pPr>
        <w:spacing w:after="0" w:line="9" w:lineRule="exact"/>
        <w:rPr>
          <w:sz w:val="20"/>
          <w:szCs w:val="20"/>
          <w:color w:val="auto"/>
        </w:rPr>
      </w:pPr>
    </w:p>
    <w:p>
      <w:pPr>
        <w:ind w:left="220" w:right="880" w:hanging="212"/>
        <w:spacing w:after="0" w:line="261" w:lineRule="auto"/>
        <w:tabs>
          <w:tab w:leader="none" w:pos="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amounts identified in the column entitled “Annual Base Rental Rate per Rentable Square Foot” are rounded amounts and are provided for informational purposes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40" w:type="dxa"/>
            <w:vAlign w:val="bottom"/>
            <w:gridSpan w:val="3"/>
          </w:tcPr>
          <w:p>
            <w:pPr>
              <w:spacing w:after="0"/>
              <w:rPr>
                <w:sz w:val="20"/>
                <w:szCs w:val="20"/>
                <w:color w:val="auto"/>
              </w:rPr>
            </w:pPr>
            <w:r>
              <w:rPr>
                <w:rFonts w:ascii="Arial" w:cs="Arial" w:eastAsia="Arial" w:hAnsi="Arial"/>
                <w:sz w:val="18"/>
                <w:szCs w:val="18"/>
                <w:color w:val="auto"/>
              </w:rPr>
              <w:t>5.   Operating Expenses and Tax Expenses (Article 4):</w:t>
            </w: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w w:val="93"/>
              </w:rPr>
              <w:t>This is a “</w:t>
            </w:r>
            <w:r>
              <w:rPr>
                <w:rFonts w:ascii="Arial" w:cs="Arial" w:eastAsia="Arial" w:hAnsi="Arial"/>
                <w:sz w:val="18"/>
                <w:szCs w:val="18"/>
                <w:b w:val="1"/>
                <w:bCs w:val="1"/>
                <w:color w:val="auto"/>
                <w:w w:val="93"/>
              </w:rPr>
              <w:t>TRIPLE NET</w:t>
            </w:r>
            <w:r>
              <w:rPr>
                <w:rFonts w:ascii="Arial" w:cs="Arial" w:eastAsia="Arial" w:hAnsi="Arial"/>
                <w:sz w:val="18"/>
                <w:szCs w:val="18"/>
                <w:color w:val="auto"/>
                <w:w w:val="93"/>
              </w:rPr>
              <w:t>” lease and, as such, the provisions contained in</w:t>
            </w:r>
          </w:p>
        </w:tc>
      </w:t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w w:val="91"/>
              </w:rPr>
              <w:t>this Lease are intended to pass on to Tenant and reimburse Landlord for</w:t>
            </w:r>
          </w:p>
        </w:tc>
      </w:t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w w:val="93"/>
              </w:rPr>
              <w:t>the costs and expenses reasonably associated with this Lease and the</w:t>
            </w:r>
          </w:p>
        </w:tc>
      </w:t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rPr>
              <w:t>Project, and Tenant’s operation therefrom, subject to allocation in</w:t>
            </w:r>
          </w:p>
        </w:tc>
      </w:tr>
      <w:tr>
        <w:trPr>
          <w:trHeight w:val="190"/>
        </w:trPr>
        <w:tc>
          <w:tcPr>
            <w:tcW w:w="1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520" w:type="dxa"/>
            <w:vAlign w:val="bottom"/>
            <w:gridSpan w:val="5"/>
          </w:tcPr>
          <w:p>
            <w:pPr>
              <w:ind w:left="1220"/>
              <w:spacing w:after="0" w:line="190" w:lineRule="exact"/>
              <w:rPr>
                <w:sz w:val="20"/>
                <w:szCs w:val="20"/>
                <w:color w:val="auto"/>
              </w:rPr>
            </w:pPr>
            <w:r>
              <w:rPr>
                <w:rFonts w:ascii="Arial" w:cs="Arial" w:eastAsia="Arial" w:hAnsi="Arial"/>
                <w:sz w:val="18"/>
                <w:szCs w:val="18"/>
                <w:color w:val="auto"/>
                <w:w w:val="88"/>
              </w:rPr>
              <w:t>accordance with Section 4.3 below. To the extent such costs and expenses</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w w:val="94"/>
              </w:rPr>
              <w:t>payable by Tenant cannot be charged directly to, and paid by, Tenant,</w:t>
            </w:r>
          </w:p>
        </w:tc>
      </w:t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w w:val="94"/>
              </w:rPr>
              <w:t>such costs and expenses shall be paid by Landlord but reimbursed by</w:t>
            </w:r>
          </w:p>
        </w:tc>
      </w:tr>
      <w:tr>
        <w:trPr>
          <w:trHeight w:val="230"/>
        </w:trPr>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rPr>
              <w:t>Tenant as Additional Rent.</w:t>
            </w:r>
          </w:p>
        </w:tc>
      </w:tr>
      <w:tr>
        <w:trPr>
          <w:trHeight w:val="284"/>
        </w:trPr>
        <w:tc>
          <w:tcPr>
            <w:tcW w:w="4840" w:type="dxa"/>
            <w:vAlign w:val="bottom"/>
            <w:gridSpan w:val="3"/>
          </w:tcPr>
          <w:p>
            <w:pPr>
              <w:spacing w:after="0"/>
              <w:rPr>
                <w:sz w:val="20"/>
                <w:szCs w:val="20"/>
                <w:color w:val="auto"/>
              </w:rPr>
            </w:pPr>
            <w:r>
              <w:rPr>
                <w:rFonts w:ascii="Arial" w:cs="Arial" w:eastAsia="Arial" w:hAnsi="Arial"/>
                <w:sz w:val="18"/>
                <w:szCs w:val="18"/>
                <w:color w:val="auto"/>
              </w:rPr>
              <w:t>6.   Tenant’s Share (Article 4):</w:t>
            </w: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rPr>
              <w:t>100% of the North Building</w:t>
            </w:r>
          </w:p>
        </w:tc>
      </w:tr>
      <w:tr>
        <w:trPr>
          <w:trHeight w:val="358"/>
        </w:trPr>
        <w:tc>
          <w:tcPr>
            <w:tcW w:w="15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rPr>
              <w:t>100% of the North Tower</w:t>
            </w:r>
          </w:p>
        </w:tc>
      </w:tr>
      <w:tr>
        <w:trPr>
          <w:trHeight w:val="338"/>
        </w:trPr>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rPr>
              <w:t>100% of the South Building</w:t>
            </w:r>
          </w:p>
        </w:tc>
      </w:tr>
      <w:tr>
        <w:trPr>
          <w:trHeight w:val="338"/>
        </w:trPr>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rPr>
              <w:t>100% of the South Tower</w:t>
            </w:r>
          </w:p>
        </w:tc>
      </w:tr>
      <w:tr>
        <w:trPr>
          <w:trHeight w:val="323"/>
        </w:trPr>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520" w:type="dxa"/>
            <w:vAlign w:val="bottom"/>
            <w:gridSpan w:val="5"/>
          </w:tcPr>
          <w:p>
            <w:pPr>
              <w:ind w:left="1220"/>
              <w:spacing w:after="0"/>
              <w:rPr>
                <w:sz w:val="20"/>
                <w:szCs w:val="20"/>
                <w:color w:val="auto"/>
              </w:rPr>
            </w:pPr>
            <w:r>
              <w:rPr>
                <w:rFonts w:ascii="Arial" w:cs="Arial" w:eastAsia="Arial" w:hAnsi="Arial"/>
                <w:sz w:val="18"/>
                <w:szCs w:val="18"/>
                <w:color w:val="auto"/>
                <w:w w:val="93"/>
              </w:rPr>
              <w:t>* Tenant’s Share shall be determined separately for each Building, and</w:t>
            </w:r>
          </w:p>
        </w:tc>
      </w:t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520" w:type="dxa"/>
            <w:vAlign w:val="bottom"/>
            <w:gridSpan w:val="5"/>
          </w:tcPr>
          <w:p>
            <w:pPr>
              <w:ind w:left="1400"/>
              <w:spacing w:after="0"/>
              <w:rPr>
                <w:sz w:val="20"/>
                <w:szCs w:val="20"/>
                <w:color w:val="auto"/>
              </w:rPr>
            </w:pPr>
            <w:r>
              <w:rPr>
                <w:rFonts w:ascii="Arial" w:cs="Arial" w:eastAsia="Arial" w:hAnsi="Arial"/>
                <w:sz w:val="18"/>
                <w:szCs w:val="18"/>
                <w:color w:val="auto"/>
                <w:w w:val="96"/>
              </w:rPr>
              <w:t>shall be equal to 100% for each Building regardless of the rentable</w:t>
            </w:r>
          </w:p>
        </w:tc>
      </w:tr>
      <w:tr>
        <w:trPr>
          <w:trHeight w:val="216"/>
        </w:trPr>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520" w:type="dxa"/>
            <w:vAlign w:val="bottom"/>
            <w:gridSpan w:val="5"/>
          </w:tcPr>
          <w:p>
            <w:pPr>
              <w:ind w:left="1400"/>
              <w:spacing w:after="0"/>
              <w:rPr>
                <w:sz w:val="20"/>
                <w:szCs w:val="20"/>
                <w:color w:val="auto"/>
              </w:rPr>
            </w:pPr>
            <w:r>
              <w:rPr>
                <w:rFonts w:ascii="Arial" w:cs="Arial" w:eastAsia="Arial" w:hAnsi="Arial"/>
                <w:sz w:val="18"/>
                <w:szCs w:val="18"/>
                <w:color w:val="auto"/>
                <w:w w:val="95"/>
              </w:rPr>
              <w:t>square footage of the Retail Space, but subject to the Retail Space</w:t>
            </w:r>
          </w:p>
        </w:tc>
      </w:tr>
      <w:tr>
        <w:trPr>
          <w:trHeight w:val="190"/>
        </w:trPr>
        <w:tc>
          <w:tcPr>
            <w:tcW w:w="1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520" w:type="dxa"/>
            <w:vAlign w:val="bottom"/>
            <w:gridSpan w:val="5"/>
          </w:tcPr>
          <w:p>
            <w:pPr>
              <w:ind w:left="1400"/>
              <w:spacing w:after="0" w:line="190" w:lineRule="exact"/>
              <w:rPr>
                <w:sz w:val="20"/>
                <w:szCs w:val="20"/>
                <w:color w:val="auto"/>
              </w:rPr>
            </w:pPr>
            <w:r>
              <w:rPr>
                <w:rFonts w:ascii="Arial" w:cs="Arial" w:eastAsia="Arial" w:hAnsi="Arial"/>
                <w:sz w:val="18"/>
                <w:szCs w:val="18"/>
                <w:color w:val="auto"/>
              </w:rPr>
              <w:t>“Cost Pool” (as that term is defined in Section 4.3.2 below).</w:t>
            </w:r>
          </w:p>
        </w:tc>
      </w:tr>
      <w:tr>
        <w:trPr>
          <w:trHeight w:val="399"/>
        </w:trPr>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40" w:type="dxa"/>
            <w:vAlign w:val="bottom"/>
          </w:tcPr>
          <w:p>
            <w:pPr>
              <w:ind w:left="820"/>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256" w:name="page257"/>
    <w:bookmarkEnd w:id="2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gridSpan w:val="7"/>
          </w:tcPr>
          <w:p>
            <w:pPr>
              <w:ind w:left="1600"/>
              <w:spacing w:after="0"/>
              <w:rPr>
                <w:sz w:val="20"/>
                <w:szCs w:val="20"/>
                <w:color w:val="auto"/>
              </w:rPr>
            </w:pPr>
            <w:r>
              <w:rPr>
                <w:rFonts w:ascii="Arial" w:cs="Arial" w:eastAsia="Arial" w:hAnsi="Arial"/>
                <w:sz w:val="18"/>
                <w:szCs w:val="18"/>
                <w:color w:val="auto"/>
                <w:w w:val="96"/>
              </w:rPr>
              <w:t>* Tenant’s Share shall initially also be determined separately for each</w:t>
            </w:r>
          </w:p>
        </w:tc>
      </w:tr>
      <w:tr>
        <w:trPr>
          <w:trHeight w:val="216"/>
        </w:trPr>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gridSpan w:val="7"/>
          </w:tcPr>
          <w:p>
            <w:pPr>
              <w:ind w:left="1780"/>
              <w:spacing w:after="0"/>
              <w:rPr>
                <w:sz w:val="20"/>
                <w:szCs w:val="20"/>
                <w:color w:val="auto"/>
              </w:rPr>
            </w:pPr>
            <w:r>
              <w:rPr>
                <w:rFonts w:ascii="Arial" w:cs="Arial" w:eastAsia="Arial" w:hAnsi="Arial"/>
                <w:sz w:val="18"/>
                <w:szCs w:val="18"/>
                <w:color w:val="auto"/>
                <w:w w:val="93"/>
              </w:rPr>
              <w:t>Phase, such that Tenant is only paying Tenant’s Share based on the</w:t>
            </w:r>
          </w:p>
        </w:tc>
      </w:tr>
      <w:tr>
        <w:trPr>
          <w:trHeight w:val="216"/>
        </w:trPr>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gridSpan w:val="7"/>
          </w:tcPr>
          <w:p>
            <w:pPr>
              <w:ind w:left="1780"/>
              <w:spacing w:after="0"/>
              <w:rPr>
                <w:sz w:val="20"/>
                <w:szCs w:val="20"/>
                <w:color w:val="auto"/>
              </w:rPr>
            </w:pPr>
            <w:r>
              <w:rPr>
                <w:rFonts w:ascii="Arial" w:cs="Arial" w:eastAsia="Arial" w:hAnsi="Arial"/>
                <w:sz w:val="18"/>
                <w:szCs w:val="18"/>
                <w:color w:val="auto"/>
                <w:w w:val="91"/>
              </w:rPr>
              <w:t>rentable square footage of the Phase within a particular Building. After</w:t>
            </w:r>
          </w:p>
        </w:tc>
      </w:tr>
      <w:tr>
        <w:trPr>
          <w:trHeight w:val="216"/>
        </w:trPr>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gridSpan w:val="7"/>
          </w:tcPr>
          <w:p>
            <w:pPr>
              <w:ind w:left="1780"/>
              <w:spacing w:after="0"/>
              <w:rPr>
                <w:sz w:val="20"/>
                <w:szCs w:val="20"/>
                <w:color w:val="auto"/>
              </w:rPr>
            </w:pPr>
            <w:r>
              <w:rPr>
                <w:rFonts w:ascii="Arial" w:cs="Arial" w:eastAsia="Arial" w:hAnsi="Arial"/>
                <w:sz w:val="18"/>
                <w:szCs w:val="18"/>
                <w:color w:val="auto"/>
                <w:w w:val="91"/>
              </w:rPr>
              <w:t>the occurrence of the Phase III Lease Commencement Date, Tenant’s</w:t>
            </w:r>
          </w:p>
        </w:tc>
      </w:tr>
      <w:tr>
        <w:trPr>
          <w:trHeight w:val="230"/>
        </w:trPr>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920" w:type="dxa"/>
            <w:vAlign w:val="bottom"/>
            <w:gridSpan w:val="7"/>
          </w:tcPr>
          <w:p>
            <w:pPr>
              <w:ind w:left="1780"/>
              <w:spacing w:after="0"/>
              <w:rPr>
                <w:sz w:val="20"/>
                <w:szCs w:val="20"/>
                <w:color w:val="auto"/>
              </w:rPr>
            </w:pPr>
            <w:r>
              <w:rPr>
                <w:rFonts w:ascii="Arial" w:cs="Arial" w:eastAsia="Arial" w:hAnsi="Arial"/>
                <w:sz w:val="18"/>
                <w:szCs w:val="18"/>
                <w:color w:val="auto"/>
              </w:rPr>
              <w:t>Share shall be as set forth above.</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4160" w:type="dxa"/>
            <w:vAlign w:val="bottom"/>
            <w:gridSpan w:val="9"/>
          </w:tcPr>
          <w:p>
            <w:pPr>
              <w:ind w:left="60"/>
              <w:spacing w:after="0"/>
              <w:rPr>
                <w:sz w:val="20"/>
                <w:szCs w:val="20"/>
                <w:color w:val="auto"/>
              </w:rPr>
            </w:pPr>
            <w:r>
              <w:rPr>
                <w:rFonts w:ascii="Arial" w:cs="Arial" w:eastAsia="Arial" w:hAnsi="Arial"/>
                <w:sz w:val="18"/>
                <w:szCs w:val="18"/>
                <w:color w:val="auto"/>
              </w:rPr>
              <w:t>Permitted Use (Article 5):</w:t>
            </w:r>
          </w:p>
        </w:tc>
        <w:tc>
          <w:tcPr>
            <w:tcW w:w="6920" w:type="dxa"/>
            <w:vAlign w:val="bottom"/>
            <w:gridSpan w:val="7"/>
          </w:tcPr>
          <w:p>
            <w:pPr>
              <w:ind w:left="1600"/>
              <w:spacing w:after="0"/>
              <w:rPr>
                <w:sz w:val="20"/>
                <w:szCs w:val="20"/>
                <w:color w:val="auto"/>
              </w:rPr>
            </w:pPr>
            <w:r>
              <w:rPr>
                <w:rFonts w:ascii="Arial" w:cs="Arial" w:eastAsia="Arial" w:hAnsi="Arial"/>
                <w:sz w:val="18"/>
                <w:szCs w:val="18"/>
                <w:color w:val="auto"/>
                <w:w w:val="92"/>
              </w:rPr>
              <w:t>General office use together with ancillary uses consistent with high-tech,</w:t>
            </w:r>
          </w:p>
        </w:tc>
      </w:tr>
      <w:tr>
        <w:trPr>
          <w:trHeight w:val="222"/>
        </w:trPr>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gridSpan w:val="7"/>
          </w:tcPr>
          <w:p>
            <w:pPr>
              <w:ind w:left="1600"/>
              <w:spacing w:after="0"/>
              <w:rPr>
                <w:sz w:val="20"/>
                <w:szCs w:val="20"/>
                <w:color w:val="auto"/>
              </w:rPr>
            </w:pPr>
            <w:r>
              <w:rPr>
                <w:rFonts w:ascii="Arial" w:cs="Arial" w:eastAsia="Arial" w:hAnsi="Arial"/>
                <w:sz w:val="18"/>
                <w:szCs w:val="18"/>
                <w:color w:val="auto"/>
              </w:rPr>
              <w:t>single-tenant first-class office buildings, subject to the terms and</w:t>
            </w:r>
          </w:p>
        </w:tc>
      </w:tr>
      <w:tr>
        <w:trPr>
          <w:trHeight w:val="190"/>
        </w:trPr>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920" w:type="dxa"/>
            <w:vAlign w:val="bottom"/>
            <w:gridSpan w:val="7"/>
          </w:tcPr>
          <w:p>
            <w:pPr>
              <w:ind w:left="1600"/>
              <w:spacing w:after="0" w:line="190" w:lineRule="exact"/>
              <w:rPr>
                <w:sz w:val="20"/>
                <w:szCs w:val="20"/>
                <w:color w:val="auto"/>
              </w:rPr>
            </w:pPr>
            <w:r>
              <w:rPr>
                <w:rFonts w:ascii="Arial" w:cs="Arial" w:eastAsia="Arial" w:hAnsi="Arial"/>
                <w:sz w:val="18"/>
                <w:szCs w:val="18"/>
                <w:color w:val="auto"/>
              </w:rPr>
              <w:t>conditions set forth in Section 5.1 of this Lease.</w:t>
            </w:r>
          </w:p>
        </w:tc>
      </w:tr>
      <w:tr>
        <w:trPr>
          <w:trHeight w:val="20"/>
        </w:trPr>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4160" w:type="dxa"/>
            <w:vAlign w:val="bottom"/>
            <w:gridSpan w:val="9"/>
          </w:tcPr>
          <w:p>
            <w:pPr>
              <w:ind w:left="60"/>
              <w:spacing w:after="0"/>
              <w:rPr>
                <w:sz w:val="20"/>
                <w:szCs w:val="20"/>
                <w:color w:val="auto"/>
              </w:rPr>
            </w:pPr>
            <w:r>
              <w:rPr>
                <w:rFonts w:ascii="Arial" w:cs="Arial" w:eastAsia="Arial" w:hAnsi="Arial"/>
                <w:sz w:val="18"/>
                <w:szCs w:val="18"/>
                <w:color w:val="auto"/>
              </w:rPr>
              <w:t>Letter of Credit (Article 21):</w:t>
            </w:r>
          </w:p>
        </w:tc>
        <w:tc>
          <w:tcPr>
            <w:tcW w:w="6920" w:type="dxa"/>
            <w:vAlign w:val="bottom"/>
            <w:gridSpan w:val="7"/>
          </w:tcPr>
          <w:p>
            <w:pPr>
              <w:ind w:left="1600"/>
              <w:spacing w:after="0"/>
              <w:rPr>
                <w:sz w:val="20"/>
                <w:szCs w:val="20"/>
                <w:color w:val="auto"/>
              </w:rPr>
            </w:pPr>
            <w:r>
              <w:rPr>
                <w:rFonts w:ascii="Arial" w:cs="Arial" w:eastAsia="Arial" w:hAnsi="Arial"/>
                <w:sz w:val="18"/>
                <w:szCs w:val="18"/>
                <w:color w:val="auto"/>
                <w:w w:val="93"/>
              </w:rPr>
              <w:t>$34,210,050.00, subject to the terms and conditions of Article 21 of this</w:t>
            </w:r>
          </w:p>
        </w:tc>
      </w:tr>
      <w:tr>
        <w:trPr>
          <w:trHeight w:val="237"/>
        </w:trPr>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560" w:type="dxa"/>
            <w:vAlign w:val="bottom"/>
            <w:gridSpan w:val="4"/>
          </w:tcPr>
          <w:p>
            <w:pPr>
              <w:ind w:left="1600"/>
              <w:spacing w:after="0"/>
              <w:rPr>
                <w:sz w:val="20"/>
                <w:szCs w:val="20"/>
                <w:color w:val="auto"/>
              </w:rPr>
            </w:pPr>
            <w:r>
              <w:rPr>
                <w:rFonts w:ascii="Arial" w:cs="Arial" w:eastAsia="Arial" w:hAnsi="Arial"/>
                <w:sz w:val="18"/>
                <w:szCs w:val="18"/>
                <w:color w:val="auto"/>
              </w:rPr>
              <w:t>Lease.</w:t>
            </w:r>
          </w:p>
        </w:tc>
        <w:tc>
          <w:tcPr>
            <w:tcW w:w="720" w:type="dxa"/>
            <w:vAlign w:val="bottom"/>
            <w:tcBorders>
              <w:top w:val="single" w:sz="8" w:color="auto"/>
            </w:tcBorders>
            <w:gridSpan w:val="2"/>
          </w:tcPr>
          <w:p>
            <w:pPr>
              <w:spacing w:after="0"/>
              <w:rPr>
                <w:sz w:val="20"/>
                <w:szCs w:val="20"/>
                <w:color w:val="auto"/>
              </w:rPr>
            </w:pPr>
          </w:p>
        </w:tc>
        <w:tc>
          <w:tcPr>
            <w:tcW w:w="640" w:type="dxa"/>
            <w:vAlign w:val="bottom"/>
          </w:tcPr>
          <w:p>
            <w:pPr>
              <w:spacing w:after="0"/>
              <w:rPr>
                <w:sz w:val="20"/>
                <w:szCs w:val="20"/>
                <w:color w:val="auto"/>
              </w:rPr>
            </w:pP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4160" w:type="dxa"/>
            <w:vAlign w:val="bottom"/>
            <w:gridSpan w:val="9"/>
          </w:tcPr>
          <w:p>
            <w:pPr>
              <w:ind w:left="60"/>
              <w:spacing w:after="0"/>
              <w:rPr>
                <w:sz w:val="20"/>
                <w:szCs w:val="20"/>
                <w:color w:val="auto"/>
              </w:rPr>
            </w:pPr>
            <w:r>
              <w:rPr>
                <w:rFonts w:ascii="Arial" w:cs="Arial" w:eastAsia="Arial" w:hAnsi="Arial"/>
                <w:sz w:val="18"/>
                <w:szCs w:val="18"/>
                <w:color w:val="auto"/>
              </w:rPr>
              <w:t>Parking Passes (Article 28):</w:t>
            </w:r>
          </w:p>
        </w:tc>
        <w:tc>
          <w:tcPr>
            <w:tcW w:w="6920" w:type="dxa"/>
            <w:vAlign w:val="bottom"/>
            <w:gridSpan w:val="7"/>
          </w:tcPr>
          <w:p>
            <w:pPr>
              <w:ind w:left="1600"/>
              <w:spacing w:after="0"/>
              <w:rPr>
                <w:sz w:val="20"/>
                <w:szCs w:val="20"/>
                <w:color w:val="auto"/>
              </w:rPr>
            </w:pPr>
            <w:r>
              <w:rPr>
                <w:rFonts w:ascii="Arial" w:cs="Arial" w:eastAsia="Arial" w:hAnsi="Arial"/>
                <w:sz w:val="18"/>
                <w:szCs w:val="18"/>
                <w:color w:val="auto"/>
                <w:w w:val="92"/>
              </w:rPr>
              <w:t>One (1) unreserved parking pass for every 1,000 rentable square feet of</w:t>
            </w:r>
          </w:p>
        </w:tc>
      </w:tr>
      <w:tr>
        <w:trPr>
          <w:trHeight w:val="196"/>
        </w:trPr>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920" w:type="dxa"/>
            <w:vAlign w:val="bottom"/>
            <w:gridSpan w:val="7"/>
          </w:tcPr>
          <w:p>
            <w:pPr>
              <w:ind w:left="1600"/>
              <w:spacing w:after="0" w:line="196" w:lineRule="exact"/>
              <w:rPr>
                <w:sz w:val="20"/>
                <w:szCs w:val="20"/>
                <w:color w:val="auto"/>
              </w:rPr>
            </w:pPr>
            <w:r>
              <w:rPr>
                <w:rFonts w:ascii="Arial" w:cs="Arial" w:eastAsia="Arial" w:hAnsi="Arial"/>
                <w:sz w:val="18"/>
                <w:szCs w:val="18"/>
                <w:color w:val="auto"/>
                <w:w w:val="90"/>
              </w:rPr>
              <w:t>the then-existing Premises, subject to the terms of Article 28 of the Lease.</w:t>
            </w:r>
          </w:p>
        </w:tc>
      </w:tr>
      <w:tr>
        <w:trPr>
          <w:trHeight w:val="304"/>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4160" w:type="dxa"/>
            <w:vAlign w:val="bottom"/>
            <w:gridSpan w:val="9"/>
          </w:tcPr>
          <w:p>
            <w:pPr>
              <w:ind w:left="40"/>
              <w:spacing w:after="0"/>
              <w:rPr>
                <w:sz w:val="20"/>
                <w:szCs w:val="20"/>
                <w:color w:val="auto"/>
              </w:rPr>
            </w:pPr>
            <w:r>
              <w:rPr>
                <w:rFonts w:ascii="Arial" w:cs="Arial" w:eastAsia="Arial" w:hAnsi="Arial"/>
                <w:sz w:val="18"/>
                <w:szCs w:val="18"/>
                <w:color w:val="auto"/>
              </w:rPr>
              <w:t>Address of Tenant (Section 29.18):</w:t>
            </w:r>
          </w:p>
        </w:tc>
        <w:tc>
          <w:tcPr>
            <w:tcW w:w="5240" w:type="dxa"/>
            <w:vAlign w:val="bottom"/>
            <w:gridSpan w:val="3"/>
          </w:tcPr>
          <w:p>
            <w:pPr>
              <w:ind w:left="1600"/>
              <w:spacing w:after="0"/>
              <w:rPr>
                <w:sz w:val="20"/>
                <w:szCs w:val="20"/>
                <w:color w:val="auto"/>
              </w:rPr>
            </w:pPr>
            <w:r>
              <w:rPr>
                <w:rFonts w:ascii="Arial" w:cs="Arial" w:eastAsia="Arial" w:hAnsi="Arial"/>
                <w:sz w:val="18"/>
                <w:szCs w:val="18"/>
                <w:color w:val="auto"/>
              </w:rPr>
              <w:t>Dropbox, Inc.</w:t>
            </w:r>
          </w:p>
        </w:tc>
        <w:tc>
          <w:tcPr>
            <w:tcW w:w="720" w:type="dxa"/>
            <w:vAlign w:val="bottom"/>
            <w:tcBorders>
              <w:top w:val="single" w:sz="8" w:color="auto"/>
            </w:tcBorders>
            <w:gridSpan w:val="2"/>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6920" w:type="dxa"/>
            <w:vAlign w:val="bottom"/>
            <w:gridSpan w:val="7"/>
          </w:tcPr>
          <w:p>
            <w:pPr>
              <w:ind w:left="1600"/>
              <w:spacing w:after="0"/>
              <w:rPr>
                <w:sz w:val="20"/>
                <w:szCs w:val="20"/>
                <w:color w:val="auto"/>
              </w:rPr>
            </w:pPr>
            <w:r>
              <w:rPr>
                <w:rFonts w:ascii="Arial" w:cs="Arial" w:eastAsia="Arial" w:hAnsi="Arial"/>
                <w:sz w:val="18"/>
                <w:szCs w:val="18"/>
                <w:color w:val="auto"/>
              </w:rPr>
              <w:t>333 Brannan Street</w:t>
            </w:r>
          </w:p>
        </w:tc>
      </w:tr>
    </w:tbl>
    <w:p>
      <w:pPr>
        <w:ind w:left="6060"/>
        <w:spacing w:after="0"/>
        <w:rPr>
          <w:sz w:val="20"/>
          <w:szCs w:val="20"/>
          <w:color w:val="auto"/>
        </w:rPr>
      </w:pPr>
      <w:r>
        <w:rPr>
          <w:rFonts w:ascii="Arial" w:cs="Arial" w:eastAsia="Arial" w:hAnsi="Arial"/>
          <w:sz w:val="18"/>
          <w:szCs w:val="18"/>
          <w:color w:val="auto"/>
        </w:rPr>
        <w:t>San Francisco, California 94107</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Head of Real Estate and Workplace</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With at all times, copies to:</w:t>
      </w:r>
    </w:p>
    <w:p>
      <w:pPr>
        <w:spacing w:after="0" w:line="13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333 Brannan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 Francisco, California 94107</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Legal Department</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to:</w:t>
      </w:r>
    </w:p>
    <w:p>
      <w:pPr>
        <w:spacing w:after="0" w:line="13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Shartsis Friese LLP</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One Maritime Plaza, 18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Jonathan M. Kennedy, Esq.</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07"/>
        </w:trPr>
        <w:tc>
          <w:tcPr>
            <w:tcW w:w="2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4100" w:type="dxa"/>
            <w:vAlign w:val="bottom"/>
            <w:gridSpan w:val="7"/>
          </w:tcPr>
          <w:p>
            <w:pPr>
              <w:ind w:left="60"/>
              <w:spacing w:after="0"/>
              <w:rPr>
                <w:sz w:val="20"/>
                <w:szCs w:val="20"/>
                <w:color w:val="auto"/>
              </w:rPr>
            </w:pPr>
            <w:r>
              <w:rPr>
                <w:rFonts w:ascii="Arial" w:cs="Arial" w:eastAsia="Arial" w:hAnsi="Arial"/>
                <w:sz w:val="18"/>
                <w:szCs w:val="18"/>
                <w:color w:val="auto"/>
              </w:rPr>
              <w:t>Address of Landlord (Section 29.18):</w:t>
            </w:r>
          </w:p>
        </w:tc>
        <w:tc>
          <w:tcPr>
            <w:tcW w:w="6620" w:type="dxa"/>
            <w:vAlign w:val="bottom"/>
          </w:tcPr>
          <w:p>
            <w:pPr>
              <w:ind w:left="1680"/>
              <w:spacing w:after="0"/>
              <w:rPr>
                <w:sz w:val="20"/>
                <w:szCs w:val="20"/>
                <w:color w:val="auto"/>
              </w:rPr>
            </w:pPr>
            <w:r>
              <w:rPr>
                <w:rFonts w:ascii="Arial" w:cs="Arial" w:eastAsia="Arial" w:hAnsi="Arial"/>
                <w:sz w:val="18"/>
                <w:szCs w:val="18"/>
                <w:color w:val="auto"/>
              </w:rPr>
              <w:t>KR Mission Bay, LLC</w:t>
            </w:r>
          </w:p>
        </w:tc>
      </w:tr>
      <w:tr>
        <w:trPr>
          <w:trHeight w:val="222"/>
        </w:trPr>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c/o Kilroy Realty Corporation</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12200 W. Olympic Blvd., Suite 200</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Los Angeles, California 90064</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Attention: Legal Department</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Phone: (310) 481-8400</w:t>
            </w:r>
          </w:p>
        </w:tc>
      </w:tr>
      <w:tr>
        <w:trPr>
          <w:trHeight w:val="230"/>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Facsimile: (310) 481-6530</w:t>
            </w:r>
          </w:p>
        </w:tc>
      </w:tr>
      <w:tr>
        <w:trPr>
          <w:trHeight w:val="338"/>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and to:</w:t>
            </w:r>
          </w:p>
        </w:tc>
      </w:tr>
      <w:tr>
        <w:trPr>
          <w:trHeight w:val="323"/>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Kilroy Realty, L.P.</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c/o Kilroy Realty Corporation</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12200 W. Olympic Blvd., Suite 200</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Los Angeles, California 90064</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Attention: Mr. John Fucci</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Phone: (310) 481-8400</w:t>
            </w:r>
          </w:p>
        </w:tc>
      </w:tr>
      <w:tr>
        <w:trPr>
          <w:trHeight w:val="230"/>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Facsimile: (310) 481-6520</w:t>
            </w:r>
          </w:p>
        </w:tc>
      </w:tr>
      <w:tr>
        <w:trPr>
          <w:trHeight w:val="338"/>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and</w:t>
            </w:r>
          </w:p>
        </w:tc>
      </w:tr>
      <w:tr>
        <w:trPr>
          <w:trHeight w:val="323"/>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Kilroy Realty Corporation</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100 First Street</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Office of the Building, Suite 250</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San Francisco, California 94105</w:t>
            </w:r>
          </w:p>
        </w:tc>
      </w:tr>
      <w:tr>
        <w:trPr>
          <w:trHeight w:val="230"/>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Attention: Asset Management</w:t>
            </w:r>
          </w:p>
        </w:tc>
      </w:tr>
      <w:tr>
        <w:trPr>
          <w:trHeight w:val="338"/>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With a Copy to:</w:t>
            </w:r>
          </w:p>
        </w:tc>
      </w:tr>
      <w:tr>
        <w:trPr>
          <w:trHeight w:val="323"/>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Allen Matkins Leck Gamble Mallory &amp; Natsis LLP</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1901 Avenue of the Stars, Suite 1800</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Los Angeles, California 90067</w:t>
            </w:r>
          </w:p>
        </w:tc>
      </w:tr>
      <w:tr>
        <w:trPr>
          <w:trHeight w:val="230"/>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Attention: Anton N. Natsis, Esq.</w:t>
            </w:r>
          </w:p>
        </w:tc>
      </w:tr>
      <w:tr>
        <w:trPr>
          <w:trHeight w:val="338"/>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Wiring Instructions:</w:t>
            </w:r>
          </w:p>
        </w:tc>
      </w:tr>
      <w:tr>
        <w:trPr>
          <w:trHeight w:val="323"/>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Bank Name: Union Bank</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w w:val="89"/>
              </w:rPr>
              <w:t>Bank Address: 445 S. Figueroa Street, Los Angeles, CA 90071-1602</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ABA Number: ####</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Account Number: ####</w:t>
            </w:r>
          </w:p>
        </w:tc>
      </w:tr>
      <w:tr>
        <w:trPr>
          <w:trHeight w:val="216"/>
        </w:trPr>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Account Name: ####</w:t>
            </w:r>
          </w:p>
        </w:tc>
      </w:tr>
      <w:tr>
        <w:trPr>
          <w:trHeight w:val="230"/>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Attention: ####</w:t>
            </w:r>
          </w:p>
        </w:tc>
      </w:tr>
      <w:tr>
        <w:trPr>
          <w:trHeight w:val="297"/>
        </w:trPr>
        <w:tc>
          <w:tcPr>
            <w:tcW w:w="280" w:type="dxa"/>
            <w:vAlign w:val="bottom"/>
          </w:tcPr>
          <w:p>
            <w:pPr>
              <w:jc w:val="right"/>
              <w:spacing w:after="0"/>
              <w:rPr>
                <w:sz w:val="20"/>
                <w:szCs w:val="20"/>
                <w:color w:val="auto"/>
              </w:rPr>
            </w:pPr>
            <w:r>
              <w:rPr>
                <w:rFonts w:ascii="Arial" w:cs="Arial" w:eastAsia="Arial" w:hAnsi="Arial"/>
                <w:sz w:val="18"/>
                <w:szCs w:val="18"/>
                <w:color w:val="auto"/>
                <w:w w:val="87"/>
              </w:rPr>
              <w:t>12.</w:t>
            </w:r>
          </w:p>
        </w:tc>
        <w:tc>
          <w:tcPr>
            <w:tcW w:w="4100" w:type="dxa"/>
            <w:vAlign w:val="bottom"/>
            <w:gridSpan w:val="7"/>
          </w:tcPr>
          <w:p>
            <w:pPr>
              <w:ind w:left="80"/>
              <w:spacing w:after="0"/>
              <w:rPr>
                <w:sz w:val="20"/>
                <w:szCs w:val="20"/>
                <w:color w:val="auto"/>
              </w:rPr>
            </w:pPr>
            <w:r>
              <w:rPr>
                <w:rFonts w:ascii="Arial" w:cs="Arial" w:eastAsia="Arial" w:hAnsi="Arial"/>
                <w:sz w:val="18"/>
                <w:szCs w:val="18"/>
                <w:color w:val="auto"/>
              </w:rPr>
              <w:t>Brokers (Section 29.24):</w:t>
            </w:r>
          </w:p>
        </w:tc>
        <w:tc>
          <w:tcPr>
            <w:tcW w:w="6620" w:type="dxa"/>
            <w:vAlign w:val="bottom"/>
          </w:tcPr>
          <w:p>
            <w:pPr>
              <w:ind w:left="1680"/>
              <w:spacing w:after="0"/>
              <w:rPr>
                <w:sz w:val="20"/>
                <w:szCs w:val="20"/>
                <w:color w:val="auto"/>
              </w:rPr>
            </w:pPr>
            <w:r>
              <w:rPr>
                <w:rFonts w:ascii="Arial" w:cs="Arial" w:eastAsia="Arial" w:hAnsi="Arial"/>
                <w:sz w:val="18"/>
                <w:szCs w:val="18"/>
                <w:color w:val="auto"/>
              </w:rPr>
              <w:t>CBRE, Inc.</w:t>
            </w:r>
          </w:p>
        </w:tc>
      </w:tr>
      <w:tr>
        <w:trPr>
          <w:trHeight w:val="237"/>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(representing Landlord)</w:t>
            </w:r>
          </w:p>
        </w:tc>
      </w:tr>
      <w:tr>
        <w:trPr>
          <w:trHeight w:val="323"/>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CBRE, Inc.</w:t>
            </w:r>
          </w:p>
        </w:tc>
      </w:tr>
      <w:tr>
        <w:trPr>
          <w:trHeight w:val="230"/>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(representing Tenant)</w:t>
            </w:r>
          </w:p>
        </w:tc>
      </w:tr>
      <w:tr>
        <w:trPr>
          <w:trHeight w:val="297"/>
        </w:trPr>
        <w:tc>
          <w:tcPr>
            <w:tcW w:w="28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4100" w:type="dxa"/>
            <w:vAlign w:val="bottom"/>
            <w:gridSpan w:val="7"/>
          </w:tcPr>
          <w:p>
            <w:pPr>
              <w:ind w:left="80"/>
              <w:spacing w:after="0"/>
              <w:rPr>
                <w:sz w:val="20"/>
                <w:szCs w:val="20"/>
                <w:color w:val="auto"/>
              </w:rPr>
            </w:pPr>
            <w:r>
              <w:rPr>
                <w:rFonts w:ascii="Arial" w:cs="Arial" w:eastAsia="Arial" w:hAnsi="Arial"/>
                <w:sz w:val="18"/>
                <w:szCs w:val="18"/>
                <w:color w:val="auto"/>
              </w:rPr>
              <w:t>Improvement Allowance (</w:t>
            </w:r>
            <w:r>
              <w:rPr>
                <w:rFonts w:ascii="Arial" w:cs="Arial" w:eastAsia="Arial" w:hAnsi="Arial"/>
                <w:sz w:val="18"/>
                <w:szCs w:val="18"/>
                <w:b w:val="1"/>
                <w:bCs w:val="1"/>
                <w:color w:val="auto"/>
              </w:rPr>
              <w:t>Exhibit B</w:t>
            </w:r>
            <w:r>
              <w:rPr>
                <w:rFonts w:ascii="Arial" w:cs="Arial" w:eastAsia="Arial" w:hAnsi="Arial"/>
                <w:sz w:val="18"/>
                <w:szCs w:val="18"/>
                <w:color w:val="auto"/>
              </w:rPr>
              <w:t>):</w:t>
            </w:r>
          </w:p>
        </w:tc>
        <w:tc>
          <w:tcPr>
            <w:tcW w:w="6620" w:type="dxa"/>
            <w:vAlign w:val="bottom"/>
          </w:tcPr>
          <w:p>
            <w:pPr>
              <w:ind w:left="1680"/>
              <w:spacing w:after="0"/>
              <w:rPr>
                <w:sz w:val="20"/>
                <w:szCs w:val="20"/>
                <w:color w:val="auto"/>
              </w:rPr>
            </w:pPr>
            <w:r>
              <w:rPr>
                <w:rFonts w:ascii="Arial" w:cs="Arial" w:eastAsia="Arial" w:hAnsi="Arial"/>
                <w:sz w:val="18"/>
                <w:szCs w:val="18"/>
                <w:color w:val="auto"/>
                <w:w w:val="94"/>
              </w:rPr>
              <w:t>An amount equal to $100.00 per rentable square foot of the entire</w:t>
            </w:r>
          </w:p>
        </w:tc>
      </w:tr>
      <w:tr>
        <w:trPr>
          <w:trHeight w:val="237"/>
        </w:trPr>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6620" w:type="dxa"/>
            <w:vAlign w:val="bottom"/>
          </w:tcPr>
          <w:p>
            <w:pPr>
              <w:ind w:left="1680"/>
              <w:spacing w:after="0"/>
              <w:rPr>
                <w:sz w:val="20"/>
                <w:szCs w:val="20"/>
                <w:color w:val="auto"/>
              </w:rPr>
            </w:pPr>
            <w:r>
              <w:rPr>
                <w:rFonts w:ascii="Arial" w:cs="Arial" w:eastAsia="Arial" w:hAnsi="Arial"/>
                <w:sz w:val="18"/>
                <w:szCs w:val="18"/>
                <w:color w:val="auto"/>
              </w:rPr>
              <w:t>Premises.</w:t>
            </w:r>
          </w:p>
        </w:tc>
      </w:tr>
      <w:tr>
        <w:trPr>
          <w:trHeight w:val="365"/>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tcPr>
          <w:p>
            <w:pPr>
              <w:ind w:left="1280"/>
              <w:spacing w:after="0"/>
              <w:rPr>
                <w:sz w:val="20"/>
                <w:szCs w:val="20"/>
                <w:color w:val="auto"/>
              </w:rPr>
            </w:pPr>
            <w:r>
              <w:rPr>
                <w:rFonts w:ascii="Arial" w:cs="Arial" w:eastAsia="Arial" w:hAnsi="Arial"/>
                <w:sz w:val="18"/>
                <w:szCs w:val="18"/>
                <w:color w:val="auto"/>
              </w:rPr>
              <w:t>7</w:t>
            </w:r>
          </w:p>
        </w:tc>
      </w:tr>
    </w:tbl>
    <w:p>
      <w:pPr>
        <w:ind w:left="1280"/>
        <w:spacing w:after="0"/>
        <w:rPr>
          <w:sz w:val="20"/>
          <w:szCs w:val="20"/>
          <w:color w:val="auto"/>
        </w:rPr>
        <w:sectPr>
          <w:pgSz w:w="11900" w:h="16838" w:orient="portrait"/>
          <w:cols w:equalWidth="0" w:num="1">
            <w:col w:w="11000"/>
          </w:cols>
          <w:pgMar w:left="240" w:top="257" w:right="6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58" w:name="page259"/>
    <w:bookmarkEnd w:id="25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u w:val="single" w:color="auto"/>
          <w:color w:val="auto"/>
        </w:rPr>
        <w:t>PREMISES, BUILDINGS, PROJECT, AND COMMON AREAS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Premises, Buildings, Project and Common Areas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The Premises</w:t>
      </w:r>
      <w:r>
        <w:rPr>
          <w:rFonts w:ascii="Arial" w:cs="Arial" w:eastAsia="Arial" w:hAnsi="Arial"/>
          <w:sz w:val="16"/>
          <w:szCs w:val="16"/>
          <w:color w:val="auto"/>
        </w:rPr>
        <w:t xml:space="preserve">. Landlord hereby leases to Tenant and Tenant hereby leases from Landlord the premises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outlines of each floor of the Premises are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and each floor of the Premises has the number of rentable square feet as set forth in </w:t>
      </w:r>
      <w:r>
        <w:rPr>
          <w:rFonts w:ascii="Arial" w:cs="Arial" w:eastAsia="Arial" w:hAnsi="Arial"/>
          <w:sz w:val="16"/>
          <w:szCs w:val="16"/>
          <w:b w:val="1"/>
          <w:bCs w:val="1"/>
          <w:u w:val="single" w:color="auto"/>
          <w:color w:val="auto"/>
        </w:rPr>
        <w:t>Exhibit A-1</w:t>
      </w:r>
      <w:r>
        <w:rPr>
          <w:rFonts w:ascii="Arial" w:cs="Arial" w:eastAsia="Arial" w:hAnsi="Arial"/>
          <w:sz w:val="16"/>
          <w:szCs w:val="16"/>
          <w:color w:val="auto"/>
        </w:rPr>
        <w:t xml:space="preserve"> attached hereto. No later than March 31, 2018, Tenant shall deliver written notice (the “</w:t>
      </w:r>
      <w:r>
        <w:rPr>
          <w:rFonts w:ascii="Arial" w:cs="Arial" w:eastAsia="Arial" w:hAnsi="Arial"/>
          <w:sz w:val="16"/>
          <w:szCs w:val="16"/>
          <w:b w:val="1"/>
          <w:bCs w:val="1"/>
          <w:color w:val="auto"/>
        </w:rPr>
        <w:t>Phase</w:t>
      </w:r>
      <w:r>
        <w:rPr>
          <w:rFonts w:ascii="Arial" w:cs="Arial" w:eastAsia="Arial" w:hAnsi="Arial"/>
          <w:sz w:val="16"/>
          <w:szCs w:val="16"/>
          <w:color w:val="auto"/>
        </w:rPr>
        <w:t xml:space="preserve"> </w:t>
      </w:r>
      <w:r>
        <w:rPr>
          <w:rFonts w:ascii="Arial" w:cs="Arial" w:eastAsia="Arial" w:hAnsi="Arial"/>
          <w:sz w:val="16"/>
          <w:szCs w:val="16"/>
          <w:b w:val="1"/>
          <w:bCs w:val="1"/>
          <w:color w:val="auto"/>
        </w:rPr>
        <w:t>Designation Notice</w:t>
      </w:r>
      <w:r>
        <w:rPr>
          <w:rFonts w:ascii="Arial" w:cs="Arial" w:eastAsia="Arial" w:hAnsi="Arial"/>
          <w:sz w:val="16"/>
          <w:szCs w:val="16"/>
          <w:color w:val="auto"/>
        </w:rPr>
        <w:t>”) to Landlord, for Landlord’s reasonable approval, of Tenant’s proposed location and size of each Phase of the Premises,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rentable square footage requirements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and further provided that each Phase shall consist primarily of full floor increments of space. Concurrently with Tenant’s delivery of the Phase Designation Notice, Tenant shall provide any additional amount required to be provided to Landlord as payment for the first month of Base Rent applicable to the Phase I Premises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below. Notwithstanding the March 31, 2018 deadline set forth above, after Tenant’s delivery of the Phase Designation Notice, prior to the earlier of the Phase I Lease Commencement Date and Tenant’s submittal of the Final Working Drawings (as defined in the Work Letter) for the Phase I Premises to Landlord for approval, Tenant shall have the right to modify Tenant’s proposed location and size of each Phase of the Premises as set forth in the Phase Designation Notice, subject to the rentable square footage requirements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and further provided that each Phase shall continue to consist primarily of full floor increments of space (and Tenant shall have the right to make a similar adjustment with respect to the proposed location and size of the Phase II Premises and the Phase III Premises prior to Tenant’s submittal of the Final Working Drawings for the Phase II Premises). Following determination of the location of each Phase, Landlord and Tenant shall promptly execute an amendment to this Lease setting forth the location and rentable square footage of each Phase, the Base Rent schedule for each Phase, and Tenant’s Share with respect to each Phase.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to show the location of the Premises in the Buildings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below, or the elements thereof or of the accessways to the Premises or the “Project,”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Except as specifically set forth in this Lease and in the Work Letter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Work Letter</w:t>
      </w:r>
      <w:r>
        <w:rPr>
          <w:rFonts w:ascii="Arial" w:cs="Arial" w:eastAsia="Arial" w:hAnsi="Arial"/>
          <w:sz w:val="16"/>
          <w:szCs w:val="16"/>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Buildings or the Project or with respect to the suitability of any of the foregoing for the conduct of Tenant’s business, except as specifically set forth in this Lease and the Work Letter.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259" w:name="page260"/>
    <w:bookmarkEnd w:id="259"/>
    <w:p>
      <w:pPr>
        <w:ind w:right="180" w:firstLine="91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1.1.2 </w:t>
      </w:r>
      <w:r>
        <w:rPr>
          <w:rFonts w:ascii="Arial" w:cs="Arial" w:eastAsia="Arial" w:hAnsi="Arial"/>
          <w:sz w:val="18"/>
          <w:szCs w:val="18"/>
          <w:b w:val="1"/>
          <w:bCs w:val="1"/>
          <w:u w:val="single" w:color="auto"/>
          <w:color w:val="auto"/>
        </w:rPr>
        <w:t>The Project</w:t>
      </w:r>
      <w:r>
        <w:rPr>
          <w:rFonts w:ascii="Arial" w:cs="Arial" w:eastAsia="Arial" w:hAnsi="Arial"/>
          <w:sz w:val="18"/>
          <w:szCs w:val="18"/>
          <w:color w:val="auto"/>
        </w:rPr>
        <w:t>. The term “</w:t>
      </w:r>
      <w:r>
        <w:rPr>
          <w:rFonts w:ascii="Arial" w:cs="Arial" w:eastAsia="Arial" w:hAnsi="Arial"/>
          <w:sz w:val="18"/>
          <w:szCs w:val="18"/>
          <w:b w:val="1"/>
          <w:bCs w:val="1"/>
          <w:color w:val="auto"/>
        </w:rPr>
        <w:t>Project</w:t>
      </w:r>
      <w:r>
        <w:rPr>
          <w:rFonts w:ascii="Arial" w:cs="Arial" w:eastAsia="Arial" w:hAnsi="Arial"/>
          <w:sz w:val="18"/>
          <w:szCs w:val="18"/>
          <w:color w:val="auto"/>
        </w:rPr>
        <w:t>,” as used in this Lease, shall mean (i) the Buildings (including the Parking Facilities located therein) and the Common Areas, and (ii) the land (which is improved with landscaping and other improvements) upon which the Buildings and the Common Areas are located.</w:t>
      </w:r>
    </w:p>
    <w:p>
      <w:pPr>
        <w:spacing w:after="0" w:line="6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xml:space="preserve">. Tenant shall have the non-exclusive right to use in common with other tenants in the Project, and subject to the rules and regulations referred to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The Common Areas shall consist of the “Project Common Areas” and the “Building Common Areas.” The term “</w:t>
      </w:r>
      <w:r>
        <w:rPr>
          <w:rFonts w:ascii="Arial" w:cs="Arial" w:eastAsia="Arial" w:hAnsi="Arial"/>
          <w:sz w:val="16"/>
          <w:szCs w:val="16"/>
          <w:b w:val="1"/>
          <w:bCs w:val="1"/>
          <w:color w:val="auto"/>
        </w:rPr>
        <w:t>Project Common Areas</w:t>
      </w:r>
      <w:r>
        <w:rPr>
          <w:rFonts w:ascii="Arial" w:cs="Arial" w:eastAsia="Arial" w:hAnsi="Arial"/>
          <w:sz w:val="16"/>
          <w:szCs w:val="16"/>
          <w:color w:val="auto"/>
        </w:rPr>
        <w:t>,” as used in this Lease, shall mean the portion of the Project designated as such by Landlord (inclusive of any exterior landscaped areas). The term “</w:t>
      </w:r>
      <w:r>
        <w:rPr>
          <w:rFonts w:ascii="Arial" w:cs="Arial" w:eastAsia="Arial" w:hAnsi="Arial"/>
          <w:sz w:val="16"/>
          <w:szCs w:val="16"/>
          <w:b w:val="1"/>
          <w:bCs w:val="1"/>
          <w:color w:val="auto"/>
        </w:rPr>
        <w:t>Building Common Areas</w:t>
      </w:r>
      <w:r>
        <w:rPr>
          <w:rFonts w:ascii="Arial" w:cs="Arial" w:eastAsia="Arial" w:hAnsi="Arial"/>
          <w:sz w:val="16"/>
          <w:szCs w:val="16"/>
          <w:color w:val="auto"/>
        </w:rPr>
        <w:t>,” as used in this Lease, shall mean the portions of the Common Areas located within the Buildings designated as such by Landlord. The Project includes two (2) ground floor lobbies: one (1) lobby (the “</w:t>
      </w:r>
      <w:r>
        <w:rPr>
          <w:rFonts w:ascii="Arial" w:cs="Arial" w:eastAsia="Arial" w:hAnsi="Arial"/>
          <w:sz w:val="16"/>
          <w:szCs w:val="16"/>
          <w:b w:val="1"/>
          <w:bCs w:val="1"/>
          <w:color w:val="auto"/>
        </w:rPr>
        <w:t>North Lobby</w:t>
      </w:r>
      <w:r>
        <w:rPr>
          <w:rFonts w:ascii="Arial" w:cs="Arial" w:eastAsia="Arial" w:hAnsi="Arial"/>
          <w:sz w:val="16"/>
          <w:szCs w:val="16"/>
          <w:color w:val="auto"/>
        </w:rPr>
        <w:t>”) provides access to the North Building and North Tower, including the Retail Space; and one (1) lobby (the “</w:t>
      </w:r>
      <w:r>
        <w:rPr>
          <w:rFonts w:ascii="Arial" w:cs="Arial" w:eastAsia="Arial" w:hAnsi="Arial"/>
          <w:sz w:val="16"/>
          <w:szCs w:val="16"/>
          <w:b w:val="1"/>
          <w:bCs w:val="1"/>
          <w:color w:val="auto"/>
        </w:rPr>
        <w:t>South Lobby</w:t>
      </w:r>
      <w:r>
        <w:rPr>
          <w:rFonts w:ascii="Arial" w:cs="Arial" w:eastAsia="Arial" w:hAnsi="Arial"/>
          <w:sz w:val="16"/>
          <w:szCs w:val="16"/>
          <w:color w:val="auto"/>
        </w:rPr>
        <w:t xml:space="preserve">”) provides access to both the South Building and the South Tower. The North Lobby and South Lobby are Building Common Areas. The manner in which the Common Areas are maintained and operated shall be at the reasonable discretion of Landlord (but shall at least be consistent with the provision of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below and the manner in which the common areas of the “Comparable Buildings,” as defined in </w:t>
      </w:r>
      <w:r>
        <w:rPr>
          <w:rFonts w:ascii="Arial" w:cs="Arial" w:eastAsia="Arial" w:hAnsi="Arial"/>
          <w:sz w:val="16"/>
          <w:szCs w:val="16"/>
          <w:b w:val="1"/>
          <w:bCs w:val="1"/>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color w:val="auto"/>
        </w:rPr>
        <w:t>G</w:t>
      </w:r>
      <w:r>
        <w:rPr>
          <w:rFonts w:ascii="Arial" w:cs="Arial" w:eastAsia="Arial" w:hAnsi="Arial"/>
          <w:sz w:val="16"/>
          <w:szCs w:val="16"/>
          <w:color w:val="auto"/>
        </w:rPr>
        <w:t xml:space="preserve"> attached hereto, are maintained and operated) and the use thereof shall be subject to such reasonable rules, regulations and restrictions as Landlord may make from time to time.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any material interference with Tenant’s use of and access to the Premises. Any such closures, alterations or additions will be subject to the terms of </w:t>
      </w:r>
      <w:r>
        <w:rPr>
          <w:rFonts w:ascii="Arial" w:cs="Arial" w:eastAsia="Arial" w:hAnsi="Arial"/>
          <w:sz w:val="16"/>
          <w:szCs w:val="16"/>
          <w:u w:val="single" w:color="auto"/>
          <w:color w:val="auto"/>
        </w:rPr>
        <w:t>Section 19.5.2</w:t>
      </w:r>
      <w:r>
        <w:rPr>
          <w:rFonts w:ascii="Arial" w:cs="Arial" w:eastAsia="Arial" w:hAnsi="Arial"/>
          <w:sz w:val="16"/>
          <w:szCs w:val="16"/>
          <w:color w:val="auto"/>
        </w:rPr>
        <w:t xml:space="preserve"> below.</w:t>
      </w:r>
    </w:p>
    <w:p>
      <w:pPr>
        <w:spacing w:after="0" w:line="61"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Stipulation of Rentable Square Feet of Premises and Buildings</w:t>
      </w:r>
      <w:r>
        <w:rPr>
          <w:rFonts w:ascii="Arial" w:cs="Arial" w:eastAsia="Arial" w:hAnsi="Arial"/>
          <w:sz w:val="18"/>
          <w:szCs w:val="18"/>
          <w:color w:val="auto"/>
        </w:rPr>
        <w:t xml:space="preserve">. For purposes of this Lease, the rentable square feet of the Premises, and each floor of the Premises, shall be deemed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Summary and the rentable square feet of each of the Buildings shall be deemed as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Summary (and in each case as shown on </w:t>
      </w:r>
      <w:r>
        <w:rPr>
          <w:rFonts w:ascii="Arial" w:cs="Arial" w:eastAsia="Arial" w:hAnsi="Arial"/>
          <w:sz w:val="18"/>
          <w:szCs w:val="18"/>
          <w:b w:val="1"/>
          <w:bCs w:val="1"/>
          <w:u w:val="single" w:color="auto"/>
          <w:color w:val="auto"/>
        </w:rPr>
        <w:t>Exhibit A-1</w:t>
      </w:r>
      <w:r>
        <w:rPr>
          <w:rFonts w:ascii="Arial" w:cs="Arial" w:eastAsia="Arial" w:hAnsi="Arial"/>
          <w:sz w:val="18"/>
          <w:szCs w:val="18"/>
          <w:color w:val="auto"/>
        </w:rPr>
        <w:t xml:space="preserve"> attached hereto).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LEASE TERM; OPTION TERMS</w:t>
      </w:r>
    </w:p>
    <w:p>
      <w:pPr>
        <w:spacing w:after="0" w:line="117"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Lease Term</w:t>
      </w:r>
      <w:r>
        <w:rPr>
          <w:rFonts w:ascii="Arial" w:cs="Arial" w:eastAsia="Arial" w:hAnsi="Arial"/>
          <w:sz w:val="16"/>
          <w:szCs w:val="16"/>
          <w:color w:val="auto"/>
        </w:rPr>
        <w:t>. The terms and provisions of this Lease shall be effective as of the date of this Lease. The term of this Lease (the “</w:t>
      </w:r>
      <w:r>
        <w:rPr>
          <w:rFonts w:ascii="Arial" w:cs="Arial" w:eastAsia="Arial" w:hAnsi="Arial"/>
          <w:sz w:val="16"/>
          <w:szCs w:val="16"/>
          <w:b w:val="1"/>
          <w:bCs w:val="1"/>
          <w:color w:val="auto"/>
        </w:rPr>
        <w:t>Lease Term</w:t>
      </w:r>
      <w:r>
        <w:rPr>
          <w:rFonts w:ascii="Arial" w:cs="Arial" w:eastAsia="Arial" w:hAnsi="Arial"/>
          <w:sz w:val="16"/>
          <w:szCs w:val="16"/>
          <w:color w:val="auto"/>
        </w:rPr>
        <w:t xml:space="preserve">”) shall be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Summary, shall commence with respect to each Phase on the applicable Lease Commencement Date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the Summary, and shall terminate on the date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Lease Expiration Date</w:t>
      </w:r>
      <w:r>
        <w:rPr>
          <w:rFonts w:ascii="Arial" w:cs="Arial" w:eastAsia="Arial" w:hAnsi="Arial"/>
          <w:sz w:val="16"/>
          <w:szCs w:val="16"/>
          <w:color w:val="auto"/>
        </w:rPr>
        <w:t>”) unless this Lease 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260" w:name="page261"/>
    <w:bookmarkEnd w:id="26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sooner terminated as hereinafter provided. If Landlord is unable for any reason to deliver possession of the Premises to Tenant on any specific date, then, except as expressly set forth in this Lease, Landlord shall not be subject to any liability for its failure to do so, and such failure shall not affect the validity of this Lease or the obligations of Tenant hereunder. For purposes of this Lease, the term “</w:t>
      </w:r>
      <w:r>
        <w:rPr>
          <w:rFonts w:ascii="Arial" w:cs="Arial" w:eastAsia="Arial" w:hAnsi="Arial"/>
          <w:sz w:val="17"/>
          <w:szCs w:val="17"/>
          <w:b w:val="1"/>
          <w:bCs w:val="1"/>
          <w:color w:val="auto"/>
        </w:rPr>
        <w:t>Lease Year</w:t>
      </w:r>
      <w:r>
        <w:rPr>
          <w:rFonts w:ascii="Arial" w:cs="Arial" w:eastAsia="Arial" w:hAnsi="Arial"/>
          <w:sz w:val="17"/>
          <w:szCs w:val="17"/>
          <w:color w:val="auto"/>
        </w:rPr>
        <w:t xml:space="preserve">” shall mean each consecutive twelve (12) calendar month period during the Lease Term; provided, however, that the first Lease Year shall commence on the Phase I Lease Commencement Date and end on the last day of the month in which the first anniversary of the Phase I Lease Commencement Date occurs (or if the Phase I Lease Commencement Date is the first day of a calendar month, then the first Lease Year shall commence on the Phase I Lease Commencement Date and end on the day immediately preceding the first anniversary of the Phase I Lease Commencement Date), and the second and each succeeding Lease Year shall commence on the first day of the next calendar month; and further provided that the last Lease Year shall end on the Lease Expiration Date. At any time during the Lease Term, Landlord may deliver to Tenant a notice in the form as set forth in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attached hereto, as a confirmation only of the information set forth therein, which Tenant shall execute and return to Landlord within ten (10) business days of receipt thereof; provided, however, that if such notice is not factually correct, then Tenant shall make such changes as are necessary to make such notice factually correct and shall thereafter return such notice to Landlord within said ten (10) business day period. Tenant’s failure to execute and return such notice to Landlord within such time shall be conclusive upon Tenant that the information set forth in such notice is as specified therein.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xml:space="preserve">. Landlord hereby grants to the Original Tenant, and any Permitted Transferee Assignee, two (2) successive options to extend the Lease Term with respect to the entire Premises then being leased by Tenant (but subject to </w:t>
      </w:r>
      <w:r>
        <w:rPr>
          <w:rFonts w:ascii="Arial" w:cs="Arial" w:eastAsia="Arial" w:hAnsi="Arial"/>
          <w:sz w:val="16"/>
          <w:szCs w:val="16"/>
          <w:u w:val="single" w:color="auto"/>
          <w:color w:val="auto"/>
        </w:rPr>
        <w:t>Section 2.2.1.1</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Renewal Premises</w:t>
      </w:r>
      <w:r>
        <w:rPr>
          <w:rFonts w:ascii="Arial" w:cs="Arial" w:eastAsia="Arial" w:hAnsi="Arial"/>
          <w:sz w:val="16"/>
          <w:szCs w:val="16"/>
          <w:color w:val="auto"/>
        </w:rPr>
        <w:t>”) for a period of five (5) years each (each, an “</w:t>
      </w:r>
      <w:r>
        <w:rPr>
          <w:rFonts w:ascii="Arial" w:cs="Arial" w:eastAsia="Arial" w:hAnsi="Arial"/>
          <w:sz w:val="16"/>
          <w:szCs w:val="16"/>
          <w:b w:val="1"/>
          <w:bCs w:val="1"/>
          <w:color w:val="auto"/>
        </w:rPr>
        <w:t>Option Term</w:t>
      </w:r>
      <w:r>
        <w:rPr>
          <w:rFonts w:ascii="Arial" w:cs="Arial" w:eastAsia="Arial" w:hAnsi="Arial"/>
          <w:sz w:val="16"/>
          <w:szCs w:val="16"/>
          <w:color w:val="auto"/>
        </w:rPr>
        <w:t>” and each option, an “</w:t>
      </w:r>
      <w:r>
        <w:rPr>
          <w:rFonts w:ascii="Arial" w:cs="Arial" w:eastAsia="Arial" w:hAnsi="Arial"/>
          <w:sz w:val="16"/>
          <w:szCs w:val="16"/>
          <w:b w:val="1"/>
          <w:bCs w:val="1"/>
          <w:color w:val="auto"/>
        </w:rPr>
        <w:t>Option to Extend</w:t>
      </w:r>
      <w:r>
        <w:rPr>
          <w:rFonts w:ascii="Arial" w:cs="Arial" w:eastAsia="Arial" w:hAnsi="Arial"/>
          <w:sz w:val="16"/>
          <w:szCs w:val="16"/>
          <w:color w:val="auto"/>
        </w:rPr>
        <w:t xml:space="preserve">”). Each Option to Extend shall be exercisable only by notice delivered by Original Tenant or a Permitted Transferee Assignee to Landlord as provided in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below; provided that, as of the date of delivery of such notice, Tenant has not received notice that Tenant is in “Default” (as that term is defined in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below). The rights contained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personal to the Original Tenant and any Permitted Transferee Assignee and may only be exercised by the Original Tenant or a Permitted Transferee Assignee (and not any other assignee or sublessee or Transferee of Tenant’s interest in this Lease) provided that the Original Tenant or such Permitted Transferee Assignee has not subleased more than thirty percent (30%) of the rentable square footage of the then-existing Premises pursuant to a sublease or subleases then in effect. In the event that Tenant fails to timely and appropriately exercise an Option to Extend in accordance with the terms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then such Option to Extend shall automatically terminate and shall be of no further force or effect. Further, notwithstanding any contrary provision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 no event may Tenant exercise its right to extend the Lease Term for the second Option Term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if Tenant fails to timely exercise its right to extend the initial Lease Term for the first Option Term under this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61" w:name="page262"/>
    <w:bookmarkEnd w:id="261"/>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2.2.1.1 </w:t>
      </w:r>
      <w:r>
        <w:rPr>
          <w:rFonts w:ascii="Arial" w:cs="Arial" w:eastAsia="Arial" w:hAnsi="Arial"/>
          <w:sz w:val="16"/>
          <w:szCs w:val="16"/>
          <w:b w:val="1"/>
          <w:bCs w:val="1"/>
          <w:u w:val="single" w:color="auto"/>
          <w:color w:val="auto"/>
        </w:rPr>
        <w:t>Tenant’s Right to Reduce Then Existing Premises</w:t>
      </w:r>
      <w:r>
        <w:rPr>
          <w:rFonts w:ascii="Arial" w:cs="Arial" w:eastAsia="Arial" w:hAnsi="Arial"/>
          <w:sz w:val="16"/>
          <w:szCs w:val="16"/>
          <w:color w:val="auto"/>
        </w:rPr>
        <w:t>. Tenant shall have the right to include in its Option Exercise Notice (defined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below) its election to reduce the size of the then existing Premises pursuant to the terms and conditions of this </w:t>
      </w:r>
      <w:r>
        <w:rPr>
          <w:rFonts w:ascii="Arial" w:cs="Arial" w:eastAsia="Arial" w:hAnsi="Arial"/>
          <w:sz w:val="17"/>
          <w:szCs w:val="17"/>
          <w:u w:val="single" w:color="auto"/>
          <w:color w:val="auto"/>
        </w:rPr>
        <w:t>Section 2.2.1.1</w:t>
      </w:r>
      <w:r>
        <w:rPr>
          <w:rFonts w:ascii="Arial" w:cs="Arial" w:eastAsia="Arial" w:hAnsi="Arial"/>
          <w:sz w:val="17"/>
          <w:szCs w:val="17"/>
          <w:color w:val="auto"/>
        </w:rPr>
        <w:t xml:space="preserv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Reduction Right</w:t>
      </w:r>
      <w:r>
        <w:rPr>
          <w:rFonts w:ascii="Arial" w:cs="Arial" w:eastAsia="Arial" w:hAnsi="Arial"/>
          <w:sz w:val="16"/>
          <w:szCs w:val="16"/>
          <w:color w:val="auto"/>
        </w:rPr>
        <w:t>”), which Option Exercise Notice shall include a description of the area of the then existing Premises which Tenant elects to no longer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Downsized Space</w:t>
      </w:r>
      <w:r>
        <w:rPr>
          <w:rFonts w:ascii="Arial" w:cs="Arial" w:eastAsia="Arial" w:hAnsi="Arial"/>
          <w:sz w:val="16"/>
          <w:szCs w:val="16"/>
          <w:color w:val="auto"/>
        </w:rPr>
        <w:t>”). Tenant may notify Landlord of Tenant’s consideration of exercising the Reduction Right in the Option Interest Notice (as defined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below), but the Reduction Right must be exercised, if at all, in Tenant’s Option Exercise Notice. The following conditions shall apply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Tenant’s exercise of the Reduction Right: (i) following the reduction, the Renewal Premises shall be comprised of at least 515,000 rentable square feet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space in full floor increments, which floors must be the highest or lowest contiguous full floors of the Premises within a particular Building; and (ii)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Downsized Space shall consist of either (a) a portion of the North Tower, or (b) all or a portion of the South Building, or (c) the entire South Building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South Tower. Further, the portion of a “superfloor” (i.e., the floors that span across an entire Complex or all of the Buildings) that is contained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a particular Building shall be considered a full floor within that Building. If Tenant timely exercises the Reduction Right as set forth herein, then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Landlord and Tenant shall promptly execute an amendment to this Lease, setting forth the rentable square footage of the Renewal Premises,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proportionately adjusting the Base Rent and additional rent effective as of the first (1st) day of the Option Term, and incorporating any multi-tenant provisions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contemplated by </w:t>
      </w:r>
      <w:r>
        <w:rPr>
          <w:rFonts w:ascii="Arial" w:cs="Arial" w:eastAsia="Arial" w:hAnsi="Arial"/>
          <w:sz w:val="16"/>
          <w:szCs w:val="16"/>
          <w:u w:val="single" w:color="auto"/>
          <w:color w:val="auto"/>
        </w:rPr>
        <w:t>Section 29.42</w:t>
      </w:r>
      <w:r>
        <w:rPr>
          <w:rFonts w:ascii="Arial" w:cs="Arial" w:eastAsia="Arial" w:hAnsi="Arial"/>
          <w:sz w:val="16"/>
          <w:szCs w:val="16"/>
          <w:color w:val="auto"/>
        </w:rPr>
        <w:t xml:space="preserve"> below. If Tenant elects to exercise the Reduction Right pursuant to the terms of this </w:t>
      </w:r>
      <w:r>
        <w:rPr>
          <w:rFonts w:ascii="Arial" w:cs="Arial" w:eastAsia="Arial" w:hAnsi="Arial"/>
          <w:sz w:val="16"/>
          <w:szCs w:val="16"/>
          <w:u w:val="single" w:color="auto"/>
          <w:color w:val="auto"/>
        </w:rPr>
        <w:t>Section 2.2.1.1</w:t>
      </w:r>
      <w:r>
        <w:rPr>
          <w:rFonts w:ascii="Arial" w:cs="Arial" w:eastAsia="Arial" w:hAnsi="Arial"/>
          <w:sz w:val="16"/>
          <w:szCs w:val="16"/>
          <w:color w:val="auto"/>
        </w:rPr>
        <w:t>, then Landlord and 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relieved of their respective obligations under this Lease, as amended, with respect to the applicable Downsized Space as of the first (1st) day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Term, except for those obligations set forth in this Lease which specifically survive the expiration or earlier termination of this Lease,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the payment by Tenant of all amounts owed by Tenant under this Lease prior to the first (1st) day of the Option Term,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Downsized Space. In the event that Tenant fails to vacate, and surrender and deliver to Landlord exclusive possession of the Downsized Space, free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subleases, prior to the first (1st) day of the Option Term in the condition required by this Lease, then, except as may otherwise be agreed to by the parties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such time, the provisions of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Articles 15 and 16</w:t>
      </w:r>
      <w:r>
        <w:rPr>
          <w:rFonts w:ascii="Arial" w:cs="Arial" w:eastAsia="Arial" w:hAnsi="Arial"/>
          <w:sz w:val="17"/>
          <w:szCs w:val="17"/>
          <w:color w:val="auto"/>
        </w:rPr>
        <w:t xml:space="preserve"> of this Lease shall apply with respect to the Downsized Space. If Tenant fails to timely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exercise the Reduction Right pursuant to the terms of this </w:t>
      </w:r>
      <w:r>
        <w:rPr>
          <w:rFonts w:ascii="Arial" w:cs="Arial" w:eastAsia="Arial" w:hAnsi="Arial"/>
          <w:sz w:val="16"/>
          <w:szCs w:val="16"/>
          <w:u w:val="single" w:color="auto"/>
          <w:color w:val="auto"/>
        </w:rPr>
        <w:t>Section 2.2.1.1</w:t>
      </w:r>
      <w:r>
        <w:rPr>
          <w:rFonts w:ascii="Arial" w:cs="Arial" w:eastAsia="Arial" w:hAnsi="Arial"/>
          <w:sz w:val="16"/>
          <w:szCs w:val="16"/>
          <w:color w:val="auto"/>
        </w:rPr>
        <w:t>, then such Reduction Right shall terminate and be of no further force or effect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then-current Option to Extend (but shall remain applicable to any remaining Option to Extend, if any).</w:t>
      </w:r>
    </w:p>
    <w:p>
      <w:pPr>
        <w:spacing w:after="0" w:line="99" w:lineRule="exact"/>
        <w:rPr>
          <w:sz w:val="20"/>
          <w:szCs w:val="20"/>
          <w:color w:val="auto"/>
        </w:rPr>
      </w:pPr>
    </w:p>
    <w:p>
      <w:pPr>
        <w:ind w:right="180" w:firstLine="913"/>
        <w:spacing w:after="0" w:line="274"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b w:val="1"/>
          <w:bCs w:val="1"/>
          <w:u w:val="single" w:color="auto"/>
          <w:color w:val="auto"/>
        </w:rPr>
        <w:t>Option Rent</w:t>
      </w:r>
      <w:r>
        <w:rPr>
          <w:rFonts w:ascii="Arial" w:cs="Arial" w:eastAsia="Arial" w:hAnsi="Arial"/>
          <w:sz w:val="17"/>
          <w:szCs w:val="17"/>
          <w:color w:val="auto"/>
        </w:rPr>
        <w:t xml:space="preserve">. The Rent payable by Tenant during each Option Term for the applicable Renewal Premises shall be equal to the “Market Rent,” as such Market Rent is determined pursuant to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attached to this Lease (such rent payable during any Option Term, the “</w:t>
      </w:r>
      <w:r>
        <w:rPr>
          <w:rFonts w:ascii="Arial" w:cs="Arial" w:eastAsia="Arial" w:hAnsi="Arial"/>
          <w:sz w:val="17"/>
          <w:szCs w:val="17"/>
          <w:b w:val="1"/>
          <w:bCs w:val="1"/>
          <w:color w:val="auto"/>
        </w:rPr>
        <w:t>Option Rent</w:t>
      </w:r>
      <w:r>
        <w:rPr>
          <w:rFonts w:ascii="Arial" w:cs="Arial" w:eastAsia="Arial" w:hAnsi="Arial"/>
          <w:sz w:val="17"/>
          <w:szCs w:val="17"/>
          <w:color w:val="auto"/>
        </w:rPr>
        <w:t xml:space="preserve">”). Except as set forth in the preceding sentence or as otherwise expressly set forth in this Lease, all of the terms of this Lease shall apply during any Option Term and the Lease Expiration Date shall be extended to the last day of the Option Term. The calculation of the Market Rent shall be derived from a review of, and comparison to, the “Net Equivalent Lease Rates” of the “Comparable Transactions,” as provided for in </w:t>
      </w:r>
      <w:r>
        <w:rPr>
          <w:rFonts w:ascii="Arial" w:cs="Arial" w:eastAsia="Arial" w:hAnsi="Arial"/>
          <w:sz w:val="17"/>
          <w:szCs w:val="17"/>
          <w:b w:val="1"/>
          <w:bCs w:val="1"/>
          <w:u w:val="single" w:color="auto"/>
          <w:color w:val="auto"/>
        </w:rPr>
        <w:t>Exhibit G</w:t>
      </w:r>
      <w:r>
        <w:rPr>
          <w:rFonts w:ascii="Arial" w:cs="Arial" w:eastAsia="Arial" w:hAnsi="Arial"/>
          <w:sz w:val="17"/>
          <w:szCs w:val="17"/>
          <w:color w:val="auto"/>
        </w:rPr>
        <w:t>, and, thereafter, the Market Rent shall be stated as a “Net Equivalent Lease Rate” for the Option Term.</w:t>
      </w:r>
    </w:p>
    <w:p>
      <w:pPr>
        <w:spacing w:after="0" w:line="66"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An Option to Extend shall be exercised by Tenant, if at all, and only in the following manner: (i) at Tenant’s election, Tenant may deliver written notice (the “</w:t>
      </w:r>
      <w:r>
        <w:rPr>
          <w:rFonts w:ascii="Arial" w:cs="Arial" w:eastAsia="Arial" w:hAnsi="Arial"/>
          <w:sz w:val="18"/>
          <w:szCs w:val="18"/>
          <w:b w:val="1"/>
          <w:bCs w:val="1"/>
          <w:color w:val="auto"/>
        </w:rPr>
        <w:t>Option Interest Notice</w:t>
      </w:r>
      <w:r>
        <w:rPr>
          <w:rFonts w:ascii="Arial" w:cs="Arial" w:eastAsia="Arial" w:hAnsi="Arial"/>
          <w:sz w:val="18"/>
          <w:szCs w:val="18"/>
          <w:color w:val="auto"/>
        </w:rPr>
        <w:t>”) to Landlord not more than eighteen (18) months nor less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62" w:name="page263"/>
    <w:bookmarkEnd w:id="262"/>
    <w:p>
      <w:pPr>
        <w:ind w:right="2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seventeen (17) months prior to the expiration of the initial Lease Term or the first (1</w:t>
      </w:r>
      <w:r>
        <w:rPr>
          <w:rFonts w:ascii="Arial" w:cs="Arial" w:eastAsia="Arial" w:hAnsi="Arial"/>
          <w:sz w:val="13"/>
          <w:szCs w:val="13"/>
          <w:color w:val="auto"/>
        </w:rPr>
        <w:t>st</w:t>
      </w:r>
      <w:r>
        <w:rPr>
          <w:rFonts w:ascii="Arial" w:cs="Arial" w:eastAsia="Arial" w:hAnsi="Arial"/>
          <w:sz w:val="16"/>
          <w:szCs w:val="16"/>
          <w:color w:val="auto"/>
        </w:rPr>
        <w:t>) Option Term, as applicable, stating that Tenant is interested in exercising its Option to Extend; and (ii) if Tenant delivers the Option Interest Notice, Landlord shall, within thirty (30) days following Landlord’s receipt of the Option Interest Notice, deliver notice (the “</w:t>
      </w:r>
      <w:r>
        <w:rPr>
          <w:rFonts w:ascii="Arial" w:cs="Arial" w:eastAsia="Arial" w:hAnsi="Arial"/>
          <w:sz w:val="16"/>
          <w:szCs w:val="16"/>
          <w:b w:val="1"/>
          <w:bCs w:val="1"/>
          <w:color w:val="auto"/>
        </w:rPr>
        <w:t>Option Rent Notice</w:t>
      </w:r>
      <w:r>
        <w:rPr>
          <w:rFonts w:ascii="Arial" w:cs="Arial" w:eastAsia="Arial" w:hAnsi="Arial"/>
          <w:sz w:val="16"/>
          <w:szCs w:val="16"/>
          <w:color w:val="auto"/>
        </w:rPr>
        <w:t>”) to Tenant setting forth Landlord’s good faith determination of the Option Rent; and</w:t>
      </w:r>
    </w:p>
    <w:p>
      <w:pPr>
        <w:ind w:firstLine="8"/>
        <w:spacing w:after="0" w:line="252" w:lineRule="auto"/>
        <w:tabs>
          <w:tab w:leader="none" w:pos="31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any event, if Tenant wishes to exercise such Option to Extend, whether or not Tenant has given the Option Interest Notice, Tenant shall, not earlier than the date that is eighteen (18) months, and not later than the date that is fifteen (15) months, prior to the expiration of the initial Lease Term or the first (1</w:t>
      </w:r>
      <w:r>
        <w:rPr>
          <w:rFonts w:ascii="Arial" w:cs="Arial" w:eastAsia="Arial" w:hAnsi="Arial"/>
          <w:sz w:val="15"/>
          <w:szCs w:val="15"/>
          <w:color w:val="auto"/>
        </w:rPr>
        <w:t>st</w:t>
      </w:r>
      <w:r>
        <w:rPr>
          <w:rFonts w:ascii="Arial" w:cs="Arial" w:eastAsia="Arial" w:hAnsi="Arial"/>
          <w:sz w:val="18"/>
          <w:szCs w:val="18"/>
          <w:color w:val="auto"/>
        </w:rPr>
        <w:t>) Option Term, as applicable, deliver written notice thereof (the “</w:t>
      </w:r>
      <w:r>
        <w:rPr>
          <w:rFonts w:ascii="Arial" w:cs="Arial" w:eastAsia="Arial" w:hAnsi="Arial"/>
          <w:sz w:val="18"/>
          <w:szCs w:val="18"/>
          <w:b w:val="1"/>
          <w:bCs w:val="1"/>
          <w:color w:val="auto"/>
        </w:rPr>
        <w:t>Option Exercise Notice</w:t>
      </w:r>
      <w:r>
        <w:rPr>
          <w:rFonts w:ascii="Arial" w:cs="Arial" w:eastAsia="Arial" w:hAnsi="Arial"/>
          <w:sz w:val="18"/>
          <w:szCs w:val="18"/>
          <w:color w:val="auto"/>
        </w:rPr>
        <w:t>”) to Landlord, which notice shall be Tenant’s irrevocable exercise of Tenant’s then-applicable Option to Extend, and upon, and concurrent with, such exercise, Tenant may, at its option, accept or reject the Option Rent set forth in the Option Rent Notice (if Tenant has previously delivered an Option Interest Notice). If Tenant exercises its Option to Extend but fails to accept or reject the Option Rent set forth in the Option Rent Notice (if Tenant delivered an Option Interest Notice), then Tenant shall be deemed to have rejected the Option Rent set forth in the Option Rent Notice.</w:t>
      </w:r>
    </w:p>
    <w:p>
      <w:pPr>
        <w:spacing w:after="0" w:line="81" w:lineRule="exact"/>
        <w:rPr>
          <w:sz w:val="20"/>
          <w:szCs w:val="20"/>
          <w:color w:val="auto"/>
        </w:rPr>
      </w:pPr>
    </w:p>
    <w:p>
      <w:pPr>
        <w:ind w:right="160" w:firstLine="913"/>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b w:val="1"/>
          <w:bCs w:val="1"/>
          <w:u w:val="single" w:color="auto"/>
          <w:color w:val="auto"/>
        </w:rPr>
        <w:t>Determination of Option Rent</w:t>
      </w:r>
      <w:r>
        <w:rPr>
          <w:rFonts w:ascii="Arial" w:cs="Arial" w:eastAsia="Arial" w:hAnsi="Arial"/>
          <w:sz w:val="16"/>
          <w:szCs w:val="16"/>
          <w:color w:val="auto"/>
        </w:rPr>
        <w:t xml:space="preserve">. In the event Tenant timely and appropriately exercises an Option to Extend but rejects (or is deemed to reject) the Option Rent set forth in the Option Rent Notice pursuant to </w:t>
      </w:r>
      <w:r>
        <w:rPr>
          <w:rFonts w:ascii="Arial" w:cs="Arial" w:eastAsia="Arial" w:hAnsi="Arial"/>
          <w:sz w:val="16"/>
          <w:szCs w:val="16"/>
          <w:u w:val="single" w:color="auto"/>
          <w:color w:val="auto"/>
        </w:rPr>
        <w:t>Section 2.2.3</w:t>
      </w:r>
      <w:r>
        <w:rPr>
          <w:rFonts w:ascii="Arial" w:cs="Arial" w:eastAsia="Arial" w:hAnsi="Arial"/>
          <w:sz w:val="16"/>
          <w:szCs w:val="16"/>
          <w:color w:val="auto"/>
        </w:rPr>
        <w:t>, above (or if Tenant did not deliver an Option Interest Notice, and therefore Landlord did not deliver an Option Rent Notice), then Landlord and Tenant shall attempt to agree upon the Option Rent using their best good-faith efforts. If Landlord and Tenant fail to reach agreement upon the Option Rent applicable to the Option Term on or before the date that is one hundred eighty</w:t>
      </w:r>
    </w:p>
    <w:p>
      <w:pPr>
        <w:spacing w:after="0" w:line="3" w:lineRule="exact"/>
        <w:rPr>
          <w:sz w:val="20"/>
          <w:szCs w:val="20"/>
          <w:color w:val="auto"/>
        </w:rPr>
      </w:pPr>
    </w:p>
    <w:p>
      <w:pPr>
        <w:ind w:right="180" w:firstLine="8"/>
        <w:spacing w:after="0" w:line="281" w:lineRule="auto"/>
        <w:tabs>
          <w:tab w:leader="none" w:pos="43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days prior to the expiration of the initial Lease Term or the first Option Term, as applicable (the “</w:t>
      </w:r>
      <w:r>
        <w:rPr>
          <w:rFonts w:ascii="Arial" w:cs="Arial" w:eastAsia="Arial" w:hAnsi="Arial"/>
          <w:sz w:val="16"/>
          <w:szCs w:val="16"/>
          <w:b w:val="1"/>
          <w:bCs w:val="1"/>
          <w:color w:val="auto"/>
        </w:rPr>
        <w:t>Outside Agreement Date</w:t>
      </w:r>
      <w:r>
        <w:rPr>
          <w:rFonts w:ascii="Arial" w:cs="Arial" w:eastAsia="Arial" w:hAnsi="Arial"/>
          <w:sz w:val="16"/>
          <w:szCs w:val="16"/>
          <w:color w:val="auto"/>
        </w:rPr>
        <w:t xml:space="preserve">”), then the Option Rent shall be determined by arbitration pursuant to the terms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Each party shall make a separate determination of the Option Rent, within five</w:t>
      </w:r>
    </w:p>
    <w:p>
      <w:pPr>
        <w:spacing w:after="0" w:line="1" w:lineRule="exact"/>
        <w:rPr>
          <w:rFonts w:ascii="Arial" w:cs="Arial" w:eastAsia="Arial" w:hAnsi="Arial"/>
          <w:sz w:val="16"/>
          <w:szCs w:val="16"/>
          <w:color w:val="auto"/>
        </w:rPr>
      </w:pPr>
    </w:p>
    <w:p>
      <w:pPr>
        <w:ind w:right="20" w:firstLine="8"/>
        <w:spacing w:after="0" w:line="261" w:lineRule="auto"/>
        <w:tabs>
          <w:tab w:leader="none" w:pos="2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days following the Outside Agreement Date, and such determinations shall be submitted to arbitration in accordance with </w:t>
      </w:r>
      <w:r>
        <w:rPr>
          <w:rFonts w:ascii="Arial" w:cs="Arial" w:eastAsia="Arial" w:hAnsi="Arial"/>
          <w:sz w:val="18"/>
          <w:szCs w:val="18"/>
          <w:u w:val="single" w:color="auto"/>
          <w:color w:val="auto"/>
        </w:rPr>
        <w:t>Sections 2.2.4.1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2.2.4.4</w:t>
      </w:r>
      <w:r>
        <w:rPr>
          <w:rFonts w:ascii="Arial" w:cs="Arial" w:eastAsia="Arial" w:hAnsi="Arial"/>
          <w:sz w:val="18"/>
          <w:szCs w:val="18"/>
          <w:color w:val="auto"/>
        </w:rPr>
        <w:t>, below.</w:t>
      </w:r>
    </w:p>
    <w:p>
      <w:pPr>
        <w:spacing w:after="0" w:line="76" w:lineRule="exact"/>
        <w:rPr>
          <w:sz w:val="20"/>
          <w:szCs w:val="20"/>
          <w:color w:val="auto"/>
        </w:rPr>
      </w:pPr>
    </w:p>
    <w:p>
      <w:pPr>
        <w:ind w:right="20" w:firstLine="1484"/>
        <w:spacing w:after="0" w:line="291" w:lineRule="auto"/>
        <w:rPr>
          <w:sz w:val="20"/>
          <w:szCs w:val="20"/>
          <w:color w:val="auto"/>
        </w:rPr>
      </w:pPr>
      <w:r>
        <w:rPr>
          <w:rFonts w:ascii="Arial" w:cs="Arial" w:eastAsia="Arial" w:hAnsi="Arial"/>
          <w:sz w:val="16"/>
          <w:szCs w:val="16"/>
          <w:color w:val="auto"/>
        </w:rPr>
        <w:t xml:space="preserve">2.2.4.1 Landlord and Tenant shall each appoint one arbitrator who shall by profession be a MAI appraiser who shall have been active over the five (5) year period ending on the date of such appointment in the appraising and/or leasing of first class office and life science properties in the vicinity of the Project. The determination of the arbitrators shall be limited solely to the issue area of whether Landlord’s or Tenant’s submitted Option Rent is the closest to the actual Option Rent as determined by the arbitrators, taking into account the requirements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of this Lease. Each such arbitrator shall be appointed within fifteen (15) days after the Outside Agreement Date. Landlord and Tenant may consult with their selected arbitrators prior to appointment and may select an arbitrator who is favorable to their respective positions (including an arbitrator who has previously represented Landlord and/or Tenant, as applicable). The arbitrators so selected by Landlord and Tenant shall be deemed “</w:t>
      </w:r>
      <w:r>
        <w:rPr>
          <w:rFonts w:ascii="Arial" w:cs="Arial" w:eastAsia="Arial" w:hAnsi="Arial"/>
          <w:sz w:val="16"/>
          <w:szCs w:val="16"/>
          <w:b w:val="1"/>
          <w:bCs w:val="1"/>
          <w:color w:val="auto"/>
        </w:rPr>
        <w:t>Advocate Arbitrators</w:t>
      </w:r>
      <w:r>
        <w:rPr>
          <w:rFonts w:ascii="Arial" w:cs="Arial" w:eastAsia="Arial" w:hAnsi="Arial"/>
          <w:sz w:val="16"/>
          <w:szCs w:val="16"/>
          <w:color w:val="auto"/>
        </w:rPr>
        <w:t>.”</w:t>
      </w:r>
    </w:p>
    <w:p>
      <w:pPr>
        <w:spacing w:after="0" w:line="59" w:lineRule="exact"/>
        <w:rPr>
          <w:sz w:val="20"/>
          <w:szCs w:val="20"/>
          <w:color w:val="auto"/>
        </w:rPr>
      </w:pPr>
    </w:p>
    <w:p>
      <w:pPr>
        <w:ind w:right="80" w:firstLine="1484"/>
        <w:spacing w:after="0" w:line="312" w:lineRule="auto"/>
        <w:rPr>
          <w:sz w:val="20"/>
          <w:szCs w:val="20"/>
          <w:color w:val="auto"/>
        </w:rPr>
      </w:pPr>
      <w:r>
        <w:rPr>
          <w:rFonts w:ascii="Arial" w:cs="Arial" w:eastAsia="Arial" w:hAnsi="Arial"/>
          <w:sz w:val="16"/>
          <w:szCs w:val="16"/>
          <w:color w:val="auto"/>
        </w:rPr>
        <w:t>2.2.4.2 The two Advocate Arbitrators so appointed shall be specifically required pursuant to an engagement letter within ten (10) days of the date of the appointment of the last appointed Advocate Arbitrator to agree upon and appoint a third arbitrator (“</w:t>
      </w:r>
      <w:r>
        <w:rPr>
          <w:rFonts w:ascii="Arial" w:cs="Arial" w:eastAsia="Arial" w:hAnsi="Arial"/>
          <w:sz w:val="16"/>
          <w:szCs w:val="16"/>
          <w:b w:val="1"/>
          <w:bCs w:val="1"/>
          <w:color w:val="auto"/>
        </w:rPr>
        <w:t>Neutral Arbitrator</w:t>
      </w:r>
      <w:r>
        <w:rPr>
          <w:rFonts w:ascii="Arial" w:cs="Arial" w:eastAsia="Arial" w:hAnsi="Arial"/>
          <w:sz w:val="16"/>
          <w:szCs w:val="16"/>
          <w:color w:val="auto"/>
        </w:rPr>
        <w:t>”) who shall be qualified under the same criteria set forth hereinabove for qualification of the two Advocate Arbitrators except that (i) neither the Landlord or Tenant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63" w:name="page264"/>
    <w:bookmarkEnd w:id="26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parties’ Advocate Arbitrator may, directly or indirectly, consult with the Neutral Arbitrator prior or subsequent to his or her appearance, and (ii) the Neutral Arbitrator cannot be someone who has represented Landlord and/or Tenant or their affiliates during the five (5) year period prior to such appointment. The Neutral Arbitrator shall be retained via an engagement letter jointly prepared by Landlord’s counsel and Tenant’s counsel. Each party shall pay for the costs of its own Advocate Arbitrator and fifty percent (50%) of the cost of the Neutral Arbitrator.</w:t>
      </w:r>
    </w:p>
    <w:p>
      <w:pPr>
        <w:spacing w:after="0" w:line="79" w:lineRule="exact"/>
        <w:rPr>
          <w:sz w:val="20"/>
          <w:szCs w:val="20"/>
          <w:color w:val="auto"/>
        </w:rPr>
      </w:pPr>
    </w:p>
    <w:p>
      <w:pPr>
        <w:ind w:right="420" w:firstLine="1484"/>
        <w:spacing w:after="0" w:line="277" w:lineRule="auto"/>
        <w:rPr>
          <w:sz w:val="20"/>
          <w:szCs w:val="20"/>
          <w:color w:val="auto"/>
        </w:rPr>
      </w:pPr>
      <w:r>
        <w:rPr>
          <w:rFonts w:ascii="Arial" w:cs="Arial" w:eastAsia="Arial" w:hAnsi="Arial"/>
          <w:sz w:val="18"/>
          <w:szCs w:val="18"/>
          <w:color w:val="auto"/>
        </w:rPr>
        <w:t>2.2.4.3 Within ten (10) days following the appointment of the Neutral Arbitrator, Landlord and Tenant shall enter into an arbitration agreement (the “</w:t>
      </w:r>
      <w:r>
        <w:rPr>
          <w:rFonts w:ascii="Arial" w:cs="Arial" w:eastAsia="Arial" w:hAnsi="Arial"/>
          <w:sz w:val="18"/>
          <w:szCs w:val="18"/>
          <w:b w:val="1"/>
          <w:bCs w:val="1"/>
          <w:color w:val="auto"/>
        </w:rPr>
        <w:t>Arbitration Agreement</w:t>
      </w:r>
      <w:r>
        <w:rPr>
          <w:rFonts w:ascii="Arial" w:cs="Arial" w:eastAsia="Arial" w:hAnsi="Arial"/>
          <w:sz w:val="18"/>
          <w:szCs w:val="18"/>
          <w:color w:val="auto"/>
        </w:rPr>
        <w:t>”) which shall set forth the following:</w:t>
      </w:r>
    </w:p>
    <w:p>
      <w:pPr>
        <w:spacing w:after="0" w:line="62" w:lineRule="exact"/>
        <w:rPr>
          <w:sz w:val="20"/>
          <w:szCs w:val="20"/>
          <w:color w:val="auto"/>
        </w:rPr>
      </w:pPr>
    </w:p>
    <w:p>
      <w:pPr>
        <w:ind w:right="260" w:firstLine="1940"/>
        <w:spacing w:after="0" w:line="277" w:lineRule="auto"/>
        <w:rPr>
          <w:sz w:val="20"/>
          <w:szCs w:val="20"/>
          <w:color w:val="auto"/>
        </w:rPr>
      </w:pPr>
      <w:r>
        <w:rPr>
          <w:rFonts w:ascii="Arial" w:cs="Arial" w:eastAsia="Arial" w:hAnsi="Arial"/>
          <w:sz w:val="18"/>
          <w:szCs w:val="18"/>
          <w:color w:val="auto"/>
        </w:rPr>
        <w:t xml:space="preserve">2.2.4.3.1 Each of Landlord’s and Tenant’s best and final and binding determination of the Option Rent exchanged by the parties pursuant to </w:t>
      </w:r>
      <w:r>
        <w:rPr>
          <w:rFonts w:ascii="Arial" w:cs="Arial" w:eastAsia="Arial" w:hAnsi="Arial"/>
          <w:sz w:val="18"/>
          <w:szCs w:val="18"/>
          <w:u w:val="single" w:color="auto"/>
          <w:color w:val="auto"/>
        </w:rPr>
        <w:t>Section 2.2.4</w:t>
      </w:r>
      <w:r>
        <w:rPr>
          <w:rFonts w:ascii="Arial" w:cs="Arial" w:eastAsia="Arial" w:hAnsi="Arial"/>
          <w:sz w:val="18"/>
          <w:szCs w:val="18"/>
          <w:color w:val="auto"/>
        </w:rPr>
        <w:t>, above;</w:t>
      </w:r>
    </w:p>
    <w:p>
      <w:pPr>
        <w:spacing w:after="0" w:line="62" w:lineRule="exact"/>
        <w:rPr>
          <w:sz w:val="20"/>
          <w:szCs w:val="20"/>
          <w:color w:val="auto"/>
        </w:rPr>
      </w:pPr>
    </w:p>
    <w:p>
      <w:pPr>
        <w:ind w:right="160" w:firstLine="1940"/>
        <w:spacing w:after="0" w:line="259" w:lineRule="auto"/>
        <w:rPr>
          <w:sz w:val="20"/>
          <w:szCs w:val="20"/>
          <w:color w:val="auto"/>
        </w:rPr>
      </w:pPr>
      <w:r>
        <w:rPr>
          <w:rFonts w:ascii="Arial" w:cs="Arial" w:eastAsia="Arial" w:hAnsi="Arial"/>
          <w:sz w:val="18"/>
          <w:szCs w:val="18"/>
          <w:color w:val="auto"/>
        </w:rPr>
        <w:t>2.2.4.3.2 An agreement to be signed by the Neutral Arbitrator, the form of which agreement shall be attached as an exhibit to the Arbitration Agreement, whereby the Neutral Arbitrator shall agree to undertake the arbitration and render a decision in accordance with the terms of this Lease, as modified by the Arbitration Agreement, and shall require the Neutral Arbitrator to demonstrate to the reasonable satisfaction of the parties that the Neutral Arbitrator has no conflicts of interest with either Landlord or Tenant;</w:t>
      </w:r>
    </w:p>
    <w:p>
      <w:pPr>
        <w:spacing w:after="0" w:line="7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2.2.4.3.3 Instructions to be followed by the Neutral Arbitrator when conducting such arbitration;</w:t>
      </w:r>
    </w:p>
    <w:p>
      <w:pPr>
        <w:spacing w:after="0" w:line="117" w:lineRule="exact"/>
        <w:rPr>
          <w:sz w:val="20"/>
          <w:szCs w:val="20"/>
          <w:color w:val="auto"/>
        </w:rPr>
      </w:pPr>
    </w:p>
    <w:p>
      <w:pPr>
        <w:ind w:right="40" w:firstLine="1940"/>
        <w:spacing w:after="0" w:line="259" w:lineRule="auto"/>
        <w:rPr>
          <w:sz w:val="20"/>
          <w:szCs w:val="20"/>
          <w:color w:val="auto"/>
        </w:rPr>
      </w:pPr>
      <w:r>
        <w:rPr>
          <w:rFonts w:ascii="Arial" w:cs="Arial" w:eastAsia="Arial" w:hAnsi="Arial"/>
          <w:sz w:val="18"/>
          <w:szCs w:val="18"/>
          <w:color w:val="auto"/>
        </w:rPr>
        <w:t>2.2.4.3.4 That Landlord and Tenant shall each have the right to submit to the Neutral Arbitrator (with a copy to the other party), on or before the date that occurs fifteen (15) days following the appointment of the Neutral Arbitrator, an advocate statement (and any other information such party deems relevant) prepared by or on behalf of Landlord or Tenant, as the case may be, in support of Landlord’s or Tenant’s respective determination of Option Rent (the “</w:t>
      </w:r>
      <w:r>
        <w:rPr>
          <w:rFonts w:ascii="Arial" w:cs="Arial" w:eastAsia="Arial" w:hAnsi="Arial"/>
          <w:sz w:val="18"/>
          <w:szCs w:val="18"/>
          <w:b w:val="1"/>
          <w:bCs w:val="1"/>
          <w:color w:val="auto"/>
        </w:rPr>
        <w:t>Briefs</w:t>
      </w:r>
      <w:r>
        <w:rPr>
          <w:rFonts w:ascii="Arial" w:cs="Arial" w:eastAsia="Arial" w:hAnsi="Arial"/>
          <w:sz w:val="18"/>
          <w:szCs w:val="18"/>
          <w:color w:val="auto"/>
        </w:rPr>
        <w:t>”);</w:t>
      </w:r>
    </w:p>
    <w:p>
      <w:pPr>
        <w:spacing w:after="0" w:line="79" w:lineRule="exact"/>
        <w:rPr>
          <w:sz w:val="20"/>
          <w:szCs w:val="20"/>
          <w:color w:val="auto"/>
        </w:rPr>
      </w:pPr>
    </w:p>
    <w:p>
      <w:pPr>
        <w:jc w:val="both"/>
        <w:ind w:right="300" w:firstLine="1940"/>
        <w:spacing w:after="0" w:line="259" w:lineRule="auto"/>
        <w:rPr>
          <w:sz w:val="20"/>
          <w:szCs w:val="20"/>
          <w:color w:val="auto"/>
        </w:rPr>
      </w:pPr>
      <w:r>
        <w:rPr>
          <w:rFonts w:ascii="Arial" w:cs="Arial" w:eastAsia="Arial" w:hAnsi="Arial"/>
          <w:sz w:val="18"/>
          <w:szCs w:val="18"/>
          <w:color w:val="auto"/>
        </w:rPr>
        <w:t>2.2.4.3.5 That within five (5) business days following the exchange of Briefs, Landlord and Tenant shall each have the right to provide the Neutral Arbitrator (with a copy to the other party) with a written rebuttal to the other party’s Brief (the “</w:t>
      </w:r>
      <w:r>
        <w:rPr>
          <w:rFonts w:ascii="Arial" w:cs="Arial" w:eastAsia="Arial" w:hAnsi="Arial"/>
          <w:sz w:val="18"/>
          <w:szCs w:val="18"/>
          <w:b w:val="1"/>
          <w:bCs w:val="1"/>
          <w:color w:val="auto"/>
        </w:rPr>
        <w:t>Rebuttals</w:t>
      </w:r>
      <w:r>
        <w:rPr>
          <w:rFonts w:ascii="Arial" w:cs="Arial" w:eastAsia="Arial" w:hAnsi="Arial"/>
          <w:sz w:val="18"/>
          <w:szCs w:val="18"/>
          <w:color w:val="auto"/>
        </w:rPr>
        <w:t>”); provided, however, such Rebuttals shall be limited to the facts and arguments raised in the other party’s Brief and shall identify clearly which argument or fact of the other party’s Brief is intended to be rebutted;</w:t>
      </w:r>
    </w:p>
    <w:p>
      <w:pPr>
        <w:spacing w:after="0" w:line="79" w:lineRule="exact"/>
        <w:rPr>
          <w:sz w:val="20"/>
          <w:szCs w:val="20"/>
          <w:color w:val="auto"/>
        </w:rPr>
      </w:pPr>
    </w:p>
    <w:p>
      <w:pPr>
        <w:ind w:right="440" w:firstLine="1940"/>
        <w:spacing w:after="0" w:line="286" w:lineRule="auto"/>
        <w:rPr>
          <w:sz w:val="20"/>
          <w:szCs w:val="20"/>
          <w:color w:val="auto"/>
        </w:rPr>
      </w:pPr>
      <w:r>
        <w:rPr>
          <w:rFonts w:ascii="Arial" w:cs="Arial" w:eastAsia="Arial" w:hAnsi="Arial"/>
          <w:sz w:val="17"/>
          <w:szCs w:val="17"/>
          <w:color w:val="auto"/>
        </w:rPr>
        <w:t>2.2.4.3.6 The date, time and location of the arbitration, which shall be mutually and reasonably agreed upon by Landlord and Tenant, taking into consideration the schedules of the Neutral Arbitrator, the Advocate Arbitrators, Landlord and Tenant, and each party’s applicable consultants, which date shall in any event be within thirty (30) days following the appointment of the Neutral Arbitrator;</w:t>
      </w:r>
    </w:p>
    <w:p>
      <w:pPr>
        <w:spacing w:after="0" w:line="57" w:lineRule="exact"/>
        <w:rPr>
          <w:sz w:val="20"/>
          <w:szCs w:val="20"/>
          <w:color w:val="auto"/>
        </w:rPr>
      </w:pPr>
    </w:p>
    <w:p>
      <w:pPr>
        <w:ind w:right="220" w:firstLine="1940"/>
        <w:spacing w:after="0" w:line="277" w:lineRule="auto"/>
        <w:rPr>
          <w:sz w:val="20"/>
          <w:szCs w:val="20"/>
          <w:color w:val="auto"/>
        </w:rPr>
      </w:pPr>
      <w:r>
        <w:rPr>
          <w:rFonts w:ascii="Arial" w:cs="Arial" w:eastAsia="Arial" w:hAnsi="Arial"/>
          <w:sz w:val="18"/>
          <w:szCs w:val="18"/>
          <w:color w:val="auto"/>
        </w:rPr>
        <w:t>2.2.4.3.7 That no discovery shall take place in connection with the arbitration, other than to verify the factual information that is presented by Landlord or Tenant;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64" w:name="page265"/>
    <w:bookmarkEnd w:id="264"/>
    <w:p>
      <w:pPr>
        <w:ind w:right="8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2.2.4.3.8 That the Neutral Arbitrator shall not be allowed to undertake an independent investigation or consider any factual information other than presented by Landlord or Tenant, except that the Neutral Arbitrator shall be permitted to visit the Project and the buildings containing the Comparable Transactions;</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2.2.4.3.9 The specific persons that shall be allowed to attend the arbitration;</w:t>
      </w:r>
    </w:p>
    <w:p>
      <w:pPr>
        <w:spacing w:after="0" w:line="117"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2.2.4.3.10 Tenant shall have the right to present oral arguments to the Neutral Arbitrator at the arbitration for a period of time not to exceed two (2) hours (“</w:t>
      </w:r>
      <w:r>
        <w:rPr>
          <w:rFonts w:ascii="Arial" w:cs="Arial" w:eastAsia="Arial" w:hAnsi="Arial"/>
          <w:sz w:val="18"/>
          <w:szCs w:val="18"/>
          <w:b w:val="1"/>
          <w:bCs w:val="1"/>
          <w:color w:val="auto"/>
        </w:rPr>
        <w:t>Tenant’s Initial Statement</w:t>
      </w:r>
      <w:r>
        <w:rPr>
          <w:rFonts w:ascii="Arial" w:cs="Arial" w:eastAsia="Arial" w:hAnsi="Arial"/>
          <w:sz w:val="18"/>
          <w:szCs w:val="18"/>
          <w:color w:val="auto"/>
        </w:rPr>
        <w:t>”);</w:t>
      </w:r>
    </w:p>
    <w:p>
      <w:pPr>
        <w:spacing w:after="0" w:line="62" w:lineRule="exact"/>
        <w:rPr>
          <w:sz w:val="20"/>
          <w:szCs w:val="20"/>
          <w:color w:val="auto"/>
        </w:rPr>
      </w:pPr>
    </w:p>
    <w:p>
      <w:pPr>
        <w:ind w:right="40" w:firstLine="1940"/>
        <w:spacing w:after="0" w:line="277" w:lineRule="auto"/>
        <w:rPr>
          <w:sz w:val="20"/>
          <w:szCs w:val="20"/>
          <w:color w:val="auto"/>
        </w:rPr>
      </w:pPr>
      <w:r>
        <w:rPr>
          <w:rFonts w:ascii="Arial" w:cs="Arial" w:eastAsia="Arial" w:hAnsi="Arial"/>
          <w:sz w:val="18"/>
          <w:szCs w:val="18"/>
          <w:color w:val="auto"/>
        </w:rPr>
        <w:t>2.2.4.3.11 Following Tenant’s Initial Statement, Landlord shall have the right to present oral arguments to the Neutral Arbitrator at the arbitration for a period of time not to exceed two (2) hours (“</w:t>
      </w:r>
      <w:r>
        <w:rPr>
          <w:rFonts w:ascii="Arial" w:cs="Arial" w:eastAsia="Arial" w:hAnsi="Arial"/>
          <w:sz w:val="18"/>
          <w:szCs w:val="18"/>
          <w:b w:val="1"/>
          <w:bCs w:val="1"/>
          <w:color w:val="auto"/>
        </w:rPr>
        <w:t>Landlord’s Initial Statement</w:t>
      </w:r>
      <w:r>
        <w:rPr>
          <w:rFonts w:ascii="Arial" w:cs="Arial" w:eastAsia="Arial" w:hAnsi="Arial"/>
          <w:sz w:val="18"/>
          <w:szCs w:val="18"/>
          <w:color w:val="auto"/>
        </w:rPr>
        <w:t>”);</w:t>
      </w:r>
    </w:p>
    <w:p>
      <w:pPr>
        <w:spacing w:after="0" w:line="62" w:lineRule="exact"/>
        <w:rPr>
          <w:sz w:val="20"/>
          <w:szCs w:val="20"/>
          <w:color w:val="auto"/>
        </w:rPr>
      </w:pPr>
    </w:p>
    <w:p>
      <w:pPr>
        <w:ind w:right="100" w:firstLine="1940"/>
        <w:spacing w:after="0" w:line="277" w:lineRule="auto"/>
        <w:rPr>
          <w:sz w:val="20"/>
          <w:szCs w:val="20"/>
          <w:color w:val="auto"/>
        </w:rPr>
      </w:pPr>
      <w:r>
        <w:rPr>
          <w:rFonts w:ascii="Arial" w:cs="Arial" w:eastAsia="Arial" w:hAnsi="Arial"/>
          <w:sz w:val="18"/>
          <w:szCs w:val="18"/>
          <w:color w:val="auto"/>
        </w:rPr>
        <w:t>2.2.4.3.12 Following Landlord’s Initial Statement, Tenant shall have up to one (1) additional hour to present additional arguments and/or to rebut the arguments of Landlord (“</w:t>
      </w:r>
      <w:r>
        <w:rPr>
          <w:rFonts w:ascii="Arial" w:cs="Arial" w:eastAsia="Arial" w:hAnsi="Arial"/>
          <w:sz w:val="18"/>
          <w:szCs w:val="18"/>
          <w:b w:val="1"/>
          <w:bCs w:val="1"/>
          <w:color w:val="auto"/>
        </w:rPr>
        <w:t>Tenant’s Rebuttal Statement</w:t>
      </w:r>
      <w:r>
        <w:rPr>
          <w:rFonts w:ascii="Arial" w:cs="Arial" w:eastAsia="Arial" w:hAnsi="Arial"/>
          <w:sz w:val="18"/>
          <w:szCs w:val="18"/>
          <w:color w:val="auto"/>
        </w:rPr>
        <w:t>”);</w:t>
      </w:r>
    </w:p>
    <w:p>
      <w:pPr>
        <w:spacing w:after="0" w:line="62" w:lineRule="exact"/>
        <w:rPr>
          <w:sz w:val="20"/>
          <w:szCs w:val="20"/>
          <w:color w:val="auto"/>
        </w:rPr>
      </w:pPr>
    </w:p>
    <w:p>
      <w:pPr>
        <w:ind w:right="720" w:firstLine="1940"/>
        <w:spacing w:after="0" w:line="277" w:lineRule="auto"/>
        <w:rPr>
          <w:sz w:val="20"/>
          <w:szCs w:val="20"/>
          <w:color w:val="auto"/>
        </w:rPr>
      </w:pPr>
      <w:r>
        <w:rPr>
          <w:rFonts w:ascii="Arial" w:cs="Arial" w:eastAsia="Arial" w:hAnsi="Arial"/>
          <w:sz w:val="18"/>
          <w:szCs w:val="18"/>
          <w:color w:val="auto"/>
        </w:rPr>
        <w:t>2.2.4.3.13 Following Tenant’s Rebuttal Statement, Landlord shall have up to one (1) additional hour to present additional arguments and/or to rebut the arguments of Tenant;</w:t>
      </w:r>
    </w:p>
    <w:p>
      <w:pPr>
        <w:spacing w:after="0" w:line="62" w:lineRule="exact"/>
        <w:rPr>
          <w:sz w:val="20"/>
          <w:szCs w:val="20"/>
          <w:color w:val="auto"/>
        </w:rPr>
      </w:pPr>
    </w:p>
    <w:p>
      <w:pPr>
        <w:ind w:right="440" w:firstLine="1940"/>
        <w:spacing w:after="0" w:line="277" w:lineRule="auto"/>
        <w:rPr>
          <w:sz w:val="20"/>
          <w:szCs w:val="20"/>
          <w:color w:val="auto"/>
        </w:rPr>
      </w:pPr>
      <w:r>
        <w:rPr>
          <w:rFonts w:ascii="Arial" w:cs="Arial" w:eastAsia="Arial" w:hAnsi="Arial"/>
          <w:sz w:val="18"/>
          <w:szCs w:val="18"/>
          <w:color w:val="auto"/>
        </w:rPr>
        <w:t>2.2.4.3.14 That, not later than ten (10) days after the date of the arbitration, the Neutral Arbitrator shall render a decision (the “</w:t>
      </w:r>
      <w:r>
        <w:rPr>
          <w:rFonts w:ascii="Arial" w:cs="Arial" w:eastAsia="Arial" w:hAnsi="Arial"/>
          <w:sz w:val="18"/>
          <w:szCs w:val="18"/>
          <w:b w:val="1"/>
          <w:bCs w:val="1"/>
          <w:color w:val="auto"/>
        </w:rPr>
        <w:t>Ruling</w:t>
      </w:r>
      <w:r>
        <w:rPr>
          <w:rFonts w:ascii="Arial" w:cs="Arial" w:eastAsia="Arial" w:hAnsi="Arial"/>
          <w:sz w:val="18"/>
          <w:szCs w:val="18"/>
          <w:color w:val="auto"/>
        </w:rPr>
        <w:t>”) indicating whether Landlord’s or Tenant’s submitted Option Rent is closer to the Option Rent;</w:t>
      </w:r>
    </w:p>
    <w:p>
      <w:pPr>
        <w:spacing w:after="0" w:line="62" w:lineRule="exact"/>
        <w:rPr>
          <w:sz w:val="20"/>
          <w:szCs w:val="20"/>
          <w:color w:val="auto"/>
        </w:rPr>
      </w:pPr>
    </w:p>
    <w:p>
      <w:pPr>
        <w:ind w:right="280" w:firstLine="1940"/>
        <w:spacing w:after="0" w:line="277" w:lineRule="auto"/>
        <w:rPr>
          <w:sz w:val="20"/>
          <w:szCs w:val="20"/>
          <w:color w:val="auto"/>
        </w:rPr>
      </w:pPr>
      <w:r>
        <w:rPr>
          <w:rFonts w:ascii="Arial" w:cs="Arial" w:eastAsia="Arial" w:hAnsi="Arial"/>
          <w:sz w:val="18"/>
          <w:szCs w:val="18"/>
          <w:color w:val="auto"/>
        </w:rPr>
        <w:t>2.2.4.3.15 That following notification of the Ruling, Landlord’s or Tenant’s submitted Option Rent determination, whichever is selected by the Neutral Arbitrator as being closer to the Option Rent shall become the then applicable Option Rent; and</w:t>
      </w:r>
    </w:p>
    <w:p>
      <w:pPr>
        <w:spacing w:after="0" w:line="6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2.2.4.3.16 That the decision of the Neutral Arbitrator shall be binding on Landlord and Tenant.</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If a date by which an event described in </w:t>
      </w:r>
      <w:r>
        <w:rPr>
          <w:rFonts w:ascii="Arial" w:cs="Arial" w:eastAsia="Arial" w:hAnsi="Arial"/>
          <w:sz w:val="18"/>
          <w:szCs w:val="18"/>
          <w:u w:val="single" w:color="auto"/>
          <w:color w:val="auto"/>
        </w:rPr>
        <w:t>Section 2.2.4.3</w:t>
      </w:r>
      <w:r>
        <w:rPr>
          <w:rFonts w:ascii="Arial" w:cs="Arial" w:eastAsia="Arial" w:hAnsi="Arial"/>
          <w:sz w:val="18"/>
          <w:szCs w:val="18"/>
          <w:color w:val="auto"/>
        </w:rPr>
        <w:t>, above, is to occur falls on a weekend or a holiday, the date shall be deemed to be the next business day.</w:t>
      </w:r>
    </w:p>
    <w:p>
      <w:pPr>
        <w:spacing w:after="0" w:line="62"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2.2.4.4 In the event that the Option Rent shall not have been determined pursuant to the terms hereof prior to the commencement of the applicable Option Term, Tenant shall be required to pay the Option Rent initially provided by Landlord to Tenant in Landlord’s Option Rent Notice, and upon the final determination of the Option Rent, the payments made by Tenant shall be reconciled with the actual amounts due, and the appropriate party shall make any corresponding payment to the other party.</w:t>
      </w:r>
    </w:p>
    <w:p>
      <w:pPr>
        <w:spacing w:after="0" w:line="75"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Entry Before Applicable Lease Commencement Date</w:t>
      </w:r>
      <w:r>
        <w:rPr>
          <w:rFonts w:ascii="Arial" w:cs="Arial" w:eastAsia="Arial" w:hAnsi="Arial"/>
          <w:sz w:val="17"/>
          <w:szCs w:val="17"/>
          <w:color w:val="auto"/>
        </w:rPr>
        <w:t>. Notwithstanding the definition of Lease Commencement Date for each Phase of the Premises set forth above, Tenant shall have the right, at any time after Landlord’s delivery of the applicable Phase in the</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65" w:name="page266"/>
    <w:bookmarkEnd w:id="265"/>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“Delivery Condition”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Work Letter, to construct and install the Improvements in the applicable Phase and/or to test equipment and/or to install its furniture, fixtures, and equipment in the applicable Phase. Tenant’s entry into the applicable Phase for such purposes shall not constitute the commencement of business, provided that all of the terms and conditions of this Lease and the Work Letter shall apply, except that Tenant shall have no obligation to pay Base Rent, Tenant’s Share of Direct Expenses, and Tenant’s payment of any other costs or expenses attributable to the period of such approved entry shall be as set forth in the Work Letter.</w:t>
      </w:r>
    </w:p>
    <w:p>
      <w:pPr>
        <w:spacing w:after="0" w:line="76"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u w:val="single" w:color="auto"/>
          <w:color w:val="auto"/>
        </w:rPr>
        <w:t>Occupancy of Phase I Premises Prior to Phase I Lease Commencement Date</w:t>
      </w:r>
      <w:r>
        <w:rPr>
          <w:rFonts w:ascii="Arial" w:cs="Arial" w:eastAsia="Arial" w:hAnsi="Arial"/>
          <w:sz w:val="16"/>
          <w:szCs w:val="16"/>
          <w:color w:val="auto"/>
        </w:rPr>
        <w:t>. Notwithstanding the foregoing, Tenant shall have the right to occupy the Phase I Premises or portions thereof for the conduct of Tenant’s business therein prior to the Phase I Lease Commencement Date, provided that</w:t>
      </w:r>
    </w:p>
    <w:p>
      <w:pPr>
        <w:spacing w:after="0" w:line="1" w:lineRule="exact"/>
        <w:rPr>
          <w:sz w:val="20"/>
          <w:szCs w:val="20"/>
          <w:color w:val="auto"/>
        </w:rPr>
      </w:pPr>
    </w:p>
    <w:p>
      <w:pPr>
        <w:ind w:right="20" w:firstLine="8"/>
        <w:spacing w:after="0" w:line="252" w:lineRule="auto"/>
        <w:tabs>
          <w:tab w:leader="none" w:pos="21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Tenant shall give Landlord at least ten (10) days’ prior notice of any such occupancy of the Phase I Premises or any portion thereof, (ii) a CofO (as defined in the Work Letter) shall have been issued by the appropriate governmental authorities for each such portion to be occupied, and (iii) all of the terms and conditions of the Lease shall apply (other than Tenant’s obligation to pay Base Rent, though Tenant shall be obligated to pay Tenant’s Share of Direct Expenses and all other Rent) as though the Phase I Lease Commencement Date had occurred (although the Phase I Lease Commencement Date shall not actually occur until the occurrence of the same pursuant to the terms of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of the Summary) upon such occupancy of a portion of the Phase I Premises by Tenant.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BASE RENT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Base Rent</w:t>
      </w:r>
      <w:r>
        <w:rPr>
          <w:rFonts w:ascii="Arial" w:cs="Arial" w:eastAsia="Arial" w:hAnsi="Arial"/>
          <w:sz w:val="16"/>
          <w:szCs w:val="16"/>
          <w:color w:val="auto"/>
        </w:rPr>
        <w:t>. Commencing on the applicable Lease Commencement Date (as the same may be delayed by the express provisions of this Lease), as set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Summary, Tenant shall pay, without prior notice or demand, to Landlord or Landlord’s agent at the management office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Project, or by wire transfer to the address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of the Summary, or, at Landlord’s option, at such other place as Landlord may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designate in writing, by a check or wire transfer for currency, which, at the time of payment, is legal tender for private or public debts in the United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of America, the applicable base rent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payable in equal monthly installments as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in advance on or before the first day of each and every calendar month during the Lease Term, without any setoff or deduction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whatsoever except as expressly set forth elsewhere in this Lease. Concurrently with Tenant’s execution of this Lease, Tenant shall provide Landlord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$1,860,000.00 as payment for the Base Rent for the minimum size of the Phase I Premises for the first full month of the Lease Term, which amount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to the actual amount of the Base Rent for the Phase I Premises for the first full month of the Lease Term concurrently with Tenant’s delivery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Phase Designation Notice. If any Rent payment date (including any Lease Commencement Date) falls on a day of the month other than the first day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or if any payment of Rent is for a period which is shorter than one month, the Rent for any fractional month shall accrue on a daily basis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date such payment is due to the end of such calendar month or to the end of the Lease Term at a rate per day which is equal to 1/365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annual Rent. All other payments or adjustments required to be made under the terms of this Lease that require proration on a time basis shall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prorated on the same basis.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66" w:name="page267"/>
    <w:bookmarkEnd w:id="266"/>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b w:val="1"/>
          <w:bCs w:val="1"/>
          <w:u w:val="single" w:color="auto"/>
          <w:color w:val="auto"/>
        </w:rPr>
        <w:t>Base Rent Abatement</w:t>
      </w:r>
      <w:r>
        <w:rPr>
          <w:rFonts w:ascii="Arial" w:cs="Arial" w:eastAsia="Arial" w:hAnsi="Arial"/>
          <w:sz w:val="16"/>
          <w:szCs w:val="16"/>
          <w:color w:val="auto"/>
        </w:rPr>
        <w:t xml:space="preserve">. Provided that Tenant is not then in Default, and subject to the terms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then (i) during the last fifteen</w:t>
      </w:r>
    </w:p>
    <w:p>
      <w:pPr>
        <w:spacing w:after="0" w:line="50" w:lineRule="exact"/>
        <w:rPr>
          <w:sz w:val="20"/>
          <w:szCs w:val="20"/>
          <w:color w:val="auto"/>
        </w:rPr>
      </w:pPr>
    </w:p>
    <w:p>
      <w:pPr>
        <w:ind w:left="-8" w:firstLine="8"/>
        <w:spacing w:after="0" w:line="283" w:lineRule="auto"/>
        <w:tabs>
          <w:tab w:leader="none" w:pos="33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full calendar months of the Lease Term with respect to the Phase I Premises, (ii) during the last three (3) full calendar months of the Lease Term with respect to the Phase II Premises, and (iii) during the last three (3) full calendar months of the Lease Term with respect to the Phase III Premises (collectively, the “</w:t>
      </w:r>
      <w:r>
        <w:rPr>
          <w:rFonts w:ascii="Arial" w:cs="Arial" w:eastAsia="Arial" w:hAnsi="Arial"/>
          <w:sz w:val="16"/>
          <w:szCs w:val="16"/>
          <w:b w:val="1"/>
          <w:bCs w:val="1"/>
          <w:color w:val="auto"/>
        </w:rPr>
        <w:t>Base Rent Abatement Period</w:t>
      </w:r>
      <w:r>
        <w:rPr>
          <w:rFonts w:ascii="Arial" w:cs="Arial" w:eastAsia="Arial" w:hAnsi="Arial"/>
          <w:sz w:val="16"/>
          <w:szCs w:val="16"/>
          <w:color w:val="auto"/>
        </w:rPr>
        <w:t>”), Tenant shall not be obligated to pay any Base Rent otherwise attributable to the applicable Phase during the applicable portion of the Base Rent Abatement Period (collectively, the “</w:t>
      </w:r>
      <w:r>
        <w:rPr>
          <w:rFonts w:ascii="Arial" w:cs="Arial" w:eastAsia="Arial" w:hAnsi="Arial"/>
          <w:sz w:val="16"/>
          <w:szCs w:val="16"/>
          <w:b w:val="1"/>
          <w:bCs w:val="1"/>
          <w:color w:val="auto"/>
        </w:rPr>
        <w:t>Base Rent Abatement Amount</w:t>
      </w:r>
      <w:r>
        <w:rPr>
          <w:rFonts w:ascii="Arial" w:cs="Arial" w:eastAsia="Arial" w:hAnsi="Arial"/>
          <w:sz w:val="16"/>
          <w:szCs w:val="16"/>
          <w:color w:val="auto"/>
        </w:rPr>
        <w:t>”). Tenant acknowledges and agrees that the foregoing Base Rent Abatement Amount has been granted to Tenant as additional consideration for entering into this Lease, and for agreeing to pay the Rent and perform the terms and conditions otherwise required under this Lease. Notwithstanding the foregoing, Landlord shall have the right, at Landlord’s option, on a month by month basis commencing on the Lease Commencement Date applicable to each Phase, to accelerate any remaining Base Rent Abatement Amount relating to a full month during the Base Rent Abatement Period for such Phase forward, to apply to the Base Rent that would otherwise be due with respect to the next occurring month of the Lease Term for such Phase (the “</w:t>
      </w:r>
      <w:r>
        <w:rPr>
          <w:rFonts w:ascii="Arial" w:cs="Arial" w:eastAsia="Arial" w:hAnsi="Arial"/>
          <w:sz w:val="16"/>
          <w:szCs w:val="16"/>
          <w:b w:val="1"/>
          <w:bCs w:val="1"/>
          <w:color w:val="auto"/>
        </w:rPr>
        <w:t>Landlord Base Rent Abatement Acceleration Election</w:t>
      </w:r>
      <w:r>
        <w:rPr>
          <w:rFonts w:ascii="Arial" w:cs="Arial" w:eastAsia="Arial" w:hAnsi="Arial"/>
          <w:sz w:val="16"/>
          <w:szCs w:val="16"/>
          <w:color w:val="auto"/>
        </w:rPr>
        <w:t>”), in which case Tenant shall have no obligation to pay Base Rent attributable to such next occurring month of the Lease Term for such Phase, and the Base Rent Abatement Amount that is accelerated forward shall no longer be applicable during the Base Rent Abatement Period. Landlord may make such election on a month by month basis with respect to each of the months of the Base Rent Abatement Period. In addition, commencing on the Lease Commencement Date applicable to each Phase, and provided that this Lease has not been terminated as a result of any default of Tenant or rejection of this Lease in bankruptcy (the “</w:t>
      </w:r>
      <w:r>
        <w:rPr>
          <w:rFonts w:ascii="Arial" w:cs="Arial" w:eastAsia="Arial" w:hAnsi="Arial"/>
          <w:sz w:val="16"/>
          <w:szCs w:val="16"/>
          <w:b w:val="1"/>
          <w:bCs w:val="1"/>
          <w:color w:val="auto"/>
        </w:rPr>
        <w:t>Abatement Condition</w:t>
      </w:r>
      <w:r>
        <w:rPr>
          <w:rFonts w:ascii="Arial" w:cs="Arial" w:eastAsia="Arial" w:hAnsi="Arial"/>
          <w:sz w:val="16"/>
          <w:szCs w:val="16"/>
          <w:color w:val="auto"/>
        </w:rPr>
        <w:t>”), then Tenant shall have the right, at Tenant’s option, on a month by month basis commencing on the Lease Commencement Date applicable to each Phase, to accelerate any Base Rent Abatement Amount relating to a full month during the Base Rent Abatement Period for a Phase forward to apply to the Base Rent that would otherwise be due with respect to the next occurring month of the Lease Term for such Phase (the “</w:t>
      </w:r>
      <w:r>
        <w:rPr>
          <w:rFonts w:ascii="Arial" w:cs="Arial" w:eastAsia="Arial" w:hAnsi="Arial"/>
          <w:sz w:val="16"/>
          <w:szCs w:val="16"/>
          <w:b w:val="1"/>
          <w:bCs w:val="1"/>
          <w:color w:val="auto"/>
        </w:rPr>
        <w:t>Tenant Base Rent Abatement Acceleration</w:t>
      </w:r>
      <w:r>
        <w:rPr>
          <w:rFonts w:ascii="Arial" w:cs="Arial" w:eastAsia="Arial" w:hAnsi="Arial"/>
          <w:sz w:val="16"/>
          <w:szCs w:val="16"/>
          <w:color w:val="auto"/>
        </w:rPr>
        <w:t xml:space="preserve"> </w:t>
      </w:r>
      <w:r>
        <w:rPr>
          <w:rFonts w:ascii="Arial" w:cs="Arial" w:eastAsia="Arial" w:hAnsi="Arial"/>
          <w:sz w:val="16"/>
          <w:szCs w:val="16"/>
          <w:b w:val="1"/>
          <w:bCs w:val="1"/>
          <w:color w:val="auto"/>
        </w:rPr>
        <w:t>Election</w:t>
      </w:r>
      <w:r>
        <w:rPr>
          <w:rFonts w:ascii="Arial" w:cs="Arial" w:eastAsia="Arial" w:hAnsi="Arial"/>
          <w:sz w:val="16"/>
          <w:szCs w:val="16"/>
          <w:color w:val="auto"/>
        </w:rPr>
        <w:t>”), in which case Tenant shall have no obligation to pay Base Rent attributable in such next occurring month of the Lease Term for such Phase,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Base Rent Abatement Amount that is accelerated forward shall no longer be applicable during the Base Rent Abatement Period. Tenant may not elect to accelerate more than one (1) month of such Base Rent Abatement Amount at any particular time. Notwithstanding the foregoing, as long as the Abatement Condition is satisfied, if Tenant fails to deliver notice to Landlord exercising the Tenant Base Rent Abatement Acceleration Election for a particular month of the Lease Term, then Tenant shall be deemed to have elected to exercise the Tenant Base Rent Abatement Acceleration Election for such month without the requirement of providing notice to Landlord. Notwithstanding the different monetary amount of one (1) full calendar month at the end of the Lease Term from the monetary amount of one (1) full calendar month at the beginning of the Lease Term, the value of any full month of Base Rent Abatement Amount, whether accelerated by Landlord or by Tenant, shall be equal to one (1) full month of Base Rent at the time it is applied.</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70" w:right="239" w:bottom="1440" w:gutter="0" w:footer="0" w:header="0"/>
        </w:sectPr>
      </w:pPr>
    </w:p>
    <w:bookmarkStart w:id="267" w:name="page268"/>
    <w:bookmarkEnd w:id="26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ADDITIONAL RENT</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General Terms</w:t>
      </w:r>
      <w:r>
        <w:rPr>
          <w:rFonts w:ascii="Arial" w:cs="Arial" w:eastAsia="Arial" w:hAnsi="Arial"/>
          <w:sz w:val="17"/>
          <w:szCs w:val="17"/>
          <w:color w:val="auto"/>
        </w:rPr>
        <w:t xml:space="preserve">. In addition to paying the Base Rent specified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this Lease, Tenant shall pay, following the applicable Lease Commencement Date, “Tenant’s Share” of the annual “Direct Expenses,” as those terms are defined in </w:t>
      </w:r>
      <w:r>
        <w:rPr>
          <w:rFonts w:ascii="Arial" w:cs="Arial" w:eastAsia="Arial" w:hAnsi="Arial"/>
          <w:sz w:val="17"/>
          <w:szCs w:val="17"/>
          <w:u w:val="single" w:color="auto"/>
          <w:color w:val="auto"/>
        </w:rPr>
        <w:t>Sections 4.2.6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4.2.2</w:t>
      </w:r>
      <w:r>
        <w:rPr>
          <w:rFonts w:ascii="Arial" w:cs="Arial" w:eastAsia="Arial" w:hAnsi="Arial"/>
          <w:sz w:val="17"/>
          <w:szCs w:val="17"/>
          <w:color w:val="auto"/>
        </w:rPr>
        <w:t xml:space="preserve"> of this Lease. Such payments by Tenant, together with any and all other amounts payable by Tenant to Landlord pursuant to the terms of this Lease, are hereinafter collectively referred to as the “</w:t>
      </w:r>
      <w:r>
        <w:rPr>
          <w:rFonts w:ascii="Arial" w:cs="Arial" w:eastAsia="Arial" w:hAnsi="Arial"/>
          <w:sz w:val="17"/>
          <w:szCs w:val="17"/>
          <w:b w:val="1"/>
          <w:bCs w:val="1"/>
          <w:color w:val="auto"/>
        </w:rPr>
        <w:t>Additional Rent</w:t>
      </w:r>
      <w:r>
        <w:rPr>
          <w:rFonts w:ascii="Arial" w:cs="Arial" w:eastAsia="Arial" w:hAnsi="Arial"/>
          <w:sz w:val="17"/>
          <w:szCs w:val="17"/>
          <w:color w:val="auto"/>
        </w:rPr>
        <w:t>”, and the Base Rent and the Additional Rent are herein collectively referred to as “</w:t>
      </w:r>
      <w:r>
        <w:rPr>
          <w:rFonts w:ascii="Arial" w:cs="Arial" w:eastAsia="Arial" w:hAnsi="Arial"/>
          <w:sz w:val="17"/>
          <w:szCs w:val="17"/>
          <w:b w:val="1"/>
          <w:bCs w:val="1"/>
          <w:color w:val="auto"/>
        </w:rPr>
        <w:t>Rent</w:t>
      </w:r>
      <w:r>
        <w:rPr>
          <w:rFonts w:ascii="Arial" w:cs="Arial" w:eastAsia="Arial" w:hAnsi="Arial"/>
          <w:sz w:val="17"/>
          <w:szCs w:val="17"/>
          <w:color w:val="auto"/>
        </w:rPr>
        <w:t xml:space="preserve">.” All amounts due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and of Landlord to reconcile and reimburse Tenant for overpayments of Additional Rent provided for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survive the expiration of the Lease Term.</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Definitions of Key Terms Relating to Additional Rent</w:t>
      </w:r>
      <w:r>
        <w:rPr>
          <w:rFonts w:ascii="Arial" w:cs="Arial" w:eastAsia="Arial" w:hAnsi="Arial"/>
          <w:sz w:val="16"/>
          <w:szCs w:val="16"/>
          <w:color w:val="auto"/>
        </w:rPr>
        <w:t>. As used in this Article 4, the following terms shall have the meanings hereinafter set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forth:</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4.2.1 Intentionally Deleted.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color w:val="auto"/>
        </w:rPr>
        <w:t>“Direct Expenses</w:t>
      </w:r>
      <w:r>
        <w:rPr>
          <w:rFonts w:ascii="Arial" w:cs="Arial" w:eastAsia="Arial" w:hAnsi="Arial"/>
          <w:sz w:val="18"/>
          <w:szCs w:val="18"/>
          <w:color w:val="auto"/>
        </w:rPr>
        <w:t>” shall mean “Operating Expenses” and “Tax Expenses.”</w:t>
      </w:r>
    </w:p>
    <w:p>
      <w:pPr>
        <w:spacing w:after="0" w:line="117" w:lineRule="exact"/>
        <w:rPr>
          <w:sz w:val="20"/>
          <w:szCs w:val="20"/>
          <w:color w:val="auto"/>
        </w:rPr>
      </w:pPr>
    </w:p>
    <w:p>
      <w:pPr>
        <w:ind w:right="240" w:firstLine="913"/>
        <w:spacing w:after="0" w:line="293"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b w:val="1"/>
          <w:bCs w:val="1"/>
          <w:color w:val="auto"/>
        </w:rPr>
        <w:t>“Expense Year</w:t>
      </w:r>
      <w:r>
        <w:rPr>
          <w:rFonts w:ascii="Arial" w:cs="Arial" w:eastAsia="Arial" w:hAnsi="Arial"/>
          <w:sz w:val="16"/>
          <w:szCs w:val="16"/>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spacing w:after="0" w:line="1" w:lineRule="exact"/>
        <w:rPr>
          <w:sz w:val="20"/>
          <w:szCs w:val="20"/>
          <w:color w:val="auto"/>
        </w:rPr>
      </w:pPr>
    </w:p>
    <w:p>
      <w:pPr>
        <w:ind w:right="320" w:firstLine="8"/>
        <w:spacing w:after="0" w:line="261" w:lineRule="auto"/>
        <w:tabs>
          <w:tab w:leader="none" w:pos="3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consecutive month period, and, in the event of any such change, Tenant’s Share of Direct Expenses shall be equitably adjusted for any Expense Year involved in any such change.</w:t>
      </w:r>
    </w:p>
    <w:p>
      <w:pPr>
        <w:spacing w:after="0" w:line="72"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color w:val="auto"/>
        </w:rPr>
        <w:t>“Operating Expenses</w:t>
      </w:r>
      <w:r>
        <w:rPr>
          <w:rFonts w:ascii="Arial" w:cs="Arial" w:eastAsia="Arial" w:hAnsi="Arial"/>
          <w:sz w:val="16"/>
          <w:szCs w:val="16"/>
          <w:color w:val="auto"/>
        </w:rPr>
        <w:t xml:space="preserve">” shall mean all expenses, costs and amounts of every kind and nature which Landlord pays or accrues during any Expense Year because of or in connection with the ownership, management, maintenance, security, repair, or operation of the Project, or any portion thereof, in accordance with sound real estate management and accounting practices, consistently applied. Without limiting the generality of the foregoing, Operating Expenses shall specifically include any and all of the following: (i) the cost of supplying all utilities (but, subject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below, excluding the cost of electricity, gas, water and sewer services consumed in the Premises, and in the premises of other tenants of the Project (since Tenant is separately paying for the cost of electricity, gas, water and sewer services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of this Lease)), the cost of operating, repairing, maintaining, and renovating the utility, telephone, mechanical, sanitary, storm drainage, and elevator systems, and the cost of maintenance and service contracts in connection therewith;</w:t>
      </w:r>
    </w:p>
    <w:p>
      <w:pPr>
        <w:spacing w:after="0" w:line="2" w:lineRule="exact"/>
        <w:rPr>
          <w:sz w:val="20"/>
          <w:szCs w:val="20"/>
          <w:color w:val="auto"/>
        </w:rPr>
      </w:pPr>
    </w:p>
    <w:p>
      <w:pPr>
        <w:jc w:val="both"/>
        <w:ind w:right="120" w:firstLine="8"/>
        <w:spacing w:after="0" w:line="254" w:lineRule="auto"/>
        <w:tabs>
          <w:tab w:leader="none" w:pos="2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cost of licenses, certificates, permits and inspections and the cost of contesting any governmental enactments which may affect Operating Expenses, and the costs incurred in connection with a governmentally-mandated transportation system management program or similar program or any transportation system management program or similar program that Tenant participates; (iii) the cost of all insurance carried by Landlord in connection with the Project as reasonably determined</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0" w:right="299" w:bottom="1440" w:gutter="0" w:footer="0" w:header="0"/>
        </w:sectPr>
      </w:pPr>
    </w:p>
    <w:bookmarkStart w:id="268" w:name="page269"/>
    <w:bookmarkEnd w:id="26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Landlord (including, without limitation, commercial general liability insurance, physical damage insurance covering damage or other loss caused by fire, earthquake, flood and other water damage, explosion, vandalism and malicious mischief, theft or other casualty, rental interruption insurance and such insurance as may be required by any lessor under any present or future ground or underlying lease of the Buildings or Project or any holder of a mortgage, trust deed or other encumbrance now or hereafter in force against the Buildings or Project or any portion thereof or as required pursuant to the Underlying Documents); (iv) the cost of landscaping, relamping, and all supplies, tools, equipment and materials used in the operation, repair and maintenance of the Project, or any portion thereof; (v) costs incurred in connection with the Parking Facilities; (vi) fees and other costs, including management fees, consulting fees, legal fees (subject to exclusion (u), below) and accounting fees, of all contractors and consultants incurred by Landlord in connection with the management, operation, maintenance and repair of the Project; (vii) payments under any customary equipment rental agreements and the fair rental value of any management office space (provided, however, that if and to the extent that the personnel in such management office perform management responsibilities for other properties in addition to the Project, then the rental value of such management office shall be equitably allocated between the Project and such other properties; provided further, however, upon request from Tenant not more than once in any twelve (12) month period, Landlord shall inform Tenant of any personnel in such management office that performs management responsibilities for other properties in addition to the Project); (viii) wages, salaries and other compensation and benefits, including taxes levied thereon, of all persons engaged in the operation, management, maintenance and security of the Project (other than persons generally considered to be higher in rank than the position of the person, regardless of title, who supervises property managers that manage the Project and other projects of Landlord and affiliates of Landlord, which person the Landlord refers to as a “Senior Asset Manager”); (ix) costs under any instrument pertaining to the sharing of costs by the Project; (x) operation, repair, maintenance and replacement of all systems and equipment and components thereof of the Project; (xi) the cost of, alarm, security and other services, the cost of janitorial services provided to Common Areas, the cost of replacement of wall and floor coverings, ceiling tiles and fixtures in Common Areas, maintenance and replacement of curbs and walkways, repair to roofs and re-roofing; (xii) amortization (including interest on the unamortized cost at an interest rate (the “</w:t>
      </w:r>
      <w:r>
        <w:rPr>
          <w:rFonts w:ascii="Arial" w:cs="Arial" w:eastAsia="Arial" w:hAnsi="Arial"/>
          <w:sz w:val="16"/>
          <w:szCs w:val="16"/>
          <w:b w:val="1"/>
          <w:bCs w:val="1"/>
          <w:color w:val="auto"/>
        </w:rPr>
        <w:t>Amortization Interest Rate</w:t>
      </w:r>
      <w:r>
        <w:rPr>
          <w:rFonts w:ascii="Arial" w:cs="Arial" w:eastAsia="Arial" w:hAnsi="Arial"/>
          <w:sz w:val="16"/>
          <w:szCs w:val="16"/>
          <w:color w:val="auto"/>
        </w:rPr>
        <w:t xml:space="preserve">”) equal to the annual “Bank Prime Loan” rate, as that term is set forth 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of this Lease, plus two (2) percentage points) of the cost of acquiring or the rental expense of personal property used in the maintenance, operation and repair of the Project, or any portion thereof; (xiii) the cost of capital improvements, capital repairs or other capital costs incurred in connection with the Project (A) which are reasonably intended by Landlord, based upon qualified third party advice, to effect savings in the operation, cleaning or maintenance of the Project, or any portion thereof, to the extent of cost savings reasonably anticipated by Landlord at the time of such expenditure to be incurred in connection therewith (“</w:t>
      </w:r>
      <w:r>
        <w:rPr>
          <w:rFonts w:ascii="Arial" w:cs="Arial" w:eastAsia="Arial" w:hAnsi="Arial"/>
          <w:sz w:val="16"/>
          <w:szCs w:val="16"/>
          <w:b w:val="1"/>
          <w:bCs w:val="1"/>
          <w:color w:val="auto"/>
        </w:rPr>
        <w:t>Cost Saving Capital Expenditures</w:t>
      </w:r>
      <w:r>
        <w:rPr>
          <w:rFonts w:ascii="Arial" w:cs="Arial" w:eastAsia="Arial" w:hAnsi="Arial"/>
          <w:sz w:val="16"/>
          <w:szCs w:val="16"/>
          <w:color w:val="auto"/>
        </w:rPr>
        <w:t>”), or (B) that are required under any governmental law or regulation, except for capital improvements to remedy a condition existing prior to the Phase I Lease Commencement Date which an applicable governmental authority, if it had knowledge of such condition prior to the Phase I Lease Commencement Date, would have then required to be remedied pursuant to then-current governmental laws or regulations in their form existing as of the Phase I Lease Commencement Date and pursuant to the then-current interpretation of such governmental laws or regulations by the applicable governmental authority as of the Phase 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69" w:name="page270"/>
    <w:bookmarkEnd w:id="26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Commencement Date (the costs described in clauses (xii) and (xiii)(A) and (B) being referred to collectively as “</w:t>
      </w:r>
      <w:r>
        <w:rPr>
          <w:rFonts w:ascii="Arial" w:cs="Arial" w:eastAsia="Arial" w:hAnsi="Arial"/>
          <w:sz w:val="16"/>
          <w:szCs w:val="16"/>
          <w:b w:val="1"/>
          <w:bCs w:val="1"/>
          <w:color w:val="auto"/>
        </w:rPr>
        <w:t>Permitted Capital Expenditures</w:t>
      </w:r>
      <w:r>
        <w:rPr>
          <w:rFonts w:ascii="Arial" w:cs="Arial" w:eastAsia="Arial" w:hAnsi="Arial"/>
          <w:sz w:val="16"/>
          <w:szCs w:val="16"/>
          <w:color w:val="auto"/>
        </w:rPr>
        <w:t xml:space="preserve">”); provided, however, that the cost of Permitted Capital Expenditures shall (subject to the limitation set forth above with respect to Landlord’s ability to pass through the cost of Cost Saving Capital Expenditures) be amortized with interest at the Amortization Interest Rate over the useful life of the capital item in question, as reasonably determined by Landlord, in a manner consistent with the practices of landlords of Comparable Buildings and otherwise in accordance with sound real estate management and accounting principles or, with respect to Cost Saving Capital Expenditures, their recovery/payback period as Landlord shall reasonably determine, in a manner consistent with the practices of landlords of Comparable Buildings and otherwise in accordance with sound real estate management and accounting practices, consistently applied;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below; and (xv) payments under any Underlying Documents (as that term is defined in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below). Notwithstanding the foregoing, for purposes of this Lease, the following items shall be excluded from Operating Expenses:</w:t>
      </w:r>
    </w:p>
    <w:p>
      <w:pPr>
        <w:spacing w:after="0" w:line="57" w:lineRule="exact"/>
        <w:rPr>
          <w:sz w:val="20"/>
          <w:szCs w:val="20"/>
          <w:color w:val="auto"/>
        </w:rPr>
      </w:pPr>
    </w:p>
    <w:p>
      <w:pPr>
        <w:ind w:right="60" w:firstLine="921"/>
        <w:spacing w:after="0" w:line="264" w:lineRule="auto"/>
        <w:tabs>
          <w:tab w:leader="none" w:pos="11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cost of repairs or other work incurred by reason of fire, windstorm or other casualty or by the exercise of the right of eminent domain to the extent Landlord is compensated through proceeds or insurance or condemnation awards, or would have been so reimbursed if Landlord had in force all of the insurance required to be carried by Landlord under this Lease;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cost and expense of correcting defects in the construction of the Project or repairs that are covered by warranties;</w:t>
      </w:r>
    </w:p>
    <w:p>
      <w:pPr>
        <w:spacing w:after="0" w:line="117" w:lineRule="exact"/>
        <w:rPr>
          <w:rFonts w:ascii="Arial" w:cs="Arial" w:eastAsia="Arial" w:hAnsi="Arial"/>
          <w:sz w:val="18"/>
          <w:szCs w:val="18"/>
          <w:color w:val="auto"/>
        </w:rPr>
      </w:pPr>
    </w:p>
    <w:p>
      <w:pPr>
        <w:ind w:firstLine="921"/>
        <w:spacing w:after="0" w:line="286" w:lineRule="auto"/>
        <w:tabs>
          <w:tab w:leader="none" w:pos="115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costs, including fines or penalties, incurred due to a violation of Applicable Laws in force and effect as of the Phase I Lease Commencement Date relating to the Project, but not including on-going recurring compliance costs (by way of example only, costs to comply with an existing Applicable Law requiring periodic elevator maintenance, or related to fire-extinguisher inspections, shall be included in Operating Expenses);</w:t>
      </w:r>
    </w:p>
    <w:p>
      <w:pPr>
        <w:spacing w:after="0" w:line="57" w:lineRule="exact"/>
        <w:rPr>
          <w:rFonts w:ascii="Arial" w:cs="Arial" w:eastAsia="Arial" w:hAnsi="Arial"/>
          <w:sz w:val="17"/>
          <w:szCs w:val="17"/>
          <w:color w:val="auto"/>
        </w:rPr>
      </w:pPr>
    </w:p>
    <w:p>
      <w:pPr>
        <w:ind w:right="60" w:firstLine="921"/>
        <w:spacing w:after="0" w:line="277" w:lineRule="auto"/>
        <w:tabs>
          <w:tab w:leader="none" w:pos="11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costs incurred due to the presence of Hazardous Substances (as defined in </w:t>
      </w:r>
      <w:r>
        <w:rPr>
          <w:rFonts w:ascii="Arial" w:cs="Arial" w:eastAsia="Arial" w:hAnsi="Arial"/>
          <w:sz w:val="18"/>
          <w:szCs w:val="18"/>
          <w:u w:val="single" w:color="auto"/>
          <w:color w:val="auto"/>
        </w:rPr>
        <w:t>Section 5.2</w:t>
      </w:r>
      <w:r>
        <w:rPr>
          <w:rFonts w:ascii="Arial" w:cs="Arial" w:eastAsia="Arial" w:hAnsi="Arial"/>
          <w:sz w:val="18"/>
          <w:szCs w:val="18"/>
          <w:color w:val="auto"/>
        </w:rPr>
        <w:t>), except to the extent caused by the release or emission thereof by Tenant;</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charitable and political contributions or reserves of any kind;</w:t>
      </w:r>
    </w:p>
    <w:p>
      <w:pPr>
        <w:spacing w:after="0" w:line="117" w:lineRule="exact"/>
        <w:rPr>
          <w:rFonts w:ascii="Arial" w:cs="Arial" w:eastAsia="Arial" w:hAnsi="Arial"/>
          <w:sz w:val="18"/>
          <w:szCs w:val="18"/>
          <w:color w:val="auto"/>
        </w:rPr>
      </w:pPr>
    </w:p>
    <w:p>
      <w:pPr>
        <w:ind w:right="460" w:firstLine="921"/>
        <w:spacing w:after="0" w:line="277" w:lineRule="auto"/>
        <w:tabs>
          <w:tab w:leader="none" w:pos="11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depreciation, interest and principal payments on mortgages and other debt costs, if any, penalties and interest, and any other costs which would properly be capitalized, other than Permitted Capital Expenditures;</w:t>
      </w:r>
    </w:p>
    <w:p>
      <w:pPr>
        <w:spacing w:after="0" w:line="62" w:lineRule="exact"/>
        <w:rPr>
          <w:rFonts w:ascii="Arial" w:cs="Arial" w:eastAsia="Arial" w:hAnsi="Arial"/>
          <w:sz w:val="18"/>
          <w:szCs w:val="18"/>
          <w:color w:val="auto"/>
        </w:rPr>
      </w:pPr>
    </w:p>
    <w:p>
      <w:pPr>
        <w:ind w:right="20" w:firstLine="921"/>
        <w:spacing w:after="0" w:line="232" w:lineRule="auto"/>
        <w:tabs>
          <w:tab w:leader="none" w:pos="11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fees payable by Landlord for management of the Project in excess of (i) so long as Tenant continues to lease the entire initial Premises and has not subleased any portion of the initial Premises, two and one-half percent (2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or (ii) otherwise, three percent (3%) (as applicable, the “</w:t>
      </w:r>
      <w:r>
        <w:rPr>
          <w:rFonts w:ascii="Arial" w:cs="Arial" w:eastAsia="Arial" w:hAnsi="Arial"/>
          <w:sz w:val="17"/>
          <w:szCs w:val="17"/>
          <w:b w:val="1"/>
          <w:bCs w:val="1"/>
          <w:color w:val="auto"/>
        </w:rPr>
        <w:t>Management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Fee Percentage</w:t>
      </w:r>
      <w:r>
        <w:rPr>
          <w:rFonts w:ascii="Arial" w:cs="Arial" w:eastAsia="Arial" w:hAnsi="Arial"/>
          <w:sz w:val="17"/>
          <w:szCs w:val="17"/>
          <w:color w:val="auto"/>
        </w:rPr>
        <w:t>”), of Landlord’s gross revenues from the Project, adjusted and grossed up to reflect a one hundred percent (100%) occupancy of the Project</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tenants paying full rent, as contrasted with free rent, half-rent and the like, including Base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270" w:name="page271"/>
    <w:bookmarkEnd w:id="270"/>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Rent, Additional Rent, and parking fees from the Project for any calendar year or portion thereof (provided that, that for the purpose of the calculation of the Management Fee Percentage, “gross revenues” shall not include (i) percentage rent received from retail tenants, (ii) parking fees and parking revenue other than attributable to “Project Related Parkers” (as opposed to parking fees and parking revenue generated as a result of “Public Use Parking” (as those terms are defined in </w:t>
      </w:r>
      <w:r>
        <w:rPr>
          <w:rFonts w:ascii="Arial" w:cs="Arial" w:eastAsia="Arial" w:hAnsi="Arial"/>
          <w:sz w:val="18"/>
          <w:szCs w:val="18"/>
          <w:u w:val="single" w:color="auto"/>
          <w:color w:val="auto"/>
        </w:rPr>
        <w:t>Section 28.5</w:t>
      </w:r>
      <w:r>
        <w:rPr>
          <w:rFonts w:ascii="Arial" w:cs="Arial" w:eastAsia="Arial" w:hAnsi="Arial"/>
          <w:sz w:val="18"/>
          <w:szCs w:val="18"/>
          <w:color w:val="auto"/>
        </w:rPr>
        <w:t xml:space="preserve"> below)), or (iii) any lump sum or accelerated termination payment received by Landlord from Tenant unless such termination payment is, for the purposes of calculating gross revenues, spread proportionately over the number of years which the terminated lease would have continued); or</w:t>
      </w:r>
    </w:p>
    <w:p>
      <w:pPr>
        <w:spacing w:after="0" w:line="85" w:lineRule="exact"/>
        <w:rPr>
          <w:sz w:val="20"/>
          <w:szCs w:val="20"/>
          <w:color w:val="auto"/>
        </w:rPr>
      </w:pPr>
    </w:p>
    <w:p>
      <w:pPr>
        <w:ind w:left="1180" w:hanging="259"/>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expense reserves;</w:t>
      </w:r>
    </w:p>
    <w:p>
      <w:pPr>
        <w:spacing w:after="0" w:line="117" w:lineRule="exact"/>
        <w:rPr>
          <w:rFonts w:ascii="Arial" w:cs="Arial" w:eastAsia="Arial" w:hAnsi="Arial"/>
          <w:sz w:val="18"/>
          <w:szCs w:val="18"/>
          <w:color w:val="auto"/>
        </w:rPr>
      </w:pPr>
    </w:p>
    <w:p>
      <w:pPr>
        <w:ind w:firstLine="921"/>
        <w:spacing w:after="0" w:line="257" w:lineRule="auto"/>
        <w:tabs>
          <w:tab w:leader="none" w:pos="11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Landlord’s and Landlord’s managing agent’s general corporate or partnership overhead and general administrative expenses, and all costs associated with the operation of the business of the ownership or entity which constitutes “Landlord,” as distinguished from the costs of Building operations, management, maintenance or repair, including, but not limited to, costs of entity accounting and legal matters, costs of any disputes with any ground lessor or mortgagee, costs of acquiring, selling syndicating, financing, mortgaging or hypothecating any of the Landlord’s interest in all or any part of the Project and/or Common Areas;</w:t>
      </w:r>
    </w:p>
    <w:p>
      <w:pPr>
        <w:spacing w:after="0" w:line="80" w:lineRule="exact"/>
        <w:rPr>
          <w:rFonts w:ascii="Arial" w:cs="Arial" w:eastAsia="Arial" w:hAnsi="Arial"/>
          <w:sz w:val="18"/>
          <w:szCs w:val="18"/>
          <w:color w:val="auto"/>
        </w:rPr>
      </w:pPr>
    </w:p>
    <w:p>
      <w:pPr>
        <w:ind w:right="60" w:firstLine="921"/>
        <w:spacing w:after="0" w:line="259" w:lineRule="auto"/>
        <w:tabs>
          <w:tab w:leader="none" w:pos="112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costs (including permit, license and inspection fees) incurred in renovating or otherwise improving or decorating, painting or redecorating space for tenants or other occupants or in renovating or redecorating vacant space, including the cost of alterations or improvements to the Premises or to the premises of any other tenant or occupant of the Project and any cash or other consideration paid by Landlord on account of, with respect to, or in lieu of the improvement or alteration work described herein;</w:t>
      </w:r>
    </w:p>
    <w:p>
      <w:pPr>
        <w:spacing w:after="0" w:line="78"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costs in connection with the original construction of the Project and related facilities, including costs of insurance, property taxes and other soft costs incurred during the “Construction Period” (as that term is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below);</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costs to provide the Shuttle Service, subject to </w:t>
      </w:r>
      <w:r>
        <w:rPr>
          <w:rFonts w:ascii="Arial" w:cs="Arial" w:eastAsia="Arial" w:hAnsi="Arial"/>
          <w:sz w:val="18"/>
          <w:szCs w:val="18"/>
          <w:u w:val="single" w:color="auto"/>
          <w:color w:val="auto"/>
        </w:rPr>
        <w:t>Section 29.40</w:t>
      </w:r>
      <w:r>
        <w:rPr>
          <w:rFonts w:ascii="Arial" w:cs="Arial" w:eastAsia="Arial" w:hAnsi="Arial"/>
          <w:sz w:val="18"/>
          <w:szCs w:val="18"/>
          <w:color w:val="auto"/>
        </w:rPr>
        <w:t xml:space="preserve"> below;</w:t>
      </w:r>
    </w:p>
    <w:p>
      <w:pPr>
        <w:spacing w:after="0" w:line="117" w:lineRule="exact"/>
        <w:rPr>
          <w:rFonts w:ascii="Arial" w:cs="Arial" w:eastAsia="Arial" w:hAnsi="Arial"/>
          <w:sz w:val="18"/>
          <w:szCs w:val="18"/>
          <w:color w:val="auto"/>
        </w:rPr>
      </w:pPr>
    </w:p>
    <w:p>
      <w:pPr>
        <w:ind w:firstLine="921"/>
        <w:spacing w:after="0" w:line="264" w:lineRule="auto"/>
        <w:tabs>
          <w:tab w:leader="none" w:pos="121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costs for which the Landlord is to be reimbursed by any tenant (other than as a reimbursement of operating expenses) or occupant of the Project or by insurance by its carrier or any tenant’s carrier or by anyone else including, without limitation, the cost of providing any janitorial services to any other tenant’s space (or occupiable space) in the Project;</w:t>
      </w:r>
    </w:p>
    <w:p>
      <w:pPr>
        <w:spacing w:after="0" w:line="73"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costs of all items and services for which Tenant reimburses Landlord or pays to third parties or which Landlord provides selectively to one or more tenants or occupants of the Project (other than Tenant);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depreciation and amortization except as permitted pursuant to items (xii) and (xiii), above;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costs incurred due to violation by Landlord or its managing agent or any tenant of the terms and conditions of any lease;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71" w:name="page272"/>
    <w:bookmarkEnd w:id="271"/>
    <w:p>
      <w:pPr>
        <w:ind w:left="-60" w:right="140" w:firstLine="921"/>
        <w:spacing w:after="0" w:line="264" w:lineRule="auto"/>
        <w:tabs>
          <w:tab w:leader="none" w:pos="1108"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to subsidiaries or affiliates of Landlord, for management or other services in or to the Project, or for supplies or other materials to the extent that the costs of such services, supplies, or materials exceed the costs that would have been paid had the services, supplies or materials been provided by parties unaffiliated with the Landlord on a competitive basis;</w:t>
      </w:r>
    </w:p>
    <w:p>
      <w:pPr>
        <w:spacing w:after="0" w:line="73" w:lineRule="exact"/>
        <w:rPr>
          <w:rFonts w:ascii="Arial" w:cs="Arial" w:eastAsia="Arial" w:hAnsi="Arial"/>
          <w:sz w:val="18"/>
          <w:szCs w:val="18"/>
          <w:color w:val="auto"/>
        </w:rPr>
      </w:pPr>
    </w:p>
    <w:p>
      <w:pPr>
        <w:ind w:left="1080" w:hanging="219"/>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60" w:right="480" w:firstLine="921"/>
        <w:spacing w:after="0" w:line="277" w:lineRule="auto"/>
        <w:tabs>
          <w:tab w:leader="none" w:pos="108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compensation and benefits paid to personnel working in or managing a food service or health club or other commercial concession operated by Landlord or Landlord’s managing agent;</w:t>
      </w:r>
    </w:p>
    <w:p>
      <w:pPr>
        <w:spacing w:after="0" w:line="62" w:lineRule="exact"/>
        <w:rPr>
          <w:rFonts w:ascii="Arial" w:cs="Arial" w:eastAsia="Arial" w:hAnsi="Arial"/>
          <w:sz w:val="18"/>
          <w:szCs w:val="18"/>
          <w:color w:val="auto"/>
        </w:rPr>
      </w:pPr>
    </w:p>
    <w:p>
      <w:pPr>
        <w:ind w:left="1080" w:hanging="219"/>
        <w:spacing w:after="0"/>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marketing, advertising and promotional costs and cost of signs in or on the Project identifying the owner of the Project or other tenants’ signs;</w:t>
      </w:r>
    </w:p>
    <w:p>
      <w:pPr>
        <w:spacing w:after="0" w:line="140" w:lineRule="exact"/>
        <w:rPr>
          <w:rFonts w:ascii="Arial" w:cs="Arial" w:eastAsia="Arial" w:hAnsi="Arial"/>
          <w:sz w:val="16"/>
          <w:szCs w:val="16"/>
          <w:color w:val="auto"/>
        </w:rPr>
      </w:pPr>
    </w:p>
    <w:p>
      <w:pPr>
        <w:ind w:left="-60" w:right="120" w:firstLine="921"/>
        <w:spacing w:after="0" w:line="264" w:lineRule="auto"/>
        <w:tabs>
          <w:tab w:leader="none" w:pos="110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leasing commissions, attorneys fees, costs and disbursements and other expenses incurred in connection with negotiations or disputes with tenants or other occupants or prospective tenants or other occupants, or associated with the enforcement of any leases or the defense of Landlord’s title to or interest in the Project or any part thereof or Common Areas or any part thereof;</w:t>
      </w:r>
    </w:p>
    <w:p>
      <w:pPr>
        <w:spacing w:after="0" w:line="73" w:lineRule="exact"/>
        <w:rPr>
          <w:rFonts w:ascii="Arial" w:cs="Arial" w:eastAsia="Arial" w:hAnsi="Arial"/>
          <w:sz w:val="18"/>
          <w:szCs w:val="18"/>
          <w:color w:val="auto"/>
        </w:rPr>
      </w:pPr>
    </w:p>
    <w:p>
      <w:pPr>
        <w:ind w:left="1120" w:hanging="259"/>
        <w:spacing w:after="0"/>
        <w:tabs>
          <w:tab w:leader="none" w:pos="11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160" w:hanging="299"/>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costs of repair or replacement for any item covered by a warranty to the extent actually covered by the warranty;</w:t>
      </w:r>
    </w:p>
    <w:p>
      <w:pPr>
        <w:spacing w:after="0" w:line="117" w:lineRule="exact"/>
        <w:rPr>
          <w:rFonts w:ascii="Arial" w:cs="Arial" w:eastAsia="Arial" w:hAnsi="Arial"/>
          <w:sz w:val="18"/>
          <w:szCs w:val="18"/>
          <w:color w:val="auto"/>
        </w:rPr>
      </w:pPr>
    </w:p>
    <w:p>
      <w:pPr>
        <w:ind w:left="1120" w:hanging="259"/>
        <w:spacing w:after="0"/>
        <w:tabs>
          <w:tab w:leader="none" w:pos="11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costs of which Landlord is actually reimbursed by its insurance carrier or by any tenant’s insurance carrier or by any other entity;</w:t>
      </w:r>
    </w:p>
    <w:p>
      <w:pPr>
        <w:spacing w:after="0" w:line="117" w:lineRule="exact"/>
        <w:rPr>
          <w:rFonts w:ascii="Arial" w:cs="Arial" w:eastAsia="Arial" w:hAnsi="Arial"/>
          <w:sz w:val="18"/>
          <w:szCs w:val="18"/>
          <w:color w:val="auto"/>
        </w:rPr>
      </w:pPr>
    </w:p>
    <w:p>
      <w:pPr>
        <w:ind w:left="1120" w:hanging="259"/>
        <w:spacing w:after="0"/>
        <w:tabs>
          <w:tab w:leader="none" w:pos="11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costs, fees, dues, contributions or similar expenses for political or charitable organizations;</w:t>
      </w:r>
    </w:p>
    <w:p>
      <w:pPr>
        <w:spacing w:after="0" w:line="117" w:lineRule="exact"/>
        <w:rPr>
          <w:rFonts w:ascii="Arial" w:cs="Arial" w:eastAsia="Arial" w:hAnsi="Arial"/>
          <w:sz w:val="18"/>
          <w:szCs w:val="18"/>
          <w:color w:val="auto"/>
        </w:rPr>
      </w:pPr>
    </w:p>
    <w:p>
      <w:pPr>
        <w:ind w:left="1100" w:hanging="239"/>
        <w:spacing w:after="0"/>
        <w:tabs>
          <w:tab w:leader="none" w:pos="11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bad debt loss, rent loss, or reserves for bad debt or rent loss;</w:t>
      </w:r>
    </w:p>
    <w:p>
      <w:pPr>
        <w:spacing w:after="0" w:line="117" w:lineRule="exact"/>
        <w:rPr>
          <w:sz w:val="20"/>
          <w:szCs w:val="20"/>
          <w:color w:val="auto"/>
        </w:rPr>
      </w:pPr>
    </w:p>
    <w:p>
      <w:pPr>
        <w:ind w:left="1180" w:hanging="319"/>
        <w:spacing w:after="0"/>
        <w:tabs>
          <w:tab w:leader="none" w:pos="11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acquisition or insurance costs for sculptures, paintings, or other art;</w:t>
      </w:r>
    </w:p>
    <w:p>
      <w:pPr>
        <w:spacing w:after="0" w:line="128" w:lineRule="exact"/>
        <w:rPr>
          <w:rFonts w:ascii="Arial" w:cs="Arial" w:eastAsia="Arial" w:hAnsi="Arial"/>
          <w:sz w:val="17"/>
          <w:szCs w:val="17"/>
          <w:color w:val="auto"/>
        </w:rPr>
      </w:pPr>
    </w:p>
    <w:p>
      <w:pPr>
        <w:jc w:val="both"/>
        <w:ind w:left="-60" w:right="60" w:firstLine="921"/>
        <w:spacing w:after="0" w:line="264" w:lineRule="auto"/>
        <w:tabs>
          <w:tab w:leader="none" w:pos="119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vis-à-vis time spent on matters unrelated to operating and managing the Project;</w:t>
      </w:r>
    </w:p>
    <w:p>
      <w:pPr>
        <w:spacing w:after="0" w:line="73" w:lineRule="exact"/>
        <w:rPr>
          <w:rFonts w:ascii="Arial" w:cs="Arial" w:eastAsia="Arial" w:hAnsi="Arial"/>
          <w:sz w:val="18"/>
          <w:szCs w:val="18"/>
          <w:color w:val="auto"/>
        </w:rPr>
      </w:pPr>
    </w:p>
    <w:p>
      <w:pPr>
        <w:ind w:left="1180" w:hanging="319"/>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cost of any electric power and other utilities used by any Project tenant;</w:t>
      </w:r>
    </w:p>
    <w:p>
      <w:pPr>
        <w:spacing w:after="0" w:line="117" w:lineRule="exact"/>
        <w:rPr>
          <w:rFonts w:ascii="Arial" w:cs="Arial" w:eastAsia="Arial" w:hAnsi="Arial"/>
          <w:sz w:val="18"/>
          <w:szCs w:val="18"/>
          <w:color w:val="auto"/>
        </w:rPr>
      </w:pPr>
    </w:p>
    <w:p>
      <w:pPr>
        <w:ind w:left="1200" w:hanging="339"/>
        <w:spacing w:after="0"/>
        <w:tabs>
          <w:tab w:leader="none" w:pos="1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cost of providing janitorial services to any Project tenant or any portion of the Project other than Common Areas;</w:t>
      </w:r>
    </w:p>
    <w:p>
      <w:pPr>
        <w:spacing w:after="0" w:line="117" w:lineRule="exact"/>
        <w:rPr>
          <w:rFonts w:ascii="Arial" w:cs="Arial" w:eastAsia="Arial" w:hAnsi="Arial"/>
          <w:sz w:val="18"/>
          <w:szCs w:val="18"/>
          <w:color w:val="auto"/>
        </w:rPr>
      </w:pPr>
    </w:p>
    <w:p>
      <w:pPr>
        <w:ind w:left="1180" w:hanging="319"/>
        <w:spacing w:after="0"/>
        <w:tabs>
          <w:tab w:leader="none" w:pos="11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Tax Expenses and costs expressly excluded from Tax Expenses;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300" w:top="274" w:right="299" w:bottom="1440" w:gutter="0" w:footer="0" w:header="0"/>
        </w:sectPr>
      </w:pPr>
    </w:p>
    <w:bookmarkStart w:id="272" w:name="page273"/>
    <w:bookmarkEnd w:id="272"/>
    <w:p>
      <w:pPr>
        <w:jc w:val="both"/>
        <w:ind w:right="120" w:firstLine="921"/>
        <w:spacing w:after="0" w:line="264" w:lineRule="auto"/>
        <w:tabs>
          <w:tab w:leader="none" w:pos="1194"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cost of tenant newsletters and Project promotional gifts, events or parties for existing occupants, and any costs related to the celebration or acknowledgment of holidays in excess of costs consistent with the general practice of landlords of the Comparable Buildings and any costs for parties for prospective occupants;</w:t>
      </w:r>
    </w:p>
    <w:p>
      <w:pPr>
        <w:spacing w:after="0" w:line="73" w:lineRule="exact"/>
        <w:rPr>
          <w:rFonts w:ascii="Arial" w:cs="Arial" w:eastAsia="Arial" w:hAnsi="Arial"/>
          <w:sz w:val="18"/>
          <w:szCs w:val="18"/>
          <w:color w:val="auto"/>
        </w:rPr>
      </w:pPr>
    </w:p>
    <w:p>
      <w:pPr>
        <w:ind w:right="240" w:firstLine="921"/>
        <w:spacing w:after="0" w:line="264" w:lineRule="auto"/>
        <w:tabs>
          <w:tab w:leader="none" w:pos="12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costs associated with the marketing of the Project (or any portion thereof) for sale or lease or the actual sale of the Project (or any portion thereof), and costs, fees, dues, contributions or similar expenses for industry associations or similar organizations and entertainment expenses and travel expenses of Landlord, its employees, agents, partners and affiliates; and</w:t>
      </w:r>
    </w:p>
    <w:p>
      <w:pPr>
        <w:spacing w:after="0" w:line="73" w:lineRule="exact"/>
        <w:rPr>
          <w:rFonts w:ascii="Arial" w:cs="Arial" w:eastAsia="Arial" w:hAnsi="Arial"/>
          <w:sz w:val="18"/>
          <w:szCs w:val="18"/>
          <w:color w:val="auto"/>
        </w:rPr>
      </w:pPr>
    </w:p>
    <w:p>
      <w:pPr>
        <w:ind w:right="300" w:firstLine="921"/>
        <w:spacing w:after="0" w:line="277" w:lineRule="auto"/>
        <w:tabs>
          <w:tab w:leader="none" w:pos="12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cost of installing, operating and maintaining any observatory, broadcasting facilities, luncheon club, museum, athletic or recreational club, or child care facility.</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one hundred percent (100%) occupied during all or a portion of any Expense Year, Landlord shall make an appropriate adjustment to the components of Operating Expenses for such year to determine the amount of Operating Expenses that would have been incurred had the Project been one hundred percent (100%) occupied by tenants paying full rent; and the amount so determined shall be deemed to have been the amount of Operating Expenses for such year.</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Further, notwithstanding the foregoing, in no event shall “Controllable Expenses,” as that term is defined, below, for any Expense Year following the Expense Year that commences on January 1</w:t>
      </w:r>
      <w:r>
        <w:rPr>
          <w:rFonts w:ascii="Arial" w:cs="Arial" w:eastAsia="Arial" w:hAnsi="Arial"/>
          <w:sz w:val="14"/>
          <w:szCs w:val="14"/>
          <w:color w:val="auto"/>
        </w:rPr>
        <w:t>st</w:t>
      </w:r>
      <w:r>
        <w:rPr>
          <w:rFonts w:ascii="Arial" w:cs="Arial" w:eastAsia="Arial" w:hAnsi="Arial"/>
          <w:sz w:val="17"/>
          <w:szCs w:val="17"/>
          <w:color w:val="auto"/>
        </w:rPr>
        <w:t xml:space="preserve"> of the second (2</w:t>
      </w:r>
      <w:r>
        <w:rPr>
          <w:rFonts w:ascii="Arial" w:cs="Arial" w:eastAsia="Arial" w:hAnsi="Arial"/>
          <w:sz w:val="14"/>
          <w:szCs w:val="14"/>
          <w:color w:val="auto"/>
        </w:rPr>
        <w:t>nd</w:t>
      </w:r>
      <w:r>
        <w:rPr>
          <w:rFonts w:ascii="Arial" w:cs="Arial" w:eastAsia="Arial" w:hAnsi="Arial"/>
          <w:sz w:val="17"/>
          <w:szCs w:val="17"/>
          <w:color w:val="auto"/>
        </w:rPr>
        <w:t>) full calendar year following the Phase III Lease Commencement Date (the “</w:t>
      </w:r>
      <w:r>
        <w:rPr>
          <w:rFonts w:ascii="Arial" w:cs="Arial" w:eastAsia="Arial" w:hAnsi="Arial"/>
          <w:sz w:val="17"/>
          <w:szCs w:val="17"/>
          <w:b w:val="1"/>
          <w:bCs w:val="1"/>
          <w:color w:val="auto"/>
        </w:rPr>
        <w:t>Measuring</w:t>
      </w:r>
      <w:r>
        <w:rPr>
          <w:rFonts w:ascii="Arial" w:cs="Arial" w:eastAsia="Arial" w:hAnsi="Arial"/>
          <w:sz w:val="17"/>
          <w:szCs w:val="17"/>
          <w:color w:val="auto"/>
        </w:rPr>
        <w:t xml:space="preserve"> </w:t>
      </w:r>
      <w:r>
        <w:rPr>
          <w:rFonts w:ascii="Arial" w:cs="Arial" w:eastAsia="Arial" w:hAnsi="Arial"/>
          <w:sz w:val="17"/>
          <w:szCs w:val="17"/>
          <w:b w:val="1"/>
          <w:bCs w:val="1"/>
          <w:color w:val="auto"/>
        </w:rPr>
        <w:t>Expense Year</w:t>
      </w:r>
      <w:r>
        <w:rPr>
          <w:rFonts w:ascii="Arial" w:cs="Arial" w:eastAsia="Arial" w:hAnsi="Arial"/>
          <w:sz w:val="17"/>
          <w:szCs w:val="17"/>
          <w:color w:val="auto"/>
        </w:rPr>
        <w:t>”) increase by more than five percent (5%) per Expense Year, on a compounded basis, calculated in a manner consistent with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example. For purposes of example, if Controllable Expenses for the Measuring Expense Year are One Hundred Thousand and No/100 Dollars ($100,000.00), then Controllable Expenses for the next Expense Year could not exceed One Hundred Five Thousand and No/100 Dollars ($105,000.00), and if Controllable Expenses for the Expense Year following the Measuring Expense Year were actually One Hundred Three Thousand and No/100 Dollars ($103,000.00), then Controllable Expenses for the second Expense Year following the Measuring Expense Year could not exceed One Hundred Eight Thousand One Hundred Fifty and No/100 Dollars ($108,150.00), but, instead, if actual Controllable Expenses for the Expense Year following the Measuring Expense Year were One Hundred Six Thousand and No/100 Dollars ($106,000.00), then only One Hundred Five Thousand and No/100 Dollars ($105,000.00) would be includable in Operating Expenses, and, in such event, the Controllable Expenses for the second Expense Year following the Measuring Expense Year could not exceed One Hundred Ten Thousand Two Hundred Fifty and No/100 Dollars ($110,250.00). For purposes of this Lease, “</w:t>
      </w:r>
      <w:r>
        <w:rPr>
          <w:rFonts w:ascii="Arial" w:cs="Arial" w:eastAsia="Arial" w:hAnsi="Arial"/>
          <w:sz w:val="17"/>
          <w:szCs w:val="17"/>
          <w:b w:val="1"/>
          <w:bCs w:val="1"/>
          <w:color w:val="auto"/>
        </w:rPr>
        <w:t>Controllable Expenses</w:t>
      </w:r>
      <w:r>
        <w:rPr>
          <w:rFonts w:ascii="Arial" w:cs="Arial" w:eastAsia="Arial" w:hAnsi="Arial"/>
          <w:sz w:val="17"/>
          <w:szCs w:val="17"/>
          <w:color w:val="auto"/>
        </w:rPr>
        <w:t>” shall mean all Operating Expenses, except (A) the cost of union labor, which shall include current union labor as of the date of this Lease and labor which is not union as of the date of this Lease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73" w:name="page274"/>
    <w:bookmarkEnd w:id="273"/>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but which unionizes after the date of this Lease, (B) market-wide labor-rate increases due to extraordinary circumstances, including without limitation, boycotts and strikes, (C) costs incurred due to an event of “Force Majeure,” as that term is defined in </w:t>
      </w:r>
      <w:r>
        <w:rPr>
          <w:rFonts w:ascii="Arial" w:cs="Arial" w:eastAsia="Arial" w:hAnsi="Arial"/>
          <w:sz w:val="18"/>
          <w:szCs w:val="18"/>
          <w:u w:val="single" w:color="auto"/>
          <w:color w:val="auto"/>
        </w:rPr>
        <w:t>Section 29.16</w:t>
      </w:r>
      <w:r>
        <w:rPr>
          <w:rFonts w:ascii="Arial" w:cs="Arial" w:eastAsia="Arial" w:hAnsi="Arial"/>
          <w:sz w:val="18"/>
          <w:szCs w:val="18"/>
          <w:color w:val="auto"/>
        </w:rPr>
        <w:t xml:space="preserve"> of this Lease, (D) costs incurred to comply with Applicable Laws, Mission Bay Requirements, or any Underlying Documents, (E) insurance costs, (F) costs of utilities or other governmental charges, (G) Permitted Capital Expenditures, and (H) costs for Landlord to provide security services and equipment to the Project, consistent with security services and equipment of landlords of Comparable Buildings.</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color w:val="auto"/>
        </w:rPr>
        <w:t xml:space="preserve">4.2.5.1 </w:t>
      </w:r>
      <w:r>
        <w:rPr>
          <w:rFonts w:ascii="Arial" w:cs="Arial" w:eastAsia="Arial" w:hAnsi="Arial"/>
          <w:sz w:val="18"/>
          <w:szCs w:val="18"/>
          <w:b w:val="1"/>
          <w:bCs w:val="1"/>
          <w:color w:val="auto"/>
        </w:rPr>
        <w:t>“Tax Expenses</w:t>
      </w:r>
      <w:r>
        <w:rPr>
          <w:rFonts w:ascii="Arial" w:cs="Arial" w:eastAsia="Arial" w:hAnsi="Arial"/>
          <w:sz w:val="18"/>
          <w:szCs w:val="18"/>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the Rent payable hereunder, including gross receipts or sales taxes applicable to the receipt of such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(including, without limitation, the land upon which the Buildings, including the Parking Facilities, are located).</w:t>
      </w:r>
    </w:p>
    <w:p>
      <w:pPr>
        <w:spacing w:after="0" w:line="8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7"/>
          <w:szCs w:val="17"/>
          <w:b w:val="1"/>
          <w:bCs w:val="1"/>
          <w:color w:val="auto"/>
        </w:rPr>
        <w:t>Proposition 13</w:t>
      </w:r>
      <w:r>
        <w:rPr>
          <w:rFonts w:ascii="Arial" w:cs="Arial" w:eastAsia="Arial" w:hAnsi="Arial"/>
          <w:sz w:val="17"/>
          <w:szCs w:val="17"/>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receipts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and (v) all of the real estate taxes and assessments imposed upon or with respect to the Buildings and all of the real estate taxes and assessments imposed on the land and improvements comprising the Project, including any such taxes or assessments relating to the Underlying Documents or Mission Bay Requirements.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74" w:name="page275"/>
    <w:bookmarkEnd w:id="274"/>
    <w:p>
      <w:pPr>
        <w:ind w:firstLine="148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4.2.5.3 Any costs and expenses (including, without limitation, reasonable attorneys’ fees) incurred in attempting to protest, reduce or minimize Tax Expenses shall be included in Tax Expenses in the Expense Year such expenses are paid.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Tax Expenses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within thirty (30) days following demand accompanied by reasonably detailed back-up documentation, Tenant’s Share of any such increased Tax Expenses included by Landlord as Tax Expenses pursuant to the terms of this Lease. Notwithstanding anything to the contrary contained in this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(except as set forth in Section </w:t>
      </w:r>
      <w:r>
        <w:rPr>
          <w:rFonts w:ascii="Arial" w:cs="Arial" w:eastAsia="Arial" w:hAnsi="Arial"/>
          <w:sz w:val="16"/>
          <w:szCs w:val="16"/>
          <w:u w:val="single" w:color="auto"/>
          <w:color w:val="auto"/>
        </w:rPr>
        <w:t>4.2.5.1</w:t>
      </w:r>
      <w:r>
        <w:rPr>
          <w:rFonts w:ascii="Arial" w:cs="Arial" w:eastAsia="Arial" w:hAnsi="Arial"/>
          <w:sz w:val="16"/>
          <w:szCs w:val="16"/>
          <w:color w:val="auto"/>
        </w:rPr>
        <w:t xml:space="preserve">, above), there shall be excluded from Tax Expenses (i) all excess profits taxes, franchise taxes, documentary transfer taxes incurred in connection with the sale or financing of the Project or any portion thereof (including any gross receipts tax levied on the proceeds thereof, but any changes in Tax Expenses following a re-assessment of the Project relating to a change in ownership shall continue to be includable in Tax Expenses),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this Lease (as well as any similar items payable by other Project tenants pursuant to similar provisions contained in their leases), (iv) tax penalties incurred as a result of Landlord’s failure to make payments and/or to file any tax or informational returns when due, and (v) any assessments on real property or improvements located outside of the Project. All assessments which can be paid by Landlord in installments, shall be paid by Landlord in the maximum number of installments permitted by law and shall be included as Tax Expenses in the year in which the installment is actually paid. For purposes of calculating Tax Expenses for the Project for any Expense Year, if such Tax Expenses do not reflect an assessment (or Tax Expenses) for a one hundred percent (100%) leased, completed and occupied project (such that existing or future leasing, improvements and/or occupancy may result in an increased assessment and/or increased Tax Expenses) with the Project being 100% occupied by tenants paying full rent, such Tax Expenses shall be adjusted, on a basis consistent with sound real estate accounting principles, to reflect an assessment for (and Tax Expenses for) a one hundred percent (100%) leased, completed and occupied project with the Project being 100% occupied by tenants paying full rent.</w:t>
      </w:r>
    </w:p>
    <w:p>
      <w:pPr>
        <w:spacing w:after="0" w:line="72" w:lineRule="exact"/>
        <w:rPr>
          <w:sz w:val="20"/>
          <w:szCs w:val="20"/>
          <w:color w:val="auto"/>
        </w:rPr>
      </w:pPr>
    </w:p>
    <w:p>
      <w:pPr>
        <w:ind w:right="60" w:firstLine="1484"/>
        <w:spacing w:after="0" w:line="312" w:lineRule="auto"/>
        <w:rPr>
          <w:sz w:val="20"/>
          <w:szCs w:val="20"/>
          <w:color w:val="auto"/>
        </w:rPr>
      </w:pPr>
      <w:r>
        <w:rPr>
          <w:rFonts w:ascii="Arial" w:cs="Arial" w:eastAsia="Arial" w:hAnsi="Arial"/>
          <w:sz w:val="16"/>
          <w:szCs w:val="16"/>
          <w:color w:val="auto"/>
        </w:rPr>
        <w:t xml:space="preserve">4.2.5.4 Notwithstanding anything to the contrary set forth in this Lease, only Landlord may institute proceedings to reduce Tax Expenses and the filing of any such proceeding by Tenant without Landlord’s consent shall constitute a Default by Tenant. Notwithstanding the foregoing, Landlord shall not be obligated to file any application or institute any proceeding seeking a reduction in Tax Expenses, except as set forth in </w:t>
      </w:r>
      <w:r>
        <w:rPr>
          <w:rFonts w:ascii="Arial" w:cs="Arial" w:eastAsia="Arial" w:hAnsi="Arial"/>
          <w:sz w:val="16"/>
          <w:szCs w:val="16"/>
          <w:u w:val="single" w:color="auto"/>
          <w:color w:val="auto"/>
        </w:rPr>
        <w:t>Section 4.4.4</w:t>
      </w:r>
      <w:r>
        <w:rPr>
          <w:rFonts w:ascii="Arial" w:cs="Arial" w:eastAsia="Arial" w:hAnsi="Arial"/>
          <w:sz w:val="16"/>
          <w:szCs w:val="16"/>
          <w:color w:val="auto"/>
        </w:rPr>
        <w:t xml:space="preserve"> below.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5" w:name="page276"/>
    <w:bookmarkEnd w:id="275"/>
    <w:p>
      <w:pPr>
        <w:ind w:right="32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4.2.6 </w:t>
      </w:r>
      <w:r>
        <w:rPr>
          <w:rFonts w:ascii="Arial" w:cs="Arial" w:eastAsia="Arial" w:hAnsi="Arial"/>
          <w:sz w:val="18"/>
          <w:szCs w:val="18"/>
          <w:b w:val="1"/>
          <w:bCs w:val="1"/>
          <w:color w:val="auto"/>
        </w:rPr>
        <w:t>“Tenant’s Share</w:t>
      </w:r>
      <w:r>
        <w:rPr>
          <w:rFonts w:ascii="Arial" w:cs="Arial" w:eastAsia="Arial" w:hAnsi="Arial"/>
          <w:sz w:val="18"/>
          <w:szCs w:val="18"/>
          <w:color w:val="auto"/>
        </w:rPr>
        <w:t xml:space="preserve">” shall mean the percentages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Summary, and shall be determined on a Building by Building basis, and shall also be determined separately for each Phase of the Premises.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Allocation of Direct Expenses.</w:t>
      </w:r>
    </w:p>
    <w:p>
      <w:pPr>
        <w:spacing w:after="0" w:line="117" w:lineRule="exact"/>
        <w:rPr>
          <w:sz w:val="20"/>
          <w:szCs w:val="20"/>
          <w:color w:val="auto"/>
        </w:rPr>
      </w:pPr>
    </w:p>
    <w:p>
      <w:pPr>
        <w:ind w:right="120" w:firstLine="913"/>
        <w:spacing w:after="0" w:line="29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b w:val="1"/>
          <w:bCs w:val="1"/>
          <w:u w:val="single" w:color="auto"/>
          <w:color w:val="auto"/>
        </w:rPr>
        <w:t>Method of Allocation</w:t>
      </w:r>
      <w:r>
        <w:rPr>
          <w:rFonts w:ascii="Arial" w:cs="Arial" w:eastAsia="Arial" w:hAnsi="Arial"/>
          <w:sz w:val="16"/>
          <w:szCs w:val="16"/>
          <w:color w:val="auto"/>
        </w:rPr>
        <w:t xml:space="preserve">. The parties acknowledge that the Project contains four (4) Buildings and that the costs and expenses incurred in connection with the Project (i.e., the Direct Expenses) should be equitably allocated among those Buildings and shared by the tenants of each of those Buildings.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consists of Operating Expenses and Tax Expenses) attributable only to a particular Building or Buildings, but not the Project generally, shall be included in Direct Expenses for such Building or Buildings, but excluded from Direct Expenses for any other Buildings, and Direct Expenses that are attributable to the Project as a whole shall be allocated among the Buildings prorata based upon the relative rentable square footages of each of the Buildings as compared to the rentable square footage of the Project in the aggregate.</w:t>
      </w:r>
    </w:p>
    <w:p>
      <w:pPr>
        <w:spacing w:after="0" w:line="48" w:lineRule="exact"/>
        <w:rPr>
          <w:sz w:val="20"/>
          <w:szCs w:val="20"/>
          <w:color w:val="auto"/>
        </w:rPr>
      </w:pPr>
    </w:p>
    <w:p>
      <w:pPr>
        <w:ind w:right="180" w:firstLine="913"/>
        <w:spacing w:after="0" w:line="270"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b w:val="1"/>
          <w:bCs w:val="1"/>
          <w:u w:val="single" w:color="auto"/>
          <w:color w:val="auto"/>
        </w:rPr>
        <w:t>Cost Pools</w:t>
      </w:r>
      <w:r>
        <w:rPr>
          <w:rFonts w:ascii="Arial" w:cs="Arial" w:eastAsia="Arial" w:hAnsi="Arial"/>
          <w:sz w:val="17"/>
          <w:szCs w:val="17"/>
          <w:color w:val="auto"/>
        </w:rPr>
        <w:t>. The parties acknowledge that certain of the costs and expenses incurred in connection with the Project (</w:t>
      </w:r>
      <w:r>
        <w:rPr>
          <w:rFonts w:ascii="Arial" w:cs="Arial" w:eastAsia="Arial" w:hAnsi="Arial"/>
          <w:sz w:val="17"/>
          <w:szCs w:val="17"/>
          <w:i w:val="1"/>
          <w:iCs w:val="1"/>
          <w:color w:val="auto"/>
        </w:rPr>
        <w:t>i.e.</w:t>
      </w:r>
      <w:r>
        <w:rPr>
          <w:rFonts w:ascii="Arial" w:cs="Arial" w:eastAsia="Arial" w:hAnsi="Arial"/>
          <w:sz w:val="17"/>
          <w:szCs w:val="17"/>
          <w:color w:val="auto"/>
        </w:rPr>
        <w:t>, the Direct Expenses) should be separately allocated to the office space and the Retail Space. Direct Expenses shall be allocated between the office space and Retail Space (each, a “</w:t>
      </w:r>
      <w:r>
        <w:rPr>
          <w:rFonts w:ascii="Arial" w:cs="Arial" w:eastAsia="Arial" w:hAnsi="Arial"/>
          <w:sz w:val="17"/>
          <w:szCs w:val="17"/>
          <w:b w:val="1"/>
          <w:bCs w:val="1"/>
          <w:color w:val="auto"/>
        </w:rPr>
        <w:t>Cost Pool</w:t>
      </w:r>
      <w:r>
        <w:rPr>
          <w:rFonts w:ascii="Arial" w:cs="Arial" w:eastAsia="Arial" w:hAnsi="Arial"/>
          <w:sz w:val="17"/>
          <w:szCs w:val="17"/>
          <w:color w:val="auto"/>
        </w:rPr>
        <w:t>”) based on the estimated benefit derived by the space which is the subject of the Cost Pool, and such allocations shall be reasonably determined by Landlord. Accordingly, Direct Expenses shall be charged to the Retail Space and the office space by virtue of the creation of Cost Pools. Direct Expenses which apply equally to the Retail Space and the office space (such as Landlord’s insurance costs), as reasonably determined by Landlord, shall be allocated to the office space Cost Pool and the Retail Space Cost Pool based on the square footage of each of those spaces, respectively, compared to the total square footage of the applicable Building. After the date of this Lease, if Tenant ceases to lease the entirety of the initial Premises, Landlord may reasonably establish additional Cost Pools in connection with any new leases of the Project, such as a life sciences Cost Pool. Any costs allocated to a Cost Pool (e.g. the Retail Space Cost Pool) which does not include a portion of the Premises shall be excluded from the definition of Direct Expenses for the purposes of this Lease.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Calculation and Payment of Additional Rent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4.4.1 </w:t>
      </w:r>
      <w:r>
        <w:rPr>
          <w:rFonts w:ascii="Arial" w:cs="Arial" w:eastAsia="Arial" w:hAnsi="Arial"/>
          <w:sz w:val="17"/>
          <w:szCs w:val="17"/>
          <w:b w:val="1"/>
          <w:bCs w:val="1"/>
          <w:u w:val="single" w:color="auto"/>
          <w:color w:val="auto"/>
        </w:rPr>
        <w:t>Statement of Actual Direct Expenses and Payment by Tenant</w:t>
      </w:r>
      <w:r>
        <w:rPr>
          <w:rFonts w:ascii="Arial" w:cs="Arial" w:eastAsia="Arial" w:hAnsi="Arial"/>
          <w:sz w:val="17"/>
          <w:szCs w:val="17"/>
          <w:color w:val="auto"/>
        </w:rPr>
        <w:t>. Landlord shall give to Tenant following the end of each Expense Year, a statement (the “</w:t>
      </w:r>
      <w:r>
        <w:rPr>
          <w:rFonts w:ascii="Arial" w:cs="Arial" w:eastAsia="Arial" w:hAnsi="Arial"/>
          <w:sz w:val="17"/>
          <w:szCs w:val="17"/>
          <w:b w:val="1"/>
          <w:bCs w:val="1"/>
          <w:color w:val="auto"/>
        </w:rPr>
        <w:t>Statement</w:t>
      </w:r>
      <w:r>
        <w:rPr>
          <w:rFonts w:ascii="Arial" w:cs="Arial" w:eastAsia="Arial" w:hAnsi="Arial"/>
          <w:sz w:val="17"/>
          <w:szCs w:val="17"/>
          <w:color w:val="auto"/>
        </w:rPr>
        <w:t xml:space="preserve">”) which shall state in general the major categories the Direct Expenses incurred or accrued for such preceding Expense Year, as applicable (inclusive of a reasonable description of any Permitted Capital Expenditures which are included in Operating Expenses and, if applicable, the calculations made by Landlord to adjust Direct Expenses pursuant to the final two paragraphs of </w:t>
      </w:r>
      <w:r>
        <w:rPr>
          <w:rFonts w:ascii="Arial" w:cs="Arial" w:eastAsia="Arial" w:hAnsi="Arial"/>
          <w:sz w:val="17"/>
          <w:szCs w:val="17"/>
          <w:u w:val="single" w:color="auto"/>
          <w:color w:val="auto"/>
        </w:rPr>
        <w:t>Section 4.2.4</w:t>
      </w:r>
      <w:r>
        <w:rPr>
          <w:rFonts w:ascii="Arial" w:cs="Arial" w:eastAsia="Arial" w:hAnsi="Arial"/>
          <w:sz w:val="17"/>
          <w:szCs w:val="17"/>
          <w:color w:val="auto"/>
        </w:rPr>
        <w:t xml:space="preserve"> and the final sentence of </w:t>
      </w:r>
      <w:r>
        <w:rPr>
          <w:rFonts w:ascii="Arial" w:cs="Arial" w:eastAsia="Arial" w:hAnsi="Arial"/>
          <w:sz w:val="17"/>
          <w:szCs w:val="17"/>
          <w:u w:val="single" w:color="auto"/>
          <w:color w:val="auto"/>
        </w:rPr>
        <w:t>Section 4.2.5.3</w:t>
      </w:r>
      <w:r>
        <w:rPr>
          <w:rFonts w:ascii="Arial" w:cs="Arial" w:eastAsia="Arial" w:hAnsi="Arial"/>
          <w:sz w:val="17"/>
          <w:szCs w:val="17"/>
          <w:color w:val="auto"/>
        </w:rPr>
        <w:t>), and which shall indicate the amount of Tenant’s Share of Direct Expenses. Landlord shall use commercially reasonable efforts to deliver such Statement to Tenant on or before May 1 following the end of the Expense Year to which such Statement relates. Upon receipt of the Statement for each Expense Year commencing or ending during the Lease Term, Tenant shall pay, within thirty (30) days after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76" w:name="page277"/>
    <w:bookmarkEnd w:id="27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receipt of the Statement, the full amount of Tenant’s Share of Direct Expenses for such Expense Year, less the amounts, if any, paid during such Expense Year as “Estimated Direct Expenses” as that term is defined in </w:t>
      </w:r>
      <w:r>
        <w:rPr>
          <w:rFonts w:ascii="Arial" w:cs="Arial" w:eastAsia="Arial" w:hAnsi="Arial"/>
          <w:sz w:val="17"/>
          <w:szCs w:val="17"/>
          <w:u w:val="single" w:color="auto"/>
          <w:color w:val="auto"/>
        </w:rPr>
        <w:t>Section 4.4.2</w:t>
      </w:r>
      <w:r>
        <w:rPr>
          <w:rFonts w:ascii="Arial" w:cs="Arial" w:eastAsia="Arial" w:hAnsi="Arial"/>
          <w:sz w:val="17"/>
          <w:szCs w:val="17"/>
          <w:color w:val="auto"/>
        </w:rPr>
        <w:t xml:space="preserve">, below, and if Tenant paid more as Estimated Direct Expenses than the actual amount of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Even though the Lease Term has expired and Tenant has vacated the Premises, when the final determination is made of Tenant’s Share of Direct Expenses for the Expense Year in which this Lease terminates, if Tenant’s Share of Direct Expenses is greater than the amount of Estimated Direct Expenses previously paid by Tenant to Landlord, Tenant shall, within thirty (30) days after receipt of the Statement, pay to Landlord such amount, and if Tenant paid more as Estimated Direct Expenses than the actual amount of Tenant’s Share of Direct Expenses, Landlord shall, within thirty (30) days, deliver a check payable to Tenant in the amount of the overpayment. The provisions of this Section 4.4.1 shall survive the expiration or earlier termination of the Lease Term. Notwithstanding the immediately preceding sentence, Tenant shall not be responsible for Tenant’s Share of any Direct Expenses attributable to any Expense Year which are first billed to Tenant more than two (2) calendar years after the Lease Expiration Date, provided that in any event Tenant shall be responsible for Tenant’s Share of Direct Expenses levied by any governmental authority or by any public utility companies at any time following the Lease Expiration Date which are attributable to any Expense Year.</w:t>
      </w:r>
    </w:p>
    <w:p>
      <w:pPr>
        <w:spacing w:after="0" w:line="7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b w:val="1"/>
          <w:bCs w:val="1"/>
          <w:u w:val="single" w:color="auto"/>
          <w:color w:val="auto"/>
        </w:rPr>
        <w:t>Statement of Estimated Direct Expenses</w:t>
      </w:r>
      <w:r>
        <w:rPr>
          <w:rFonts w:ascii="Arial" w:cs="Arial" w:eastAsia="Arial" w:hAnsi="Arial"/>
          <w:sz w:val="17"/>
          <w:szCs w:val="17"/>
          <w:color w:val="auto"/>
        </w:rPr>
        <w:t>. In addition, Landlord shall give Tenant a yearly expense estimate statement (the “</w:t>
      </w:r>
      <w:r>
        <w:rPr>
          <w:rFonts w:ascii="Arial" w:cs="Arial" w:eastAsia="Arial" w:hAnsi="Arial"/>
          <w:sz w:val="17"/>
          <w:szCs w:val="17"/>
          <w:b w:val="1"/>
          <w:bCs w:val="1"/>
          <w:color w:val="auto"/>
        </w:rPr>
        <w:t>Estimate</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which shall set forth in the general major categories Landlord’s reasonable estimate (the “</w:t>
      </w:r>
      <w:r>
        <w:rPr>
          <w:rFonts w:ascii="Arial" w:cs="Arial" w:eastAsia="Arial" w:hAnsi="Arial"/>
          <w:sz w:val="17"/>
          <w:szCs w:val="17"/>
          <w:b w:val="1"/>
          <w:bCs w:val="1"/>
          <w:color w:val="auto"/>
        </w:rPr>
        <w:t>Estimate</w:t>
      </w:r>
      <w:r>
        <w:rPr>
          <w:rFonts w:ascii="Arial" w:cs="Arial" w:eastAsia="Arial" w:hAnsi="Arial"/>
          <w:sz w:val="17"/>
          <w:szCs w:val="17"/>
          <w:color w:val="auto"/>
        </w:rPr>
        <w:t>”) of what the total amount of Direct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for the then-current Expense Year shall be and the estimated amount of Tenant’s Share of Direct Expenses (the “</w:t>
      </w:r>
      <w:r>
        <w:rPr>
          <w:rFonts w:ascii="Arial" w:cs="Arial" w:eastAsia="Arial" w:hAnsi="Arial"/>
          <w:sz w:val="17"/>
          <w:szCs w:val="17"/>
          <w:b w:val="1"/>
          <w:bCs w:val="1"/>
          <w:color w:val="auto"/>
        </w:rPr>
        <w:t>Estimated Direct Expenses</w:t>
      </w:r>
      <w:r>
        <w:rPr>
          <w:rFonts w:ascii="Arial" w:cs="Arial" w:eastAsia="Arial" w:hAnsi="Arial"/>
          <w:sz w:val="17"/>
          <w:szCs w:val="17"/>
          <w:color w:val="auto"/>
        </w:rPr>
        <w:t xml:space="preserve">”). Landlord shall use commercially reasonable efforts to deliver such Estimate Statement to Tenant on or before May 1 following the end of the Expense Year to which such Estimate Statement relates. The failure of Landlord to timely furnish the Estimate Statement for any Expense Year shall not preclude Landlord from enforcing its rights to collect any Additional Rent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nor shall Landlord be prohibited from revising any Estimate Statement or Estimated Direct Expenses theretofore delivered to the extent necessary. Thereafter, Tenant shall pay, on the first day of the next calendar month which occurs at least thirty (30) days after receipt of the Estimate Statement, a fraction of the Estimated Direct Expenses for the then-current Expense Year (reduced by any amounts paid pursuant to the second to last sentence of this </w:t>
      </w:r>
      <w:r>
        <w:rPr>
          <w:rFonts w:ascii="Arial" w:cs="Arial" w:eastAsia="Arial" w:hAnsi="Arial"/>
          <w:sz w:val="17"/>
          <w:szCs w:val="17"/>
          <w:u w:val="single" w:color="auto"/>
          <w:color w:val="auto"/>
        </w:rPr>
        <w:t>Section 4.4.2</w:t>
      </w:r>
      <w:r>
        <w:rPr>
          <w:rFonts w:ascii="Arial" w:cs="Arial" w:eastAsia="Arial" w:hAnsi="Arial"/>
          <w:sz w:val="17"/>
          <w:szCs w:val="17"/>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 Throughout the Lease Term Landlord shall maintain books and records with respect to Direct Expenses in accordance with sound real estate management and accounting practices, consistently applied.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77" w:name="page278"/>
    <w:bookmarkEnd w:id="277"/>
    <w:p>
      <w:pPr>
        <w:ind w:right="40" w:firstLine="913"/>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4.4.3 </w:t>
      </w:r>
      <w:r>
        <w:rPr>
          <w:rFonts w:ascii="Arial" w:cs="Arial" w:eastAsia="Arial" w:hAnsi="Arial"/>
          <w:sz w:val="17"/>
          <w:szCs w:val="17"/>
          <w:b w:val="1"/>
          <w:bCs w:val="1"/>
          <w:u w:val="single" w:color="auto"/>
          <w:color w:val="auto"/>
        </w:rPr>
        <w:t>Mission Bay Requirements</w:t>
      </w:r>
      <w:r>
        <w:rPr>
          <w:rFonts w:ascii="Arial" w:cs="Arial" w:eastAsia="Arial" w:hAnsi="Arial"/>
          <w:sz w:val="17"/>
          <w:szCs w:val="17"/>
          <w:color w:val="auto"/>
        </w:rPr>
        <w:t xml:space="preserve">. As set forth in </w:t>
      </w:r>
      <w:r>
        <w:rPr>
          <w:rFonts w:ascii="Arial" w:cs="Arial" w:eastAsia="Arial" w:hAnsi="Arial"/>
          <w:sz w:val="17"/>
          <w:szCs w:val="17"/>
          <w:b w:val="1"/>
          <w:bCs w:val="1"/>
          <w:u w:val="single" w:color="auto"/>
          <w:color w:val="auto"/>
        </w:rPr>
        <w:t>Exhibit F</w:t>
      </w:r>
      <w:r>
        <w:rPr>
          <w:rFonts w:ascii="Arial" w:cs="Arial" w:eastAsia="Arial" w:hAnsi="Arial"/>
          <w:sz w:val="17"/>
          <w:szCs w:val="17"/>
          <w:color w:val="auto"/>
        </w:rPr>
        <w:t xml:space="preserve"> attached hereto, the Project is subject to certain covenants, requirements, and disclosures (collectively, the “</w:t>
      </w:r>
      <w:r>
        <w:rPr>
          <w:rFonts w:ascii="Arial" w:cs="Arial" w:eastAsia="Arial" w:hAnsi="Arial"/>
          <w:sz w:val="17"/>
          <w:szCs w:val="17"/>
          <w:b w:val="1"/>
          <w:bCs w:val="1"/>
          <w:color w:val="auto"/>
        </w:rPr>
        <w:t>Mission Bay Requirements</w:t>
      </w:r>
      <w:r>
        <w:rPr>
          <w:rFonts w:ascii="Arial" w:cs="Arial" w:eastAsia="Arial" w:hAnsi="Arial"/>
          <w:sz w:val="17"/>
          <w:szCs w:val="17"/>
          <w:color w:val="auto"/>
        </w:rPr>
        <w:t>”), which include, without limitation, certain limitations on (i) Landlord’s ability to lease space at the Project to a Tax Exempt Entity and (ii) Landlord’s ability to obtain reductions in the assessed value of the Project below the Minimum Amount. In connection with the foregoing, to the extent that Tenant is exempt from certain Tax Expenses, but Landlord is otherwise obligated to continue to pay such Tax Expenses (the “</w:t>
      </w:r>
      <w:r>
        <w:rPr>
          <w:rFonts w:ascii="Arial" w:cs="Arial" w:eastAsia="Arial" w:hAnsi="Arial"/>
          <w:sz w:val="17"/>
          <w:szCs w:val="17"/>
          <w:b w:val="1"/>
          <w:bCs w:val="1"/>
          <w:color w:val="auto"/>
        </w:rPr>
        <w:t>Tenant-Exempt Tax Expenses</w:t>
      </w:r>
      <w:r>
        <w:rPr>
          <w:rFonts w:ascii="Arial" w:cs="Arial" w:eastAsia="Arial" w:hAnsi="Arial"/>
          <w:sz w:val="17"/>
          <w:szCs w:val="17"/>
          <w:color w:val="auto"/>
        </w:rPr>
        <w:t>”), then, notwithstanding Tenant’s tax exempt status, Tenant shall continue to be obligated to pay to Landlord, as part of Direct Expenses, all such Tenant-Exempt Tax Expenses.</w:t>
      </w:r>
    </w:p>
    <w:p>
      <w:pPr>
        <w:spacing w:after="0" w:line="66"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b w:val="1"/>
          <w:bCs w:val="1"/>
          <w:u w:val="single" w:color="auto"/>
          <w:color w:val="auto"/>
        </w:rPr>
        <w:t>Tenant’s Right to Cause Landlord to Contest Tax Expenses</w:t>
      </w:r>
      <w:r>
        <w:rPr>
          <w:rFonts w:ascii="Arial" w:cs="Arial" w:eastAsia="Arial" w:hAnsi="Arial"/>
          <w:sz w:val="17"/>
          <w:szCs w:val="17"/>
          <w:color w:val="auto"/>
        </w:rPr>
        <w:t>. Tenant may request that Landlord inform Tenant whether or not Landlord intends to file an appeal of any portion of Tax Expenses which are appealable by Landlord (the “</w:t>
      </w:r>
      <w:r>
        <w:rPr>
          <w:rFonts w:ascii="Arial" w:cs="Arial" w:eastAsia="Arial" w:hAnsi="Arial"/>
          <w:sz w:val="17"/>
          <w:szCs w:val="17"/>
          <w:b w:val="1"/>
          <w:bCs w:val="1"/>
          <w:color w:val="auto"/>
        </w:rPr>
        <w:t>Appealable Tax Expenses</w:t>
      </w:r>
      <w:r>
        <w:rPr>
          <w:rFonts w:ascii="Arial" w:cs="Arial" w:eastAsia="Arial" w:hAnsi="Arial"/>
          <w:sz w:val="17"/>
          <w:szCs w:val="17"/>
          <w:color w:val="auto"/>
        </w:rPr>
        <w:t>”) for any tax fiscal year. Landlord shall deliver written notice to Tenant within ten (10) days after such request indicating whether Landlord intends to file an appeal of Appealable Tax Expenses for such tax fiscal year. If Landlord indicates that Landlord will not file an appeal of such Tax Expenses, then Tenant may provide Landlord with written notice (“</w:t>
      </w:r>
      <w:r>
        <w:rPr>
          <w:rFonts w:ascii="Arial" w:cs="Arial" w:eastAsia="Arial" w:hAnsi="Arial"/>
          <w:sz w:val="17"/>
          <w:szCs w:val="17"/>
          <w:b w:val="1"/>
          <w:bCs w:val="1"/>
          <w:color w:val="auto"/>
        </w:rPr>
        <w:t>Appeals Notice</w:t>
      </w:r>
      <w:r>
        <w:rPr>
          <w:rFonts w:ascii="Arial" w:cs="Arial" w:eastAsia="Arial" w:hAnsi="Arial"/>
          <w:sz w:val="17"/>
          <w:szCs w:val="17"/>
          <w:color w:val="auto"/>
        </w:rPr>
        <w:t xml:space="preserve">”) at least thirty (30) days prior to the final date in which an appeal must be filed, requesting that Landlord file an appeal. Upon receipt of the Appeals Notice, but subject to the terms of this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below, Landlord shall promptly file such appeal and thereafter Landlord shall diligently prosecute such appeal to completion. Tenant may at any time in its sole discretion direct Landlord to terminate an appeal it previously elected pursuant to an Appeals Notice. In the event Tenant provides an Appeals Notice to Landlord and the resulting appeal reduces the Tax Expenses for the tax fiscal year in question as compared to the original bill received for such tax fiscal year and such reduction is greater than the costs for such appeal, then the costs for such appeal shall be included in Tax Expenses and passed through to the tenants of the Project. Alternatively, if the appeal does not result in a reduction of Tax Expenses for such tax fiscal year or if the reduction of Tax Expenses is less than the costs of the appeal, then Tenant shall reimburse Landlord, within thirty (30) days after written demand, for any and all costs reasonably incurred by Landlord which are not covered by the reduction in connection with such appeal. Tenant’s failure to timely deliver an Appeals Notice shall waive Tenant’s rights to request an appeal of the applicable Tax Expenses for such tax fiscal year. In addition, Tenant’s obligations to reimburse Landlord for the costs of the appeal pursuant to this Section shall survive the expiration or earlier termination of this Lease in the event the appeal is not concluded until after the expiration or earlier termination of this Lease. Upon request, Landlord agrees to keep Tenant apprised of all tax protest filings and proceedings undertaken by Landlord to obtain a reduction or refund of Tax Expenses. Notwithstanding the foregoing, Landlord shall have no obligation to file any appeal under this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and Landlord may immediately terminate any appeal, if Landlord reasonably determines that such appeal could cause the assessed value of the Project to be reduced below the Minimum Amount (as that term is defined in </w:t>
      </w:r>
      <w:r>
        <w:rPr>
          <w:rFonts w:ascii="Arial" w:cs="Arial" w:eastAsia="Arial" w:hAnsi="Arial"/>
          <w:sz w:val="17"/>
          <w:szCs w:val="17"/>
          <w:b w:val="1"/>
          <w:bCs w:val="1"/>
          <w:u w:val="single" w:color="auto"/>
          <w:color w:val="auto"/>
        </w:rPr>
        <w:t>Exhibit F</w:t>
      </w:r>
      <w:r>
        <w:rPr>
          <w:rFonts w:ascii="Arial" w:cs="Arial" w:eastAsia="Arial" w:hAnsi="Arial"/>
          <w:sz w:val="17"/>
          <w:szCs w:val="17"/>
          <w:color w:val="auto"/>
        </w:rPr>
        <w:t xml:space="preserve"> attached hereto). Tenant shall indemnify, defend, and hold Landlord harmless from and against any Loss relating to Landlord filing an appeal at the request of Tenant.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Taxes and Other Charges for Which Tenant Is Directly Responsible</w:t>
      </w:r>
      <w:r>
        <w:rPr>
          <w:rFonts w:ascii="Arial" w:cs="Arial" w:eastAsia="Arial" w:hAnsi="Arial"/>
          <w:sz w:val="18"/>
          <w:szCs w:val="18"/>
          <w:color w:val="auto"/>
        </w:rPr>
        <w:t>.</w:t>
      </w:r>
    </w:p>
    <w:p>
      <w:pPr>
        <w:spacing w:after="0" w:line="121"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 xml:space="preserve">4.5.1 Tenant shall be liable for and shall pay ten (10) days before delinquency, taxes levied against Tenant’s equipment, furniture, fixtures and any other personal property located in or about the Premises or Project, including Tenant’s Off-Premises Equipment (as that term is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below). If any such taxes on Tenant’s equipment, furniture,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78" w:name="page279"/>
    <w:bookmarkEnd w:id="27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8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4.5.2 If the improvements in the Premises, whether installed and/or paid for by Landlord or Tenant and whether or not affixed to the real property so as to become a part thereof, are assessed for real property tax purposes at a valuation higher than the valuation at which “building standard” improvements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6"/>
          <w:szCs w:val="16"/>
          <w:u w:val="single" w:color="auto"/>
          <w:color w:val="auto"/>
        </w:rPr>
        <w:t>Section 4.5.1</w:t>
      </w:r>
      <w:r>
        <w:rPr>
          <w:rFonts w:ascii="Arial" w:cs="Arial" w:eastAsia="Arial" w:hAnsi="Arial"/>
          <w:sz w:val="16"/>
          <w:szCs w:val="16"/>
          <w:color w:val="auto"/>
        </w:rPr>
        <w:t>, above. Landlord and Tenant hereby agree that the valuation of Landlord’s “building standard” improvements for all tenants of the Project shall be equal to One Hundred and 00/100 Dollars ($100.00) per rentable square foot. Landlord and Tenant shall cooperate with respect to the information provided by either of them to the appropriate taxing authority regarding the valuation of the improvements in the Premises so as to avoid duplicative assessments being levied on such improvements.</w:t>
      </w:r>
    </w:p>
    <w:p>
      <w:pPr>
        <w:spacing w:after="0" w:line="5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4.5.3 Notwithstanding any contrary provision herein, Tenant shall pay prior to delinquency any (i) rent tax or sales tax, service tax, transfer tax or value added tax, or any other applicable tax on the rent or services herein or otherwise respecting this Lease, or (ii) taxes assessed upon or with respect to the possession, leasing, operation, management, maintenance, alteration, repair, use or occupancy by Tenant of the Premises or any portion of the Project, including the Parking Facilities.</w:t>
      </w:r>
    </w:p>
    <w:p>
      <w:pPr>
        <w:spacing w:after="0" w:line="7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u w:val="single" w:color="auto"/>
          <w:color w:val="auto"/>
        </w:rPr>
        <w:t>Landlord’s Books and Records</w:t>
      </w:r>
      <w:r>
        <w:rPr>
          <w:rFonts w:ascii="Arial" w:cs="Arial" w:eastAsia="Arial" w:hAnsi="Arial"/>
          <w:sz w:val="17"/>
          <w:szCs w:val="17"/>
          <w:color w:val="auto"/>
        </w:rPr>
        <w:t>. Following Tenant’s receipt of a Statement, Tenant shall have the right by written notice to Landlord to commence and complete an audit of Landlord’s books concerning the Direct Expenses for the Expense Year which are the subject of such Statement, within the later to occur of (x) six (6) months following the delivery of such Statement and (y) the date that is sixty (60) days after Landlord makes Landlord’s books and records available for Tenant’s audit, provided that Tenant notifies Landlord of Tenant’s intent to audit Landlord’s books and records within the six (6) month period described in clause (x) above (the “</w:t>
      </w:r>
      <w:r>
        <w:rPr>
          <w:rFonts w:ascii="Arial" w:cs="Arial" w:eastAsia="Arial" w:hAnsi="Arial"/>
          <w:sz w:val="17"/>
          <w:szCs w:val="17"/>
          <w:b w:val="1"/>
          <w:bCs w:val="1"/>
          <w:color w:val="auto"/>
        </w:rPr>
        <w:t>Audit Period</w:t>
      </w:r>
      <w:r>
        <w:rPr>
          <w:rFonts w:ascii="Arial" w:cs="Arial" w:eastAsia="Arial" w:hAnsi="Arial"/>
          <w:sz w:val="17"/>
          <w:szCs w:val="17"/>
          <w:color w:val="auto"/>
        </w:rPr>
        <w:t>”). Following the giving of such written notice, Tenant shall have the right during Landlord’s regular business hours taking into account the workload of Landlord’s employees involved in the audit at the time of the audit request and on reasonable prior notice, to audit, at Landlord’s corporate offices, at Tenant’s sole cost, Landlord’s records, provided that Tenant is not then in Default. The audit of Landlord’s records may be conducted only by a reputable certified public accountant, subject to Landlord’s approval, which approval shall not be unreasonably withheld. Any accounting firm selected by Tenant in connection with the audit (i) shall be a reputable independent nationally or regionally recognized certified public accounting firm which has previous experience in auditing financial operating records of landlords of office buildings; (ii) shall not already be providing accounting and/or lease administration services to Tenant and shall not have provided accounting and/or lease administration services to Tenant in the past three (3) years; (iii) shall not be retained by Tenant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79" w:name="page280"/>
    <w:bookmarkEnd w:id="27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 contingency fee basis (i.e. Tenant must be billed based on the actual time and materials that are incurred by the accounting firm in the performance of the audit), a copy of the executed audit agreement, between Tenant and auditor, shall be provided to Landlord prior to the commencement of the audit; and (iv) at Landlord’s option, both Tenant and its agent shall be required to execute a commercially reasonable confidentially agreement prepared by Landlord. Any audit report prepared by Tenant’s auditors shall be delivered concurrently to Landlord and Tenant within the Audit Period. If, after such audit of Landlord’s records, Tenant disputes the amount of Direct Expenses for the year under audit, Landlord and Tenant shall meet and attempt in good faith to resolve the dispute. If the parties are unable to resolve the dispute within sixty (60) days after completion of Tenant’s audit, then, at Tenant’s request, a certified public accounting firm selected by Landlord, and reasonably approved by Tenant, shall, at Tenant’s cost, conduct an audit of the relevant Direct Expenses (the “</w:t>
      </w:r>
      <w:r>
        <w:rPr>
          <w:rFonts w:ascii="Arial" w:cs="Arial" w:eastAsia="Arial" w:hAnsi="Arial"/>
          <w:sz w:val="17"/>
          <w:szCs w:val="17"/>
          <w:b w:val="1"/>
          <w:bCs w:val="1"/>
          <w:color w:val="auto"/>
        </w:rPr>
        <w:t>Neutral Audit</w:t>
      </w:r>
      <w:r>
        <w:rPr>
          <w:rFonts w:ascii="Arial" w:cs="Arial" w:eastAsia="Arial" w:hAnsi="Arial"/>
          <w:sz w:val="17"/>
          <w:szCs w:val="17"/>
          <w:color w:val="auto"/>
        </w:rPr>
        <w:t>”). Tenant shall pay all costs and expenses of the Neutral Audit unless the final determination in such Neutral Audit is that Landlord overstated Direct Expenses in the Statement for the year being audited by more than five percent (5%) in which case Landlord shall pay all costs and expenses of the Neutral Audit, as well as Tenant’s reasonable out-of-pocket costs actually incurred by Tenant in the audit of Landlord’s books and records. In any event, Landlord will reimburse or provide a credit for any overstatement of Direct Expenses and Tenant shall pay to Landlord any understatement of Direct Expenses. To the extent Landlord and Tenant fail to otherwise reach mutual agreement regarding Direct Expenses, the foregoing audit and Neutral Audit procedures shall be the sole methods to be used by Tenant to dispute the amount of any Direct Expenses payable by Tenant pursuant to the terms of the Lease.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 OF PREMISES</w:t>
      </w:r>
    </w:p>
    <w:p>
      <w:pPr>
        <w:spacing w:after="0" w:line="225"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6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Prohibited Uses</w:t>
      </w:r>
      <w:r>
        <w:rPr>
          <w:rFonts w:ascii="Arial" w:cs="Arial" w:eastAsia="Arial" w:hAnsi="Arial"/>
          <w:sz w:val="18"/>
          <w:szCs w:val="18"/>
          <w:color w:val="auto"/>
        </w:rPr>
        <w:t>.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(iii) offices of any health care professionals or service organization; (iv) schools or other training facilities which are not ancillary to corporate, executive or professional office use; (v) retail use or the operation of any restaurant offering services to the public; or (vi) communications firms such as radio and/or television stations. Tenant further covenants and agrees that Tenant shall not use, or suffer or permit any person or persons to use, the Premises or any part thereof for any use or purpose contrary to the provisions of the rules and regulations promulgated by Landlord from time to time (“</w:t>
      </w:r>
      <w:r>
        <w:rPr>
          <w:rFonts w:ascii="Arial" w:cs="Arial" w:eastAsia="Arial" w:hAnsi="Arial"/>
          <w:sz w:val="18"/>
          <w:szCs w:val="18"/>
          <w:b w:val="1"/>
          <w:bCs w:val="1"/>
          <w:color w:val="auto"/>
        </w:rPr>
        <w:t>Rules</w:t>
      </w:r>
      <w:r>
        <w:rPr>
          <w:rFonts w:ascii="Arial" w:cs="Arial" w:eastAsia="Arial" w:hAnsi="Arial"/>
          <w:sz w:val="18"/>
          <w:szCs w:val="18"/>
          <w:color w:val="auto"/>
        </w:rPr>
        <w:t xml:space="preserve"> </w:t>
      </w:r>
      <w:r>
        <w:rPr>
          <w:rFonts w:ascii="Arial" w:cs="Arial" w:eastAsia="Arial" w:hAnsi="Arial"/>
          <w:sz w:val="18"/>
          <w:szCs w:val="18"/>
          <w:b w:val="1"/>
          <w:bCs w:val="1"/>
          <w:color w:val="auto"/>
        </w:rPr>
        <w:t>and Regulations</w:t>
      </w:r>
      <w:r>
        <w:rPr>
          <w:rFonts w:ascii="Arial" w:cs="Arial" w:eastAsia="Arial" w:hAnsi="Arial"/>
          <w:sz w:val="18"/>
          <w:szCs w:val="18"/>
          <w:color w:val="auto"/>
        </w:rPr>
        <w:t>”), the current set of which is attached hereto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or in violation of the laws of the United States of America,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or the ordinances, regulations or requirements of the local municipal or county governing body or other lawful authorities having jurisdiction over the Project, including, without limitation, any such laws, ordinances, regulations or requirements relating to Hazardous Substances. Tenant shall not do or permit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80" w:name="page281"/>
    <w:bookmarkEnd w:id="28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anything to be done in or about the Premises which will in any way damage the reputation of the Project or obstruct or interfere with the rights of other tenants or occupants of the Project, or injure or annoy them or use or allow the Premises to be used for any unlawful purpose, nor shall Tenant cause, maintain or permit any nuisance in, on or about the Premises. Except for small quantities customarily used in business offices, Tenant shall not cause or permit any Hazardous Substance to be kept, maintained, used, stored, produced, generated or disposed of (into the sewage or waste disposal system or otherwise) on or in the Premises by Tenant or Tenant’s agents, employees, contractors, invitees, assignees or sublessees, without first obtaining Landlord’s written consent. Tenant shall immediately notify, and shall direct Tenant’s agents, employees contractors, invitees, assignees and sublessees to immediately notify, Landlord of any incident in, on or about the Premises, the Buildings or the Project that would require the filing of a notice under any federal, state, local or quasi-governmental law (whether under common law, statute or otherwise), ordinance, decree, code, ruling, award, rule, regulation or guidance document now or hereafter enacted or promulgated, as amended from time to time, in any way relating to or regulating any Hazardous Substance. As used herein, “</w:t>
      </w:r>
      <w:r>
        <w:rPr>
          <w:rFonts w:ascii="Arial" w:cs="Arial" w:eastAsia="Arial" w:hAnsi="Arial"/>
          <w:sz w:val="17"/>
          <w:szCs w:val="17"/>
          <w:b w:val="1"/>
          <w:bCs w:val="1"/>
          <w:color w:val="auto"/>
        </w:rPr>
        <w:t>Hazardous</w:t>
      </w:r>
      <w:r>
        <w:rPr>
          <w:rFonts w:ascii="Arial" w:cs="Arial" w:eastAsia="Arial" w:hAnsi="Arial"/>
          <w:sz w:val="17"/>
          <w:szCs w:val="17"/>
          <w:color w:val="auto"/>
        </w:rPr>
        <w:t xml:space="preserve"> </w:t>
      </w:r>
      <w:r>
        <w:rPr>
          <w:rFonts w:ascii="Arial" w:cs="Arial" w:eastAsia="Arial" w:hAnsi="Arial"/>
          <w:sz w:val="17"/>
          <w:szCs w:val="17"/>
          <w:b w:val="1"/>
          <w:bCs w:val="1"/>
          <w:color w:val="auto"/>
        </w:rPr>
        <w:t>Substance</w:t>
      </w:r>
      <w:r>
        <w:rPr>
          <w:rFonts w:ascii="Arial" w:cs="Arial" w:eastAsia="Arial" w:hAnsi="Arial"/>
          <w:sz w:val="17"/>
          <w:szCs w:val="17"/>
          <w:color w:val="auto"/>
        </w:rPr>
        <w:t>” means any substance which is toxic, ignitable, reactive, or corrosive and which is regulated by any local government, the State of California, or</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government. “Hazardous Substance” includes any and all material or substances which are defined as “hazardous waste,” “extremely hazardous waste” or a “hazardous substance” pursuant to state, federal or local governmental law. “Hazardous Substance” also includes asbestos, polychlorobiphenyls (i.e., PCB’s) and petroleum.</w:t>
      </w:r>
    </w:p>
    <w:p>
      <w:pPr>
        <w:spacing w:after="0" w:line="76"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Tenant’s Bicycles</w:t>
      </w:r>
      <w:r>
        <w:rPr>
          <w:rFonts w:ascii="Arial" w:cs="Arial" w:eastAsia="Arial" w:hAnsi="Arial"/>
          <w:sz w:val="17"/>
          <w:szCs w:val="17"/>
          <w:color w:val="auto"/>
        </w:rPr>
        <w:t>. Tenant’s employees shall be permitted to bring their bicycles (“</w:t>
      </w:r>
      <w:r>
        <w:rPr>
          <w:rFonts w:ascii="Arial" w:cs="Arial" w:eastAsia="Arial" w:hAnsi="Arial"/>
          <w:sz w:val="17"/>
          <w:szCs w:val="17"/>
          <w:b w:val="1"/>
          <w:bCs w:val="1"/>
          <w:color w:val="auto"/>
        </w:rPr>
        <w:t>Bicycles</w:t>
      </w:r>
      <w:r>
        <w:rPr>
          <w:rFonts w:ascii="Arial" w:cs="Arial" w:eastAsia="Arial" w:hAnsi="Arial"/>
          <w:sz w:val="17"/>
          <w:szCs w:val="17"/>
          <w:color w:val="auto"/>
        </w:rPr>
        <w:t xml:space="preserve">”) into portions of the Buildings designated by Tenant, and with appropriate Improvements or Alterations providing for Bicycle storage, subject to the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such additional reasonable rules and regulations as may be promulgated by Landlord from time to time (in Landlord’s reasonable discretion) that do not unreasonably interfere with Tenant’s ability to park its Bicycles as contemplated herein and provided to Tenant, and only to the extent such Bicycles are used on a daily basis for commuting to and from work by such employees. AT NO TIME ARE RIDERS ALLOWED TO RIDE ANY BICYCLE IN THE PREMISES, THE PARKING FACILITIES OR THE BUILDINGS. Storage of any Bicycle anywhere on the Project other than as expressly set forth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is prohibited. Tenant shall keep its employees informed of these rules and regulations and any modifications thereto.</w:t>
      </w:r>
    </w:p>
    <w:p>
      <w:pPr>
        <w:spacing w:after="0" w:line="6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b w:val="1"/>
          <w:bCs w:val="1"/>
          <w:u w:val="single" w:color="auto"/>
          <w:color w:val="auto"/>
        </w:rPr>
        <w:t>Bicycle Storage Area</w:t>
      </w:r>
      <w:r>
        <w:rPr>
          <w:rFonts w:ascii="Arial" w:cs="Arial" w:eastAsia="Arial" w:hAnsi="Arial"/>
          <w:sz w:val="18"/>
          <w:szCs w:val="18"/>
          <w:color w:val="auto"/>
        </w:rPr>
        <w:t xml:space="preserve">. As part of the construction of the Base, Shell and Core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Work Letter, Landlord shall install a secured bicycle storage area within the Parking Facilities that will accommodate at least two hundred (200) Bicycles (collectively,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w:t>
      </w:r>
      <w:r>
        <w:rPr>
          <w:rFonts w:ascii="Arial" w:cs="Arial" w:eastAsia="Arial" w:hAnsi="Arial"/>
          <w:sz w:val="18"/>
          <w:szCs w:val="18"/>
          <w:b w:val="1"/>
          <w:bCs w:val="1"/>
          <w:color w:val="auto"/>
        </w:rPr>
        <w:t>Bicycle Storage Area</w:t>
      </w:r>
      <w:r>
        <w:rPr>
          <w:rFonts w:ascii="Arial" w:cs="Arial" w:eastAsia="Arial" w:hAnsi="Arial"/>
          <w:sz w:val="18"/>
          <w:szCs w:val="18"/>
          <w:color w:val="auto"/>
        </w:rPr>
        <w:t>”). Tenant shall have the exclusive right to utilize the Landlord Bicycle Storage Area for day use parking of Bicycles by Tenant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employees, visitors, invitees and sublessees, and Tenant shall also have the right, at Tenant’s sole cost and expense, to convert certain areas of the Parking Facilities, reasonably designated by Landlord and approved by Tenant, for additional exclusive day use parking (the “</w:t>
      </w:r>
      <w:r>
        <w:rPr>
          <w:rFonts w:ascii="Arial" w:cs="Arial" w:eastAsia="Arial" w:hAnsi="Arial"/>
          <w:sz w:val="18"/>
          <w:szCs w:val="18"/>
          <w:b w:val="1"/>
          <w:bCs w:val="1"/>
          <w:color w:val="auto"/>
        </w:rPr>
        <w:t>Tenant Bicycle Storage Area</w:t>
      </w:r>
      <w:r>
        <w:rPr>
          <w:rFonts w:ascii="Arial" w:cs="Arial" w:eastAsia="Arial" w:hAnsi="Arial"/>
          <w:sz w:val="18"/>
          <w:szCs w:val="18"/>
          <w:color w:val="auto"/>
        </w:rPr>
        <w:t>”) for Bicycles by Tenant and its employees, visitors, invitees and sublessees, which shall include the installation of Bicycle storage lockers or other Bicycle storage facilities, either installed as an Improvement or an Alteration (“</w:t>
      </w:r>
      <w:r>
        <w:rPr>
          <w:rFonts w:ascii="Arial" w:cs="Arial" w:eastAsia="Arial" w:hAnsi="Arial"/>
          <w:sz w:val="18"/>
          <w:szCs w:val="18"/>
          <w:b w:val="1"/>
          <w:bCs w:val="1"/>
          <w:color w:val="auto"/>
        </w:rPr>
        <w:t>Bicycle Improvements</w:t>
      </w:r>
      <w:r>
        <w:rPr>
          <w:rFonts w:ascii="Arial" w:cs="Arial" w:eastAsia="Arial" w:hAnsi="Arial"/>
          <w:sz w:val="18"/>
          <w:szCs w:val="18"/>
          <w:color w:val="auto"/>
        </w:rPr>
        <w:t>”). The Landlord Bicycle Storage Area and Tenant Bicycle Storage Area are collectively,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81" w:name="page282"/>
    <w:bookmarkEnd w:id="28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Bicycle Storage Area</w:t>
      </w:r>
      <w:r>
        <w:rPr>
          <w:rFonts w:ascii="Arial" w:cs="Arial" w:eastAsia="Arial" w:hAnsi="Arial"/>
          <w:sz w:val="16"/>
          <w:szCs w:val="16"/>
          <w:color w:val="auto"/>
        </w:rPr>
        <w:t xml:space="preserve">”. Other than the Bicycle Storage Area, Tenant and Tenant’s employees, visitors, invitees and sublessees shall not be entitled to use any secured bicycle storage areas constructed by Landlord at the Project. Motorized vehicles of any kind, including motorcycles and mopeds, are prohibited in the Bicycle Storage Area, as is the storage of any property other than Bicycles. Each rider shall use the Bicycle Storage Area at is sole risk. Landlord specifically reserves the right to reasonably change the location, size, configuration, design, layout and all other aspects of the Landlord Bicycle Storage Area at any time (provided that no such action will materially diminish the capacity of the Landlord Bicycle Storage Area on other than a temporary basis), and Tenant acknowledges and agrees that Landlord may, without incurring any liability to Tenant and without any abatement of Rent under this Lease, from time to time, temporarily close-off or restrict access to the Bicycle Storage Area for purposes of permitting or facilitating any such construction, alteration or improvements. Landlord has no obligation to provide any security whatsoever in connection with the Bicycle Storage Area except as expressly set forth in this </w:t>
      </w:r>
      <w:r>
        <w:rPr>
          <w:rFonts w:ascii="Arial" w:cs="Arial" w:eastAsia="Arial" w:hAnsi="Arial"/>
          <w:sz w:val="16"/>
          <w:szCs w:val="16"/>
          <w:u w:val="single" w:color="auto"/>
          <w:color w:val="auto"/>
        </w:rPr>
        <w:t>Section 5.3.1</w:t>
      </w:r>
      <w:r>
        <w:rPr>
          <w:rFonts w:ascii="Arial" w:cs="Arial" w:eastAsia="Arial" w:hAnsi="Arial"/>
          <w:sz w:val="16"/>
          <w:szCs w:val="16"/>
          <w:color w:val="auto"/>
        </w:rPr>
        <w:t>. Landlord shall provide twenty-four (24) hours per day, seven (7) days per week, reasonable access control services for the Landlord Bicycle Storage Area in a manner materially consistent with the services provided by landlords of Comparable Buildings. Notwithstanding the foregoing, Landlord shall in no case be liable for personal injury or property damage for any error with regard to the admission to or exclusion from the Bicycle Storage Area of any person. Upon the expiration or earlier termination of this Lease, Tenant shall have removed all Bicycles belonging to its employees from the Bicycle Storage Area and Tenant, at Tenant’s sole cost and expense, shall repair all damage to the Bicycle Storage Area caused by the removal of Tenant’s property therefrom, and if Tenant fails to repair such damage, Landlord may undertake such repair on account of Tenant and Tenant shall pay to Landlord upon demand the cost of such repair. If Tenant fails to remove any Bicycles at the expiration or earlier termination of this Lease, Landlord may dispose of said Bicycles in such lawful manner as it shall determine in its sole and absolute discretion.</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b w:val="1"/>
          <w:bCs w:val="1"/>
          <w:u w:val="single" w:color="auto"/>
          <w:color w:val="auto"/>
        </w:rPr>
        <w:t>Bicycles in the Premises</w:t>
      </w:r>
      <w:r>
        <w:rPr>
          <w:rFonts w:ascii="Arial" w:cs="Arial" w:eastAsia="Arial" w:hAnsi="Arial"/>
          <w:sz w:val="16"/>
          <w:szCs w:val="16"/>
          <w:color w:val="auto"/>
        </w:rPr>
        <w:t>. Tenant’s employees shall be permitted to bring their Bicycles in the Premises in accordance with the terms of this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5.3.2</w:t>
      </w:r>
      <w:r>
        <w:rPr>
          <w:rFonts w:ascii="Arial" w:cs="Arial" w:eastAsia="Arial" w:hAnsi="Arial"/>
          <w:sz w:val="17"/>
          <w:szCs w:val="17"/>
          <w:color w:val="auto"/>
        </w:rPr>
        <w:t>. The right provided to Tenant and its employees to bring Bicycles into the Premises shall be subject to the following terms and conditions:</w:t>
      </w:r>
    </w:p>
    <w:p>
      <w:pPr>
        <w:spacing w:after="0" w:line="21" w:lineRule="exact"/>
        <w:rPr>
          <w:sz w:val="20"/>
          <w:szCs w:val="20"/>
          <w:color w:val="auto"/>
        </w:rPr>
      </w:pPr>
    </w:p>
    <w:p>
      <w:pPr>
        <w:ind w:right="20" w:firstLine="8"/>
        <w:spacing w:after="0" w:line="270" w:lineRule="auto"/>
        <w:tabs>
          <w:tab w:leader="none" w:pos="21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Bicycles may only enter and exit the Buildings through the Parking Facilities; (ii) Bicycles may enter and exit the Buildings at all times; (iii) Bicycles must be taken directly from the Parking Facilities to the Premises via the Buildings’ freight elevators or another elevator designated by Landlord, which Tenant’s employees shall be entitled to operate at any time, and in no event shall Tenant’s employees bring any Bicycles into or through the ground floor lobby of the Buildings; (iv) Landlord shall have the right to reasonably designate the path of travel that Tenant’s employees must follow to/from the Parking Facilities and the freight elevators, or another elevator designated by Landlord; and (v) in no event shall Tenant permit any bicycles to be located within the Common Areas (other than the Bicycle Storage Area or in designated bicycle racks installed by Landlord at the Project) at any time.</w:t>
      </w:r>
    </w:p>
    <w:p>
      <w:pPr>
        <w:spacing w:after="0" w:line="67"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Commercial Kitchens</w:t>
      </w:r>
      <w:r>
        <w:rPr>
          <w:rFonts w:ascii="Arial" w:cs="Arial" w:eastAsia="Arial" w:hAnsi="Arial"/>
          <w:sz w:val="18"/>
          <w:szCs w:val="18"/>
          <w:color w:val="auto"/>
        </w:rPr>
        <w:t>. To the extent permitted by Applicable Laws, Tenant may use a portion of the Premises for the operation of one or more commercial kitchens (individually and collectively, the “</w:t>
      </w:r>
      <w:r>
        <w:rPr>
          <w:rFonts w:ascii="Arial" w:cs="Arial" w:eastAsia="Arial" w:hAnsi="Arial"/>
          <w:sz w:val="18"/>
          <w:szCs w:val="18"/>
          <w:b w:val="1"/>
          <w:bCs w:val="1"/>
          <w:color w:val="auto"/>
        </w:rPr>
        <w:t>Commercial Kitchen</w:t>
      </w:r>
      <w:r>
        <w:rPr>
          <w:rFonts w:ascii="Arial" w:cs="Arial" w:eastAsia="Arial" w:hAnsi="Arial"/>
          <w:sz w:val="18"/>
          <w:szCs w:val="18"/>
          <w:color w:val="auto"/>
        </w:rPr>
        <w:t>”), for the exclusive use of Tenant’s employees, visitors and invitees. Tenant shall not sell any food or beverages in or from the Premises at any time and/or serve any food and beverages in or from the Premises at any time to other tenants or occupants of the Project (or their employees) or to members of the general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282" w:name="page283"/>
    <w:bookmarkEnd w:id="282"/>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public. No cooking odors shall be emitted from the Premises other than through ventilation equipment and systems installed therein to service the Commercial Kitchen in accordance with the provisions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Tenant’s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are cumulative and in addition to all other obligations of Tenant under this Lease.</w:t>
      </w:r>
    </w:p>
    <w:p>
      <w:pPr>
        <w:spacing w:after="0" w:line="69"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 xml:space="preserve">5.4.1 </w:t>
      </w:r>
      <w:r>
        <w:rPr>
          <w:rFonts w:ascii="Arial" w:cs="Arial" w:eastAsia="Arial" w:hAnsi="Arial"/>
          <w:sz w:val="16"/>
          <w:szCs w:val="16"/>
          <w:b w:val="1"/>
          <w:bCs w:val="1"/>
          <w:u w:val="single" w:color="auto"/>
          <w:color w:val="auto"/>
        </w:rPr>
        <w:t>Licensing; Permits and Operation</w:t>
      </w:r>
      <w:r>
        <w:rPr>
          <w:rFonts w:ascii="Arial" w:cs="Arial" w:eastAsia="Arial" w:hAnsi="Arial"/>
          <w:sz w:val="16"/>
          <w:szCs w:val="16"/>
          <w:color w:val="auto"/>
        </w:rPr>
        <w:t xml:space="preserve">. If Tenant elects to exercise its right to operate the Commercial Kitchen, Tenant shall give Landlord prior notice thereof and shall submit to Landlord (i) construction ready plans and specifications for the Commercial Kitchen (including, any cooking, ventilation, air conditioning, grease traps, kitchen and other equipment in or for the Premises with respect to the Commercial Kitchen) for Landlord’s review and approval (such submission, review and approval shall be governed by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Lease, the Work Letter (if the Commercial Kitchen is being constructed as part of the Improvements) and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 all necessary consents, approvals, permits or registrations, required for the construction and operation of the Commercial Kitchen in accordance with Applicable Laws. All such Alterations (or Improvements) shall be approved by Landlord, installed and constructed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the Work Letter (if the Commercial Kitchen is being constructed as part of the Improvements) and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Landlord shall use commercially reasonable efforts, at no cost to Landlord, to cooperate with Tenant to obtain all consents, approvals, permits or registrations required for operation of the Commercial Kitchen, to the extent Landlord’s cooperation is required as owner of the Project. The Commercial Kitchen and the Commercial Kitchen facilities therein shall be maintained and operated by Tenant, at Tenant’s expense: (a) in first-class order, condition and repair; (b) consistent with the character of the Project as a first-class office building; and (c) in compliance with all Applicable Laws, such reasonable rules and regulations as may be adopted by Landlord from time to time, and the other provisions of this Lease. In addition to Tenant’s obligations to provide janitorial services to the Premises pursuant to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below, Tenant shall pay for all cleaning costs incurred by Landlord in cleaning any affected portions of the Buildings or Project resulting from Tenant’s operation of the Commercial Kitchen. In addition, Tenant shall pay for all actual and reasonable out-of-pocket increased costs incurred by Landlord with respect to the management, operation, maintenance and repair of the Project resulting from Tenant’s operation of the Commercial Kitchen, within thirty (30) days of receiving an invoice therefor.</w:t>
      </w:r>
    </w:p>
    <w:p>
      <w:pPr>
        <w:spacing w:after="0" w:line="57"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color w:val="auto"/>
        </w:rPr>
        <w:t xml:space="preserve">5.4.2 </w:t>
      </w:r>
      <w:r>
        <w:rPr>
          <w:rFonts w:ascii="Arial" w:cs="Arial" w:eastAsia="Arial" w:hAnsi="Arial"/>
          <w:sz w:val="18"/>
          <w:szCs w:val="18"/>
          <w:b w:val="1"/>
          <w:bCs w:val="1"/>
          <w:u w:val="single" w:color="auto"/>
          <w:color w:val="auto"/>
        </w:rPr>
        <w:t>Personal Rights and Termination</w:t>
      </w:r>
      <w:r>
        <w:rPr>
          <w:rFonts w:ascii="Arial" w:cs="Arial" w:eastAsia="Arial" w:hAnsi="Arial"/>
          <w:sz w:val="18"/>
          <w:szCs w:val="18"/>
          <w:color w:val="auto"/>
        </w:rPr>
        <w:t xml:space="preserve">. If Tenant fails to comply with the requirements set forth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without limitation of Landlord’s other remedies, Landlord shall have the right to terminate Tenant’s rights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The rights contained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be personal to Original Tenant and its Permitted Transferee Assignee, may only be exercised by Original Tenant or its Permitted Transferee Assignee (and not any other assignee, sublessee or other Transferee of original Tenant’s interest in this Lease).</w:t>
      </w:r>
    </w:p>
    <w:p>
      <w:pPr>
        <w:spacing w:after="0" w:line="72" w:lineRule="exact"/>
        <w:rPr>
          <w:sz w:val="20"/>
          <w:szCs w:val="20"/>
          <w:color w:val="auto"/>
        </w:rPr>
      </w:pPr>
    </w:p>
    <w:p>
      <w:pPr>
        <w:ind w:firstLine="913"/>
        <w:spacing w:after="0" w:line="277" w:lineRule="auto"/>
        <w:rPr>
          <w:sz w:val="20"/>
          <w:szCs w:val="20"/>
          <w:color w:val="auto"/>
        </w:rPr>
      </w:pPr>
      <w:r>
        <w:rPr>
          <w:rFonts w:ascii="Arial" w:cs="Arial" w:eastAsia="Arial" w:hAnsi="Arial"/>
          <w:sz w:val="17"/>
          <w:szCs w:val="17"/>
          <w:color w:val="auto"/>
        </w:rPr>
        <w:t xml:space="preserve">5.4.3 </w:t>
      </w:r>
      <w:r>
        <w:rPr>
          <w:rFonts w:ascii="Arial" w:cs="Arial" w:eastAsia="Arial" w:hAnsi="Arial"/>
          <w:sz w:val="17"/>
          <w:szCs w:val="17"/>
          <w:b w:val="1"/>
          <w:bCs w:val="1"/>
          <w:u w:val="single" w:color="auto"/>
          <w:color w:val="auto"/>
        </w:rPr>
        <w:t>Third Party Operator</w:t>
      </w:r>
      <w:r>
        <w:rPr>
          <w:rFonts w:ascii="Arial" w:cs="Arial" w:eastAsia="Arial" w:hAnsi="Arial"/>
          <w:sz w:val="17"/>
          <w:szCs w:val="17"/>
          <w:color w:val="auto"/>
        </w:rPr>
        <w:t>. Tenant may retain a third party to operate the Commercial Kitchen (a “</w:t>
      </w:r>
      <w:r>
        <w:rPr>
          <w:rFonts w:ascii="Arial" w:cs="Arial" w:eastAsia="Arial" w:hAnsi="Arial"/>
          <w:sz w:val="17"/>
          <w:szCs w:val="17"/>
          <w:b w:val="1"/>
          <w:bCs w:val="1"/>
          <w:color w:val="auto"/>
        </w:rPr>
        <w:t>Third Party Operator</w:t>
      </w:r>
      <w:r>
        <w:rPr>
          <w:rFonts w:ascii="Arial" w:cs="Arial" w:eastAsia="Arial" w:hAnsi="Arial"/>
          <w:sz w:val="17"/>
          <w:szCs w:val="17"/>
          <w:color w:val="auto"/>
        </w:rPr>
        <w:t>”). Any such Third Party Operator must comply with all of the terms, covenants, conditions and obligations on Tenant’s part to be observed and performed under this Lease with respect to the use or occupancy of the Premises, and any violation of any provision of this Lease by the Third Party Operator shall be deemed to be a default by Tenant under such provision. Any such Third Party Operator shall obtain such insurance as Landlord may reasonably require (consistent with the insurance requirements of landlords of Comparable Buildings for operators of similar commercial kitchens) and shall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83" w:name="page284"/>
    <w:bookmarkEnd w:id="28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indemnify, defend and hold Landlord harmless from and against any Loss (defined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below) suffered by Landlord as a consequence of the negligence or willful misconduct of such Third Party Operator. Third Party Operator shall have no recourse against Landlord whatsoever on account of any failure by Landlord to perform any of its obligations under this Lease or on account of any other matter. All notices required of Landlord under this Lease shall be forwarded only to Tenant in accordance with the terms of this Lease and in no event shall Landlord be required to send any notices to any Third Party Operator. In no event shall any use or occupancy of any portion of the Premises by the Third Party Operator release or relieve Tenant from any of its obligations under this Lease. The Third Party Operator shall be a Tenant Party, and Tenant shall be fully and primarily liable for all acts and omissions of such Third Party Operator as fully and completely as if such Third Party Operator was an employee of Tenant. In no event shall the occupancy of any portion of the Premises by any Third Party Operator be deemed to create a landlord/tenant relationship between Landlord and such Third Party Operator or be deemed to vest in Third Party Operator any right or interest in the Premises or this Lease, and, in all instances, Tenant shall be considered the sole tenant under the Lease notwithstanding the occupancy of any portion of the Premises by any Third Party Operator. Upon request from Landlord, Tenant shall provide to Landlord a copy of any agreement between Tenant and the Third Party Operator and the insurance required to be maintained by Third Party Operator prior to the Third Party Operator being allowed access to the Premises by Tenant. Any equipment or other property of the Third Party Operator in the Project shall be subject to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15</w:t>
      </w:r>
      <w:r>
        <w:rPr>
          <w:rFonts w:ascii="Arial" w:cs="Arial" w:eastAsia="Arial" w:hAnsi="Arial"/>
          <w:sz w:val="17"/>
          <w:szCs w:val="17"/>
          <w:color w:val="auto"/>
        </w:rPr>
        <w:t xml:space="preserve"> of this Lease. However, nothing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diminish Landlord’s rights elsewhere in this Lease or imply that Landlord has any duties to the Third Party Operator. No disputes between Tenant and the Third Party Operator shall in any way affect the obligations of Tenant hereunder.</w:t>
      </w:r>
    </w:p>
    <w:p>
      <w:pPr>
        <w:spacing w:after="0" w:line="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Tenant’s Use of Base Building Stairwells</w:t>
      </w:r>
      <w:r>
        <w:rPr>
          <w:rFonts w:ascii="Arial" w:cs="Arial" w:eastAsia="Arial" w:hAnsi="Arial"/>
          <w:sz w:val="16"/>
          <w:szCs w:val="16"/>
          <w:color w:val="auto"/>
        </w:rPr>
        <w:t>. Subject to Applicable Laws and Tenant’s receipt of all necessary governmental or quasi-governmental approvals (collectively, “</w:t>
      </w:r>
      <w:r>
        <w:rPr>
          <w:rFonts w:ascii="Arial" w:cs="Arial" w:eastAsia="Arial" w:hAnsi="Arial"/>
          <w:sz w:val="16"/>
          <w:szCs w:val="16"/>
          <w:b w:val="1"/>
          <w:bCs w:val="1"/>
          <w:color w:val="auto"/>
        </w:rPr>
        <w:t>Governmental Approvals</w:t>
      </w:r>
      <w:r>
        <w:rPr>
          <w:rFonts w:ascii="Arial" w:cs="Arial" w:eastAsia="Arial" w:hAnsi="Arial"/>
          <w:sz w:val="16"/>
          <w:szCs w:val="16"/>
          <w:color w:val="auto"/>
        </w:rPr>
        <w:t>”), Tenant shall have right during the Lease Term to use the base building stairwells between the floors of the Premises (each, a “</w:t>
      </w:r>
      <w:r>
        <w:rPr>
          <w:rFonts w:ascii="Arial" w:cs="Arial" w:eastAsia="Arial" w:hAnsi="Arial"/>
          <w:sz w:val="16"/>
          <w:szCs w:val="16"/>
          <w:b w:val="1"/>
          <w:bCs w:val="1"/>
          <w:color w:val="auto"/>
        </w:rPr>
        <w:t>Stairwell</w:t>
      </w:r>
      <w:r>
        <w:rPr>
          <w:rFonts w:ascii="Arial" w:cs="Arial" w:eastAsia="Arial" w:hAnsi="Arial"/>
          <w:sz w:val="16"/>
          <w:szCs w:val="16"/>
          <w:color w:val="auto"/>
        </w:rPr>
        <w:t xml:space="preserve">”) solely for purposes of ingress and egress from and between different floors of the Premises. In its use of the Stairwells, Tenant shall comply with all Applicable Laws, Governmental Approvals and the rules and regulations for the Project. Tenant shall have no right to alter or change any Stairwell in any manner whatsoever, except that Tenant may paint or perform other purely decorative Alterations or Improvements to the Stairwells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the Work Letter, as applicable, and may install Tenant’s Security System as set forth in </w:t>
      </w:r>
      <w:r>
        <w:rPr>
          <w:rFonts w:ascii="Arial" w:cs="Arial" w:eastAsia="Arial" w:hAnsi="Arial"/>
          <w:sz w:val="16"/>
          <w:szCs w:val="16"/>
          <w:u w:val="single" w:color="auto"/>
          <w:color w:val="auto"/>
        </w:rPr>
        <w:t>Section 6.1.11</w:t>
      </w:r>
      <w:r>
        <w:rPr>
          <w:rFonts w:ascii="Arial" w:cs="Arial" w:eastAsia="Arial" w:hAnsi="Arial"/>
          <w:sz w:val="16"/>
          <w:szCs w:val="16"/>
          <w:color w:val="auto"/>
        </w:rPr>
        <w:t xml:space="preserve"> below. Tenant acknowledges and agrees that Tenant’s use of the Stairwells shall be at Tenant’s sole risk and Landlord shall have no liability whatsoever in connection therewith. Tenant hereby waives any and all claims against Landlord for any damages arising from Tenant’s exercise of its rights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284" w:name="page285"/>
    <w:bookmarkEnd w:id="28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SERVICES AND UTILITIES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Standard Tenant Services</w:t>
      </w:r>
      <w:r>
        <w:rPr>
          <w:rFonts w:ascii="Arial" w:cs="Arial" w:eastAsia="Arial" w:hAnsi="Arial"/>
          <w:sz w:val="18"/>
          <w:szCs w:val="18"/>
          <w:color w:val="auto"/>
        </w:rPr>
        <w:t>. Landlord shall provide the following services during the Lease Term.</w:t>
      </w:r>
    </w:p>
    <w:p>
      <w:pPr>
        <w:spacing w:after="0" w:line="117" w:lineRule="exact"/>
        <w:rPr>
          <w:sz w:val="20"/>
          <w:szCs w:val="20"/>
          <w:color w:val="auto"/>
        </w:rPr>
      </w:pPr>
    </w:p>
    <w:p>
      <w:pPr>
        <w:ind w:right="220" w:firstLine="913"/>
        <w:spacing w:after="0" w:line="28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b w:val="1"/>
          <w:bCs w:val="1"/>
          <w:u w:val="single" w:color="auto"/>
          <w:color w:val="auto"/>
        </w:rPr>
        <w:t>HVAC</w:t>
      </w:r>
      <w:r>
        <w:rPr>
          <w:rFonts w:ascii="Arial" w:cs="Arial" w:eastAsia="Arial" w:hAnsi="Arial"/>
          <w:sz w:val="16"/>
          <w:szCs w:val="16"/>
          <w:color w:val="auto"/>
        </w:rPr>
        <w:t xml:space="preserve">. In accordance with the “Base Building” definition as provided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 Work Letter, each Building shall be equipped with a heating and air conditioning (“</w:t>
      </w:r>
      <w:r>
        <w:rPr>
          <w:rFonts w:ascii="Arial" w:cs="Arial" w:eastAsia="Arial" w:hAnsi="Arial"/>
          <w:sz w:val="16"/>
          <w:szCs w:val="16"/>
          <w:b w:val="1"/>
          <w:bCs w:val="1"/>
          <w:color w:val="auto"/>
        </w:rPr>
        <w:t>HVAC</w:t>
      </w:r>
      <w:r>
        <w:rPr>
          <w:rFonts w:ascii="Arial" w:cs="Arial" w:eastAsia="Arial" w:hAnsi="Arial"/>
          <w:sz w:val="16"/>
          <w:szCs w:val="16"/>
          <w:color w:val="auto"/>
        </w:rPr>
        <w:t>”) system serving the applicable Building (the “</w:t>
      </w:r>
      <w:r>
        <w:rPr>
          <w:rFonts w:ascii="Arial" w:cs="Arial" w:eastAsia="Arial" w:hAnsi="Arial"/>
          <w:sz w:val="16"/>
          <w:szCs w:val="16"/>
          <w:b w:val="1"/>
          <w:bCs w:val="1"/>
          <w:color w:val="auto"/>
        </w:rPr>
        <w:t>BB HVAC System</w:t>
      </w:r>
      <w:r>
        <w:rPr>
          <w:rFonts w:ascii="Arial" w:cs="Arial" w:eastAsia="Arial" w:hAnsi="Arial"/>
          <w:sz w:val="16"/>
          <w:szCs w:val="16"/>
          <w:color w:val="auto"/>
        </w:rPr>
        <w:t>”). Subject to limitations imposed by all governmental rules, regulations and guidelines applicable thereto, Landlord shall provide BB HVAC System service during the “HVAC System Hours” (defined below). Tenant shall have the right to specify the hours of availability of the BB HVAC System which may be determined separately for each Complex (the “</w:t>
      </w:r>
      <w:r>
        <w:rPr>
          <w:rFonts w:ascii="Arial" w:cs="Arial" w:eastAsia="Arial" w:hAnsi="Arial"/>
          <w:sz w:val="16"/>
          <w:szCs w:val="16"/>
          <w:b w:val="1"/>
          <w:bCs w:val="1"/>
          <w:color w:val="auto"/>
        </w:rPr>
        <w:t>HVAC System Hours</w:t>
      </w:r>
      <w:r>
        <w:rPr>
          <w:rFonts w:ascii="Arial" w:cs="Arial" w:eastAsia="Arial" w:hAnsi="Arial"/>
          <w:sz w:val="16"/>
          <w:szCs w:val="16"/>
          <w:color w:val="auto"/>
        </w:rPr>
        <w:t>”); provided, however, (i) any initial determination or changes to the HVAC System Hours shall require at least thirty</w:t>
      </w:r>
    </w:p>
    <w:p>
      <w:pPr>
        <w:spacing w:after="0" w:line="2" w:lineRule="exact"/>
        <w:rPr>
          <w:sz w:val="20"/>
          <w:szCs w:val="20"/>
          <w:color w:val="auto"/>
        </w:rPr>
      </w:pPr>
    </w:p>
    <w:p>
      <w:pPr>
        <w:ind w:left="360" w:hanging="352"/>
        <w:spacing w:after="0"/>
        <w:tabs>
          <w:tab w:leader="none" w:pos="3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days prior notice to Landlord, and shall not be effective until the first day of the subsequent calendar month occurring after the expiration of the thirty</w:t>
      </w:r>
    </w:p>
    <w:p>
      <w:pPr>
        <w:spacing w:after="0" w:line="32" w:lineRule="exact"/>
        <w:rPr>
          <w:rFonts w:ascii="Arial" w:cs="Arial" w:eastAsia="Arial" w:hAnsi="Arial"/>
          <w:sz w:val="16"/>
          <w:szCs w:val="16"/>
          <w:color w:val="auto"/>
        </w:rPr>
      </w:pPr>
    </w:p>
    <w:p>
      <w:pPr>
        <w:ind w:right="40" w:firstLine="8"/>
        <w:spacing w:after="0" w:line="251" w:lineRule="auto"/>
        <w:tabs>
          <w:tab w:leader="none" w:pos="34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day period, (ii) the HVAC System Hours shall consist of, at a minimum, the hours of 8:00 A.M. to 6:00 P.M. on Monday through Friday, and (iii) the HVAC System Hours shall consist only of consecutive time periods, as determined on a daily basis. Tenant shall cooperate fully with Landlord at all times and abide by all regulations and requirements that Landlord may reasonably prescribe for the proper functioning and protection of the BB HVAC System. If the HVAC System Hours consist of more than seventy-five (75) hours per week (“</w:t>
      </w:r>
      <w:r>
        <w:rPr>
          <w:rFonts w:ascii="Arial" w:cs="Arial" w:eastAsia="Arial" w:hAnsi="Arial"/>
          <w:sz w:val="18"/>
          <w:szCs w:val="18"/>
          <w:b w:val="1"/>
          <w:bCs w:val="1"/>
          <w:color w:val="auto"/>
        </w:rPr>
        <w:t>Excess Hours</w:t>
      </w:r>
      <w:r>
        <w:rPr>
          <w:rFonts w:ascii="Arial" w:cs="Arial" w:eastAsia="Arial" w:hAnsi="Arial"/>
          <w:sz w:val="18"/>
          <w:szCs w:val="18"/>
          <w:color w:val="auto"/>
        </w:rPr>
        <w:t>”), then Landlord shall supply such HVAC to Tenant at Landlord’s actual cost (which shall be treated as Additional Rent, but not as an Operating Expense) on a zone-by-zone basis, including the cost of increased depreciation on the BB HVAC System, but excluding the cost of electricity to the extent already paid for directly by Tenant, but including the electrical costs specified as follows. Landlord shall reasonably and equitably allocate the portion of the electrical costs of the BB HVAC System attributable to Tenant’s direct use of the BB HVAC System for the Excess Hours to Tenant, and Tenant shall pay for the costs of such direct use along with the increased depreciation as set forth above, within thirty (30) days after demand, and as Additional Rent under this Lease (and not as part of the Operating Expenses) (the “</w:t>
      </w:r>
      <w:r>
        <w:rPr>
          <w:rFonts w:ascii="Arial" w:cs="Arial" w:eastAsia="Arial" w:hAnsi="Arial"/>
          <w:sz w:val="18"/>
          <w:szCs w:val="18"/>
          <w:b w:val="1"/>
          <w:bCs w:val="1"/>
          <w:color w:val="auto"/>
        </w:rPr>
        <w:t>Extra</w:t>
      </w:r>
      <w:r>
        <w:rPr>
          <w:rFonts w:ascii="Arial" w:cs="Arial" w:eastAsia="Arial" w:hAnsi="Arial"/>
          <w:sz w:val="18"/>
          <w:szCs w:val="18"/>
          <w:color w:val="auto"/>
        </w:rPr>
        <w:t xml:space="preserve"> </w:t>
      </w:r>
      <w:r>
        <w:rPr>
          <w:rFonts w:ascii="Arial" w:cs="Arial" w:eastAsia="Arial" w:hAnsi="Arial"/>
          <w:sz w:val="18"/>
          <w:szCs w:val="18"/>
          <w:b w:val="1"/>
          <w:bCs w:val="1"/>
          <w:color w:val="auto"/>
        </w:rPr>
        <w:t>HVAC Costs</w:t>
      </w:r>
      <w:r>
        <w:rPr>
          <w:rFonts w:ascii="Arial" w:cs="Arial" w:eastAsia="Arial" w:hAnsi="Arial"/>
          <w:sz w:val="18"/>
          <w:szCs w:val="18"/>
          <w:color w:val="auto"/>
        </w:rPr>
        <w:t>”).</w:t>
      </w:r>
    </w:p>
    <w:p>
      <w:pPr>
        <w:spacing w:after="0" w:line="8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Electricity</w:t>
      </w:r>
      <w:r>
        <w:rPr>
          <w:rFonts w:ascii="Arial" w:cs="Arial" w:eastAsia="Arial" w:hAnsi="Arial"/>
          <w:sz w:val="16"/>
          <w:szCs w:val="16"/>
          <w:color w:val="auto"/>
        </w:rPr>
        <w:t xml:space="preserve">. Landlord shall provide electrical wiring and facilities for connection to Tenant’s lighting and Tenant’s incidental use equipment as described in </w:t>
      </w:r>
      <w:r>
        <w:rPr>
          <w:rFonts w:ascii="Arial" w:cs="Arial" w:eastAsia="Arial" w:hAnsi="Arial"/>
          <w:sz w:val="16"/>
          <w:szCs w:val="16"/>
          <w:b w:val="1"/>
          <w:bCs w:val="1"/>
          <w:u w:val="single" w:color="auto"/>
          <w:color w:val="auto"/>
        </w:rPr>
        <w:t>Schedule 2 to Exhibit B</w:t>
      </w:r>
      <w:r>
        <w:rPr>
          <w:rFonts w:ascii="Arial" w:cs="Arial" w:eastAsia="Arial" w:hAnsi="Arial"/>
          <w:sz w:val="16"/>
          <w:szCs w:val="16"/>
          <w:color w:val="auto"/>
        </w:rPr>
        <w:t>. Tenant shall not use combined electrical load for Tenant’s incidental use equipment and Tenant’s lighting fixtures in excess of the capacity of the feeders, which electrical usage shall be subject to Applicable Laws, including Title 24. Tenant shall bear the cost of replacement of lamps, starters and ballasts for non-Building standard lighting fixtures within the Premises (Landlord, as part of Operating Expenses, will replace Building-standard lamps, starters and ballasts). Tenant shall reasonably cooperate with Landlord at all times and abide by all regulations and requirements that Landlord may reasonably prescribe for the proper functioning and protection of the Building Systems. All electricity usage at the Project shall be monitored using separate submeters (the “</w:t>
      </w:r>
      <w:r>
        <w:rPr>
          <w:rFonts w:ascii="Arial" w:cs="Arial" w:eastAsia="Arial" w:hAnsi="Arial"/>
          <w:sz w:val="16"/>
          <w:szCs w:val="16"/>
          <w:b w:val="1"/>
          <w:bCs w:val="1"/>
          <w:color w:val="auto"/>
        </w:rPr>
        <w:t>Submetering Equipment</w:t>
      </w:r>
      <w:r>
        <w:rPr>
          <w:rFonts w:ascii="Arial" w:cs="Arial" w:eastAsia="Arial" w:hAnsi="Arial"/>
          <w:sz w:val="16"/>
          <w:szCs w:val="16"/>
          <w:color w:val="auto"/>
        </w:rPr>
        <w:t>”) which shall be (i) installed by Landlord or any tenant, for other tenant space in the Project,</w:t>
      </w:r>
    </w:p>
    <w:p>
      <w:pPr>
        <w:spacing w:after="0" w:line="2" w:lineRule="exact"/>
        <w:rPr>
          <w:sz w:val="20"/>
          <w:szCs w:val="20"/>
          <w:color w:val="auto"/>
        </w:rPr>
      </w:pPr>
    </w:p>
    <w:p>
      <w:pPr>
        <w:ind w:right="100" w:firstLine="8"/>
        <w:spacing w:after="0" w:line="252" w:lineRule="auto"/>
        <w:tabs>
          <w:tab w:leader="none" w:pos="26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installed by Tenant for the Premises (not including the “Building Systems”, as that term is defined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of this Lease), and (iii) installed by Landlord for the Common Areas and Building Systems. Tenant shall have no obligation to pay for any costs of electricity (including as part of Operating Expenses) shown on the Submetering Equipment described in item (i) above. Tenant shall be responsible to pay directly, and not as a part of Operating Expenses, for the cost of all electricity shown on the Submetering Equipment described in item (ii) above. The cost of all electricity shown on the Submetering Equipment described in item (iii) above (except to the extent included in the Extra HVAC Costs) shall be included in Operating Expenses. Tenant may audit Landlord’s readings of the Submetering Equipment and Landlord shall deliver reasonably detailed invoices to Tenant reflecting Landlord’s reading of the Submetering Equipment and resulting electricity costs.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285" w:name="page286"/>
    <w:bookmarkEnd w:id="285"/>
    <w:p>
      <w:pPr>
        <w:ind w:right="140" w:firstLine="913"/>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6.1.3 </w:t>
      </w:r>
      <w:r>
        <w:rPr>
          <w:rFonts w:ascii="Arial" w:cs="Arial" w:eastAsia="Arial" w:hAnsi="Arial"/>
          <w:sz w:val="18"/>
          <w:szCs w:val="18"/>
          <w:b w:val="1"/>
          <w:bCs w:val="1"/>
          <w:u w:val="single" w:color="auto"/>
          <w:color w:val="auto"/>
        </w:rPr>
        <w:t>Water and Sewer</w:t>
      </w:r>
      <w:r>
        <w:rPr>
          <w:rFonts w:ascii="Arial" w:cs="Arial" w:eastAsia="Arial" w:hAnsi="Arial"/>
          <w:sz w:val="18"/>
          <w:szCs w:val="18"/>
          <w:color w:val="auto"/>
        </w:rPr>
        <w:t xml:space="preserve">. Landlord shall cause water and sewer to be supplied to the Buildings. Landlord shall reasonably and equitably allocate the portion of such utilities attributable to Tenant’s direct use to Tenant, and Tenant shall pay for the costs of such direct use, within thirty (30) days after demand and as Additional Rent under this Lease (and not as part of the Operating Expenses), and other water and sewer costs shall be reasonably and equitably included as part of Operating Expenses, to the extent permitted by the terms of </w:t>
      </w:r>
      <w:r>
        <w:rPr>
          <w:rFonts w:ascii="Arial" w:cs="Arial" w:eastAsia="Arial" w:hAnsi="Arial"/>
          <w:sz w:val="18"/>
          <w:szCs w:val="18"/>
          <w:u w:val="single" w:color="auto"/>
          <w:color w:val="auto"/>
        </w:rPr>
        <w:t>Section 4.2.4</w:t>
      </w:r>
      <w:r>
        <w:rPr>
          <w:rFonts w:ascii="Arial" w:cs="Arial" w:eastAsia="Arial" w:hAnsi="Arial"/>
          <w:sz w:val="18"/>
          <w:szCs w:val="18"/>
          <w:color w:val="auto"/>
        </w:rPr>
        <w:t xml:space="preserve"> above or charged directly to other tenants of the Project. Landlord shall designate the utility providers from time to time.</w:t>
      </w:r>
    </w:p>
    <w:p>
      <w:pPr>
        <w:spacing w:after="0" w:line="7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u w:val="single" w:color="auto"/>
          <w:color w:val="auto"/>
        </w:rPr>
        <w:t>Gas</w:t>
      </w:r>
      <w:r>
        <w:rPr>
          <w:rFonts w:ascii="Arial" w:cs="Arial" w:eastAsia="Arial" w:hAnsi="Arial"/>
          <w:sz w:val="16"/>
          <w:szCs w:val="16"/>
          <w:color w:val="auto"/>
        </w:rPr>
        <w:t>. Landlord shall cause gas to be supplied to the Project. The portion of the gas used in connection with the Retail Space shall be separately submetered and paid for directly by such retail tenants. The cost of all other gas supplied to the Project shall be included in Operating Expenses; provided, however, if Tenant elects to install the Commercial Kitchen (or other equipment using gas), which would require the use of gas within the Premises, then Tenant shall, at Tenant’s sole cost and expense, be responsible for installing a submeter to separately monitor such gas usage. Thereafter, Tenant shall pay for the costs of such direct gas use, within thirty (30) days after demand and as Additional Rent under this Lease (and not as part of the Operating Expenses).</w:t>
      </w:r>
    </w:p>
    <w:p>
      <w:pPr>
        <w:spacing w:after="0" w:line="46" w:lineRule="exact"/>
        <w:rPr>
          <w:sz w:val="20"/>
          <w:szCs w:val="20"/>
          <w:color w:val="auto"/>
        </w:rPr>
      </w:pPr>
    </w:p>
    <w:p>
      <w:pPr>
        <w:ind w:right="80" w:firstLine="913"/>
        <w:spacing w:after="0" w:line="292"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u w:val="single" w:color="auto"/>
          <w:color w:val="auto"/>
        </w:rPr>
        <w:t>Janitorial</w:t>
      </w:r>
      <w:r>
        <w:rPr>
          <w:rFonts w:ascii="Arial" w:cs="Arial" w:eastAsia="Arial" w:hAnsi="Arial"/>
          <w:sz w:val="16"/>
          <w:szCs w:val="16"/>
          <w:color w:val="auto"/>
        </w:rPr>
        <w:t>. Landlord shall provide janitorial services for the Common Areas and exterior window washing services, in a manner consistent with the standards of other first-class, institutionally owned office buildings in the City of San Francisco (the “</w:t>
      </w:r>
      <w:r>
        <w:rPr>
          <w:rFonts w:ascii="Arial" w:cs="Arial" w:eastAsia="Arial" w:hAnsi="Arial"/>
          <w:sz w:val="16"/>
          <w:szCs w:val="16"/>
          <w:b w:val="1"/>
          <w:bCs w:val="1"/>
          <w:color w:val="auto"/>
        </w:rPr>
        <w:t>City</w:t>
      </w:r>
      <w:r>
        <w:rPr>
          <w:rFonts w:ascii="Arial" w:cs="Arial" w:eastAsia="Arial" w:hAnsi="Arial"/>
          <w:sz w:val="16"/>
          <w:szCs w:val="16"/>
          <w:color w:val="auto"/>
        </w:rPr>
        <w:t>”), (provided that Tenant may reasonably require more frequent window washing as a consequence of the location of the Project adjacent to a freeway or otherwise); but Landlord shall not provide janitorial services for the Premises. Tenant shall perform all janitorial services and other cleaning within the Premises in a manner consistent with the standards of other first-class, institutionally owned office buildings in the City of San Francisco. Without Landlord’s prior consent, Tenant shall not use (and upon notice from Landlord shall cease using) janitorial service providers who would, in Landlord’s reasonable and good faith judgment, disturb labor harmony with the workforce or trades engaged in performing other work, labor or services in or about the Buildings or the Common Areas.</w:t>
      </w:r>
    </w:p>
    <w:p>
      <w:pPr>
        <w:spacing w:after="0" w:line="54"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b w:val="1"/>
          <w:bCs w:val="1"/>
          <w:u w:val="single" w:color="auto"/>
          <w:color w:val="auto"/>
        </w:rPr>
        <w:t>Elevator</w:t>
      </w:r>
      <w:r>
        <w:rPr>
          <w:rFonts w:ascii="Arial" w:cs="Arial" w:eastAsia="Arial" w:hAnsi="Arial"/>
          <w:sz w:val="18"/>
          <w:szCs w:val="18"/>
          <w:color w:val="auto"/>
        </w:rPr>
        <w:t>. Landlord shall provide non-attended automatic passenger elevator service during the building hours reasonably designated by Landlord (the “</w:t>
      </w:r>
      <w:r>
        <w:rPr>
          <w:rFonts w:ascii="Arial" w:cs="Arial" w:eastAsia="Arial" w:hAnsi="Arial"/>
          <w:sz w:val="18"/>
          <w:szCs w:val="18"/>
          <w:b w:val="1"/>
          <w:bCs w:val="1"/>
          <w:color w:val="auto"/>
        </w:rPr>
        <w:t>Building Hours</w:t>
      </w:r>
      <w:r>
        <w:rPr>
          <w:rFonts w:ascii="Arial" w:cs="Arial" w:eastAsia="Arial" w:hAnsi="Arial"/>
          <w:sz w:val="18"/>
          <w:szCs w:val="18"/>
          <w:color w:val="auto"/>
        </w:rPr>
        <w:t>”), and shall have one (1) elevator available serving each Building at all other times.</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b w:val="1"/>
          <w:bCs w:val="1"/>
          <w:u w:val="single" w:color="auto"/>
          <w:color w:val="auto"/>
        </w:rPr>
        <w:t>Loading Dock</w:t>
      </w:r>
      <w:r>
        <w:rPr>
          <w:rFonts w:ascii="Arial" w:cs="Arial" w:eastAsia="Arial" w:hAnsi="Arial"/>
          <w:sz w:val="18"/>
          <w:szCs w:val="18"/>
          <w:color w:val="auto"/>
        </w:rPr>
        <w:t>. Landlord shall provide use of the Project loading dock(s) for deliveries to Tenant.</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b w:val="1"/>
          <w:bCs w:val="1"/>
          <w:u w:val="single" w:color="auto"/>
          <w:color w:val="auto"/>
        </w:rPr>
        <w:t>Risers, Raceways, Shafts, Conduits</w:t>
      </w:r>
      <w:r>
        <w:rPr>
          <w:rFonts w:ascii="Arial" w:cs="Arial" w:eastAsia="Arial" w:hAnsi="Arial"/>
          <w:sz w:val="17"/>
          <w:szCs w:val="17"/>
          <w:color w:val="auto"/>
        </w:rPr>
        <w:t>. Subject to Landlord’s rules, regulations, and restrictions and the terms of this Lease, Landlord shall permit Tenant, at no additional charge to Tenant, to utilize the Buildings risers, raceways, shafts and conduit, provided that there is available space in the Buildings risers, raceways, shafts and/or conduit for Landlord’s reasonable use and reasonable use by the other tenants of the Project, which availability shall be determined by Landlord in Landlord’s reasonable discretion. Landlord shall have the right to re-route the planned location of Tenant’s cabling in such risers, raceways, shafts and conduit, as determined by Landlord in its reasonable discretion.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286" w:name="page287"/>
    <w:bookmarkEnd w:id="286"/>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6.1.9 </w:t>
      </w:r>
      <w:r>
        <w:rPr>
          <w:rFonts w:ascii="Arial" w:cs="Arial" w:eastAsia="Arial" w:hAnsi="Arial"/>
          <w:sz w:val="16"/>
          <w:szCs w:val="16"/>
          <w:b w:val="1"/>
          <w:bCs w:val="1"/>
          <w:u w:val="single" w:color="auto"/>
          <w:color w:val="auto"/>
        </w:rPr>
        <w:t>Access Control</w:t>
      </w:r>
      <w:r>
        <w:rPr>
          <w:rFonts w:ascii="Arial" w:cs="Arial" w:eastAsia="Arial" w:hAnsi="Arial"/>
          <w:sz w:val="16"/>
          <w:szCs w:val="16"/>
          <w:color w:val="auto"/>
        </w:rPr>
        <w:t>. As part of the construction of the Base Buildings, Landlord shall install an access-control system for the Buildings and Parking Facilities, including, without limitation, door access controls, lobby turnstiles and elevator access controls; provided that the parties acknowledge that the North Lobby is open to the public, and access will not be restricted during general business hours. Landlord shall not be obligated to provide any other security equipment. Notwithstanding any provision to the contrary set forth in this Lease, in no case, shall Landlord be liable for personal injury or property damage for any lack of security in the Building or for any error with regard to the admission to or exclusion from the Buildings or Project of any person.</w:t>
      </w:r>
    </w:p>
    <w:p>
      <w:pPr>
        <w:spacing w:after="0" w:line="46"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 xml:space="preserve">6.1.10 </w:t>
      </w:r>
      <w:r>
        <w:rPr>
          <w:rFonts w:ascii="Arial" w:cs="Arial" w:eastAsia="Arial" w:hAnsi="Arial"/>
          <w:sz w:val="17"/>
          <w:szCs w:val="17"/>
          <w:b w:val="1"/>
          <w:bCs w:val="1"/>
          <w:u w:val="single" w:color="auto"/>
          <w:color w:val="auto"/>
        </w:rPr>
        <w:t>Security Personnel</w:t>
      </w:r>
      <w:r>
        <w:rPr>
          <w:rFonts w:ascii="Arial" w:cs="Arial" w:eastAsia="Arial" w:hAnsi="Arial"/>
          <w:sz w:val="17"/>
          <w:szCs w:val="17"/>
          <w:color w:val="auto"/>
        </w:rPr>
        <w:t>. Landlord shall provide on-site security services, including security personnel in the North Lobby and the Parking Facilities, consistent with the services provided by landlords at Comparable Buildings (“</w:t>
      </w:r>
      <w:r>
        <w:rPr>
          <w:rFonts w:ascii="Arial" w:cs="Arial" w:eastAsia="Arial" w:hAnsi="Arial"/>
          <w:sz w:val="17"/>
          <w:szCs w:val="17"/>
          <w:b w:val="1"/>
          <w:bCs w:val="1"/>
          <w:color w:val="auto"/>
        </w:rPr>
        <w:t>Landlord’s Security Personnel</w:t>
      </w:r>
      <w:r>
        <w:rPr>
          <w:rFonts w:ascii="Arial" w:cs="Arial" w:eastAsia="Arial" w:hAnsi="Arial"/>
          <w:sz w:val="17"/>
          <w:szCs w:val="17"/>
          <w:color w:val="auto"/>
        </w:rPr>
        <w:t>”), the costs of which shall be included in Direct Expenses. Landlord hereby acknowledges that Tenant may, at its election and at its sole cost, hire security personnel (“</w:t>
      </w:r>
      <w:r>
        <w:rPr>
          <w:rFonts w:ascii="Arial" w:cs="Arial" w:eastAsia="Arial" w:hAnsi="Arial"/>
          <w:sz w:val="17"/>
          <w:szCs w:val="17"/>
          <w:b w:val="1"/>
          <w:bCs w:val="1"/>
          <w:color w:val="auto"/>
        </w:rPr>
        <w:t>Tenant’s 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Personnel</w:t>
      </w:r>
      <w:r>
        <w:rPr>
          <w:rFonts w:ascii="Arial" w:cs="Arial" w:eastAsia="Arial" w:hAnsi="Arial"/>
          <w:sz w:val="17"/>
          <w:szCs w:val="17"/>
          <w:color w:val="auto"/>
        </w:rPr>
        <w:t>”), and Tenant’s Security Personnel may staff the desk located in the North Lobby and the South Lobby; provided that (i) Tenant’s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Personnel must not carry a firearm or other weapon in the Common Areas unless reasonably concealed, and Tenant’s Security Personnel shall not utilize any weapons when in any portion of the Project, except to the extent reasonably required in an emergency circumstance, (ii) Tenant’s Security Personnel must reasonably cooperate with Landlord’s Security Personnel, including providing Landlord’s Security Personnel with access to, and reasonable use of, the lobby desk located in the North Lobby, (iii) the security contractor (if any) providing Tenant’s Security Personnel to Tenant hereunder shall comply with Landlord’s reasonable insurance requirements, and (iv) Tenant’s Security Personnel shall comply with rules and regulations reasonably established by Landlord relating to security and access control for the Project. Tenant shall provide Landlord written notice of the names of Tenant’s Security Personnel prior to any of Tenant’s Security Personnel performing security services hereunder. Landlord’s Security Personnel and Tenant’s Security Personnel are each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Personnel</w:t>
      </w:r>
      <w:r>
        <w:rPr>
          <w:rFonts w:ascii="Arial" w:cs="Arial" w:eastAsia="Arial" w:hAnsi="Arial"/>
          <w:sz w:val="17"/>
          <w:szCs w:val="17"/>
          <w:color w:val="auto"/>
        </w:rPr>
        <w:t>”. In addition, (a) all of the Security Personnel shall be licensed and bonded and shall at all times maintain any and all required licenses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permits required in connection with any weapons carried by Security Personnel and/or the performance of its duties under this Lease and shall at all times conduct themselves in a manner consistent with a first class office building project, (b) a commercially reasonable background check shall be performed on all Security Personnel, and (c) all of the Security Personnel shall be union labor and comply with the Mission Bay Requirements and the Underlying Documents.</w:t>
      </w:r>
    </w:p>
    <w:p>
      <w:pPr>
        <w:spacing w:after="0" w:line="73" w:lineRule="exact"/>
        <w:rPr>
          <w:sz w:val="20"/>
          <w:szCs w:val="20"/>
          <w:color w:val="auto"/>
        </w:rPr>
      </w:pPr>
    </w:p>
    <w:p>
      <w:pPr>
        <w:ind w:right="280" w:firstLine="913"/>
        <w:spacing w:after="0" w:line="258" w:lineRule="auto"/>
        <w:rPr>
          <w:sz w:val="20"/>
          <w:szCs w:val="20"/>
          <w:color w:val="auto"/>
        </w:rPr>
      </w:pPr>
      <w:r>
        <w:rPr>
          <w:rFonts w:ascii="Arial" w:cs="Arial" w:eastAsia="Arial" w:hAnsi="Arial"/>
          <w:sz w:val="18"/>
          <w:szCs w:val="18"/>
          <w:color w:val="auto"/>
        </w:rPr>
        <w:t xml:space="preserve">6.1.11 </w:t>
      </w:r>
      <w:r>
        <w:rPr>
          <w:rFonts w:ascii="Arial" w:cs="Arial" w:eastAsia="Arial" w:hAnsi="Arial"/>
          <w:sz w:val="18"/>
          <w:szCs w:val="18"/>
          <w:b w:val="1"/>
          <w:bCs w:val="1"/>
          <w:u w:val="single" w:color="auto"/>
          <w:color w:val="auto"/>
        </w:rPr>
        <w:t>Tenant’s Security System</w:t>
      </w:r>
      <w:r>
        <w:rPr>
          <w:rFonts w:ascii="Arial" w:cs="Arial" w:eastAsia="Arial" w:hAnsi="Arial"/>
          <w:sz w:val="18"/>
          <w:szCs w:val="18"/>
          <w:color w:val="auto"/>
        </w:rPr>
        <w:t>. Landlord hereby agrees that Tenant shall have the right to install a card key security system (“</w:t>
      </w:r>
      <w:r>
        <w:rPr>
          <w:rFonts w:ascii="Arial" w:cs="Arial" w:eastAsia="Arial" w:hAnsi="Arial"/>
          <w:sz w:val="18"/>
          <w:szCs w:val="18"/>
          <w:b w:val="1"/>
          <w:bCs w:val="1"/>
          <w:color w:val="auto"/>
        </w:rPr>
        <w:t>Tenant’s</w:t>
      </w:r>
      <w:r>
        <w:rPr>
          <w:rFonts w:ascii="Arial" w:cs="Arial" w:eastAsia="Arial" w:hAnsi="Arial"/>
          <w:sz w:val="18"/>
          <w:szCs w:val="18"/>
          <w:color w:val="auto"/>
        </w:rPr>
        <w:t xml:space="preserve"> </w:t>
      </w:r>
      <w:r>
        <w:rPr>
          <w:rFonts w:ascii="Arial" w:cs="Arial" w:eastAsia="Arial" w:hAnsi="Arial"/>
          <w:sz w:val="18"/>
          <w:szCs w:val="18"/>
          <w:b w:val="1"/>
          <w:bCs w:val="1"/>
          <w:color w:val="auto"/>
        </w:rPr>
        <w:t>Security System</w:t>
      </w:r>
      <w:r>
        <w:rPr>
          <w:rFonts w:ascii="Arial" w:cs="Arial" w:eastAsia="Arial" w:hAnsi="Arial"/>
          <w:sz w:val="18"/>
          <w:szCs w:val="18"/>
          <w:color w:val="auto"/>
        </w:rPr>
        <w:t>”) in the Premises and Stairwells on the floors of the Premises and to connect such system to Landlord’s access-control system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So long as Tenant continues to lease an entire Complex, Tenant’s Security System may include security cameras and card readers in areas of the Project, reasonably approved by Landlord, located outside of the Premises that pertain to such Complex; provided that Tenant shall work with Landlord to connect Landlord’s existing access card keys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0" w:right="259" w:bottom="1440" w:gutter="0" w:footer="0" w:header="0"/>
        </w:sectPr>
      </w:pPr>
    </w:p>
    <w:bookmarkStart w:id="287" w:name="page288"/>
    <w:bookmarkEnd w:id="287"/>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the Project to Tenant’s Security System, or, if such connection is not possible, shall provide Landlord with a reasonable number of card keys for Landlord’s access to the Buildings and/or the Premises pursuant to the terms of this Lease. In addition, upon Landlord’s request, Tenant shall make the footage from Tenant’s exterior Building cameras reasonably available to Landlord. Tenant’s Security Systems shall by subject to Landlord’s prior review and approval (not to be unreasonably withheld), and the installation thereof shall be deemed an Alteration and shall be performed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Lease, below or shall be installed as an Improvement pursuant to the Work Letter. In addition, Tenant shall coordinate the selection, installation and operation of Tenant’s Security System with Landlord in order to ensure that Tenant’s Security System is compatible with the Building Systems and permits Landlord to identify any persons entering and existing any Buildings, and Tenant shall not be entitled to install and/or operate the Tenant’s Security System if Tenant’s Security System does not comply with the foregoing. Tenant shall be solely responsible, at Tenant’s sole cost and expense, for the installation, monitoring, operation and removal of Tenant’s Security System.</w:t>
      </w:r>
    </w:p>
    <w:p>
      <w:pPr>
        <w:spacing w:after="0" w:line="70"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b w:val="1"/>
          <w:bCs w:val="1"/>
          <w:u w:val="single" w:color="auto"/>
          <w:color w:val="auto"/>
        </w:rPr>
        <w:t>Access</w:t>
      </w:r>
      <w:r>
        <w:rPr>
          <w:rFonts w:ascii="Arial" w:cs="Arial" w:eastAsia="Arial" w:hAnsi="Arial"/>
          <w:sz w:val="18"/>
          <w:szCs w:val="18"/>
          <w:color w:val="auto"/>
        </w:rPr>
        <w:t>. Subject to Applicable Laws and the other provisions of this Lease, and except in the event of an emergency, Tenant shall have access to the above utilities and the Buildings, the Premises and the Common Areas, other than common areas requiring access with a Building engineer, the Parking Facilities and freight elevator, if any, twenty-four (24) hours per day, seven (7) days per week, every day of the year; provided, however, that Tenant shall pay Landlord’s reasonable out-of-pocket costs that are incurred if Tenant uses the loading dock, mailroom and other limited-access areas of the Buildings during other than normal Building Hours.</w:t>
      </w:r>
    </w:p>
    <w:p>
      <w:pPr>
        <w:spacing w:after="0" w:line="7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6.1.13 </w:t>
      </w:r>
      <w:r>
        <w:rPr>
          <w:rFonts w:ascii="Arial" w:cs="Arial" w:eastAsia="Arial" w:hAnsi="Arial"/>
          <w:sz w:val="17"/>
          <w:szCs w:val="17"/>
          <w:b w:val="1"/>
          <w:bCs w:val="1"/>
          <w:u w:val="single" w:color="auto"/>
          <w:color w:val="auto"/>
        </w:rPr>
        <w:t>Emergency Generator</w:t>
      </w:r>
      <w:r>
        <w:rPr>
          <w:rFonts w:ascii="Arial" w:cs="Arial" w:eastAsia="Arial" w:hAnsi="Arial"/>
          <w:sz w:val="17"/>
          <w:szCs w:val="17"/>
          <w:color w:val="auto"/>
        </w:rPr>
        <w:t>. As part of the construction of the Base Building, Landlord shall install one (1) generator for each Complex, which shall be available, on a non-exclusive basis, for connection to Tenant’s standby equipment and systems (each, a “</w:t>
      </w:r>
      <w:r>
        <w:rPr>
          <w:rFonts w:ascii="Arial" w:cs="Arial" w:eastAsia="Arial" w:hAnsi="Arial"/>
          <w:sz w:val="17"/>
          <w:szCs w:val="17"/>
          <w:b w:val="1"/>
          <w:bCs w:val="1"/>
          <w:color w:val="auto"/>
        </w:rPr>
        <w:t>Generator</w:t>
      </w:r>
      <w:r>
        <w:rPr>
          <w:rFonts w:ascii="Arial" w:cs="Arial" w:eastAsia="Arial" w:hAnsi="Arial"/>
          <w:sz w:val="17"/>
          <w:szCs w:val="17"/>
          <w:color w:val="auto"/>
        </w:rPr>
        <w:t>”). All connections (cables, cable trays, etc.) (the “</w:t>
      </w:r>
      <w:r>
        <w:rPr>
          <w:rFonts w:ascii="Arial" w:cs="Arial" w:eastAsia="Arial" w:hAnsi="Arial"/>
          <w:sz w:val="17"/>
          <w:szCs w:val="17"/>
          <w:b w:val="1"/>
          <w:bCs w:val="1"/>
          <w:color w:val="auto"/>
        </w:rPr>
        <w:t>Generator Facilities</w:t>
      </w:r>
      <w:r>
        <w:rPr>
          <w:rFonts w:ascii="Arial" w:cs="Arial" w:eastAsia="Arial" w:hAnsi="Arial"/>
          <w:sz w:val="17"/>
          <w:szCs w:val="17"/>
          <w:color w:val="auto"/>
        </w:rPr>
        <w:t>”) from each such Generator to the Premises shall be located in areas approved by Landlord, in its sole discretion, and shall comply with Applicable Laws. Commencing on the date that Tenant first connects the Generator Facilities to a Generator, as reasonably determined by Landlord, Tenant shall reimburse Landlord within thirty (30) days of request, as Additional Rent, Tenant’s pro rata share (based on Tenant’s use of such Generator and use of such Generator by other parties, as reasonably determined by Landlord based on the respective connections to such Generator (not the respective rentable square footage of any space leased in the Project by such users)), of all costs and expenses incurred by Landlord as a result of or in connection with operation, use, repairs, and maintenance of such Generator, including costs for fuel, and depreciation (as reasonably determined by Landlord). Tenant acknowledges that Landlord shall not be liable for any damage that may occur with respect to a Generator. The cost of design (including engineering costs) and installation of the Generator Facilities shall be Tenant’s sole responsibility.</w:t>
      </w:r>
    </w:p>
    <w:p>
      <w:pPr>
        <w:spacing w:after="0" w:line="70" w:lineRule="exact"/>
        <w:rPr>
          <w:sz w:val="20"/>
          <w:szCs w:val="20"/>
          <w:color w:val="auto"/>
        </w:rPr>
      </w:pPr>
    </w:p>
    <w:p>
      <w:pPr>
        <w:ind w:right="320" w:firstLine="456"/>
        <w:spacing w:after="0" w:line="31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Interruption of Use</w:t>
      </w:r>
      <w:r>
        <w:rPr>
          <w:rFonts w:ascii="Arial" w:cs="Arial" w:eastAsia="Arial" w:hAnsi="Arial"/>
          <w:sz w:val="16"/>
          <w:szCs w:val="16"/>
          <w:color w:val="auto"/>
        </w:rPr>
        <w:t xml:space="preserve">. Tenant agrees that Landlord shall not be liable for damages, by abatement of Rent or otherwise (except as specifically set forth in </w:t>
      </w:r>
      <w:r>
        <w:rPr>
          <w:rFonts w:ascii="Arial" w:cs="Arial" w:eastAsia="Arial" w:hAnsi="Arial"/>
          <w:sz w:val="16"/>
          <w:szCs w:val="16"/>
          <w:u w:val="single" w:color="auto"/>
          <w:color w:val="auto"/>
        </w:rPr>
        <w:t>Section 19.5.2</w:t>
      </w:r>
      <w:r>
        <w:rPr>
          <w:rFonts w:ascii="Arial" w:cs="Arial" w:eastAsia="Arial" w:hAnsi="Arial"/>
          <w:sz w:val="16"/>
          <w:szCs w:val="16"/>
          <w:color w:val="auto"/>
        </w:rPr>
        <w:t xml:space="preserve"> of this Lease), for failure to furnish or delay in furnishing any service (including telephone and telecommunication services and Generator service), or for any diminution in the quality or quantity thereof, when such failure or delay or diminution is occasioned, in whole or in part, by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288" w:name="page289"/>
    <w:bookmarkEnd w:id="28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breakage, repairs, replacements, or improvements, by any strike, lockout or other labor trouble, by inability to secure electricity, gas, water, or other fuel at the Buildings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(except as specifically set forth in </w:t>
      </w:r>
      <w:r>
        <w:rPr>
          <w:rFonts w:ascii="Arial" w:cs="Arial" w:eastAsia="Arial" w:hAnsi="Arial"/>
          <w:sz w:val="18"/>
          <w:szCs w:val="18"/>
          <w:u w:val="single" w:color="auto"/>
          <w:color w:val="auto"/>
        </w:rPr>
        <w:t>Section 19.5.2</w:t>
      </w:r>
      <w:r>
        <w:rPr>
          <w:rFonts w:ascii="Arial" w:cs="Arial" w:eastAsia="Arial" w:hAnsi="Arial"/>
          <w:sz w:val="18"/>
          <w:szCs w:val="18"/>
          <w:color w:val="auto"/>
        </w:rPr>
        <w:t xml:space="preserve"> of this Lease) or performing any of its obligations under this Lease.</w:t>
      </w:r>
    </w:p>
    <w:p>
      <w:pPr>
        <w:spacing w:after="0" w:line="76"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auto"/>
        </w:rPr>
        <w:t>Use of Shafts and Utility Connections</w:t>
      </w:r>
      <w:r>
        <w:rPr>
          <w:rFonts w:ascii="Arial" w:cs="Arial" w:eastAsia="Arial" w:hAnsi="Arial"/>
          <w:sz w:val="17"/>
          <w:szCs w:val="17"/>
          <w:color w:val="auto"/>
        </w:rPr>
        <w:t xml:space="preserve">. Landlord shall have reasonable access, and shall be entitled to allow other tenants of the Buildings, if any, reasonable access, through existing Building shafts to other portions of the Buildings (including the roof, mechanical floors and tenant spaces (including the Premises)), or to utility connections outside the Buildings, for the installation, repair, and maintenance of ducts, pipes, connections, and equipment for cables, conduits, transmitters, receivers, and other office, computer, communications and word and data processing equipment and facilities, including any technological devices not yet developed, whether similar or dissimilar to the foregoing, which may hereafter become necessary or desirable for any permitted use of the Project;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shafts or utility connections are located within the Premises, such access shall not materially and unreasonably interfere with Tenant’s occupancy of the Premises (Landlord’s efforts in such regard will include, where reasonably possible, limiting the performance of any such work which might be disruptive to weekends or the evening and the cleaning of any work area prior to the commencement of the next business day). To the extent that Landlord installs, maintains, uses, repairs or replaces pipes, cables, ductwork, conduits, utility lines, and/or wires through hung ceiling space, exterior perimeter walls and column space, adjacent to and in demising partitions and columns, in or beneath the floor slab or above, below, or through the Premises, then in the course of making any such installation or repair: (x) Landlord shall not reduce Tenant’s usable space, except to a de minimus extent, if the same are not installed behind existing walls or ceilings; (y) Landlord shall box in any of the same installed adjacent to existing walls with construction materials substantially similar to those existing in the affected area(s) of the Premises; and (z) Landlord shall repair all damage caused by the same and restore such area(s) of the Premises to substantially the condition existing immediately prior to such work. The terms of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be subject to the terms of </w:t>
      </w:r>
      <w:r>
        <w:rPr>
          <w:rFonts w:ascii="Arial" w:cs="Arial" w:eastAsia="Arial" w:hAnsi="Arial"/>
          <w:sz w:val="17"/>
          <w:szCs w:val="17"/>
          <w:u w:val="single" w:color="auto"/>
          <w:color w:val="auto"/>
        </w:rPr>
        <w:t>Section 29.33</w:t>
      </w:r>
      <w:r>
        <w:rPr>
          <w:rFonts w:ascii="Arial" w:cs="Arial" w:eastAsia="Arial" w:hAnsi="Arial"/>
          <w:sz w:val="17"/>
          <w:szCs w:val="17"/>
          <w:color w:val="auto"/>
        </w:rPr>
        <w:t xml:space="preserve"> below.</w:t>
      </w:r>
    </w:p>
    <w:p>
      <w:pPr>
        <w:spacing w:after="0" w:line="7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u w:val="single" w:color="auto"/>
          <w:color w:val="auto"/>
        </w:rPr>
        <w:t>Supplemental HVAC</w:t>
      </w:r>
      <w:r>
        <w:rPr>
          <w:rFonts w:ascii="Arial" w:cs="Arial" w:eastAsia="Arial" w:hAnsi="Arial"/>
          <w:sz w:val="16"/>
          <w:szCs w:val="16"/>
          <w:color w:val="auto"/>
        </w:rPr>
        <w:t xml:space="preserve">. Subject to Landlord’s prior consent, which consent shall not be unreasonably withheld, conditioned or delayed, Tenant shall have the right to install a supplemental HVAC system serving all or any portion of the Premises. Any such supplemental HVAC system shall be installed pursuant to the terms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the Work Letter, if installed as part of the initial Improvements, and shall be deemed an Alteration (or Improvement, as applicable) for purposes of this Lease; provided, however, it shall be deemed reasonable for Landlord to withhold its approval to the extent any such installation would materially interfere with, or materially increase the cost of, Landlord’s maintenance or operation of the Project, unless Tenant agrees to pay for such increased costs, or if any such installation would violate Applicable Laws or the Mission Bay Requirements or the Underlying Documents (as that term is defined in </w:t>
      </w:r>
      <w:r>
        <w:rPr>
          <w:rFonts w:ascii="Arial" w:cs="Arial" w:eastAsia="Arial" w:hAnsi="Arial"/>
          <w:sz w:val="16"/>
          <w:szCs w:val="16"/>
          <w:u w:val="single" w:color="auto"/>
          <w:color w:val="auto"/>
        </w:rPr>
        <w:t>Section 24.4</w:t>
      </w:r>
      <w:r>
        <w:rPr>
          <w:rFonts w:ascii="Arial" w:cs="Arial" w:eastAsia="Arial" w:hAnsi="Arial"/>
          <w:sz w:val="16"/>
          <w:szCs w:val="16"/>
          <w:color w:val="auto"/>
        </w:rPr>
        <w:t xml:space="preserve"> below). Any such supplemental HVAC system installed by Tenant shall utilize the Building’s chilled or condenser water, at Landlord’s actual cost without markup. If Tenant connects into the Building’s chilled or condenser water system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89" w:name="page290"/>
    <w:bookmarkEnd w:id="289"/>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terms of the foregoing sentence, then Landlord shall install a submetering device at Tenant’s sole cost and expense, which shall measure the flow of chilled or condenser water to the Premises, and Tenant shall pay Landlord for Tenant’s use of chilled or condenser water at Landlord’s actual cost. Tenant shall bear all costs of the equipment, and all costs of installation and removal thereof.</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REPAIRS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Landlord’s Repair Obligations</w:t>
      </w:r>
      <w:r>
        <w:rPr>
          <w:rFonts w:ascii="Arial" w:cs="Arial" w:eastAsia="Arial" w:hAnsi="Arial"/>
          <w:sz w:val="17"/>
          <w:szCs w:val="17"/>
          <w:color w:val="auto"/>
        </w:rPr>
        <w:t>. Landlord shall at all times during the Lease Term maintain in good condition and operating order and in a manner reasonably commensurate with the maintenance standards of owners of Comparable Buildings, the structural portions of the Buildings, including, without limitation, the foundation, floor slabs, ceilings, roof, columns, beams, shafts, stairs, stairwells, escalators, elevators, base building restrooms and all Common Areas (collectively, the “</w:t>
      </w:r>
      <w:r>
        <w:rPr>
          <w:rFonts w:ascii="Arial" w:cs="Arial" w:eastAsia="Arial" w:hAnsi="Arial"/>
          <w:sz w:val="17"/>
          <w:szCs w:val="17"/>
          <w:b w:val="1"/>
          <w:bCs w:val="1"/>
          <w:color w:val="auto"/>
        </w:rPr>
        <w:t>Building Structure</w:t>
      </w:r>
      <w:r>
        <w:rPr>
          <w:rFonts w:ascii="Arial" w:cs="Arial" w:eastAsia="Arial" w:hAnsi="Arial"/>
          <w:sz w:val="17"/>
          <w:szCs w:val="17"/>
          <w:color w:val="auto"/>
        </w:rPr>
        <w:t>”), and the Base Building mechanical, electrical, life safety, plumbing, sprinkler, security and HVAC systems installed or furnished by Landlord (collectively, the “</w:t>
      </w:r>
      <w:r>
        <w:rPr>
          <w:rFonts w:ascii="Arial" w:cs="Arial" w:eastAsia="Arial" w:hAnsi="Arial"/>
          <w:sz w:val="17"/>
          <w:szCs w:val="17"/>
          <w:b w:val="1"/>
          <w:bCs w:val="1"/>
          <w:color w:val="auto"/>
        </w:rPr>
        <w:t>Building Systems</w:t>
      </w:r>
      <w:r>
        <w:rPr>
          <w:rFonts w:ascii="Arial" w:cs="Arial" w:eastAsia="Arial" w:hAnsi="Arial"/>
          <w:sz w:val="17"/>
          <w:szCs w:val="17"/>
          <w:color w:val="auto"/>
        </w:rPr>
        <w:t xml:space="preserve">”). In addition, Landlord shall use commercially reasonable efforts, at all times during the Lease Term, to cause the Building Systems to perform in accordance with the design specifications for such equipment as set forth in the “Base Building Plans” as that term is defined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the Work Letter. Except as specifically set forth in this Lease to the contrary, Tenant shall not be required to repair the Building Structure and/or the Building Systems, except to the extent required because of Tenant’s use of the Premises for other than normal and customary business office operations.</w:t>
      </w:r>
    </w:p>
    <w:p>
      <w:pPr>
        <w:spacing w:after="0" w:line="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Tenant’s Repair Obligations</w:t>
      </w:r>
      <w:r>
        <w:rPr>
          <w:rFonts w:ascii="Arial" w:cs="Arial" w:eastAsia="Arial" w:hAnsi="Arial"/>
          <w:sz w:val="17"/>
          <w:szCs w:val="17"/>
          <w:color w:val="auto"/>
        </w:rPr>
        <w:t xml:space="preserve">. Tenant shall, at Tenant’s own expense, pursuant to the terms of this Lease, including without limitation,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hereof, keep the Premises, including all improvements, fixtures and furnishings therein, and the floor or floors of the Buildings on which the Premises is located and any of Tenant’s improvements, property or equipment located outside of the Premises (such items located outside of the Premises, are, collectively, “</w:t>
      </w:r>
      <w:r>
        <w:rPr>
          <w:rFonts w:ascii="Arial" w:cs="Arial" w:eastAsia="Arial" w:hAnsi="Arial"/>
          <w:sz w:val="17"/>
          <w:szCs w:val="17"/>
          <w:b w:val="1"/>
          <w:bCs w:val="1"/>
          <w:color w:val="auto"/>
        </w:rPr>
        <w:t>Tenant’s Off-Premises Equipment</w:t>
      </w:r>
      <w:r>
        <w:rPr>
          <w:rFonts w:ascii="Arial" w:cs="Arial" w:eastAsia="Arial" w:hAnsi="Arial"/>
          <w:sz w:val="17"/>
          <w:szCs w:val="17"/>
          <w:color w:val="auto"/>
        </w:rPr>
        <w:t xml:space="preserve">”), in good order, repair and condition at all times during the Lease Term. In addition, Tenant shall, at Tenant’s own expense, but under the supervision and subject to the prior approval of Landlord and the terms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hereof, promptly and adequately repair all damage to the Premises and replace or repair all damaged, broken, or worn fixtures and appurtenances, except for damage caused by ordinary wear and tear or beyond the reasonable control of Tenant; provided however, that if Tenant fails to commence to make such repairs within ten (10) business days following notice from Landlord, Landlord may, but need not, make such repairs and replacements, and Tenant shall pay Landlord the cost thereof, including a percentage of the cost thereof (to be uniformly established for the Building and/or the Project) sufficient to reimburse Landlord for all overhead, general conditions, fees and other costs or expenses arising from Landlord’s involvement with such repairs and replacements forthwith upon being billed for same. Subject to the provisions of </w:t>
      </w:r>
      <w:r>
        <w:rPr>
          <w:rFonts w:ascii="Arial" w:cs="Arial" w:eastAsia="Arial" w:hAnsi="Arial"/>
          <w:sz w:val="17"/>
          <w:szCs w:val="17"/>
          <w:u w:val="single" w:color="auto"/>
          <w:color w:val="auto"/>
        </w:rPr>
        <w:t>Article 27</w:t>
      </w:r>
      <w:r>
        <w:rPr>
          <w:rFonts w:ascii="Arial" w:cs="Arial" w:eastAsia="Arial" w:hAnsi="Arial"/>
          <w:sz w:val="17"/>
          <w:szCs w:val="17"/>
          <w:color w:val="auto"/>
        </w:rPr>
        <w:t xml:space="preserve"> below, Landlord may, but shall not be required to, enter the Premises at all reasonable times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290" w:name="page291"/>
    <w:bookmarkEnd w:id="29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ADDITIONS AND ALTERATIONS</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Landlord’s Consent to Alterations</w:t>
      </w:r>
      <w:r>
        <w:rPr>
          <w:rFonts w:ascii="Arial" w:cs="Arial" w:eastAsia="Arial" w:hAnsi="Arial"/>
          <w:sz w:val="16"/>
          <w:szCs w:val="16"/>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6"/>
          <w:szCs w:val="16"/>
          <w:b w:val="1"/>
          <w:bCs w:val="1"/>
          <w:color w:val="auto"/>
        </w:rPr>
        <w:t>Alterations</w:t>
      </w:r>
      <w:r>
        <w:rPr>
          <w:rFonts w:ascii="Arial" w:cs="Arial" w:eastAsia="Arial" w:hAnsi="Arial"/>
          <w:sz w:val="16"/>
          <w:szCs w:val="16"/>
          <w:color w:val="auto"/>
        </w:rPr>
        <w:t>”) without first procuring the prior written consent of Landlord to such Alterations, which consent shall be requested by Tenant not less than twenty (20) business days prior to the commencement thereof, and which consent shall not be unreasonably withheld by Landlord, provided it shall be deemed reasonable for Landlord to withhold its consent to any Alteration which may adversely affect the Building Structure or Building Systems, or is visible from the exterior of any Building, and further provided, that in no event shall Tenant paint the underside or top of the structural slab. Notwithstanding the foregoing, Tenant shall be permitted to make Alterations following ten</w:t>
      </w:r>
    </w:p>
    <w:p>
      <w:pPr>
        <w:spacing w:after="0" w:line="4" w:lineRule="exact"/>
        <w:rPr>
          <w:sz w:val="20"/>
          <w:szCs w:val="20"/>
          <w:color w:val="auto"/>
        </w:rPr>
      </w:pPr>
    </w:p>
    <w:p>
      <w:pPr>
        <w:ind w:right="60" w:firstLine="8"/>
        <w:spacing w:after="0" w:line="254" w:lineRule="auto"/>
        <w:tabs>
          <w:tab w:leader="none" w:pos="34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business days’ notice to Landlord, but without Landlord’s prior consent, to the extent that such Alterations (i) do not affect the Building Structure, Building Systems or equipment, (ii) do not require a building or construction permit, (iii) cost less than $300,000.00 for a particular job of work, and (iv) do not consist of painting the underside or top of the structural slab. The construction of the initial improvements to the Premises shall be governed by the terms of the Work Letter and not the terms of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Manner of Construction</w:t>
      </w:r>
      <w:r>
        <w:rPr>
          <w:rFonts w:ascii="Arial" w:cs="Arial" w:eastAsia="Arial" w:hAnsi="Arial"/>
          <w:sz w:val="17"/>
          <w:szCs w:val="17"/>
          <w:color w:val="auto"/>
        </w:rPr>
        <w:t>. Landlord may impose, as a condition of its consent to any and all Alterations or repairs of the Premises or about the Premises or Tenant’s Off-Premises Equipment, such requirements as Landlord in its sole discretion may deem desirable, including, but not limited to, the requirement that Tenant utilize for such purposes only contractors, subcontractors, materials, mechanics and materialmen selected by Tenant from a list provided and approved by Landlord, the requirement that upon Landlord’s request, Tenant shall, at Tenant’s expense, remove any “Specialty Alterations” (defined below)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all in conformance with Landlord’s construction rules and regulations. In the event Tenant performs any Alterations in the Premises which require or give rise to governmentally required changes to the “Base Building,” as that term is defined below, then Landlord shall, at Tenant’s expense, make such changes to the Base Building. The “</w:t>
      </w:r>
      <w:r>
        <w:rPr>
          <w:rFonts w:ascii="Arial" w:cs="Arial" w:eastAsia="Arial" w:hAnsi="Arial"/>
          <w:sz w:val="17"/>
          <w:szCs w:val="17"/>
          <w:b w:val="1"/>
          <w:bCs w:val="1"/>
          <w:color w:val="auto"/>
        </w:rPr>
        <w:t>Base Building</w:t>
      </w:r>
      <w:r>
        <w:rPr>
          <w:rFonts w:ascii="Arial" w:cs="Arial" w:eastAsia="Arial" w:hAnsi="Arial"/>
          <w:sz w:val="17"/>
          <w:szCs w:val="17"/>
          <w:color w:val="auto"/>
        </w:rPr>
        <w:t xml:space="preserve">” shall mean the Building Structure, the Building Systems, including the Building Systems on the floor or floors on which the Premises is located as well as the Common Areas.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In addition to Tenant’s obligations under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this Lease, upon completion of any Alterations, Tenant agrees to cause a Notice of Completion to be recorded in the office of the Recorder of the County in which the Project is located in accordance with Section 8182 of the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0" w:right="279" w:bottom="1440" w:gutter="0" w:footer="0" w:header="0"/>
        </w:sectPr>
      </w:pPr>
    </w:p>
    <w:bookmarkStart w:id="291" w:name="page292"/>
    <w:bookmarkEnd w:id="291"/>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Civil Code of the State of California or any successor statute, and Tenant shall deliver to the Project management office a reproducible copy of the “as built” drawings of the Alterations as well as all permits, approvals and other documents issued by any governmental agency in connection with the Alterations.</w:t>
      </w:r>
    </w:p>
    <w:p>
      <w:pPr>
        <w:spacing w:after="0" w:line="1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Payment for Improvements</w:t>
      </w:r>
      <w:r>
        <w:rPr>
          <w:rFonts w:ascii="Arial" w:cs="Arial" w:eastAsia="Arial" w:hAnsi="Arial"/>
          <w:sz w:val="18"/>
          <w:szCs w:val="18"/>
          <w:color w:val="auto"/>
        </w:rPr>
        <w:t>. If payment is made directly to contractors, Tenant shall, at Tenant’s cost, comply with Landlord’s requirements for final lien releases and waivers in connection with Tenant’s payment for work to contractors. For purposes of determining the cost of an Alteration, work done in phases or stages shall be considered part of the same Alteration, and any Alteration shall be deemed to include all trades and materials involved in accomplishing a particular result.</w:t>
      </w:r>
    </w:p>
    <w:p>
      <w:pPr>
        <w:spacing w:after="0" w:line="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Construction Insurance</w:t>
      </w:r>
      <w:r>
        <w:rPr>
          <w:rFonts w:ascii="Arial" w:cs="Arial" w:eastAsia="Arial" w:hAnsi="Arial"/>
          <w:sz w:val="17"/>
          <w:szCs w:val="17"/>
          <w:color w:val="auto"/>
        </w:rPr>
        <w:t xml:space="preserve">. In addition to the requirements of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in the event that Tenant makes any Alterations, prior to the commencement of such Alterations, Tenant shall provide Landlord with evidence that Tenant carries “</w:t>
      </w:r>
      <w:r>
        <w:rPr>
          <w:rFonts w:ascii="Arial" w:cs="Arial" w:eastAsia="Arial" w:hAnsi="Arial"/>
          <w:sz w:val="17"/>
          <w:szCs w:val="17"/>
          <w:b w:val="1"/>
          <w:bCs w:val="1"/>
          <w:color w:val="auto"/>
        </w:rPr>
        <w:t>Builder’s All Risk</w:t>
      </w:r>
      <w:r>
        <w:rPr>
          <w:rFonts w:ascii="Arial" w:cs="Arial" w:eastAsia="Arial" w:hAnsi="Arial"/>
          <w:sz w:val="17"/>
          <w:szCs w:val="17"/>
          <w:color w:val="auto"/>
        </w:rPr>
        <w:t xml:space="preserve">” insurance in an amount approved by Landlord covering the construction of such Alterations, and such other insurance as Landlord may require, it being understood and agreed that all of such Alterations shall be insured by Tenant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this Lease immediately upon completion thereof. In addition, Tenant shall reimburse Landlord for Landlord’s reasonable, actual, out-of-pocket costs and expenses actually incurred in connection with Landlord’s review of Tenant’s work. Landlord may, in its discretion, require Tenant to obtain a lien and completion bond or some alternate form of security satisfactory to Landlord in an amount sufficient to ensure the lien-free completion of such Alterations and naming Landlord as a co-obligee.</w:t>
      </w:r>
    </w:p>
    <w:p>
      <w:pPr>
        <w:spacing w:after="0" w:line="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Specialty Alterations</w:t>
      </w:r>
      <w:r>
        <w:rPr>
          <w:rFonts w:ascii="Arial" w:cs="Arial" w:eastAsia="Arial" w:hAnsi="Arial"/>
          <w:sz w:val="16"/>
          <w:szCs w:val="16"/>
          <w:color w:val="auto"/>
        </w:rPr>
        <w:t xml:space="preserve">. At any time during the Lease Term, Tenant may remove any of “Tenant’s Property” (as that term is defined in </w:t>
      </w:r>
      <w:r>
        <w:rPr>
          <w:rFonts w:ascii="Arial" w:cs="Arial" w:eastAsia="Arial" w:hAnsi="Arial"/>
          <w:sz w:val="16"/>
          <w:szCs w:val="16"/>
          <w:u w:val="single" w:color="auto"/>
          <w:color w:val="auto"/>
        </w:rPr>
        <w:t>Section 15.2</w:t>
      </w:r>
      <w:r>
        <w:rPr>
          <w:rFonts w:ascii="Arial" w:cs="Arial" w:eastAsia="Arial" w:hAnsi="Arial"/>
          <w:sz w:val="16"/>
          <w:szCs w:val="16"/>
          <w:color w:val="auto"/>
        </w:rPr>
        <w:t xml:space="preserve"> below) located in the Premises. Landlord may, by written notice to Tenant prior to the end of the Lease Term, or given following any earlier termination of this Lease, require Tenant, at Tenant’s expense, to remove any Specialty Alterations and to repair any damage to the Premises, Building, and Project and return the affected portion of the Premises to the condition existing prior to the installation of such Specialty Alteration as reasonably determined by Landlord; provided; however, that notwithstanding the foregoing, upon request by Tenant at the time of Tenant’s request for Landlord’s consent to any Alteration or improvement (or at the time of Landlord’s approval of the “Final Space Plan” or the “Final Working Drawings” (as defined in the Work Letter)), Landlord shall notify Tenant whether the applicable Alteration or Improvement constitutes a Specialty Alteration that will be required to be removed pursuant to the terms of this </w:t>
      </w:r>
      <w:r>
        <w:rPr>
          <w:rFonts w:ascii="Arial" w:cs="Arial" w:eastAsia="Arial" w:hAnsi="Arial"/>
          <w:sz w:val="16"/>
          <w:szCs w:val="16"/>
          <w:u w:val="single" w:color="auto"/>
          <w:color w:val="auto"/>
        </w:rPr>
        <w:t>Section 8.5</w:t>
      </w:r>
      <w:r>
        <w:rPr>
          <w:rFonts w:ascii="Arial" w:cs="Arial" w:eastAsia="Arial" w:hAnsi="Arial"/>
          <w:sz w:val="16"/>
          <w:szCs w:val="16"/>
          <w:color w:val="auto"/>
        </w:rPr>
        <w:t>. If Tenant fails to complete any required removal and/or to repair any damage caused by the required removal of any Specialty Alterations, and return the affected portion of the Premises to the condition existing prior to the installation of such Specialty Alteration as reasonably determined by Landlord, Landlord may do so and may charge the actual and reasonable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As used herein, “</w:t>
      </w:r>
      <w:r>
        <w:rPr>
          <w:rFonts w:ascii="Arial" w:cs="Arial" w:eastAsia="Arial" w:hAnsi="Arial"/>
          <w:sz w:val="16"/>
          <w:szCs w:val="16"/>
          <w:b w:val="1"/>
          <w:bCs w:val="1"/>
          <w:color w:val="auto"/>
        </w:rPr>
        <w:t>Specialty Alterations</w:t>
      </w:r>
      <w:r>
        <w:rPr>
          <w:rFonts w:ascii="Arial" w:cs="Arial" w:eastAsia="Arial" w:hAnsi="Arial"/>
          <w:sz w:val="16"/>
          <w:szCs w:val="16"/>
          <w:color w:val="auto"/>
        </w:rPr>
        <w:t>” shall mean any Alteration or Improvement that is not a normal and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292" w:name="page293"/>
    <w:bookmarkEnd w:id="292"/>
    <w:p>
      <w:pPr>
        <w:ind w:righ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customary general office improvement, including, but not limited to improvements which (i) perforate, penetrate or require reinforcement of a floor slab (including, without limitation, interior stairwells or high-density filing or racking systems), (ii) consist of the installation of a raised flooring system,</w:t>
      </w:r>
    </w:p>
    <w:p>
      <w:pPr>
        <w:ind w:right="60" w:firstLine="8"/>
        <w:spacing w:after="0" w:line="270" w:lineRule="auto"/>
        <w:tabs>
          <w:tab w:leader="none" w:pos="31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consist of the installation of a vault or other similar device or system intended to secure the Premises or a portion thereof in a manner that exceeds the level of security necessary for ordinary office space, (iv) involve material plumbing connections (such as, for example but not by way of limitation, the Commercial Kitchen, saunas, showers, and executive bathrooms outside of the Building core and/or special fire safety systems), (v) consist of the dedication of any material portion of the Premises to non-office usage (such as classrooms, the Bicycle Improvements installed by Tenant in the Tenant Bicycle Storage Area or the Commercial Kitchen), (vi) are located in Common Areas (such as, Tenant’s Off-Premises Equipment), or (vii) are otherwise expressly required to be removed pursuant to the terms of this Lease. An open ceiling will not be considered a Specialty Alteration.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 AGAINST LIENS</w:t>
      </w:r>
    </w:p>
    <w:p>
      <w:pPr>
        <w:spacing w:after="0" w:line="22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Tenant shall keep the Project, Buildings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five (5) business days after notice by Landlord, and if Tenant shall fail to do so, Landlord may pay the amount necessary to remove such lien or encumbrance, without being responsible for investigating the validity thereof. The amount so paid shall be deemed Additional Rent under this Lease payable within thirty (30) days after demand, without limitation as to other remedies available to Landlord under this Lease. Nothing contained in this Lease shall authorize Tenant to do any act which shall subject Landlord’s title to the Project, Buildings or Premises to any liens or encumbrances whether claimed by operation of law or express or implied contract.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 AND INSURANCE</w:t>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xml:space="preserve">. Except to the extent arising from the negligence or willful misconduct of Landlord or any Landlord Parties (defined below) but subject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Tenant hereby assumes all risk of damage to property or injury to persons in, upon or about the Premises, the Bicycle Storage Area and any of Tenant’s Off-Premises Equipment from any cause whatsoever and agrees that Landlord, its partners, subpartners and their respective officers, agents, servants, employees, and independent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shall not be liable for, and are hereby released from any responsibility for, any damage either to person or property or resulting from the loss of use thereof, which damage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293" w:name="page294"/>
    <w:bookmarkEnd w:id="29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is sustained by Tenant or by other persons claiming through Tenant. Subject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Tenant shall indemnify, defend, protect, and hold harmless the Landlord Parties from and against any and all loss, cost, damage, expense and liability (including without limitation court costs and reasonable attorneys’ fees) (collectively, “</w:t>
      </w:r>
      <w:r>
        <w:rPr>
          <w:rFonts w:ascii="Arial" w:cs="Arial" w:eastAsia="Arial" w:hAnsi="Arial"/>
          <w:sz w:val="16"/>
          <w:szCs w:val="16"/>
          <w:b w:val="1"/>
          <w:bCs w:val="1"/>
          <w:color w:val="auto"/>
        </w:rPr>
        <w:t>Loss</w:t>
      </w:r>
      <w:r>
        <w:rPr>
          <w:rFonts w:ascii="Arial" w:cs="Arial" w:eastAsia="Arial" w:hAnsi="Arial"/>
          <w:sz w:val="16"/>
          <w:szCs w:val="16"/>
          <w:color w:val="auto"/>
        </w:rPr>
        <w:t xml:space="preserve">”) incurred in connection with or arising from (a) any cause in, on or about the Premises, the Bicycle Storage Area or Tenant’s Off-Premises Equipment, or (b) the negligence or willful misconduct of Tenant or of any person claiming by, through or under Tenant, or of the contractors, agents, servants, employees, invitees of Tenant who are at the Project at Tenant’s request (including any Third Party Operator and any of Tenant’s Security Personnel), as well as guests or licensees of Tenant occurring in, on or about the Project but outside of the Premises, provided that the terms of the foregoing indemnity shall not apply to the negligence or willful misconduct of Landlord or any Landlord Party. Should Landlord be named as a defendant in any suit brought against Tenant for which Tenant’s indemnity obligation is applicable, Tenant shall pay to Landlord its reasonable and actual out-of-pocket costs and expenses incurred in such suit, including without limitation, its actual professional fees such as appraisers’, accountants’ and attorneys’ fees. Subject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Landlord shall indemnify, defend, protect, and hold harmless Tenant, its partners, and their respective officers, agents, servants, employees, and independent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from and against any and all Loss arising from the negligence or willful misconduct of Landlord or any Landlord party in, on or about the Project, except to the extent caused by the negligence or willful misconduct of the Tenant Parties. Should Tenant be named as a defendant in any suit brought against Landlord for which Landlord’s indemnity obligation is applicable, Landlord shall pay to Tenant its reasonable and actual out-of-pocket costs and expenses incurred in such suit, including without limitation, its actual professional fees such as appraisers’, accountants’ and attorneys’ fees. Notwithstanding anything to the contrary set forth in this Lease, either party’s agreement to indemnify the other party as set forth in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be ineffective to the extent the matters for which the indemnitor agreed to indemnify the indemnitee are covered by insurance required to be carried by the indemnitee pursuant to this Lease (or would have been covered had the indemnitee carried the insurance required). Further, Tenant’s agreement to indemnify Landlord and Landlord’s agreement to indemnify Tenant pursuant to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are not intended to and shall not relieve any insurance carrier of its obligations under policies required to be carried pursuant to the provisions of this Lease, to the extent such policies cover, or if carried, would have covered the matters, subject to the parties’ respective indemnification obligations; nor shall they supersede any inconsistent agreement of the parties set forth in any other provision of this Lease.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expiration or sooner termination of this Lease with respect to any claims or liability arising in connection with any event occurring prior to such expiration or termination.</w:t>
      </w:r>
    </w:p>
    <w:p>
      <w:pPr>
        <w:spacing w:after="0" w:line="68"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Construction Period</w:t>
      </w:r>
      <w:r>
        <w:rPr>
          <w:rFonts w:ascii="Arial" w:cs="Arial" w:eastAsia="Arial" w:hAnsi="Arial"/>
          <w:sz w:val="18"/>
          <w:szCs w:val="18"/>
          <w:color w:val="auto"/>
        </w:rPr>
        <w:t xml:space="preserve">. Notwithstanding anything set forth in the foregoing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any other provision of this Lease or the Work Letter to the contrary, during the “Construction Period” (defined below) only, the following provisions shall be applicable:</w:t>
      </w:r>
    </w:p>
    <w:p>
      <w:pPr>
        <w:spacing w:after="0" w:line="5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10.2.1 with respect to any indemnity obligation of Tenant arising at any time during the Construction Period only, (A) the term “Landlord Parties” shall mean and shall be limited to KR Mission Bay, LLC, a Delaware limited liability company (or any entity that that succeeds to KR Mission Bay, LLC’s interest as Landlord under this Lease) and shall not include any other person or entity; provided, however, that Landlord may include in any claim owed by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294" w:name="page295"/>
    <w:bookmarkEnd w:id="29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to it any amount which Landlord shall pay or be obligated to indemnify any other person or entity, and (B) any indemnity obligation shall be limited to Losses caused by, or arising as a result of any act or failure to act of, Tenant or Tenant’s employees, agents or contractors; and</w:t>
      </w:r>
    </w:p>
    <w:p>
      <w:pPr>
        <w:spacing w:after="0" w:line="6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10.2.2 during the Construction Period only, Tenant’s liability under this Lease (calculated in accordance with Accounting Standards Codification (ASC) 840-40-55) for (A) Tenant’s actions or failures to act under the Lease during the Construction Period, including, without limitation, Tenant’s indemnity obligations, plus (B) all payments to Landlord, including, without limitation, Base Rent and Additional Rent (though the parties acknowledge that Tenant’s obligation to pay Base Rent and Additional Rent shall not occur until Tenant is obligated to pay the same pursuant to the terms of </w:t>
      </w:r>
      <w:r>
        <w:rPr>
          <w:rFonts w:ascii="Arial" w:cs="Arial" w:eastAsia="Arial" w:hAnsi="Arial"/>
          <w:sz w:val="16"/>
          <w:szCs w:val="16"/>
          <w:u w:val="single" w:color="auto"/>
          <w:color w:val="auto"/>
        </w:rPr>
        <w:t>Articles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Lease) shall be limited to eighty-nine and five-tenths percent (89.5%) of “Landlord’s Project Costs” (defined hereinbelow) determined as of the date of Landlord’s claim for such amount owed by Tenant. As used herein, “</w:t>
      </w:r>
      <w:r>
        <w:rPr>
          <w:rFonts w:ascii="Arial" w:cs="Arial" w:eastAsia="Arial" w:hAnsi="Arial"/>
          <w:sz w:val="16"/>
          <w:szCs w:val="16"/>
          <w:b w:val="1"/>
          <w:bCs w:val="1"/>
          <w:color w:val="auto"/>
        </w:rPr>
        <w:t>Landlord’s Project Costs</w:t>
      </w:r>
      <w:r>
        <w:rPr>
          <w:rFonts w:ascii="Arial" w:cs="Arial" w:eastAsia="Arial" w:hAnsi="Arial"/>
          <w:sz w:val="16"/>
          <w:szCs w:val="16"/>
          <w:color w:val="auto"/>
        </w:rPr>
        <w:t>” shall mean the amount capitalized in the Project by Landlord in accordance with U.S. generally accepted accounting principles, plus other costs related to the Project paid to third parties (other than lenders or owners of Landlord), excluding land acquisition costs, but including land carrying costs, such as interest or ground rent incurred during the construction period, and including all costs incurred by Landlord in connection with the development and construction of the Base Building and Common Areas of the Project.</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avoidance of doubt, Landlord and Tenant agree that:</w:t>
      </w:r>
    </w:p>
    <w:p>
      <w:pPr>
        <w:spacing w:after="0" w:line="117" w:lineRule="exact"/>
        <w:rPr>
          <w:sz w:val="20"/>
          <w:szCs w:val="20"/>
          <w:color w:val="auto"/>
        </w:rPr>
      </w:pPr>
    </w:p>
    <w:p>
      <w:pPr>
        <w:ind w:left="1180" w:hanging="259"/>
        <w:spacing w:after="0"/>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no claim by Landlord for Tenant’s repudiation of this Lease at any time shall be limited under this </w:t>
      </w:r>
      <w:r>
        <w:rPr>
          <w:rFonts w:ascii="Arial" w:cs="Arial" w:eastAsia="Arial" w:hAnsi="Arial"/>
          <w:sz w:val="18"/>
          <w:szCs w:val="18"/>
          <w:u w:val="single" w:color="auto"/>
          <w:color w:val="auto"/>
        </w:rPr>
        <w:t>Section 10.2</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jc w:val="both"/>
        <w:ind w:right="140" w:firstLine="921"/>
        <w:spacing w:after="0" w:line="259" w:lineRule="auto"/>
        <w:tabs>
          <w:tab w:leader="none" w:pos="116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for any claim other than under clause (x) above, if during the Construction Period, Landlord makes any claim for any anticipatory breach by Tenant of any obligation under this Lease owed to Landlord for any period after the Construction Period and the amount payable by Tenant for such claim is limited by the provisions of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above, the entire amount (to the extent not theretofore paid) shall be payable promptly after the Construction Period.</w:t>
      </w:r>
    </w:p>
    <w:p>
      <w:pPr>
        <w:spacing w:after="0" w:line="183" w:lineRule="exact"/>
        <w:rPr>
          <w:sz w:val="20"/>
          <w:szCs w:val="20"/>
          <w:color w:val="auto"/>
        </w:rPr>
      </w:pPr>
    </w:p>
    <w:p>
      <w:pPr>
        <w:ind w:right="600" w:firstLine="913"/>
        <w:spacing w:after="0" w:line="282"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Construction Period</w:t>
      </w:r>
      <w:r>
        <w:rPr>
          <w:rFonts w:ascii="Arial" w:cs="Arial" w:eastAsia="Arial" w:hAnsi="Arial"/>
          <w:sz w:val="18"/>
          <w:szCs w:val="18"/>
          <w:color w:val="auto"/>
        </w:rPr>
        <w:t>” shall mean the period from the full execution and delivery of this Lease to the date that Landlord substantially completes construction of the Base Buildings, regardless of the occurrence of any delays caused by Tenant.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Tenant’s Insurance</w:t>
      </w:r>
      <w:r>
        <w:rPr>
          <w:rFonts w:ascii="Arial" w:cs="Arial" w:eastAsia="Arial" w:hAnsi="Arial"/>
          <w:sz w:val="18"/>
          <w:szCs w:val="18"/>
          <w:color w:val="auto"/>
        </w:rPr>
        <w:t>. Tenant shall maintain the following coverages in the following amounts.</w:t>
      </w:r>
    </w:p>
    <w:p>
      <w:pPr>
        <w:spacing w:after="0" w:line="11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b w:val="1"/>
          <w:bCs w:val="1"/>
          <w:u w:val="single" w:color="auto"/>
          <w:color w:val="auto"/>
        </w:rPr>
        <w:t>Commercial General Liability Insurance</w:t>
      </w:r>
      <w:r>
        <w:rPr>
          <w:rFonts w:ascii="Arial" w:cs="Arial" w:eastAsia="Arial" w:hAnsi="Arial"/>
          <w:sz w:val="18"/>
          <w:szCs w:val="18"/>
          <w:color w:val="auto"/>
        </w:rPr>
        <w:t xml:space="preserve">. Commercial General Liability Insurance covering the insured against claims of bodily injury, personal injury and property damage (including loss of use thereof) arising out of Tenant’s operations, and contractual liabilities (covering the performance by Tenant of its indemnity agreements) including a Broad Form endorsement covering the insuring provisions of this Lease and the performance by Tenant of the indemnity agreements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Lease. Such insurance shall be written on an “occurrence” basis. Landlord and any other party the Landlord so specifies that has a material financial interest in the Project, including Landlord’s managing agent, ground lessor and/or lender, if any, shall be named as additional insureds as their interests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295" w:name="page296"/>
    <w:bookmarkEnd w:id="295"/>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appear using Insurance Service Organization’s form CG2011 or a comparable form approved by Landlord. The coverage shall also be extended to include damage caused by heat, smoke or fumes from a hostile fire. The policy shall not contain any intra-insured exclusions as between insured persons or organizations. Limits of liability insurance shall not be less than the following; provided, however, such limits may be achieved through the use of an Umbrella/Excess Policy :</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Bodily Injury and Property Damage Liability</w:t>
            </w:r>
          </w:p>
        </w:tc>
        <w:tc>
          <w:tcPr>
            <w:tcW w:w="28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$25,000,000 each occurrence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Personal Injury and Advertising Liability</w:t>
            </w:r>
          </w:p>
        </w:tc>
        <w:tc>
          <w:tcPr>
            <w:tcW w:w="2880" w:type="dxa"/>
            <w:vAlign w:val="bottom"/>
          </w:tcPr>
          <w:p>
            <w:pPr>
              <w:ind w:left="520"/>
              <w:spacing w:after="0"/>
              <w:rPr>
                <w:sz w:val="20"/>
                <w:szCs w:val="20"/>
                <w:color w:val="auto"/>
              </w:rPr>
            </w:pPr>
            <w:r>
              <w:rPr>
                <w:rFonts w:ascii="Arial" w:cs="Arial" w:eastAsia="Arial" w:hAnsi="Arial"/>
                <w:sz w:val="18"/>
                <w:szCs w:val="18"/>
                <w:color w:val="auto"/>
                <w:w w:val="98"/>
              </w:rPr>
              <w:t>$25,000,000 each occurrence</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Tenant Legal Liability/Damage to Rented Premises Liability</w:t>
            </w:r>
          </w:p>
        </w:tc>
        <w:tc>
          <w:tcPr>
            <w:tcW w:w="2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$10,000,000.00</w:t>
            </w:r>
          </w:p>
        </w:tc>
      </w:tr>
    </w:tbl>
    <w:p>
      <w:pPr>
        <w:spacing w:after="0" w:line="19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10.3.2 </w:t>
      </w:r>
      <w:r>
        <w:rPr>
          <w:rFonts w:ascii="Arial" w:cs="Arial" w:eastAsia="Arial" w:hAnsi="Arial"/>
          <w:sz w:val="16"/>
          <w:szCs w:val="16"/>
          <w:b w:val="1"/>
          <w:bCs w:val="1"/>
          <w:u w:val="single" w:color="auto"/>
          <w:color w:val="auto"/>
        </w:rPr>
        <w:t>Property Damage Insurance</w:t>
      </w:r>
      <w:r>
        <w:rPr>
          <w:rFonts w:ascii="Arial" w:cs="Arial" w:eastAsia="Arial" w:hAnsi="Arial"/>
          <w:sz w:val="16"/>
          <w:szCs w:val="16"/>
          <w:color w:val="auto"/>
        </w:rPr>
        <w:t xml:space="preserve">. Property Damage Insurance covering (i) all office furniture, business and trade fixtures, office equipment, free-standing cabinet work, movable partitions, merchandise and all other items of Tenant’s property on the Premises installed by, for, or at the expense of Tenant, (ii) the “Improvements,” as that term is defined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Work Letter, and any other improvements, if any, which exist in the Premises as of the applicable Lease Commencement Date (excluding the Base Building) (the “</w:t>
      </w:r>
      <w:r>
        <w:rPr>
          <w:rFonts w:ascii="Arial" w:cs="Arial" w:eastAsia="Arial" w:hAnsi="Arial"/>
          <w:sz w:val="16"/>
          <w:szCs w:val="16"/>
          <w:b w:val="1"/>
          <w:bCs w:val="1"/>
          <w:color w:val="auto"/>
        </w:rPr>
        <w:t>Original Improvements</w:t>
      </w:r>
      <w:r>
        <w:rPr>
          <w:rFonts w:ascii="Arial" w:cs="Arial" w:eastAsia="Arial" w:hAnsi="Arial"/>
          <w:sz w:val="16"/>
          <w:szCs w:val="16"/>
          <w:color w:val="auto"/>
        </w:rPr>
        <w:t>”), and (iii) all other improvements, alterations and additions to the Premises. Such insurance shall be written on a Special Form basis, for the full replacement cost value (subject to reasonable deductible amounts) new, without deduction for depreciation of the covered items and in amounts that meet any co-insurance clauses of the policies of insurance and shall include coverage for (a) all perils included in the CP 10 30 04 02 Coverage Special Form, (b) water damage from any cause whatsoever, including, but not limited to, sprinkler leakage, bursting, leaking or stoppage of any pipes, explosion, and backup or overflow from sewers or drains, and (c) terrorism (to the extent such terrorism insurance is available as a result of the Terrorism Risk Insurance Act of 2002 (Pub. L. 107-297, 116 Stat. 2322), the Terrorism Risk Insurance Program Reauthorization Act of 2005 (Pub. l. 109-144), and the Terrorism Risk Insurance Program Reauthorization Act of 2007 (Pub. L. 110-160, 121 Stat. 183), any successor statute or regulation, or is otherwise available at commercially reasonable rates).</w:t>
      </w:r>
    </w:p>
    <w:p>
      <w:pPr>
        <w:spacing w:after="0" w:line="56" w:lineRule="exact"/>
        <w:rPr>
          <w:sz w:val="20"/>
          <w:szCs w:val="20"/>
          <w:color w:val="auto"/>
        </w:rPr>
      </w:pPr>
    </w:p>
    <w:p>
      <w:pPr>
        <w:ind w:right="140" w:firstLine="1484"/>
        <w:spacing w:after="0" w:line="282" w:lineRule="auto"/>
        <w:rPr>
          <w:sz w:val="20"/>
          <w:szCs w:val="20"/>
          <w:color w:val="auto"/>
        </w:rPr>
      </w:pPr>
      <w:r>
        <w:rPr>
          <w:rFonts w:ascii="Arial" w:cs="Arial" w:eastAsia="Arial" w:hAnsi="Arial"/>
          <w:sz w:val="18"/>
          <w:szCs w:val="18"/>
          <w:color w:val="auto"/>
        </w:rPr>
        <w:t xml:space="preserve">10.3.2.1 </w:t>
      </w:r>
      <w:r>
        <w:rPr>
          <w:rFonts w:ascii="Arial" w:cs="Arial" w:eastAsia="Arial" w:hAnsi="Arial"/>
          <w:sz w:val="18"/>
          <w:szCs w:val="18"/>
          <w:b w:val="1"/>
          <w:bCs w:val="1"/>
          <w:u w:val="single" w:color="auto"/>
          <w:color w:val="auto"/>
        </w:rPr>
        <w:t>Increase in Project’s Property Insurance</w:t>
      </w:r>
      <w:r>
        <w:rPr>
          <w:rFonts w:ascii="Arial" w:cs="Arial" w:eastAsia="Arial" w:hAnsi="Arial"/>
          <w:sz w:val="18"/>
          <w:szCs w:val="18"/>
          <w:color w:val="auto"/>
        </w:rPr>
        <w:t>. Tenant shall pay for any increase in the premiums for the property insurance of the Project if said increase is caused by Tenant’s acts, omissions, use or occupancy of the Premises.</w:t>
      </w:r>
    </w:p>
    <w:p>
      <w:pPr>
        <w:spacing w:after="0" w:line="54" w:lineRule="exact"/>
        <w:rPr>
          <w:sz w:val="20"/>
          <w:szCs w:val="20"/>
          <w:color w:val="auto"/>
        </w:rPr>
      </w:pPr>
    </w:p>
    <w:p>
      <w:pPr>
        <w:ind w:right="540" w:firstLine="1484"/>
        <w:spacing w:after="0" w:line="282" w:lineRule="auto"/>
        <w:rPr>
          <w:sz w:val="20"/>
          <w:szCs w:val="20"/>
          <w:color w:val="auto"/>
        </w:rPr>
      </w:pPr>
      <w:r>
        <w:rPr>
          <w:rFonts w:ascii="Arial" w:cs="Arial" w:eastAsia="Arial" w:hAnsi="Arial"/>
          <w:sz w:val="18"/>
          <w:szCs w:val="18"/>
          <w:color w:val="auto"/>
        </w:rPr>
        <w:t xml:space="preserve">10.3.2.2 </w:t>
      </w:r>
      <w:r>
        <w:rPr>
          <w:rFonts w:ascii="Arial" w:cs="Arial" w:eastAsia="Arial" w:hAnsi="Arial"/>
          <w:sz w:val="18"/>
          <w:szCs w:val="18"/>
          <w:b w:val="1"/>
          <w:bCs w:val="1"/>
          <w:u w:val="single" w:color="auto"/>
          <w:color w:val="auto"/>
        </w:rPr>
        <w:t>Property Damage</w:t>
      </w:r>
      <w:r>
        <w:rPr>
          <w:rFonts w:ascii="Arial" w:cs="Arial" w:eastAsia="Arial" w:hAnsi="Arial"/>
          <w:sz w:val="18"/>
          <w:szCs w:val="18"/>
          <w:color w:val="auto"/>
        </w:rPr>
        <w:t>. Tenant shall use the proceeds from any such insurance for the replacement of personal property, trade fixtures, Improvements, Original Improvements and Alterations.</w:t>
      </w:r>
    </w:p>
    <w:p>
      <w:pPr>
        <w:spacing w:after="0" w:line="54" w:lineRule="exact"/>
        <w:rPr>
          <w:sz w:val="20"/>
          <w:szCs w:val="20"/>
          <w:color w:val="auto"/>
        </w:rPr>
      </w:pPr>
    </w:p>
    <w:p>
      <w:pPr>
        <w:ind w:right="60" w:firstLine="1484"/>
        <w:spacing w:after="0" w:line="282" w:lineRule="auto"/>
        <w:rPr>
          <w:sz w:val="20"/>
          <w:szCs w:val="20"/>
          <w:color w:val="auto"/>
        </w:rPr>
      </w:pPr>
      <w:r>
        <w:rPr>
          <w:rFonts w:ascii="Arial" w:cs="Arial" w:eastAsia="Arial" w:hAnsi="Arial"/>
          <w:sz w:val="18"/>
          <w:szCs w:val="18"/>
          <w:color w:val="auto"/>
        </w:rPr>
        <w:t xml:space="preserve">10.3.2.3 </w:t>
      </w:r>
      <w:r>
        <w:rPr>
          <w:rFonts w:ascii="Arial" w:cs="Arial" w:eastAsia="Arial" w:hAnsi="Arial"/>
          <w:sz w:val="18"/>
          <w:szCs w:val="18"/>
          <w:b w:val="1"/>
          <w:bCs w:val="1"/>
          <w:u w:val="single" w:color="auto"/>
          <w:color w:val="auto"/>
        </w:rPr>
        <w:t>No Representation of Adequate Coverage</w:t>
      </w:r>
      <w:r>
        <w:rPr>
          <w:rFonts w:ascii="Arial" w:cs="Arial" w:eastAsia="Arial" w:hAnsi="Arial"/>
          <w:sz w:val="18"/>
          <w:szCs w:val="18"/>
          <w:color w:val="auto"/>
        </w:rPr>
        <w:t>. Landlord makes no representation that the limits or forms of coverage of insurance specified herein are adequate to cover Tenant’s property, business operations or obligations under this Lease.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296" w:name="page297"/>
    <w:bookmarkEnd w:id="296"/>
    <w:p>
      <w:pPr>
        <w:ind w:right="560" w:firstLine="913"/>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10.3.3 </w:t>
      </w:r>
      <w:r>
        <w:rPr>
          <w:rFonts w:ascii="Arial" w:cs="Arial" w:eastAsia="Arial" w:hAnsi="Arial"/>
          <w:sz w:val="17"/>
          <w:szCs w:val="17"/>
          <w:b w:val="1"/>
          <w:bCs w:val="1"/>
          <w:u w:val="single" w:color="auto"/>
          <w:color w:val="auto"/>
        </w:rPr>
        <w:t>Worker’s Compensation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Worker’s Compensation or other similar insurance pursuant to all applicable state and local statutes and regulations, and Employer’s Liability with minimum limits of not less than $1,000,000 each accident/employee/disease.</w:t>
      </w:r>
    </w:p>
    <w:p>
      <w:pPr>
        <w:spacing w:after="0" w:line="30"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color w:val="auto"/>
        </w:rPr>
        <w:t xml:space="preserve">10.3.4 </w:t>
      </w:r>
      <w:r>
        <w:rPr>
          <w:rFonts w:ascii="Arial" w:cs="Arial" w:eastAsia="Arial" w:hAnsi="Arial"/>
          <w:sz w:val="18"/>
          <w:szCs w:val="18"/>
          <w:b w:val="1"/>
          <w:bCs w:val="1"/>
          <w:u w:val="single" w:color="auto"/>
          <w:color w:val="auto"/>
        </w:rPr>
        <w:t>Commercial Automobile Liability Insurance</w:t>
      </w:r>
      <w:r>
        <w:rPr>
          <w:rFonts w:ascii="Arial" w:cs="Arial" w:eastAsia="Arial" w:hAnsi="Arial"/>
          <w:sz w:val="18"/>
          <w:szCs w:val="18"/>
          <w:color w:val="auto"/>
        </w:rPr>
        <w:t>. Commercial Automobile Liability Insurance covering all Owned (if any), Hired, or Non-owned vehicles with limits not less than $1,000,000 combined single limit for bodily injury and property damage.</w:t>
      </w:r>
    </w:p>
    <w:p>
      <w:pPr>
        <w:spacing w:after="0" w:line="54"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xml:space="preserve">. The minimum limits of policies of insurance required of Tenant under this Lease shall in no event limit the liability of Tenant under this Lease. Such insurance shall (i) name Landlord, and any other party the Landlord reasonably specifies in writing, as an additional insured as their interests may appear using Insurance Service Organization’s form CG2011 or a comparable form approved by Landlord, including Landlord’s managing agent, ground lessor and/or lender, if any; (ii) cover the liability assumed by Tenant under this Lease, including, but not limited to, Tenant’s obligations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Lease; (iii) be issued by an insurance company having a rating of not less than A-VIII in Best’s Insurance Guide or which is otherwise acceptable to Landlord and permitted to do business in the State of California; (iv) be primary insurance as to all claims thereunder and provide that any insurance carried by Landlord is excess and is non-contributing with any insurance requirement of Tenant, as evidenced by an endorsement or policy excerpt; and (v) be in form and content reasonably acceptable to Landlord. Tenant shall endeavor to cause said insurance to provide that said insurance shall not be canceled or coverage changed unless thirty (30) days’ prior written notice (ten (10) days’ in the event of non-payment of premium) shall have been given to Landlord and any mortgagee of Landlord. Tenant shall deliver certificates thereof and applicable endorsements or policy excerpts which meet the requirements of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to Landlord on or before (I) the earlier to occur of: (x) the Phase I Lease Commencement Date, and (y) the date Tenant and/or its employees, contractors and/or agents first enter the Premises for occupancy, construction of improvements, alterations, or any other move-in activities, and</w:t>
      </w:r>
    </w:p>
    <w:p>
      <w:pPr>
        <w:spacing w:after="0" w:line="8" w:lineRule="exact"/>
        <w:rPr>
          <w:sz w:val="20"/>
          <w:szCs w:val="20"/>
          <w:color w:val="auto"/>
        </w:rPr>
      </w:pPr>
    </w:p>
    <w:p>
      <w:pPr>
        <w:jc w:val="both"/>
        <w:ind w:right="140" w:firstLine="8"/>
        <w:spacing w:after="0" w:line="255" w:lineRule="auto"/>
        <w:tabs>
          <w:tab w:leader="none" w:pos="2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ten (10) business days after the renewal of such policies. In the event Tenant shall fail to procure such insurance, or to deliver such policies or certificate and applicable endorsements, Landlord may, at its option with notice to Tenant, procure such policies for the account of Tenant, and the cost thereof shall be paid to Landlord within five (5) days after delivery to Tenant of bills therefor.</w:t>
      </w:r>
    </w:p>
    <w:p>
      <w:pPr>
        <w:spacing w:after="0" w:line="78" w:lineRule="exact"/>
        <w:rPr>
          <w:sz w:val="20"/>
          <w:szCs w:val="20"/>
          <w:color w:val="auto"/>
        </w:rPr>
      </w:pPr>
    </w:p>
    <w:p>
      <w:pPr>
        <w:ind w:right="260" w:firstLine="456"/>
        <w:spacing w:after="0" w:line="28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Additional Insurance Obligations</w:t>
      </w:r>
      <w:r>
        <w:rPr>
          <w:rFonts w:ascii="Arial" w:cs="Arial" w:eastAsia="Arial" w:hAnsi="Arial"/>
          <w:sz w:val="16"/>
          <w:szCs w:val="16"/>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such other reasonable types of insurance coverage and in such reasonable amounts covering the Premises and Tenant’s operations therein, as may be reasonably requested by Landlord; provided, however, that (a) in no event shall such new or increased amounts or types of insurance exceed that required of comparable tenants by landlords of the Comparable Buildings and</w:t>
      </w:r>
    </w:p>
    <w:p>
      <w:pPr>
        <w:spacing w:after="0" w:line="3" w:lineRule="exact"/>
        <w:rPr>
          <w:sz w:val="20"/>
          <w:szCs w:val="20"/>
          <w:color w:val="auto"/>
        </w:rPr>
      </w:pPr>
    </w:p>
    <w:p>
      <w:pPr>
        <w:ind w:right="40" w:firstLine="8"/>
        <w:spacing w:after="0" w:line="261"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Landlord shall not have the right to require that Tenant adjust its insurance coverage more than once in any twenty-four (24) month period, and not during the initial twenty-four (24) months of the Lease Term.</w:t>
      </w:r>
    </w:p>
    <w:p>
      <w:pPr>
        <w:spacing w:after="0" w:line="7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Landlord’s Fire and Casualty Insurance</w:t>
      </w:r>
      <w:r>
        <w:rPr>
          <w:rFonts w:ascii="Arial" w:cs="Arial" w:eastAsia="Arial" w:hAnsi="Arial"/>
          <w:sz w:val="18"/>
          <w:szCs w:val="18"/>
          <w:color w:val="auto"/>
        </w:rPr>
        <w:t>. Landlord shall insure the Buildings during the period following the mutual execution of this Lease and thereafter during Lease Term against loss or damage due to fire and other casualties covered within the classification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0" w:right="259" w:bottom="1440" w:gutter="0" w:footer="0" w:header="0"/>
        </w:sectPr>
      </w:pPr>
    </w:p>
    <w:bookmarkStart w:id="297" w:name="page298"/>
    <w:bookmarkEnd w:id="29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fire and extended coverage, vandalism coverage and malicious mischief, sprinkler leakage, water damage and special extended coverage. Such coverage shall be in such amounts, from such companies, and on such other terms and conditions, as Landlord may from time to time reasonably determine. Landlord shall also carry rental loss insurance.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Project or the ground or underlying lessors of the Project, or any portion thereof. Notwithstanding the foregoing provisions of this </w:t>
      </w:r>
      <w:r>
        <w:rPr>
          <w:rFonts w:ascii="Arial" w:cs="Arial" w:eastAsia="Arial" w:hAnsi="Arial"/>
          <w:sz w:val="16"/>
          <w:szCs w:val="16"/>
          <w:u w:val="single" w:color="auto"/>
          <w:color w:val="auto"/>
        </w:rPr>
        <w:t>Section 10.7</w:t>
      </w:r>
      <w:r>
        <w:rPr>
          <w:rFonts w:ascii="Arial" w:cs="Arial" w:eastAsia="Arial" w:hAnsi="Arial"/>
          <w:sz w:val="16"/>
          <w:szCs w:val="16"/>
          <w:color w:val="auto"/>
        </w:rPr>
        <w:t>, the coverage and amounts of insurance carried by Landlord in connection with the Buildings shall, at a minimum, be comparable to the coverage and amounts of insurance which are carried by reasonably prudent landlords of Comparable Buildings (provided that in no event shall Landlord be required to carry earthquake insurance). Tenant shall, at Tenant’s expense, promptly following notice,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6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u w:val="single" w:color="auto"/>
          <w:color w:val="auto"/>
        </w:rPr>
        <w:t>Property Insurance Subrogation</w:t>
      </w:r>
      <w:r>
        <w:rPr>
          <w:rFonts w:ascii="Arial" w:cs="Arial" w:eastAsia="Arial" w:hAnsi="Arial"/>
          <w:sz w:val="16"/>
          <w:szCs w:val="16"/>
          <w:color w:val="auto"/>
        </w:rPr>
        <w:t xml:space="preserve">. Landlord and Tenant intend that their respective property loss risks shall be borne by insurance carriers to the extent above provided (and, in the case of Tenant, by an insurance carrier satisfying the requirements of </w:t>
      </w:r>
      <w:r>
        <w:rPr>
          <w:rFonts w:ascii="Arial" w:cs="Arial" w:eastAsia="Arial" w:hAnsi="Arial"/>
          <w:sz w:val="16"/>
          <w:szCs w:val="16"/>
          <w:u w:val="single" w:color="auto"/>
          <w:color w:val="auto"/>
        </w:rPr>
        <w:t>Section 10.4(iii)</w:t>
      </w:r>
      <w:r>
        <w:rPr>
          <w:rFonts w:ascii="Arial" w:cs="Arial" w:eastAsia="Arial" w:hAnsi="Arial"/>
          <w:sz w:val="16"/>
          <w:szCs w:val="16"/>
          <w:color w:val="auto"/>
        </w:rPr>
        <w:t xml:space="preserve"> above),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Landlord and Tenant hereby represent and warrant that their respective “all risk” property insurance policies include a waiver of</w:t>
      </w:r>
    </w:p>
    <w:p>
      <w:pPr>
        <w:spacing w:after="0" w:line="2" w:lineRule="exact"/>
        <w:rPr>
          <w:sz w:val="20"/>
          <w:szCs w:val="20"/>
          <w:color w:val="auto"/>
        </w:rPr>
      </w:pPr>
    </w:p>
    <w:p>
      <w:pPr>
        <w:ind w:right="240" w:firstLine="8"/>
        <w:spacing w:after="0" w:line="252" w:lineRule="auto"/>
        <w:tabs>
          <w:tab w:leader="none" w:pos="2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subrogation by the insurers, and (ii) all rights based upon an assignment from its insured, against Landlord and/or any of the Landlord Parties or Tenant and/or any of the Tenant Parties (as the case may be) in connection with any property loss risk thereby insured against. Tenant will cause all subtenants and licensees of the Premises claiming by, under, or through Tenant to execute and deliver to Landlord a waiver of claims similar to the waiver in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and to obtain such waiver of subrogation rights endorsements. If either party hereto fails to maintain the waivers set forth in items (i) and (ii) above, the party not maintaining the requisite waivers shall indemnify, defend, protect, and hold harmless the other party for, from and against any and all Losses arising out of, resulting from, or relating to, such failure.</w:t>
      </w:r>
    </w:p>
    <w:p>
      <w:pPr>
        <w:spacing w:after="0" w:line="8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Third-Party Contractors</w:t>
      </w:r>
      <w:r>
        <w:rPr>
          <w:rFonts w:ascii="Arial" w:cs="Arial" w:eastAsia="Arial" w:hAnsi="Arial"/>
          <w:sz w:val="18"/>
          <w:szCs w:val="18"/>
          <w:color w:val="auto"/>
        </w:rPr>
        <w:t>. Tenant shall obtain and deliver to Landlord, Third Party Contractor’s certificates of insurance and applicable endorsements at least seven (7) business days prior to the commencement of work in or about the Premises by any vendor or any other third-party contractor (collectively, a “</w:t>
      </w:r>
      <w:r>
        <w:rPr>
          <w:rFonts w:ascii="Arial" w:cs="Arial" w:eastAsia="Arial" w:hAnsi="Arial"/>
          <w:sz w:val="18"/>
          <w:szCs w:val="18"/>
          <w:b w:val="1"/>
          <w:bCs w:val="1"/>
          <w:color w:val="auto"/>
        </w:rPr>
        <w:t>Third Party Contractor</w:t>
      </w:r>
      <w:r>
        <w:rPr>
          <w:rFonts w:ascii="Arial" w:cs="Arial" w:eastAsia="Arial" w:hAnsi="Arial"/>
          <w:sz w:val="18"/>
          <w:szCs w:val="18"/>
          <w:color w:val="auto"/>
        </w:rPr>
        <w:t xml:space="preserve">”). All such insurance shall (i) name Landlord as an additional insured under such party’s liability policies as required by </w:t>
      </w:r>
      <w:r>
        <w:rPr>
          <w:rFonts w:ascii="Arial" w:cs="Arial" w:eastAsia="Arial" w:hAnsi="Arial"/>
          <w:sz w:val="18"/>
          <w:szCs w:val="18"/>
          <w:u w:val="single" w:color="auto"/>
          <w:color w:val="auto"/>
        </w:rPr>
        <w:t>Section 10.3.1</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10.8</w:t>
      </w:r>
      <w:r>
        <w:rPr>
          <w:rFonts w:ascii="Arial" w:cs="Arial" w:eastAsia="Arial" w:hAnsi="Arial"/>
          <w:sz w:val="18"/>
          <w:szCs w:val="18"/>
          <w:color w:val="auto"/>
        </w:rPr>
        <w:t>, (ii) provide a waiver of subrogation in favor of Landlord under such Third Party Contractor’s commercial general liability insurance, (iii) be primary and any insurance carried by Landlord shall be excess and non-contributing, and (iv) comply with Landlord’s minimum insurance requirements as may be appropriate, taking into account the nature of the work or service to be provided by such Third Party Contractor, as shall be reasonably determined by Landlord.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DAMAGE AND DESTRUCTION</w:t>
      </w:r>
    </w:p>
    <w:p>
      <w:pPr>
        <w:spacing w:after="0" w:line="11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Repair of Damage to Premises by Landlord</w:t>
      </w:r>
      <w:r>
        <w:rPr>
          <w:rFonts w:ascii="Arial" w:cs="Arial" w:eastAsia="Arial" w:hAnsi="Arial"/>
          <w:sz w:val="17"/>
          <w:szCs w:val="17"/>
          <w:color w:val="auto"/>
        </w:rPr>
        <w:t>. Tenant shall promptly notify Landlord of any damage to the Premises resulting from fire or any other casualty. If the Premises or any Common Areas serving or providing access to the Premises or any Building Systems necessary for the use and occupancy of the Premises shall be damaged by fire or other casualty, Landlord will, as soon as reasonably possible following the date of the damage, deliver to Tenant an estimate of the time necessary to repair the damage in question such that the Premises may be used by and accessible to Tenant and the Buildings and Common Areas operable in a manner consistent with the operation prior to such damage; such notice will be based upon the review and opinions of Landlord’s architect and contractor (“</w:t>
      </w:r>
      <w:r>
        <w:rPr>
          <w:rFonts w:ascii="Arial" w:cs="Arial" w:eastAsia="Arial" w:hAnsi="Arial"/>
          <w:sz w:val="17"/>
          <w:szCs w:val="17"/>
          <w:b w:val="1"/>
          <w:bCs w:val="1"/>
          <w:color w:val="auto"/>
        </w:rPr>
        <w:t>Landlord’s Completion Notice</w:t>
      </w:r>
      <w:r>
        <w:rPr>
          <w:rFonts w:ascii="Arial" w:cs="Arial" w:eastAsia="Arial" w:hAnsi="Arial"/>
          <w:sz w:val="17"/>
          <w:szCs w:val="17"/>
          <w:color w:val="auto"/>
        </w:rPr>
        <w:t xml:space="preserve">”). Landlord shall promptly and diligently, subject to reasonable delays for insurance adjustment or other matters beyond Landlord’s reasonable control, and subject to all other terms of this </w:t>
      </w:r>
      <w:r>
        <w:rPr>
          <w:rFonts w:ascii="Arial" w:cs="Arial" w:eastAsia="Arial" w:hAnsi="Arial"/>
          <w:sz w:val="17"/>
          <w:szCs w:val="17"/>
          <w:u w:val="single" w:color="auto"/>
          <w:color w:val="auto"/>
        </w:rPr>
        <w:t>Article 11</w:t>
      </w:r>
      <w:r>
        <w:rPr>
          <w:rFonts w:ascii="Arial" w:cs="Arial" w:eastAsia="Arial" w:hAnsi="Arial"/>
          <w:sz w:val="17"/>
          <w:szCs w:val="17"/>
          <w:color w:val="auto"/>
        </w:rPr>
        <w:t>, restore the Building Structure and Building Systems. Such restoration shall be to substantially the same condition of the Building Structure and Building Systems prior to the casualty, except for modifications required by zoning and building codes and other laws or by the holder of a mortgage on the Buildings or Project or any other modifications to the Common Areas deemed desirable by Landlord, provided that access to the Premises and any common restrooms serving the Premises shall not be materially impaired. Upon the occurrence of any damage to the Premises, upon notice (the “</w:t>
      </w:r>
      <w:r>
        <w:rPr>
          <w:rFonts w:ascii="Arial" w:cs="Arial" w:eastAsia="Arial" w:hAnsi="Arial"/>
          <w:sz w:val="17"/>
          <w:szCs w:val="17"/>
          <w:b w:val="1"/>
          <w:bCs w:val="1"/>
          <w:color w:val="auto"/>
        </w:rPr>
        <w:t>Landlord Repair Notice</w:t>
      </w:r>
      <w:r>
        <w:rPr>
          <w:rFonts w:ascii="Arial" w:cs="Arial" w:eastAsia="Arial" w:hAnsi="Arial"/>
          <w:sz w:val="17"/>
          <w:szCs w:val="17"/>
          <w:color w:val="auto"/>
        </w:rPr>
        <w:t xml:space="preserve">”) to Tenant from Landlord delivered on or before the date that is ninety (90) days after the date of the damage, Tenant shall assign to Landlord (or to any party designated by Landlord) all insurance proceeds payable to Tenant under Tenant’s insurance required under clauses (ii) and (iii) of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of this Lease, and Landlord shall repair any injury or damage to the Improvements and the Original Improvements and shall return such Improvements and Original Improvements to their original condition (any such work will be competitively bid by Landlord to ensure that Landlord receives commercially reasonable pricing for the performance of such work so that, to the extent reasonably possible, the cost of such work does not unnecessarily exceed the proceeds of Tenant’s insurance); provided that if the cost of such repair by Landlord exceeds the amount of insurance proceeds received by Landlord from Tenant’s insurance carrier, as assigned by Tenant, the portion of the cost of such repairs which is not so covered by Tenant’s insurance proceeds shall be paid by Tenant to Landlord prior to Landlord’s commencement of repair of the damage. In the event that Landlord does not deliver the Landlord Repair Notice within ninety (90) days following the date the casualty becomes known to Landlord, Tenant shall, at its sole cost and expense, repair any injury or damage to the Improvements and the Original Improvements installed in the Premises and shall return such Improvements and Original Improvements to their original condition, or an alternate condition described by Tenant (but subject to Landlord’s prior written approval). Whether or not Landlord delivers a Landlord Repair Notice, prior to the commencement of construction, Tenant shall submit to Landlord, for Landlord’s review and approval, all plans, specifications and working drawings relating thereto (it being acknowledged that the cost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299" w:name="page300"/>
    <w:bookmarkEnd w:id="29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prepare such plans may be paid for out of the applicable insurance proceeds received by Tenant),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Common Areas or Building Systems necessary to Tenant’s occupancy, Landlord shall allow Tenant a proportionate abatement of Rent, during the time and to the extent the Premises is unfit for occupancy for the purposes permitted under this Lease, and not occupied by Tenant as a result thereof; provided, further, however, that if the damage or destruction is due to the negligence or willful misconduct of Tenant or any of its agents, employees, contractors, invitees or guests, Tenant shall be responsible for any reasonable, applicable insurance deductible (which shall be payable to Landlord upon demand, not to materially exceed the levels of deductibles for such insurance then maintained by owners of Comparable Buildings).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Landlord’s Option to Repair; Tenant Termination Rights</w:t>
      </w:r>
      <w:r>
        <w:rPr>
          <w:rFonts w:ascii="Arial" w:cs="Arial" w:eastAsia="Arial" w:hAnsi="Arial"/>
          <w:sz w:val="16"/>
          <w:szCs w:val="16"/>
          <w:color w:val="auto"/>
        </w:rPr>
        <w:t xml:space="preserve">. Notwithstanding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Landlord may elect not 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rebuild and/or restore the Premises, Buildings and/or Project, and instead terminate this Lease, by notifying Tenant in writing of such termination within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ninety (90) days after the date of discovery of the damage, such notice to include a termination date giving Tenant ninety (90) days to vacate the Premises,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may so elect only if the Buildings or Project shall be damaged by fire or other casualty or cause, whether or not the Premises is affected,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Landlord terminates the leases of all tenants of the Buildings, if any, whose premises are similarly damaged by the casualty (to the extent Landlord retains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right pursuant to the terms of the applicable tenants’ leases), and one or more of the following conditions is present: (i) in Landlord’s reasonable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judgment, as set forth in Landlord’s Completion Notice, the repairs cannot reasonably be completed so as to render the Premises suitable for occupancy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within eighteen (18) months after the date of discovery of the damage (when such repairs are made without the payment of overtime or other premiums);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holder of any mortgage on the Buildings or Project or ground lessor with respect to the Buildings or Project shall require that the insurance proceeds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portion thereof be used to retire the mortgage debt, or shall terminate the ground lease, as the case may be; (iii) more than Two Million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($2,000,000.00) of the cost of repair of the damage is not fully covered by Landlord’s insurance policies; or (iv) the damage materially affects the Buildings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occurs during the last twelve (12) months of the Lease Term; provided, however, that if such fire or other casualty shall have damaged the Premises 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thereof or Common Areas necessary to Tenant’s occupancy and as a result of such damage the Premises is unfit for occupancy, and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does not elect to terminate this Lease pursuant to Landlord’s termination right as provided above, and either (a) the repairs cannot, in the reasonable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opinion of Landlord’s contractor, as set forth in Landlord’s Completion Notice, be completed within eighteen (18) months after being commenced, or (b)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 occurs during the last twelve (12) months of the Lease Term and will reasonably require in excess of ninety (90) days to repair, Tenant may elect,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earlier than sixty (60) days after the date of the damage and not later than the later of (A) forty-five (45) days following the date of delivery of Landlord’s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Completion Notice, and (B) ninety (90) days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300" w:name="page301"/>
    <w:bookmarkEnd w:id="300"/>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date of the damage, to terminate this Lease by written notice to Landlord effective as of the date specified in the notice, which date shall not be less than thirty (30) days nor more than sixty (60) days after the date such notice is given by Tenant. In addition, if such restoration is not substantially complete on or before the later of (i) the date that occurs twelve (12) months after the date of discovery of the damage, and (ii) the date that occurs ninety (90) days after the expiration of the estimated period of time to substantially complete such restoration, as set forth in Landlord’s Completion Notice (the “</w:t>
      </w:r>
      <w:r>
        <w:rPr>
          <w:rFonts w:ascii="Arial" w:cs="Arial" w:eastAsia="Arial" w:hAnsi="Arial"/>
          <w:sz w:val="17"/>
          <w:szCs w:val="17"/>
          <w:b w:val="1"/>
          <w:bCs w:val="1"/>
          <w:color w:val="auto"/>
        </w:rPr>
        <w:t>Outside</w:t>
      </w:r>
      <w:r>
        <w:rPr>
          <w:rFonts w:ascii="Arial" w:cs="Arial" w:eastAsia="Arial" w:hAnsi="Arial"/>
          <w:sz w:val="17"/>
          <w:szCs w:val="17"/>
          <w:color w:val="auto"/>
        </w:rPr>
        <w:t xml:space="preserve"> </w:t>
      </w:r>
      <w:r>
        <w:rPr>
          <w:rFonts w:ascii="Arial" w:cs="Arial" w:eastAsia="Arial" w:hAnsi="Arial"/>
          <w:sz w:val="17"/>
          <w:szCs w:val="17"/>
          <w:b w:val="1"/>
          <w:bCs w:val="1"/>
          <w:color w:val="auto"/>
        </w:rPr>
        <w:t>Restoration Date</w:t>
      </w:r>
      <w:r>
        <w:rPr>
          <w:rFonts w:ascii="Arial" w:cs="Arial" w:eastAsia="Arial" w:hAnsi="Arial"/>
          <w:sz w:val="17"/>
          <w:szCs w:val="17"/>
          <w:color w:val="auto"/>
        </w:rPr>
        <w:t>”), then Tenant shall have the additional right during the first ten (10) business days of each calendar month following the Outside</w:t>
      </w:r>
      <w:r>
        <w:rPr>
          <w:rFonts w:ascii="Arial" w:cs="Arial" w:eastAsia="Arial" w:hAnsi="Arial"/>
          <w:sz w:val="17"/>
          <w:szCs w:val="17"/>
          <w:b w:val="1"/>
          <w:bCs w:val="1"/>
          <w:color w:val="auto"/>
        </w:rPr>
        <w:t xml:space="preserve"> </w:t>
      </w:r>
      <w:r>
        <w:rPr>
          <w:rFonts w:ascii="Arial" w:cs="Arial" w:eastAsia="Arial" w:hAnsi="Arial"/>
          <w:sz w:val="17"/>
          <w:szCs w:val="17"/>
          <w:color w:val="auto"/>
        </w:rPr>
        <w:t>Restoration Date until such repairs are complete, to terminate this Lease by delivery of written notice to Landlord (the “</w:t>
      </w:r>
      <w:r>
        <w:rPr>
          <w:rFonts w:ascii="Arial" w:cs="Arial" w:eastAsia="Arial" w:hAnsi="Arial"/>
          <w:sz w:val="17"/>
          <w:szCs w:val="17"/>
          <w:b w:val="1"/>
          <w:bCs w:val="1"/>
          <w:color w:val="auto"/>
        </w:rPr>
        <w:t>Damage Termination Notice</w:t>
      </w:r>
      <w:r>
        <w:rPr>
          <w:rFonts w:ascii="Arial" w:cs="Arial" w:eastAsia="Arial" w:hAnsi="Arial"/>
          <w:sz w:val="17"/>
          <w:szCs w:val="17"/>
          <w:color w:val="auto"/>
        </w:rPr>
        <w:t>”), which termination shall be effective on a date specified by Tenant in such Damage Termination Notice (the “</w:t>
      </w:r>
      <w:r>
        <w:rPr>
          <w:rFonts w:ascii="Arial" w:cs="Arial" w:eastAsia="Arial" w:hAnsi="Arial"/>
          <w:sz w:val="17"/>
          <w:szCs w:val="17"/>
          <w:b w:val="1"/>
          <w:bCs w:val="1"/>
          <w:color w:val="auto"/>
        </w:rPr>
        <w:t>Damage Termination Date</w:t>
      </w:r>
      <w:r>
        <w:rPr>
          <w:rFonts w:ascii="Arial" w:cs="Arial" w:eastAsia="Arial" w:hAnsi="Arial"/>
          <w:sz w:val="17"/>
          <w:szCs w:val="17"/>
          <w:color w:val="auto"/>
        </w:rPr>
        <w:t xml:space="preserve">”), which Damage Termination Date shall not be less than ten (10) business days, nor greater than thirty (30) days, following the date such Damage Termination Notice was delivered to Landlord. In the event this Lease is terminated in accordance with the terms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Tenant shall assign to Landlord (or to any party designated by Landlord) all insurance proceeds payable to Tenant under Tenant’s insurance required under subsections (ii) and (iii) of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of this Lease.</w:t>
      </w:r>
    </w:p>
    <w:p>
      <w:pPr>
        <w:spacing w:after="0" w:line="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Waiver of Statutory Provisions</w:t>
      </w:r>
      <w:r>
        <w:rPr>
          <w:rFonts w:ascii="Arial" w:cs="Arial" w:eastAsia="Arial" w:hAnsi="Arial"/>
          <w:sz w:val="16"/>
          <w:szCs w:val="16"/>
          <w:color w:val="auto"/>
        </w:rPr>
        <w:t xml:space="preserve">. The provisions of this Lease, including this </w:t>
      </w:r>
      <w:r>
        <w:rPr>
          <w:rFonts w:ascii="Arial" w:cs="Arial" w:eastAsia="Arial" w:hAnsi="Arial"/>
          <w:sz w:val="16"/>
          <w:szCs w:val="16"/>
          <w:u w:val="single" w:color="auto"/>
          <w:color w:val="auto"/>
        </w:rPr>
        <w:t>Article 11</w:t>
      </w:r>
      <w:r>
        <w:rPr>
          <w:rFonts w:ascii="Arial" w:cs="Arial" w:eastAsia="Arial" w:hAnsi="Arial"/>
          <w:sz w:val="16"/>
          <w:szCs w:val="16"/>
          <w:color w:val="auto"/>
        </w:rPr>
        <w:t>, constitute an express agreement between Landlord and Tenant with respect to any and all damage to, or destruction of, all or any part of the Premises, the Buildings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Buildings or the Project.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NONWAIVER</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301" w:name="page302"/>
    <w:bookmarkEnd w:id="301"/>
    <w:p>
      <w:pPr>
        <w:ind w:right="3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 No payment of Rent by Tenant after a breach by Landlord shall be deemed a waiver of any breach by Landlord.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CONDEMNATION</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If the whole or any material part of the Premises, Buildings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material part of the Premises, Buildings or Project, or if Landlord shall grant a deed or other instrument in lieu of such taking by eminent domain or condemnation, Landlord shall have the option to terminate this Lease effective as of the date possession is required to be surrendered to the authority; provided, however, that Landlord shall only have the right to terminate this Lease as provided above if Landlord terminates the leases of all other tenants in the Buildings, if any, similarly affected by the taking and provided further that to the extent that the Premises is not adversely affected by such taking and Landlord continues to operate the Buildings as office buildings or life sciences buildings, Landlord may not terminate this Lease. If more than twenty-five percent (25%)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Buildings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6"/>
          <w:szCs w:val="16"/>
          <w:u w:val="single" w:color="auto"/>
          <w:color w:val="auto"/>
        </w:rPr>
        <w:t>Article 13</w:t>
      </w:r>
      <w:r>
        <w:rPr>
          <w:rFonts w:ascii="Arial" w:cs="Arial" w:eastAsia="Arial" w:hAnsi="Arial"/>
          <w:sz w:val="16"/>
          <w:szCs w:val="16"/>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SUBLETTING</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Transfers</w:t>
      </w:r>
      <w:r>
        <w:rPr>
          <w:rFonts w:ascii="Arial" w:cs="Arial" w:eastAsia="Arial" w:hAnsi="Arial"/>
          <w:sz w:val="16"/>
          <w:szCs w:val="16"/>
          <w:color w:val="auto"/>
        </w:rPr>
        <w:t xml:space="preserve">. Except as otherwise specifically provided or permitted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Tenant shall not, without the prior written consent of Landlord, assign, mortgage, pledge, hypothecate, encumber, or permit any lien to attach to, or otherwise transfer, this Lease or any interest hereunder, permit any assignment, or other transfer of Tenant’s interest in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6"/>
          <w:szCs w:val="16"/>
          <w:b w:val="1"/>
          <w:bCs w:val="1"/>
          <w:color w:val="auto"/>
        </w:rPr>
        <w:t>Transfers</w:t>
      </w:r>
      <w:r>
        <w:rPr>
          <w:rFonts w:ascii="Arial" w:cs="Arial" w:eastAsia="Arial" w:hAnsi="Arial"/>
          <w:sz w:val="16"/>
          <w:szCs w:val="16"/>
          <w:color w:val="auto"/>
        </w:rPr>
        <w:t>” and any person to whom any Transfer is made or sought to be made is hereinafter sometimes referred to as a “</w:t>
      </w:r>
      <w:r>
        <w:rPr>
          <w:rFonts w:ascii="Arial" w:cs="Arial" w:eastAsia="Arial" w:hAnsi="Arial"/>
          <w:sz w:val="16"/>
          <w:szCs w:val="16"/>
          <w:b w:val="1"/>
          <w:bCs w:val="1"/>
          <w:color w:val="auto"/>
        </w:rPr>
        <w:t>Transferee</w:t>
      </w:r>
      <w:r>
        <w:rPr>
          <w:rFonts w:ascii="Arial" w:cs="Arial" w:eastAsia="Arial" w:hAnsi="Arial"/>
          <w:sz w:val="16"/>
          <w:szCs w:val="16"/>
          <w:color w:val="auto"/>
        </w:rPr>
        <w:t>”). If Tenant desires Landlord’s consent to any Transfer, Tenant shall notify Landlord in writing, which notice (the “</w:t>
      </w:r>
      <w:r>
        <w:rPr>
          <w:rFonts w:ascii="Arial" w:cs="Arial" w:eastAsia="Arial" w:hAnsi="Arial"/>
          <w:sz w:val="16"/>
          <w:szCs w:val="16"/>
          <w:b w:val="1"/>
          <w:bCs w:val="1"/>
          <w:color w:val="auto"/>
        </w:rPr>
        <w:t>Transfer Notice</w:t>
      </w:r>
      <w:r>
        <w:rPr>
          <w:rFonts w:ascii="Arial" w:cs="Arial" w:eastAsia="Arial" w:hAnsi="Arial"/>
          <w:sz w:val="16"/>
          <w:szCs w:val="16"/>
          <w:color w:val="auto"/>
        </w:rPr>
        <w:t>”) shall include (i) the proposed effective date of the Transfer, which shall not be less than twenty (20) days nor more than one (1) year after the date of delivery of the Transfer Notice, (ii) a description of the portion of the Premises to be transferred (the “</w:t>
      </w:r>
      <w:r>
        <w:rPr>
          <w:rFonts w:ascii="Arial" w:cs="Arial" w:eastAsia="Arial" w:hAnsi="Arial"/>
          <w:sz w:val="16"/>
          <w:szCs w:val="16"/>
          <w:b w:val="1"/>
          <w:bCs w:val="1"/>
          <w:color w:val="auto"/>
        </w:rPr>
        <w:t>Subject Space</w:t>
      </w:r>
      <w:r>
        <w:rPr>
          <w:rFonts w:ascii="Arial" w:cs="Arial" w:eastAsia="Arial" w:hAnsi="Arial"/>
          <w:sz w:val="16"/>
          <w:szCs w:val="16"/>
          <w:color w:val="auto"/>
        </w:rPr>
        <w:t xml:space="preserve">”), (iii) all of the terms of the proposed Transfer and the consideration therefor, including calculation of the “Transfer Premium”, as that term is defined in Section 14.3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(iv) current financial statements of the proposed Transferee certified by an officer, partner or owner thereof, business credit and personal references and history of the proposed Transferee, (v) any other information required by Landlord which will enable Landlord to determine the financial responsibility, character, and reputation of the proposed Transferee, nature of such Transferee’s business and proposed use of the Subject Space, which information is requested within five (5) business days following Tenant’s submission to Landlord of the items described in clauses (i), (ii), (iii), (iv) and (vi) of this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and (vi) an executed estoppel certificate from Tenant in the form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Any Transfer requiring Landlord’s consent which is made without Landlord’s prior written consent shall, at Landlord’s option, be null, void and of no effect, and shall, at Landlord’s option, constitute a Default by Tenant under this Lease if not rescinded or terminated within ten (10) business days following notice from Tenant. Whether or not Landlord consents to any proposed Transfer, Tenant shall pay Landlord’s review and processing fees, as well as any reasonable professional fees (including, without limitation, attorneys’, accountants’, architects’, engineers’ and consultants’ fees) incurred by Landlord, not to exceed $2,500.00 for a Transfer in the ordinary course of business, within thirty (30) days after written request by Landlord.</w:t>
      </w:r>
    </w:p>
    <w:p>
      <w:pPr>
        <w:spacing w:after="0" w:line="5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Landlord’s Consent</w:t>
      </w:r>
      <w:r>
        <w:rPr>
          <w:rFonts w:ascii="Arial" w:cs="Arial" w:eastAsia="Arial" w:hAnsi="Arial"/>
          <w:sz w:val="18"/>
          <w:szCs w:val="18"/>
          <w:color w:val="auto"/>
        </w:rPr>
        <w:t xml:space="preserve">. Landlord shall not unreasonably withhold its consent to any proposed Transfer of the Subject Space to the Transferee on the terms specified in the Transfer Notice and shall grant or withhold such consent within twenty (20) days following the date upon which Landlord receives a “complete” Transfer Notice from Tenant (i.e., a Transfer Notice that includes all documents and information required pursuant to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of this Lease, above). If Landlord fails to timely deliver to Tenant notice of Landlord’s consent, or the withholding of consent, to a proposed Transfer, Tenant may send a second (2nd) notice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0" w:right="23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which notice must contain the following inscription, in bold faced lettering: </w:t>
      </w:r>
      <w:r>
        <w:rPr>
          <w:rFonts w:ascii="Arial" w:cs="Arial" w:eastAsia="Arial" w:hAnsi="Arial"/>
          <w:sz w:val="17"/>
          <w:szCs w:val="17"/>
          <w:b w:val="1"/>
          <w:bCs w:val="1"/>
          <w:color w:val="auto"/>
        </w:rPr>
        <w:t>“SECOND NOTICE DELIVERED PURSUANT TO ARTICLE 14</w:t>
      </w:r>
    </w:p>
    <w:p>
      <w:pPr>
        <w:spacing w:after="0" w:line="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b w:val="1"/>
          <w:bCs w:val="1"/>
          <w:color w:val="auto"/>
        </w:rPr>
        <w:t xml:space="preserve">OF LEASE — FAILURE TO TIMELY RESPOND WITHIN FIVE (5) BUSINESS DAYS SHALL RESULT IN DEEMED APPROVAL OF ASSIGNMENT OR SUBLEASE.” </w:t>
      </w:r>
      <w:r>
        <w:rPr>
          <w:rFonts w:ascii="Arial" w:cs="Arial" w:eastAsia="Arial" w:hAnsi="Arial"/>
          <w:sz w:val="18"/>
          <w:szCs w:val="18"/>
          <w:color w:val="auto"/>
        </w:rPr>
        <w:t>If Landlord fails to deliver notice of Landlord’s consent to, or the withholding of Landlord’s consent, to the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or sublease within such five (5) business day period, Landlord shall be deemed to have approved the assignment or sublease in question. If Landlord at any time timely delivers notice to Tenant or Landlord’s withholding of consent to a proposed assignment or sublease, Landlord shall specify in reasonable detail in such notice, the basis for such withholding of consent.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14.2.1 The Transferee is of a character or reputation or engaged in a business which is not consistent with the quality of the Buildings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14.2.2 The Transferee intends to use the Subject Space for purposes which are not permitted under this Lease;</w:t>
      </w:r>
    </w:p>
    <w:p>
      <w:pPr>
        <w:spacing w:after="0" w:line="117"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14.2.3 The Transferee is either a governmental agency or instrumentality thereof; provided, however, that Tenant shall be entitled to assign, sublet or otherwise transfer to a governmental agency or instrumentality thereof to the extent Landlord has leased or has permitted the lease of space to a comparable (in terms of security, foot traffic, prestige, eminent domain and function oriented issues) governmental agency or instrumentality thereof in comparably located space of comparable size;</w:t>
      </w:r>
    </w:p>
    <w:p>
      <w:pPr>
        <w:spacing w:after="0" w:line="75"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color w:val="auto"/>
        </w:rPr>
        <w:t xml:space="preserve">14.2.4 The Transferee is a Tax Exempt Entity (as defined in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attached hereto), unless such Transferee, at no cost to Landlord, complies with and satisfies all of the applicable Mission Bay Requirements relating to a Transfer to a Tax Exempt Entity as set forth in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attached hereto, to the extent that Landlord continues to be subject to such requirements at the time of such Transfer; or</w:t>
      </w:r>
    </w:p>
    <w:p>
      <w:pPr>
        <w:spacing w:after="0" w:line="72"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14.2.5 The Transferee is not a party of reasonable financial worth and/or financial stability in light of the responsibilities to be undertaken in connection with the Transfer on the date consent is requested.</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If Landlord consents to any Transfer pursuant to the terms of this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Tenant may thereafter enter into such Transfer of the Premises or portion thereof, provided that if there are any changes in the terms and conditions from those specified in the Transfer Notice such that Landlord would initially have been entitled to refuse its consent to such Transfer under this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Tenant shall again submit the Transfer to Landlord for its approval and other action under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Notwithstanding anything to the contrary in this Lease, if Tenant or any proposed Transferee claims that Landlord has unreasonably withheld or delayed its consent under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or otherwise has breached or acted unreasonably under this </w:t>
      </w:r>
      <w:r>
        <w:rPr>
          <w:rFonts w:ascii="Arial" w:cs="Arial" w:eastAsia="Arial" w:hAnsi="Arial"/>
          <w:sz w:val="18"/>
          <w:szCs w:val="18"/>
          <w:u w:val="single" w:color="auto"/>
          <w:color w:val="auto"/>
        </w:rPr>
        <w:t>Article 14</w:t>
      </w:r>
      <w:r>
        <w:rPr>
          <w:rFonts w:ascii="Arial" w:cs="Arial" w:eastAsia="Arial" w:hAnsi="Arial"/>
          <w:sz w:val="18"/>
          <w:szCs w:val="18"/>
          <w:color w:val="auto"/>
        </w:rPr>
        <w:t>, their sole remedies shall be a suit for contract damages (other than damages for injury to, or interference with, Tenant’s business including, without limitation, loss of profits, however</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70" w:right="299" w:bottom="1440" w:gutter="0" w:footer="0" w:header="0"/>
        </w:sectPr>
      </w:pPr>
    </w:p>
    <w:bookmarkStart w:id="304" w:name="page305"/>
    <w:bookmarkEnd w:id="304"/>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occurring) or a declaratory judgment and an injunction for the relief sought without any monetary damages, and Tenant hereby waives the provisions of Section 1995.310 of the California Civil Code, or any successor statute, and all other remedies, including, without limitation, any right at law or equity to terminate this Lease, on its own behalf and, to the extent permitted under all Applicable Laws, on behalf of the proposed Transferee. Tenant shall indemnify, defend and hold harmless Landlord from any and all Losses, causes of action and proceedings involving any third party or parties (including without limitation Tenant’s proposed subtenant or assignee) who claim they were damaged by Landlord’s wrongful withholding or conditioning of Landlord’s consent.</w:t>
      </w:r>
    </w:p>
    <w:p>
      <w:pPr>
        <w:spacing w:after="0" w:line="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Transfer Premium</w:t>
      </w:r>
      <w:r>
        <w:rPr>
          <w:rFonts w:ascii="Arial" w:cs="Arial" w:eastAsia="Arial" w:hAnsi="Arial"/>
          <w:sz w:val="17"/>
          <w:szCs w:val="17"/>
          <w:color w:val="auto"/>
        </w:rPr>
        <w:t xml:space="preserve">. If Landlord consents to a Transfer, as a condition thereto which the parties hereby agree is reasonable, Tenant shall pay to Landlord fifty percent (50%) of any “Transfer Premium,” as that term is defined in this </w:t>
      </w:r>
      <w:r>
        <w:rPr>
          <w:rFonts w:ascii="Arial" w:cs="Arial" w:eastAsia="Arial" w:hAnsi="Arial"/>
          <w:sz w:val="17"/>
          <w:szCs w:val="17"/>
          <w:u w:val="single" w:color="auto"/>
          <w:color w:val="auto"/>
        </w:rPr>
        <w:t>Section 14.3</w:t>
      </w:r>
      <w:r>
        <w:rPr>
          <w:rFonts w:ascii="Arial" w:cs="Arial" w:eastAsia="Arial" w:hAnsi="Arial"/>
          <w:sz w:val="17"/>
          <w:szCs w:val="17"/>
          <w:color w:val="auto"/>
        </w:rPr>
        <w:t>, received by Tenant from such Transferee.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Premium</w:t>
      </w:r>
      <w:r>
        <w:rPr>
          <w:rFonts w:ascii="Arial" w:cs="Arial" w:eastAsia="Arial" w:hAnsi="Arial"/>
          <w:sz w:val="17"/>
          <w:szCs w:val="17"/>
          <w:color w:val="auto"/>
        </w:rPr>
        <w:t>” shall mean all rent, additional rent or other consideration payable by such Transferee in connection with the Transfer in excess of the Rent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Rent payable by Tenant under this Lease during the term of the Transfer on a per rentable square foot basis if less than all of the Premises is transferred, after deducting the reasonable expenses incurred by Tenant for (i) any changes, alterations and improvements to the Premises in connection with the Transfer, (ii) any free base rent reasonably provided to the Transferee, (iii) marketing costs associated with such Transfer, (iv) reasonable attorneys’ fees incurred in the documentation and negotiation of such Transfer and (v) any brokerage commissions in connection with the Transfer. “</w:t>
      </w:r>
      <w:r>
        <w:rPr>
          <w:rFonts w:ascii="Arial" w:cs="Arial" w:eastAsia="Arial" w:hAnsi="Arial"/>
          <w:sz w:val="17"/>
          <w:szCs w:val="17"/>
          <w:b w:val="1"/>
          <w:bCs w:val="1"/>
          <w:color w:val="auto"/>
        </w:rPr>
        <w:t>Transfer Premium</w:t>
      </w:r>
      <w:r>
        <w:rPr>
          <w:rFonts w:ascii="Arial" w:cs="Arial" w:eastAsia="Arial" w:hAnsi="Arial"/>
          <w:sz w:val="17"/>
          <w:szCs w:val="17"/>
          <w:color w:val="auto"/>
        </w:rPr>
        <w:t>”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For purposes of calculating any such effective rent all such concessions shall be amortized on a straight-line basis over the relevant term.</w:t>
      </w:r>
    </w:p>
    <w:p>
      <w:pPr>
        <w:spacing w:after="0" w:line="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Landlord’s Option as to Contemplated Transfer Space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in the event Tenant contemplates a Transfer of the entire Premises or a portion of the Premises consisting of not less than a full floor of a Building (as opposed to a “superfloor” spanning across an entire Complex or all of the Buildings), for all or substantially all of the remaining Lease Term, Tenant shall give Landlord notice (the “</w:t>
      </w:r>
      <w:r>
        <w:rPr>
          <w:rFonts w:ascii="Arial" w:cs="Arial" w:eastAsia="Arial" w:hAnsi="Arial"/>
          <w:sz w:val="16"/>
          <w:szCs w:val="16"/>
          <w:b w:val="1"/>
          <w:bCs w:val="1"/>
          <w:color w:val="auto"/>
        </w:rPr>
        <w:t>Intention to Transfer Notice</w:t>
      </w:r>
      <w:r>
        <w:rPr>
          <w:rFonts w:ascii="Arial" w:cs="Arial" w:eastAsia="Arial" w:hAnsi="Arial"/>
          <w:sz w:val="16"/>
          <w:szCs w:val="16"/>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6"/>
          <w:szCs w:val="16"/>
          <w:b w:val="1"/>
          <w:bCs w:val="1"/>
          <w:color w:val="auto"/>
        </w:rPr>
        <w:t>Contemplated Transfer Space</w:t>
      </w:r>
      <w:r>
        <w:rPr>
          <w:rFonts w:ascii="Arial" w:cs="Arial" w:eastAsia="Arial" w:hAnsi="Arial"/>
          <w:sz w:val="16"/>
          <w:szCs w:val="16"/>
          <w:color w:val="auto"/>
        </w:rPr>
        <w:t>”), the contemplated date of commencement of the contemplated Transfer (the “</w:t>
      </w:r>
      <w:r>
        <w:rPr>
          <w:rFonts w:ascii="Arial" w:cs="Arial" w:eastAsia="Arial" w:hAnsi="Arial"/>
          <w:sz w:val="16"/>
          <w:szCs w:val="16"/>
          <w:b w:val="1"/>
          <w:bCs w:val="1"/>
          <w:color w:val="auto"/>
        </w:rPr>
        <w:t>Contemplated</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and the contemplated length of the term of such contemplated Transfer, and shall specify that such Intention to Transfer Notice is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Landlord pursuant to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in order to allow Landlord to elect to recapture the Contemplated Transfer Space. Thereafter, Landlord shall have the option, by giving written notice to Tenant within thirty (30) days after receipt of any Intention to Transfer Notice, to recapture the Contemplated Transfer Space. Such recapture shall cancel and terminate this Lease with respect to the Contemplated Transfer Space as of the Contemplated Effective Date stated in the Intention to Transfer Notice. In the event of a recapture by Landlord, if this Lease shall be canceled with respect to less than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3" w:right="259" w:bottom="1440" w:gutter="0" w:footer="0" w:header="0"/>
        </w:sectPr>
      </w:pPr>
    </w:p>
    <w:bookmarkStart w:id="305" w:name="page306"/>
    <w:bookmarkEnd w:id="30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Contemplated Transfer Space under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then, subject to the other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for a period of six (6) months (the “</w:t>
      </w:r>
      <w:r>
        <w:rPr>
          <w:rFonts w:ascii="Arial" w:cs="Arial" w:eastAsia="Arial" w:hAnsi="Arial"/>
          <w:sz w:val="17"/>
          <w:szCs w:val="17"/>
          <w:b w:val="1"/>
          <w:bCs w:val="1"/>
          <w:color w:val="auto"/>
        </w:rPr>
        <w:t>Six Month Period</w:t>
      </w:r>
      <w:r>
        <w:rPr>
          <w:rFonts w:ascii="Arial" w:cs="Arial" w:eastAsia="Arial" w:hAnsi="Arial"/>
          <w:sz w:val="17"/>
          <w:szCs w:val="17"/>
          <w:color w:val="auto"/>
        </w:rPr>
        <w:t xml:space="preserve">”) commencing on the last day of such thirty (30) day period, Landlord shall not have any right to recapture the Contemplated Transfer Space with respect to any Transfer made during the Six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If such a Transfer is not so consummated within the Six Month Period (or if a Transfer is so consummated, then upon the expiration of the term of any Transfer of such Contemplated Transfer Space consummated within such Six Month Period), Tenant shall again be required to submit a new Intention to Transfer Notice to Landlord with respect any contemplated Transfer of the Contemplated Transfer Space, as provided above in this </w:t>
      </w:r>
      <w:r>
        <w:rPr>
          <w:rFonts w:ascii="Arial" w:cs="Arial" w:eastAsia="Arial" w:hAnsi="Arial"/>
          <w:sz w:val="17"/>
          <w:szCs w:val="17"/>
          <w:u w:val="single" w:color="auto"/>
          <w:color w:val="auto"/>
        </w:rPr>
        <w:t>Section 14.4</w:t>
      </w:r>
      <w:r>
        <w:rPr>
          <w:rFonts w:ascii="Arial" w:cs="Arial" w:eastAsia="Arial" w:hAnsi="Arial"/>
          <w:sz w:val="17"/>
          <w:szCs w:val="17"/>
          <w:color w:val="auto"/>
        </w:rPr>
        <w:t>.</w:t>
      </w:r>
    </w:p>
    <w:p>
      <w:pPr>
        <w:spacing w:after="0" w:line="6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14.4.1 </w:t>
      </w:r>
      <w:r>
        <w:rPr>
          <w:rFonts w:ascii="Arial" w:cs="Arial" w:eastAsia="Arial" w:hAnsi="Arial"/>
          <w:sz w:val="17"/>
          <w:szCs w:val="17"/>
          <w:b w:val="1"/>
          <w:bCs w:val="1"/>
          <w:u w:val="single" w:color="auto"/>
          <w:color w:val="auto"/>
        </w:rPr>
        <w:t>Demising Work</w:t>
      </w:r>
      <w:r>
        <w:rPr>
          <w:rFonts w:ascii="Arial" w:cs="Arial" w:eastAsia="Arial" w:hAnsi="Arial"/>
          <w:sz w:val="17"/>
          <w:szCs w:val="17"/>
          <w:color w:val="auto"/>
        </w:rPr>
        <w:t xml:space="preserve">. If Landlord exercises its recapture right pursuant to this </w:t>
      </w:r>
      <w:r>
        <w:rPr>
          <w:rFonts w:ascii="Arial" w:cs="Arial" w:eastAsia="Arial" w:hAnsi="Arial"/>
          <w:sz w:val="17"/>
          <w:szCs w:val="17"/>
          <w:u w:val="single" w:color="auto"/>
          <w:color w:val="auto"/>
        </w:rPr>
        <w:t>Section 14.4</w:t>
      </w:r>
      <w:r>
        <w:rPr>
          <w:rFonts w:ascii="Arial" w:cs="Arial" w:eastAsia="Arial" w:hAnsi="Arial"/>
          <w:sz w:val="17"/>
          <w:szCs w:val="17"/>
          <w:color w:val="auto"/>
        </w:rPr>
        <w:t>, and the portion of the Premises recaptured by Landlord is not separately demised from the remainder of the Premises (i.e., the portions of the Premises located within the adjacent Building), Landlord, at Landlord’s sole cost and expense, shall construct or cause to be constructed a demising wall separating that portion of the Premises recaptured by Landlord from that portion of the Premises retained by Tenant; provided that, Tenant hereby agrees that, notwithstanding Tenant’s occupancy of its retained portion of the Premises during the construction of such demising wall by Landlord, Landlord shall be permitted to construct such demising wall during normal business hours, without any obligation to pay overtime or other premiums, and the construction of such demising wall by Landlord shall in no way constitute a constructive eviction of Tenant nor entitle Tenant to any abatement of Rent, and Landlord shall have no responsibility or for any reason be liable to Tenant for any direct or indirect injury to or interference with Tenant’s business arising from the construction of such demising wall, nor shall Tenant be entitled to any compensation or damages from Landlord for loss of the use of the whole or any part of its retained portion of the Premises or of Tenant’s personal property or improvements resulting from the construction of such demising wall, or for any inconvenience or annoyance occasioned by the construction of such demising wall.</w:t>
      </w:r>
    </w:p>
    <w:p>
      <w:pPr>
        <w:spacing w:after="0" w:line="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u w:val="single" w:color="auto"/>
          <w:color w:val="auto"/>
        </w:rPr>
        <w:t>Effect of Transfer</w:t>
      </w:r>
      <w:r>
        <w:rPr>
          <w:rFonts w:ascii="Arial" w:cs="Arial" w:eastAsia="Arial" w:hAnsi="Arial"/>
          <w:sz w:val="18"/>
          <w:szCs w:val="18"/>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3" w:right="279" w:bottom="1440" w:gutter="0" w:footer="0" w:header="0"/>
        </w:sectPr>
      </w:pPr>
    </w:p>
    <w:bookmarkStart w:id="306" w:name="page307"/>
    <w:bookmarkEnd w:id="306"/>
    <w:p>
      <w:pPr>
        <w:jc w:val="both"/>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reasonable costs of such audit.</w:t>
      </w:r>
    </w:p>
    <w:p>
      <w:pPr>
        <w:spacing w:after="0" w:line="69"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u w:val="single" w:color="auto"/>
          <w:color w:val="auto"/>
        </w:rPr>
        <w:t>Additional Transfers</w:t>
      </w:r>
      <w:r>
        <w:rPr>
          <w:rFonts w:ascii="Arial" w:cs="Arial" w:eastAsia="Arial" w:hAnsi="Arial"/>
          <w:sz w:val="16"/>
          <w:szCs w:val="16"/>
          <w:color w:val="auto"/>
        </w:rPr>
        <w:t>. For purposes of this Lease, the term “</w:t>
      </w:r>
      <w:r>
        <w:rPr>
          <w:rFonts w:ascii="Arial" w:cs="Arial" w:eastAsia="Arial" w:hAnsi="Arial"/>
          <w:sz w:val="16"/>
          <w:szCs w:val="16"/>
          <w:b w:val="1"/>
          <w:bCs w:val="1"/>
          <w:color w:val="auto"/>
        </w:rPr>
        <w:t>Transfer</w:t>
      </w:r>
      <w:r>
        <w:rPr>
          <w:rFonts w:ascii="Arial" w:cs="Arial" w:eastAsia="Arial" w:hAnsi="Arial"/>
          <w:sz w:val="16"/>
          <w:szCs w:val="16"/>
          <w:color w:val="auto"/>
        </w:rPr>
        <w:t>” shall also include (i) if Tenant is a partnership, the withdrawal or change, voluntary, involuntary or by operation of law, of more than fifty percent (50%) of the partners, or transfer of more than fifty percent (50%) of partnership interests, within a twelve (12)-month period, or the dissolution of the partnership without immediate reconstitution thereof, and (ii) if Tenant is a closely held corporation (</w:t>
      </w:r>
      <w:r>
        <w:rPr>
          <w:rFonts w:ascii="Arial" w:cs="Arial" w:eastAsia="Arial" w:hAnsi="Arial"/>
          <w:sz w:val="16"/>
          <w:szCs w:val="16"/>
          <w:i w:val="1"/>
          <w:iCs w:val="1"/>
          <w:color w:val="auto"/>
        </w:rPr>
        <w:t>i.e.</w:t>
      </w:r>
      <w:r>
        <w:rPr>
          <w:rFonts w:ascii="Arial" w:cs="Arial" w:eastAsia="Arial" w:hAnsi="Arial"/>
          <w:sz w:val="16"/>
          <w:szCs w:val="16"/>
          <w:color w:val="auto"/>
        </w:rPr>
        <w:t>, whose stock is not publicly held and not traded through an exchange or over the counter), (A) the dissolution, merger, consolidation or other reorganization of Tenant or (B) the sale or other transfer of an aggregate of more than fifty percent (50%) of the voting shares of Tenant (other than to immediate family members by reason of gift or death), within a twelve (12)-month period, or (C) the sale, mortgage, hypothecation or pledge of an aggregate of more than fifty percent (50%) of the value of the unencumbered assets of Tenant within a twelve (12)-month period.</w:t>
      </w:r>
    </w:p>
    <w:p>
      <w:pPr>
        <w:spacing w:after="0" w:line="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u w:val="single" w:color="auto"/>
          <w:color w:val="auto"/>
        </w:rPr>
        <w:t>Occurrence of Default</w:t>
      </w:r>
      <w:r>
        <w:rPr>
          <w:rFonts w:ascii="Arial" w:cs="Arial" w:eastAsia="Arial" w:hAnsi="Arial"/>
          <w:sz w:val="16"/>
          <w:szCs w:val="16"/>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Landlord is hereby irrevocably authorized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5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b w:val="1"/>
          <w:bCs w:val="1"/>
          <w:u w:val="single" w:color="auto"/>
          <w:color w:val="auto"/>
        </w:rPr>
        <w:t>Deemed Consent Transfers</w:t>
      </w:r>
      <w:r>
        <w:rPr>
          <w:rFonts w:ascii="Arial" w:cs="Arial" w:eastAsia="Arial" w:hAnsi="Arial"/>
          <w:sz w:val="16"/>
          <w:szCs w:val="16"/>
          <w:color w:val="auto"/>
        </w:rPr>
        <w:t xml:space="preserve">. Notwithstanding anything to the contrary contained in this Lease (including </w:t>
      </w:r>
      <w:r>
        <w:rPr>
          <w:rFonts w:ascii="Arial" w:cs="Arial" w:eastAsia="Arial" w:hAnsi="Arial"/>
          <w:sz w:val="16"/>
          <w:szCs w:val="16"/>
          <w:u w:val="single" w:color="auto"/>
          <w:color w:val="auto"/>
        </w:rPr>
        <w:t>Section 14.6</w:t>
      </w:r>
      <w:r>
        <w:rPr>
          <w:rFonts w:ascii="Arial" w:cs="Arial" w:eastAsia="Arial" w:hAnsi="Arial"/>
          <w:sz w:val="16"/>
          <w:szCs w:val="16"/>
          <w:color w:val="auto"/>
        </w:rPr>
        <w:t>, above), (A) an assignment or subletting of all or a portion of the Premises to an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of Tenant (an entity which is controlled by, controls, or is under common control with, Tenant as of the date of the assignment or subletting), (B) an assignment of Tenant’s interest in this Lease to an entity which acquires all or substantially all of the stock or assets of Tenant and has (i) at least One Billion Dollars ($1,000,000,000) in annual revenue in the preceding twelve (12) month period and (ii) “Operating Cashflow” (as that term is defined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below) of Two Hundred Fifty Million Dollars ($250,000,000) during the preceding twelve</w:t>
      </w:r>
    </w:p>
    <w:p>
      <w:pPr>
        <w:spacing w:after="0" w:line="2" w:lineRule="exact"/>
        <w:rPr>
          <w:sz w:val="20"/>
          <w:szCs w:val="20"/>
          <w:color w:val="auto"/>
        </w:rPr>
      </w:pPr>
    </w:p>
    <w:p>
      <w:pPr>
        <w:ind w:left="5620" w:right="1180" w:hanging="5612"/>
        <w:spacing w:after="0" w:line="433" w:lineRule="auto"/>
        <w:tabs>
          <w:tab w:leader="none" w:pos="34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month period (collectively, the “</w:t>
      </w:r>
      <w:r>
        <w:rPr>
          <w:rFonts w:ascii="Arial" w:cs="Arial" w:eastAsia="Arial" w:hAnsi="Arial"/>
          <w:sz w:val="18"/>
          <w:szCs w:val="18"/>
          <w:b w:val="1"/>
          <w:bCs w:val="1"/>
          <w:color w:val="auto"/>
        </w:rPr>
        <w:t>Affiliate Threshold</w:t>
      </w:r>
      <w:r>
        <w:rPr>
          <w:rFonts w:ascii="Arial" w:cs="Arial" w:eastAsia="Arial" w:hAnsi="Arial"/>
          <w:sz w:val="18"/>
          <w:szCs w:val="18"/>
          <w:color w:val="auto"/>
        </w:rPr>
        <w:t>”), or (C) an assignment of this Lease to an entity which is the resulting or surviving 56</w:t>
      </w:r>
    </w:p>
    <w:p>
      <w:pPr>
        <w:sectPr>
          <w:pgSz w:w="11900" w:h="16838" w:orient="portrait"/>
          <w:cols w:equalWidth="0" w:num="1">
            <w:col w:w="11400"/>
          </w:cols>
          <w:pgMar w:left="240" w:top="274" w:right="259" w:bottom="1440" w:gutter="0" w:footer="0" w:header="0"/>
        </w:sectPr>
      </w:pPr>
    </w:p>
    <w:bookmarkStart w:id="307" w:name="page308"/>
    <w:bookmarkEnd w:id="307"/>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entity of a merger or consolidation of Tenant during the Lease Term and satisfies the Affiliate Threshold, shall not be deemed a Transfer requiring Landlord’s consent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or triggering Landlord’s rights under </w:t>
      </w:r>
      <w:r>
        <w:rPr>
          <w:rFonts w:ascii="Arial" w:cs="Arial" w:eastAsia="Arial" w:hAnsi="Arial"/>
          <w:sz w:val="17"/>
          <w:szCs w:val="17"/>
          <w:u w:val="single" w:color="auto"/>
          <w:color w:val="auto"/>
        </w:rPr>
        <w:t>Section 14.3 or 14.4</w:t>
      </w:r>
      <w:r>
        <w:rPr>
          <w:rFonts w:ascii="Arial" w:cs="Arial" w:eastAsia="Arial" w:hAnsi="Arial"/>
          <w:sz w:val="17"/>
          <w:szCs w:val="17"/>
          <w:color w:val="auto"/>
        </w:rPr>
        <w:t xml:space="preserve"> (any such assignee or sublessee described in items (A) through (C) of this </w:t>
      </w:r>
      <w:r>
        <w:rPr>
          <w:rFonts w:ascii="Arial" w:cs="Arial" w:eastAsia="Arial" w:hAnsi="Arial"/>
          <w:sz w:val="17"/>
          <w:szCs w:val="17"/>
          <w:u w:val="single" w:color="auto"/>
          <w:color w:val="auto"/>
        </w:rPr>
        <w:t>Section 14.8</w:t>
      </w:r>
      <w:r>
        <w:rPr>
          <w:rFonts w:ascii="Arial" w:cs="Arial" w:eastAsia="Arial" w:hAnsi="Arial"/>
          <w:sz w:val="17"/>
          <w:szCs w:val="17"/>
          <w:color w:val="auto"/>
        </w:rPr>
        <w:t xml:space="preserve"> hereinafter referred to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provided that (i) Tenant notifies Landlord at least five (5) business days prior to the effective date of any such assignment or sublease (unless such prior notice is prohibited by Applicable Laws or the terms of an applicable confidentiality agreement, in which event Tenant shall notify Landlord as soon as permissible) and promptly supplies Landlord with any documents or information reasonably requested by Landlord regarding such transfer or transferee as set forth above, (ii) such assignment or sublease is not a subterfuge by Tenant to avoid its obligations under this Lease, and (iii) no assignment relating to this Lease, whether with or without Landlord’s consent, shall relieve Tenant from any liability under this Lease, and, in the event of an assignment of Tenant’s entire interest in this Lease, the liability of Tenant and such transferee shall be joint and several. An assignee of Tenant’s entire interest in this Lease who qualifies as a Permitted Transferee may also be referred to herein as a “</w:t>
      </w:r>
      <w:r>
        <w:rPr>
          <w:rFonts w:ascii="Arial" w:cs="Arial" w:eastAsia="Arial" w:hAnsi="Arial"/>
          <w:sz w:val="17"/>
          <w:szCs w:val="17"/>
          <w:b w:val="1"/>
          <w:b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Transferee Assignee</w:t>
      </w:r>
      <w:r>
        <w:rPr>
          <w:rFonts w:ascii="Arial" w:cs="Arial" w:eastAsia="Arial" w:hAnsi="Arial"/>
          <w:sz w:val="17"/>
          <w:szCs w:val="17"/>
          <w:color w:val="auto"/>
        </w:rPr>
        <w:t>”. “</w:t>
      </w:r>
      <w:r>
        <w:rPr>
          <w:rFonts w:ascii="Arial" w:cs="Arial" w:eastAsia="Arial" w:hAnsi="Arial"/>
          <w:sz w:val="17"/>
          <w:szCs w:val="17"/>
          <w:b w:val="1"/>
          <w:bCs w:val="1"/>
          <w:color w:val="auto"/>
        </w:rPr>
        <w:t>Control</w:t>
      </w:r>
      <w:r>
        <w:rPr>
          <w:rFonts w:ascii="Arial" w:cs="Arial" w:eastAsia="Arial" w:hAnsi="Arial"/>
          <w:sz w:val="17"/>
          <w:szCs w:val="17"/>
          <w:color w:val="auto"/>
        </w:rPr>
        <w:t>”, as used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14.8</w:t>
      </w:r>
      <w:r>
        <w:rPr>
          <w:rFonts w:ascii="Arial" w:cs="Arial" w:eastAsia="Arial" w:hAnsi="Arial"/>
          <w:sz w:val="17"/>
          <w:szCs w:val="17"/>
          <w:color w:val="auto"/>
        </w:rPr>
        <w:t>, shall mean the ownership, directly or indirectly, of at least fifty-one percent (51%) of the</w:t>
      </w:r>
      <w:r>
        <w:rPr>
          <w:rFonts w:ascii="Arial" w:cs="Arial" w:eastAsia="Arial" w:hAnsi="Arial"/>
          <w:sz w:val="17"/>
          <w:szCs w:val="17"/>
          <w:b w:val="1"/>
          <w:bCs w:val="1"/>
          <w:color w:val="auto"/>
        </w:rPr>
        <w:t xml:space="preserve"> </w:t>
      </w:r>
      <w:r>
        <w:rPr>
          <w:rFonts w:ascii="Arial" w:cs="Arial" w:eastAsia="Arial" w:hAnsi="Arial"/>
          <w:sz w:val="17"/>
          <w:szCs w:val="17"/>
          <w:color w:val="auto"/>
        </w:rPr>
        <w:t>voting securities of, or possession of the right to vote, in the ordinary direction of its affairs, of at least fifty-one percent (51%) of the voting interest in, any person or entity.</w:t>
      </w:r>
    </w:p>
    <w:p>
      <w:pPr>
        <w:spacing w:after="0" w:line="6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b w:val="1"/>
          <w:bCs w:val="1"/>
          <w:u w:val="single" w:color="auto"/>
          <w:color w:val="auto"/>
        </w:rPr>
        <w:t>Occupancy by Others</w:t>
      </w:r>
      <w:r>
        <w:rPr>
          <w:rFonts w:ascii="Arial" w:cs="Arial" w:eastAsia="Arial" w:hAnsi="Arial"/>
          <w:sz w:val="16"/>
          <w:szCs w:val="16"/>
          <w:color w:val="auto"/>
        </w:rPr>
        <w:t xml:space="preserve">. Furthermore, and notwithstanding any contrary provision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the Tenant shall have the right, without the receipt of Landlord’s consent and without payment to Landlord of the Transfer Premium, but on not less than five (5) business days prior written notice to Landlord, to permit the occupancy of up to ten percent (10%) of the rentable square footage of the Premises, pursuant to an occupancy agreement between Tenant and such occupant, which agreement must be approved in advance by Landlord (such approval not to be unreasonably withheld, conditioned or delayed), to any individual(s) or entity(ies) with an ongoing business relationship with Tenant, including Tenant’s partners, agents, contractors and consultants performing services for Tenant or its clients. Such occupancy pursuant to this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shall include the use of a corresponding interior support area and other portions of the Premises which shall be common to Tenant and the permitted occupants, on and subject to the following conditions: (i) each individual or entity shall be of a character and reputation consistent with the quality of the Buildings and the Project; (ii) no individual or entity shall occupy a separately demised portion of the Premises or which contains an entrance to such portion of the Premises other than the primary entrance to the Premises; (iii) the rent, if any, paid by such occupants shall not be greater than the rent allocable on a pro rata basis to the portion of the Premises occupied by such occupants; (iv) such occupancy shall not be a subterfuge by Tenant to avoid its obligations under this Lease or the restrictions on Transfers pursuant to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and (v) no such occupant shall be required to maintain the insurance coverage required to be maintained by Tenant hereunder (and, solely for the purposes of determining Tenant’s liability hereunder for the acts or omissions of such occupants and the applicability of Tenant’s insurance coverage towards such liability, any such occupant shall be deemed to be an employee of Tenant for the purposes of insurance and indemnity provisions of this Lease). Any occupancy permitted under this </w:t>
      </w:r>
      <w:r>
        <w:rPr>
          <w:rFonts w:ascii="Arial" w:cs="Arial" w:eastAsia="Arial" w:hAnsi="Arial"/>
          <w:sz w:val="16"/>
          <w:szCs w:val="16"/>
          <w:u w:val="single" w:color="auto"/>
          <w:color w:val="auto"/>
        </w:rPr>
        <w:t>Section 14.9</w:t>
      </w:r>
      <w:r>
        <w:rPr>
          <w:rFonts w:ascii="Arial" w:cs="Arial" w:eastAsia="Arial" w:hAnsi="Arial"/>
          <w:sz w:val="16"/>
          <w:szCs w:val="16"/>
          <w:color w:val="auto"/>
        </w:rPr>
        <w:t xml:space="preserve"> shall not be deemed a Transfer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Notwithstanding the foregoing, no such occupancy shall relieve Tenant from any liability under this Lease.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308" w:name="page309"/>
    <w:bookmarkEnd w:id="30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SURRENDER OF PREMISES; OWNERSHIP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REMOVAL OF TRADE FIXTURES</w:t>
      </w:r>
    </w:p>
    <w:p>
      <w:pPr>
        <w:spacing w:after="0" w:line="20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Surrender of Premises</w:t>
      </w:r>
      <w:r>
        <w:rPr>
          <w:rFonts w:ascii="Arial" w:cs="Arial" w:eastAsia="Arial" w:hAnsi="Arial"/>
          <w:sz w:val="17"/>
          <w:szCs w:val="17"/>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6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Removal of Tenant Property by Tenant</w:t>
      </w:r>
      <w:r>
        <w:rPr>
          <w:rFonts w:ascii="Arial" w:cs="Arial" w:eastAsia="Arial" w:hAnsi="Arial"/>
          <w:sz w:val="17"/>
          <w:szCs w:val="17"/>
          <w:color w:val="auto"/>
        </w:rPr>
        <w:t xml:space="preserve">. Upon the expiration of the Lease Term, or upon any earlier termination of this Lease, Tenant shall, subject to the provisions of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above and this </w:t>
      </w:r>
      <w:r>
        <w:rPr>
          <w:rFonts w:ascii="Arial" w:cs="Arial" w:eastAsia="Arial" w:hAnsi="Arial"/>
          <w:sz w:val="17"/>
          <w:szCs w:val="17"/>
          <w:u w:val="single" w:color="auto"/>
          <w:color w:val="auto"/>
        </w:rPr>
        <w:t>Article 15</w:t>
      </w:r>
      <w:r>
        <w:rPr>
          <w:rFonts w:ascii="Arial" w:cs="Arial" w:eastAsia="Arial" w:hAnsi="Arial"/>
          <w:sz w:val="17"/>
          <w:szCs w:val="17"/>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(including casualty or condemnation)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including all Lines, owned by Tenant or installed or placed by Tenant at its expense in the Premises, and such similar articles of any other persons claiming under Tenant (collectively, “</w:t>
      </w:r>
      <w:r>
        <w:rPr>
          <w:rFonts w:ascii="Arial" w:cs="Arial" w:eastAsia="Arial" w:hAnsi="Arial"/>
          <w:sz w:val="17"/>
          <w:szCs w:val="17"/>
          <w:b w:val="1"/>
          <w:bCs w:val="1"/>
          <w:color w:val="auto"/>
        </w:rPr>
        <w:t>Tenant’s Property</w:t>
      </w:r>
      <w:r>
        <w:rPr>
          <w:rFonts w:ascii="Arial" w:cs="Arial" w:eastAsia="Arial" w:hAnsi="Arial"/>
          <w:sz w:val="17"/>
          <w:szCs w:val="17"/>
          <w:color w:val="auto"/>
        </w:rPr>
        <w:t xml:space="preserve">”), as Landlord may, in its sole discretion, require to be removed, and Tenant shall repair at its own expense all damage to the Premises, Buildings and Project resulting from such removal. Other than Tenant’s Property and any Specialty Alterations required to be removed by Tenant pursuant to the terms of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above, upon the expiration of the Lease Term, or upon any earlier termination of this Lease, Tenant shall not be required, and shall have no right, to remove any other Alterations or Improvements in the Premises.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HOLDING OVER</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Tenant holds over after the expiration of the Lease Term or earlier termination thereof, without the express written consent of Landlord, such tenancy shall be a tenancy at sufferance, and shall not constitute a renewal hereof or an extension for any further term, and in such case daily damages in any action to recover possession of the Premises shall be calculated at a daily rate equal to (i) one hundred fifty percent (150%) of the Base Rent applicable during the last rental period of the Lease Term under this Lease for the first (1</w:t>
      </w:r>
      <w:r>
        <w:rPr>
          <w:rFonts w:ascii="Arial" w:cs="Arial" w:eastAsia="Arial" w:hAnsi="Arial"/>
          <w:sz w:val="15"/>
          <w:szCs w:val="15"/>
          <w:color w:val="auto"/>
        </w:rPr>
        <w:t>st</w:t>
      </w:r>
      <w:r>
        <w:rPr>
          <w:rFonts w:ascii="Arial" w:cs="Arial" w:eastAsia="Arial" w:hAnsi="Arial"/>
          <w:sz w:val="18"/>
          <w:szCs w:val="18"/>
          <w:color w:val="auto"/>
        </w:rPr>
        <w:t>) two (2) months of such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0" w:right="279" w:bottom="1440" w:gutter="0" w:footer="0" w:header="0"/>
        </w:sectPr>
      </w:pPr>
    </w:p>
    <w:bookmarkStart w:id="309" w:name="page310"/>
    <w:bookmarkEnd w:id="30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holdover, and (ii) two hundred percent (200%) thereafter plus one hundred percent (100%) of all Additional Rent. Nothing contained in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not be deemed to limit or constitute a waiver of any other rights or remedies of Landlord provided herein or at law. If Tenant holds over without Landlord’s express written consent, and tenders payment of rent for any period beyond the expiration of the Lease Term by way of check (whether directly to Landlord, its agents, or to a lock box) or wire transfer, Tenant acknowledges and agrees that the cashing of such check or acceptance of such wire shall be considered inadvertent and not be construed as creating a month-to-month tenancy, provided Landlord refunds such payment to Tenant promptly upon learning that such check has been cashed or wire transfer received. Tenant acknowledges that any holding over without Landlord’s express written consent may compromise or otherwise affect Landlord’s ability to enter into new leases with prospective tenants regarding the Premises. Therefore, if Tenant fails to surrender the Premises upon the termination or expiration of this Lease, in addition to any other liabilities to Landlord accruing therefrom, Tenant shall protect, defend, indemnify and hold Landlord harmless from and against all claims made by any succeeding tenant founded upon such failure to vacate and deliver, and any losses suffered by Landlord, including lost profits, resulting from such failure to vacate and deliver. Tenant agrees that any proceedings necessary to recover possession of the Premises, whether before or after expiration of the Lease Term, shall be considered an action to enforce the terms of this Lease for purposes of the awarding of any attorney’s fees in connection therewith.</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ESTOPPEL CERTIFICATES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Within ten (10) business days following a request in writing by Landlord, Tenant shall execute, and deliver to Landlord an estoppel certificate, which, as submitted by Landlord, shall be substantially in the form of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provided, however, that if such estoppel certificate is not factually correct, then Tenant may make such changes as are necessary to make such estoppel certificate factually correct and shall thereafter return such signed estoppel certificate to Landlord within said ten (10) business day period. Any such certificate may be relied upon by any prospective mortgagee or purchaser of all or any portion of the Project. Tenant shall execute and deliver whatever other instruments may be reasonably required for such purposes. At any time during the Lease Term, but only in the case of (x) a proposed sale or financing of the Project, (y) a Default by Tenant or (z) a proposed Permitted Transfer by Tenant,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3" w:right="259" w:bottom="1440" w:gutter="0" w:footer="0" w:header="0"/>
        </w:sectPr>
      </w:pPr>
    </w:p>
    <w:bookmarkStart w:id="310" w:name="page311"/>
    <w:bookmarkEnd w:id="31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Lease shall be subject and subordinate to all present and future ground or underlying leases of the Buildings or Project and to the lien of any mortgage, trust deed or other encumbrances now or hereafter in force against the Buildings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Arial" w:cs="Arial" w:eastAsia="Arial" w:hAnsi="Arial"/>
          <w:sz w:val="16"/>
          <w:szCs w:val="16"/>
          <w:b w:val="1"/>
          <w:bCs w:val="1"/>
          <w:color w:val="auto"/>
        </w:rPr>
        <w:t>Superior Holders</w:t>
      </w:r>
      <w:r>
        <w:rPr>
          <w:rFonts w:ascii="Arial" w:cs="Arial" w:eastAsia="Arial" w:hAnsi="Arial"/>
          <w:sz w:val="16"/>
          <w:szCs w:val="16"/>
          <w:color w:val="auto"/>
        </w:rPr>
        <w:t>”). However, in consideration of and a condition precedent to Tenant’s agreement to subordinate this Lease to any future mortgage, trust deed or other encumbrances, shall be the receipt by Tenant of a subordination non-disturbance and attornment agreement in a commercially reasonable form (a “</w:t>
      </w:r>
      <w:r>
        <w:rPr>
          <w:rFonts w:ascii="Arial" w:cs="Arial" w:eastAsia="Arial" w:hAnsi="Arial"/>
          <w:sz w:val="16"/>
          <w:szCs w:val="16"/>
          <w:b w:val="1"/>
          <w:bCs w:val="1"/>
          <w:color w:val="auto"/>
        </w:rPr>
        <w:t>SNDA</w:t>
      </w:r>
      <w:r>
        <w:rPr>
          <w:rFonts w:ascii="Arial" w:cs="Arial" w:eastAsia="Arial" w:hAnsi="Arial"/>
          <w:sz w:val="16"/>
          <w:szCs w:val="16"/>
          <w:color w:val="auto"/>
        </w:rPr>
        <w:t xml:space="preserve">”) executed by Landlord and the appropriate Superior Holder. Pursuant to such SNDA,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and to recognize such purchaser or lienholder or ground lessor as the lessor under this Lease, and such lienholder or purchaser or ground lessor shall agree to accept this Lease and perform the obligations of Landlord hereunder (including, without limitation, the funding of the Improvement Allowance (or in the alternative, the recognition of Tenant’s right to offset rent for failure of Landlord to pay the Improvement Allowance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Work Letter), but excluding any obligation to complete any of Landlord’s construction obligations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 Work Letter),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Landlord represents to Tenant that there are not any Superior Holders as of the date of this Lease.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69" w:right="27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DEFAULTS; REMEDIES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occurrence of any of the following shall constitute a “</w:t>
      </w:r>
      <w:r>
        <w:rPr>
          <w:rFonts w:ascii="Arial" w:cs="Arial" w:eastAsia="Arial" w:hAnsi="Arial"/>
          <w:sz w:val="18"/>
          <w:szCs w:val="18"/>
          <w:b w:val="1"/>
          <w:bCs w:val="1"/>
          <w:color w:val="auto"/>
        </w:rPr>
        <w:t>Default</w:t>
      </w:r>
      <w:r>
        <w:rPr>
          <w:rFonts w:ascii="Arial" w:cs="Arial" w:eastAsia="Arial" w:hAnsi="Arial"/>
          <w:sz w:val="18"/>
          <w:szCs w:val="18"/>
          <w:color w:val="auto"/>
        </w:rPr>
        <w:t>” of this Lease by Tenant:</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19.1.1 Any failure by Tenant to pay (i) any Rent or any other charge required to be paid under this Lease, or (ii) any Base Rent required to be paid under that certain Office Lease, dated as of January 1, 2014 (as amended, supplemented or modified, the “</w:t>
      </w:r>
      <w:r>
        <w:rPr>
          <w:rFonts w:ascii="Arial" w:cs="Arial" w:eastAsia="Arial" w:hAnsi="Arial"/>
          <w:sz w:val="18"/>
          <w:szCs w:val="18"/>
          <w:b w:val="1"/>
          <w:bCs w:val="1"/>
          <w:color w:val="auto"/>
        </w:rPr>
        <w:t>333 Brannan Lease</w:t>
      </w:r>
      <w:r>
        <w:rPr>
          <w:rFonts w:ascii="Arial" w:cs="Arial" w:eastAsia="Arial" w:hAnsi="Arial"/>
          <w:sz w:val="18"/>
          <w:szCs w:val="18"/>
          <w:color w:val="auto"/>
        </w:rPr>
        <w:t>”), by and between Kilroy Realty Finance Partnership, L.P., a Delaware limited partnership and Tenant, for certain premises in the office building located at 333 Brannan Street, San Francisco, California (the “</w:t>
      </w:r>
      <w:r>
        <w:rPr>
          <w:rFonts w:ascii="Arial" w:cs="Arial" w:eastAsia="Arial" w:hAnsi="Arial"/>
          <w:sz w:val="18"/>
          <w:szCs w:val="18"/>
          <w:b w:val="1"/>
          <w:bCs w:val="1"/>
          <w:color w:val="auto"/>
        </w:rPr>
        <w:t>333 Brannan Building</w:t>
      </w:r>
      <w:r>
        <w:rPr>
          <w:rFonts w:ascii="Arial" w:cs="Arial" w:eastAsia="Arial" w:hAnsi="Arial"/>
          <w:sz w:val="18"/>
          <w:szCs w:val="18"/>
          <w:color w:val="auto"/>
        </w:rPr>
        <w:t xml:space="preserve">”), as applicable, or any part thereof, when due, which failure is not cured within five (5) days after written notice from Landlord that said amount was not paid when due; provided, however, that clause (ii) of this </w:t>
      </w:r>
      <w:r>
        <w:rPr>
          <w:rFonts w:ascii="Arial" w:cs="Arial" w:eastAsia="Arial" w:hAnsi="Arial"/>
          <w:sz w:val="18"/>
          <w:szCs w:val="18"/>
          <w:u w:val="single" w:color="auto"/>
          <w:color w:val="auto"/>
        </w:rPr>
        <w:t>Section 19.1.1</w:t>
      </w:r>
      <w:r>
        <w:rPr>
          <w:rFonts w:ascii="Arial" w:cs="Arial" w:eastAsia="Arial" w:hAnsi="Arial"/>
          <w:sz w:val="18"/>
          <w:szCs w:val="18"/>
          <w:color w:val="auto"/>
        </w:rPr>
        <w:t xml:space="preserve"> shall only be effective until the earlier of (a) the date upon which both the Project and the 333 Brannan Building are no longer owned by affiliated Landlord entities and (b) the Phase III Lease Commencement Date; or</w:t>
      </w:r>
    </w:p>
    <w:p>
      <w:pPr>
        <w:spacing w:after="0" w:line="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19.1.2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19.1.3 Abandonment of the Premises by Tenant pursuant to California Civil Code Section 1951.3; or</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 xml:space="preserve">19.1.4 The failure by Tenant to observe or perform according to the provisions of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of this Lease where such failure continues for more than three (3) business days after notice from Landlord.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periods provided herein are in lieu of, and not in addition to, any notice periods provided by law.</w:t>
      </w:r>
    </w:p>
    <w:p>
      <w:pPr>
        <w:spacing w:after="0" w:line="113"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u w:val="single" w:color="auto"/>
          <w:color w:val="auto"/>
        </w:rPr>
        <w:t>Remedies Upon Default</w:t>
      </w:r>
      <w:r>
        <w:rPr>
          <w:rFonts w:ascii="Arial" w:cs="Arial" w:eastAsia="Arial" w:hAnsi="Arial"/>
          <w:sz w:val="18"/>
          <w:szCs w:val="18"/>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7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79" w:lineRule="exact"/>
        <w:rPr>
          <w:sz w:val="20"/>
          <w:szCs w:val="20"/>
          <w:color w:val="auto"/>
        </w:rPr>
      </w:pPr>
    </w:p>
    <w:p>
      <w:pPr>
        <w:ind w:left="1700" w:hanging="208"/>
        <w:spacing w:after="0"/>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worth at the time of any unpaid rent which has been earned at the time of such termination; plus</w:t>
      </w:r>
    </w:p>
    <w:p>
      <w:pPr>
        <w:spacing w:after="0" w:line="117" w:lineRule="exact"/>
        <w:rPr>
          <w:rFonts w:ascii="Arial" w:cs="Arial" w:eastAsia="Arial" w:hAnsi="Arial"/>
          <w:sz w:val="18"/>
          <w:szCs w:val="18"/>
          <w:color w:val="auto"/>
        </w:rPr>
      </w:pPr>
    </w:p>
    <w:p>
      <w:pPr>
        <w:ind w:right="20" w:firstLine="1492"/>
        <w:spacing w:after="0" w:line="277" w:lineRule="auto"/>
        <w:tabs>
          <w:tab w:leader="none" w:pos="17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0" w:right="239" w:bottom="1440" w:gutter="0" w:footer="0" w:header="0"/>
        </w:sectPr>
      </w:pPr>
    </w:p>
    <w:bookmarkStart w:id="312" w:name="page313"/>
    <w:bookmarkEnd w:id="312"/>
    <w:p>
      <w:pPr>
        <w:ind w:right="320" w:firstLine="1492"/>
        <w:spacing w:after="0" w:line="277" w:lineRule="auto"/>
        <w:tabs>
          <w:tab w:leader="none" w:pos="1798"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worth at the time of award of the amount by which the unpaid rent for the balance of the Lease Term after the time of award exceeds the amount of such rental loss that Tenant proves could have been reasonably avoided; plus</w:t>
      </w:r>
    </w:p>
    <w:p>
      <w:pPr>
        <w:spacing w:after="0" w:line="62" w:lineRule="exact"/>
        <w:rPr>
          <w:rFonts w:ascii="Arial" w:cs="Arial" w:eastAsia="Arial" w:hAnsi="Arial"/>
          <w:sz w:val="18"/>
          <w:szCs w:val="18"/>
          <w:color w:val="auto"/>
        </w:rPr>
      </w:pPr>
    </w:p>
    <w:p>
      <w:pPr>
        <w:ind w:right="60" w:firstLine="1492"/>
        <w:spacing w:after="0" w:line="284" w:lineRule="auto"/>
        <w:tabs>
          <w:tab w:leader="none" w:pos="178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w:t>
      </w:r>
      <w:r>
        <w:rPr>
          <w:rFonts w:ascii="Arial" w:cs="Arial" w:eastAsia="Arial" w:hAnsi="Arial"/>
          <w:sz w:val="16"/>
          <w:szCs w:val="16"/>
          <w:b w:val="1"/>
          <w:bCs w:val="1"/>
          <w:color w:val="auto"/>
        </w:rPr>
        <w:t>Costs of Reletting</w:t>
      </w:r>
      <w:r>
        <w:rPr>
          <w:rFonts w:ascii="Arial" w:cs="Arial" w:eastAsia="Arial" w:hAnsi="Arial"/>
          <w:sz w:val="16"/>
          <w:szCs w:val="16"/>
          <w:color w:val="auto"/>
        </w:rPr>
        <w:t>”); notwithstanding the above, if Landlord relets the Premises for a term (the “</w:t>
      </w:r>
      <w:r>
        <w:rPr>
          <w:rFonts w:ascii="Arial" w:cs="Arial" w:eastAsia="Arial" w:hAnsi="Arial"/>
          <w:sz w:val="16"/>
          <w:szCs w:val="16"/>
          <w:b w:val="1"/>
          <w:bCs w:val="1"/>
          <w:color w:val="auto"/>
        </w:rPr>
        <w:t>Relet Term</w:t>
      </w:r>
      <w:r>
        <w:rPr>
          <w:rFonts w:ascii="Arial" w:cs="Arial" w:eastAsia="Arial" w:hAnsi="Arial"/>
          <w:sz w:val="16"/>
          <w:szCs w:val="16"/>
          <w:color w:val="auto"/>
        </w:rPr>
        <w:t>”) that extends past the originally scheduled Lease Expiration Date, the Costs of Reletting which may be included in Landlord’s damages shall be limited to a prorated portion of the Costs of Reletting, based on the percentage that the length of the originally scheduled Lease Term remaining on the date Landlord terminates this Lease or Tenant’s right to possession bears to the length of the Relet Term. For example, if there are two</w:t>
      </w:r>
    </w:p>
    <w:p>
      <w:pPr>
        <w:spacing w:after="0" w:line="2" w:lineRule="exact"/>
        <w:rPr>
          <w:rFonts w:ascii="Arial" w:cs="Arial" w:eastAsia="Arial" w:hAnsi="Arial"/>
          <w:sz w:val="16"/>
          <w:szCs w:val="16"/>
          <w:color w:val="auto"/>
        </w:rPr>
      </w:pPr>
    </w:p>
    <w:p>
      <w:pPr>
        <w:ind w:right="100" w:firstLine="8"/>
        <w:spacing w:after="0" w:line="255"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years left on the Lease Term at the time that Landlord terminates possession and, prior to the expiration of the two (2) year period, Landlord enters into a lease with a new tenant with a Relet Term of ten (10) years, then only twenty percent (20%) of the Costs of Reletting shall be included when determining Landlord’s damages; and</w:t>
      </w:r>
    </w:p>
    <w:p>
      <w:pPr>
        <w:spacing w:after="0" w:line="82" w:lineRule="exact"/>
        <w:rPr>
          <w:rFonts w:ascii="Arial" w:cs="Arial" w:eastAsia="Arial" w:hAnsi="Arial"/>
          <w:sz w:val="18"/>
          <w:szCs w:val="18"/>
          <w:color w:val="auto"/>
        </w:rPr>
      </w:pPr>
    </w:p>
    <w:p>
      <w:pPr>
        <w:ind w:left="1740" w:hanging="248"/>
        <w:spacing w:after="0"/>
        <w:tabs>
          <w:tab w:leader="none" w:pos="174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term “rent” as used in this </w:t>
      </w:r>
      <w:r>
        <w:rPr>
          <w:rFonts w:ascii="Arial" w:cs="Arial" w:eastAsia="Arial" w:hAnsi="Arial"/>
          <w:sz w:val="18"/>
          <w:szCs w:val="18"/>
          <w:u w:val="single" w:color="auto"/>
          <w:color w:val="auto"/>
        </w:rPr>
        <w:t>Section 19.2</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 19.2.1(i)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“worth at the time of award” shall be computed by allowing interest at the rate set forth in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of this Lease, but in no case greater than the maximum amount of such interest permitted by law. As used in </w:t>
      </w:r>
      <w:r>
        <w:rPr>
          <w:rFonts w:ascii="Arial" w:cs="Arial" w:eastAsia="Arial" w:hAnsi="Arial"/>
          <w:sz w:val="18"/>
          <w:szCs w:val="18"/>
          <w:u w:val="single" w:color="auto"/>
          <w:color w:val="auto"/>
        </w:rPr>
        <w:t>Section 19.2.1(iii)</w:t>
      </w:r>
      <w:r>
        <w:rPr>
          <w:rFonts w:ascii="Arial" w:cs="Arial" w:eastAsia="Arial" w:hAnsi="Arial"/>
          <w:sz w:val="18"/>
          <w:szCs w:val="18"/>
          <w:color w:val="auto"/>
        </w:rPr>
        <w:t xml:space="preserve"> above, the “worth at the time of award” shall be computed by discounting such amount at the discount rate of the Federal Reserve Bank of San Francisco at the time of award plus one percent (1%).</w:t>
      </w:r>
    </w:p>
    <w:p>
      <w:pPr>
        <w:spacing w:after="0" w:line="8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6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73" w:right="279" w:bottom="1440" w:gutter="0" w:footer="0" w:header="0"/>
        </w:sectPr>
      </w:pPr>
    </w:p>
    <w:bookmarkStart w:id="313" w:name="page314"/>
    <w:bookmarkEnd w:id="313"/>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Whether or not Landlord elects to terminate this Lease on account of any default by Tenant, as set forth in this </w:t>
      </w:r>
      <w:r>
        <w:rPr>
          <w:rFonts w:ascii="Arial" w:cs="Arial" w:eastAsia="Arial" w:hAnsi="Arial"/>
          <w:sz w:val="16"/>
          <w:szCs w:val="16"/>
          <w:u w:val="single" w:color="auto"/>
          <w:color w:val="auto"/>
        </w:rPr>
        <w:t>Article 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46"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u w:val="single" w:color="auto"/>
          <w:color w:val="auto"/>
        </w:rPr>
        <w:t>Landlord Default</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color w:val="auto"/>
        </w:rPr>
        <w:t xml:space="preserve">19.5.1 </w:t>
      </w:r>
      <w:r>
        <w:rPr>
          <w:rFonts w:ascii="Arial" w:cs="Arial" w:eastAsia="Arial" w:hAnsi="Arial"/>
          <w:sz w:val="17"/>
          <w:szCs w:val="17"/>
          <w:b w:val="1"/>
          <w:bCs w:val="1"/>
          <w:u w:val="single" w:color="auto"/>
          <w:color w:val="auto"/>
        </w:rPr>
        <w:t>General</w:t>
      </w:r>
      <w:r>
        <w:rPr>
          <w:rFonts w:ascii="Arial" w:cs="Arial" w:eastAsia="Arial" w:hAnsi="Arial"/>
          <w:sz w:val="17"/>
          <w:szCs w:val="17"/>
          <w:color w:val="auto"/>
        </w:rPr>
        <w:t>.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19.5.2 </w:t>
      </w:r>
      <w:r>
        <w:rPr>
          <w:rFonts w:ascii="Arial" w:cs="Arial" w:eastAsia="Arial" w:hAnsi="Arial"/>
          <w:sz w:val="16"/>
          <w:szCs w:val="16"/>
          <w:b w:val="1"/>
          <w:bCs w:val="1"/>
          <w:u w:val="single" w:color="auto"/>
          <w:color w:val="auto"/>
        </w:rPr>
        <w:t>Abatement of Rent</w:t>
      </w:r>
      <w:r>
        <w:rPr>
          <w:rFonts w:ascii="Arial" w:cs="Arial" w:eastAsia="Arial" w:hAnsi="Arial"/>
          <w:sz w:val="16"/>
          <w:szCs w:val="16"/>
          <w:color w:val="auto"/>
        </w:rPr>
        <w:t>. In the event that Tenant is prevented from using, and does not use, the Premises or any portion thereof, as a result of</w:t>
      </w:r>
    </w:p>
    <w:p>
      <w:pPr>
        <w:spacing w:after="0" w:line="50" w:lineRule="exact"/>
        <w:rPr>
          <w:sz w:val="20"/>
          <w:szCs w:val="20"/>
          <w:color w:val="auto"/>
        </w:rPr>
      </w:pPr>
    </w:p>
    <w:p>
      <w:pPr>
        <w:ind w:firstLine="8"/>
        <w:spacing w:after="0" w:line="251" w:lineRule="auto"/>
        <w:tabs>
          <w:tab w:leader="none" w:pos="2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repair, maintenance or alteration performed by Landlord, or which Landlord failed to perform, after the applicable Lease Commencement Date and required by this Lease, which substantially interferes with Tenant’s use of the Premises, or (ii) any failure of Landlord to provide services, utilities or access to the Premises as required by this Lease (either such set of circumstances as set forth in items (i) or (ii), above, to be known as an “</w:t>
      </w:r>
      <w:r>
        <w:rPr>
          <w:rFonts w:ascii="Arial" w:cs="Arial" w:eastAsia="Arial" w:hAnsi="Arial"/>
          <w:sz w:val="18"/>
          <w:szCs w:val="18"/>
          <w:b w:val="1"/>
          <w:bCs w:val="1"/>
          <w:color w:val="auto"/>
        </w:rPr>
        <w:t>Abatement Event</w:t>
      </w:r>
      <w:r>
        <w:rPr>
          <w:rFonts w:ascii="Arial" w:cs="Arial" w:eastAsia="Arial" w:hAnsi="Arial"/>
          <w:sz w:val="18"/>
          <w:szCs w:val="18"/>
          <w:color w:val="auto"/>
        </w:rPr>
        <w:t>”), then Tenant shall give Landlord notice of such Abatement Event (which notice, for the purpose of determining the effective date of delivery, will be deemed given when delivered to the Project’s property management office during regular business hours), and if such Abatement Event continues for five (5) consecutive business days after Landlord’s receipt of any such notice (the “</w:t>
      </w:r>
      <w:r>
        <w:rPr>
          <w:rFonts w:ascii="Arial" w:cs="Arial" w:eastAsia="Arial" w:hAnsi="Arial"/>
          <w:sz w:val="18"/>
          <w:szCs w:val="18"/>
          <w:b w:val="1"/>
          <w:bCs w:val="1"/>
          <w:color w:val="auto"/>
        </w:rPr>
        <w:t>Eligibility Period</w:t>
      </w:r>
      <w:r>
        <w:rPr>
          <w:rFonts w:ascii="Arial" w:cs="Arial" w:eastAsia="Arial" w:hAnsi="Arial"/>
          <w:sz w:val="18"/>
          <w:szCs w:val="18"/>
          <w:color w:val="auto"/>
        </w:rPr>
        <w:t>”), then the Base Rent, Tenant’s Share of Direct Expenses, and Tenant’s obligation to pay for parking (to the extent not utilized by Tenant) shall be abated or reduced, as the case may be, after expiration of the Eligibility Period for such time that Tenant continues to be so prevented from using, and does not use for the normal conduct of Tenant’s business, the Premises or a portion thereof, in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0" w:right="239" w:bottom="1440" w:gutter="0" w:footer="0" w:header="0"/>
        </w:sectPr>
      </w:pPr>
    </w:p>
    <w:bookmarkStart w:id="314" w:name="page315"/>
    <w:bookmarkEnd w:id="314"/>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 entire Premises and Tenant’s obligation to pay for parking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 by </w:t>
      </w:r>
      <w:r>
        <w:rPr>
          <w:rFonts w:ascii="Arial" w:cs="Arial" w:eastAsia="Arial" w:hAnsi="Arial"/>
          <w:sz w:val="16"/>
          <w:szCs w:val="16"/>
          <w:u w:val="single" w:color="auto"/>
          <w:color w:val="auto"/>
        </w:rPr>
        <w:t>Articles 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of this Lease, then Tenant’s right to abate rent shall be governed by the terms of such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as applicable, and the Eligibility Period shall not be applicable thereto. Such right to abate Base Rent and Tenant’s Share of Direct Expenses shall be Tenant’s sole and exclusive remedy for rent abatement at law or in equity for an Abatement Event. Except as provided in this </w:t>
      </w:r>
      <w:r>
        <w:rPr>
          <w:rFonts w:ascii="Arial" w:cs="Arial" w:eastAsia="Arial" w:hAnsi="Arial"/>
          <w:sz w:val="16"/>
          <w:szCs w:val="16"/>
          <w:u w:val="single" w:color="auto"/>
          <w:color w:val="auto"/>
        </w:rPr>
        <w:t>Section 19.5.2</w:t>
      </w:r>
      <w:r>
        <w:rPr>
          <w:rFonts w:ascii="Arial" w:cs="Arial" w:eastAsia="Arial" w:hAnsi="Arial"/>
          <w:sz w:val="16"/>
          <w:szCs w:val="16"/>
          <w:color w:val="auto"/>
        </w:rPr>
        <w:t>, nothing contained herein shall be interpreted to mean that Tenant is excused from paying Rent due hereunder.</w:t>
      </w:r>
    </w:p>
    <w:p>
      <w:pPr>
        <w:spacing w:after="0" w:line="5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b w:val="1"/>
          <w:bCs w:val="1"/>
          <w:u w:val="single" w:color="auto"/>
          <w:color w:val="auto"/>
        </w:rPr>
        <w:t>Tenant’s Right to Make Repairs</w:t>
      </w:r>
      <w:r>
        <w:rPr>
          <w:rFonts w:ascii="Arial" w:cs="Arial" w:eastAsia="Arial" w:hAnsi="Arial"/>
          <w:sz w:val="16"/>
          <w:szCs w:val="16"/>
          <w:color w:val="auto"/>
        </w:rPr>
        <w:t>. During any period in which Tenant is then leasing one hundred percent (100%) of the office space in a Building, if an “Emergency Situation” (as defined herein) or “Adverse Condition” (as defined herein) involving the portion of the Premises located in such Building exists, and Landlord is obligated under the terms of this Lease to cure or remediate such Emergency Condition or Adverse Condition, then Landlord shall promptly commence and diligently perform all repairs required by Landlord under this Lease or take such other actions, if any, required of Landlord under this Lease to cure or remediate such Emergency Situation or Adverse Condition. Notwithstanding anything to the contrary contained herein, if (i) any Emergency Situation occurs or (ii) there is an actual breach by Landlord of one of its obligations under this Lease (“</w:t>
      </w:r>
      <w:r>
        <w:rPr>
          <w:rFonts w:ascii="Arial" w:cs="Arial" w:eastAsia="Arial" w:hAnsi="Arial"/>
          <w:sz w:val="16"/>
          <w:szCs w:val="16"/>
          <w:b w:val="1"/>
          <w:bCs w:val="1"/>
          <w:color w:val="auto"/>
        </w:rPr>
        <w:t>Landlord Breach</w:t>
      </w:r>
      <w:r>
        <w:rPr>
          <w:rFonts w:ascii="Arial" w:cs="Arial" w:eastAsia="Arial" w:hAnsi="Arial"/>
          <w:sz w:val="16"/>
          <w:szCs w:val="16"/>
          <w:color w:val="auto"/>
        </w:rPr>
        <w:t>”), and such Emergency Situation or Landlord Breach will have a material and adverse impact on Tenant’s ability to conduct its business in the Premises, or any material portion thereof (an “</w:t>
      </w:r>
      <w:r>
        <w:rPr>
          <w:rFonts w:ascii="Arial" w:cs="Arial" w:eastAsia="Arial" w:hAnsi="Arial"/>
          <w:sz w:val="16"/>
          <w:szCs w:val="16"/>
          <w:b w:val="1"/>
          <w:bCs w:val="1"/>
          <w:color w:val="auto"/>
        </w:rPr>
        <w:t>Adverse Condition</w:t>
      </w:r>
      <w:r>
        <w:rPr>
          <w:rFonts w:ascii="Arial" w:cs="Arial" w:eastAsia="Arial" w:hAnsi="Arial"/>
          <w:sz w:val="16"/>
          <w:szCs w:val="16"/>
          <w:color w:val="auto"/>
        </w:rPr>
        <w:t>”), including, for example, any failure to provide (or cause to be provided) electricity, HVAC, water or elevator access to the Premises, then Tenant shall give Landlord notice of the same. Thereafter, Landlord shall have (i) two (2) business days to commence a cure with respect to such Emergency Situation or (ii) twenty (20) business days to commence a cure of such Adverse Condition, and, in each case, shall diligently prosecute such cure to completion (collectively “</w:t>
      </w:r>
      <w:r>
        <w:rPr>
          <w:rFonts w:ascii="Arial" w:cs="Arial" w:eastAsia="Arial" w:hAnsi="Arial"/>
          <w:sz w:val="16"/>
          <w:szCs w:val="16"/>
          <w:b w:val="1"/>
          <w:bCs w:val="1"/>
          <w:color w:val="auto"/>
        </w:rPr>
        <w:t>Emergency Repairs</w:t>
      </w:r>
      <w:r>
        <w:rPr>
          <w:rFonts w:ascii="Arial" w:cs="Arial" w:eastAsia="Arial" w:hAnsi="Arial"/>
          <w:sz w:val="16"/>
          <w:szCs w:val="16"/>
          <w:color w:val="auto"/>
        </w:rPr>
        <w:t>”). For purposes hereof, the term “</w:t>
      </w:r>
      <w:r>
        <w:rPr>
          <w:rFonts w:ascii="Arial" w:cs="Arial" w:eastAsia="Arial" w:hAnsi="Arial"/>
          <w:sz w:val="16"/>
          <w:szCs w:val="16"/>
          <w:b w:val="1"/>
          <w:bCs w:val="1"/>
          <w:color w:val="auto"/>
        </w:rPr>
        <w:t>Emergency Situation</w:t>
      </w:r>
      <w:r>
        <w:rPr>
          <w:rFonts w:ascii="Arial" w:cs="Arial" w:eastAsia="Arial" w:hAnsi="Arial"/>
          <w:sz w:val="16"/>
          <w:szCs w:val="16"/>
          <w:color w:val="auto"/>
        </w:rPr>
        <w:t>” shall mean a situation which poses an imminent threat: (x) to the physical well-being of persons at the Building or (y) of material damage to Tenant’s personal property in the Premises. If Landlord fails to commence to perform such Emergency Repairs within the applicable timeframe (i.e., two (2) business days with respect to an Emergency Situation or twenty (20) business days with respect to Adverse Conditions) after Landlord receives notice of the applicable Emergency Condition or Adverse Condition, or, to the extent Landlord commences to cure with such time period but fails to thereafter diligently pursue such Emergency Repairs to completion, then Tenant, upon providing Landlord, as to an Emergency Situation, with such prior written notice,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3" w:right="239" w:bottom="1440" w:gutter="0" w:footer="0" w:header="0"/>
        </w:sectPr>
      </w:pPr>
    </w:p>
    <w:bookmarkStart w:id="315" w:name="page316"/>
    <w:bookmarkEnd w:id="31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is reasonable under the circumstances or as to an Adverse Condition, with twenty (20) business days prior notice (which notice shall clearly indicate that Tenant intends to take steps necessary to remedy the event giving rise to the Emergency Situation or Adverse Condition in question), may perform such Emergency Repairs or other actions at Landlord’s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Tenant undertake any actions which will or are reasonably likely to materially and adversely affect (A) the Retail Space or the space of any other tenant or occupant of the Project, (B) the Building Structure, (C) any Building Systems, or (D) the exterior appearance of any Building. If Tenant exercises its right to perform Emergency Repairs or other actions on Landlord’s behalf, as provided above, then Landlord shall reimburse the actual out-of-pocket reasonable cost thereof within thirty (30) days following Tenant’s delivery of: (i) a written notice describing in reasonable detail the action taken by the Tenant, and (ii) reasonably satisfactory evidence of the cost of such remedy. Landlord shall, within thirty (30) days following Tenant’s written request for reimbursement of the costs of the Emergency Repairs notify Tenant of whether Landlord reasonably and in good faith disputes that (1) Tenant did not perform the Emergency Repairs in the manner permitted by this Lease, (2) that the amount Tenant requests be reimbursed from Landlord for performance of the Emergency Repairs is incorrect or excessive, or (3) that Landlord was not obligated under the terms of this Lease to make all or a portion of the Emergency Repairs (“</w:t>
      </w:r>
      <w:r>
        <w:rPr>
          <w:rFonts w:ascii="Arial" w:cs="Arial" w:eastAsia="Arial" w:hAnsi="Arial"/>
          <w:sz w:val="16"/>
          <w:szCs w:val="16"/>
          <w:b w:val="1"/>
          <w:bCs w:val="1"/>
          <w:color w:val="auto"/>
        </w:rPr>
        <w:t>Landlord’s Set-Off Notice</w:t>
      </w:r>
      <w:r>
        <w:rPr>
          <w:rFonts w:ascii="Arial" w:cs="Arial" w:eastAsia="Arial" w:hAnsi="Arial"/>
          <w:sz w:val="16"/>
          <w:szCs w:val="16"/>
          <w:color w:val="auto"/>
        </w:rPr>
        <w:t xml:space="preserve">”). If Landlord delivers a Landlord’s Set-Off Notice to Tenant, then Tenant shall not be entitled to such deduction from Rent (provided, if Landlord contends the amount spent by Tenant in making such repairs is excessive and does not otherwise object to Tenant’s actions pursuant to this </w:t>
      </w:r>
      <w:r>
        <w:rPr>
          <w:rFonts w:ascii="Arial" w:cs="Arial" w:eastAsia="Arial" w:hAnsi="Arial"/>
          <w:sz w:val="16"/>
          <w:szCs w:val="16"/>
          <w:u w:val="single" w:color="auto"/>
          <w:color w:val="auto"/>
        </w:rPr>
        <w:t>Section 19.6</w:t>
      </w:r>
      <w:r>
        <w:rPr>
          <w:rFonts w:ascii="Arial" w:cs="Arial" w:eastAsia="Arial" w:hAnsi="Arial"/>
          <w:sz w:val="16"/>
          <w:szCs w:val="16"/>
          <w:color w:val="auto"/>
        </w:rPr>
        <w:t xml:space="preserve">, then Landlord shall pay the amount it contends would not have been excessive); provided that Tenant may proceed to claim a default by Landlord under this Lease for any amount not paid by Landlord. Any final award in favor of Tenant for any such default, which is not subject to appeal, from a court or arbitrator in favor of Tenant, which is not paid by Landlord within the time period directed by such award (together with interest at the Interest Rate from the date Landlord was required to pay such amount until such offset occurs), may be offset by Tenant from Rent next due and payable under this Lease; provided, however, Tenant may not deduct the amount of the award against more than fifty percent (50%) of Base Rent next due and owing (until such time as the entire amount of such judgment is deducted) to the extent following a foreclosure or a deed-in-lieu of foreclosure. In any case, in the event any Emergency Repairs are not accomplished by Landlord within a two (2) business day period with respect to an Emergency Condition or twenty (20) business day period with respect to Adverse Conditions despite Landlord’s diligent efforts, Landlord, within three (3) business days following Tenant’s written request therefore, shall provide to Tenant a schedule determined in good faith setting forth the basic steps Landlord proposes to be taken to effect the Emergency Repairs or other actions in a commercially reasonable time frame given the specifics of the Emergency Repairs required and the times when such work is proposed to be done and thereafter Landlord shall proceed to complete such Emergency Repairs within the time schedule so provided. If Tenant undertakes any action pursuant to this paragraph, Tenant shall (a) proceed in accordance with all Applicable Laws; (b) retain to effect such actions only such reputable contractors and suppliers as are duly licensed in the City of San Francisco and are listed on the most recent list furnished to Tenant of Landlord’s approved contractors for the Project and are insured in accordance with the provisions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(c) effect such repairs or perform such other actions in a good and workmanlike and commercially reasonable manner; (d) use new or like new materials; (e) take reasonable efforts to minimize any material interference or impact on the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3" w:right="259" w:bottom="1440" w:gutter="0" w:footer="0" w:header="0"/>
        </w:sectPr>
      </w:pPr>
    </w:p>
    <w:bookmarkStart w:id="316" w:name="page317"/>
    <w:bookmarkEnd w:id="316"/>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tenants and occupants of the Project, and (f) otherwise comply with all applicable requirements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this Lease. Notwithstanding anything in this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to the contrary, the foregoing self-help right (i) shall not apply in the event of any fire or casualty at the Project, it being acknowledged and agreed that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govern with respect to any such fire or casualty event, (ii) shall not apply in the event of any condemnation, it being acknowledged and agreed that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shall govern with respect to any such condemnation, and (iii) shall not permit Tenant to access any other tenant’s or occupant’s space at the Project.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 OF QUIET ENJOYMENT</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LETTER OF CREDIT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Delivery of Letter of Credit</w:t>
      </w:r>
      <w:r>
        <w:rPr>
          <w:rFonts w:ascii="Arial" w:cs="Arial" w:eastAsia="Arial" w:hAnsi="Arial"/>
          <w:sz w:val="16"/>
          <w:szCs w:val="16"/>
          <w:color w:val="auto"/>
        </w:rPr>
        <w:t>. Concurrently with Tenant’s execution of this Lease, Tenant shall deliver to Landlord, as protection for the full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faithful performance by Tenant of all of its obligations under this Lease and for all losses and damages Landlord may suffer (or which Landlord reasonably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estimates that it may suffer) as a result of any breach or default by Tenant under this Lease, an unconditional, clean, irrevocable negotiable standby letter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(the “</w:t>
      </w:r>
      <w:r>
        <w:rPr>
          <w:rFonts w:ascii="Arial" w:cs="Arial" w:eastAsia="Arial" w:hAnsi="Arial"/>
          <w:sz w:val="17"/>
          <w:szCs w:val="17"/>
          <w:b w:val="1"/>
          <w:bCs w:val="1"/>
          <w:color w:val="auto"/>
        </w:rPr>
        <w:t>L-C</w:t>
      </w:r>
      <w:r>
        <w:rPr>
          <w:rFonts w:ascii="Arial" w:cs="Arial" w:eastAsia="Arial" w:hAnsi="Arial"/>
          <w:sz w:val="17"/>
          <w:szCs w:val="17"/>
          <w:color w:val="auto"/>
        </w:rPr>
        <w:t xml:space="preserve">”) in the amount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L-C Amount</w:t>
      </w:r>
      <w:r>
        <w:rPr>
          <w:rFonts w:ascii="Arial" w:cs="Arial" w:eastAsia="Arial" w:hAnsi="Arial"/>
          <w:sz w:val="17"/>
          <w:szCs w:val="17"/>
          <w:color w:val="auto"/>
        </w:rPr>
        <w:t xml:space="preserve">”), in the form attached hereto as </w:t>
      </w:r>
      <w:r>
        <w:rPr>
          <w:rFonts w:ascii="Arial" w:cs="Arial" w:eastAsia="Arial" w:hAnsi="Arial"/>
          <w:sz w:val="17"/>
          <w:szCs w:val="17"/>
          <w:b w:val="1"/>
          <w:bCs w:val="1"/>
          <w:u w:val="single" w:color="auto"/>
          <w:color w:val="auto"/>
        </w:rPr>
        <w:t>Exhibit I</w:t>
      </w:r>
      <w:r>
        <w:rPr>
          <w:rFonts w:ascii="Arial" w:cs="Arial" w:eastAsia="Arial" w:hAnsi="Arial"/>
          <w:sz w:val="17"/>
          <w:szCs w:val="17"/>
          <w:color w:val="auto"/>
        </w:rPr>
        <w:t>, running in favor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Landlord, drawn on one of the following banks: (i) Wells Fargo Bank, N.A., (ii) Citibank, N.A., (iii) JP Morgan Chase, (iv) Bank of America, (v) Goldman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Sachs Bank USA, (vi) Morgan Stanley Bank, N.A. or (vii) Royal Bank of Canada, and otherwise conforming in all respects to the requirements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including, without limitation, all of the requirements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below, all as set forth more particularly hereinbelow. The issuer of the 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shall be referred to herein as the “</w:t>
      </w:r>
      <w:r>
        <w:rPr>
          <w:rFonts w:ascii="Arial" w:cs="Arial" w:eastAsia="Arial" w:hAnsi="Arial"/>
          <w:sz w:val="17"/>
          <w:szCs w:val="17"/>
          <w:b w:val="1"/>
          <w:bCs w:val="1"/>
          <w:color w:val="auto"/>
        </w:rPr>
        <w:t>Issuing Bank</w:t>
      </w:r>
      <w:r>
        <w:rPr>
          <w:rFonts w:ascii="Arial" w:cs="Arial" w:eastAsia="Arial" w:hAnsi="Arial"/>
          <w:sz w:val="17"/>
          <w:szCs w:val="17"/>
          <w:color w:val="auto"/>
        </w:rPr>
        <w:t>”. Notwithstanding the foregoing, Landlord hereby pre-approves the form of L-C attached hereto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 I-1</w:t>
      </w:r>
      <w:r>
        <w:rPr>
          <w:rFonts w:ascii="Arial" w:cs="Arial" w:eastAsia="Arial" w:hAnsi="Arial"/>
          <w:sz w:val="16"/>
          <w:szCs w:val="16"/>
          <w:b w:val="1"/>
          <w:bCs w:val="1"/>
          <w:color w:val="auto"/>
        </w:rPr>
        <w:t xml:space="preserve"> </w:t>
      </w:r>
      <w:r>
        <w:rPr>
          <w:rFonts w:ascii="Arial" w:cs="Arial" w:eastAsia="Arial" w:hAnsi="Arial"/>
          <w:sz w:val="16"/>
          <w:szCs w:val="16"/>
          <w:color w:val="auto"/>
        </w:rPr>
        <w:t>for issuance by Goldman Sachs Bank USA. In addition, Tenant may request the right to include additional banks in the foregoing list of approved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Issuing Banks, which additional banks shall be subject to Landlord’s approval in its sole discretion. Tenant hereby agrees that the L-C shall expressly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that (i) presentation of the L-C for draw can be made locally, which for purposes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shall mean either in the City of San Francisco,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the City of Los Angeles, California, or (ii) presentation of the L-C for draw can be made by facsimile, in which case the appropriate facsimile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presentment shall be stated on the L-C. Tenant shall pay all expenses, points and/or fees incurred by Tenant in obtaining and maintaining the L-C.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of an assignment by Tenant of its interest in this Lease (and irrespective of whether Landlord’s consent is required for such assignment), the acceptance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replacement or substitute letter of credit by Landlord from the assignee shall be subject to Landlord’s prior written approval, which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unreasonably withheld.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317" w:name="page318"/>
    <w:bookmarkEnd w:id="317"/>
    <w:p>
      <w:pPr>
        <w:jc w:val="both"/>
        <w:ind w:right="260"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The L-C shall be “callable” at sight, permit partial draws and multiple presentations and drawings, and be otherwise subject to the Uniform Customs and Practices for Documentary Credits (1993-Rev), International Chamber of Commerce Publication #500, or the International Standby Practices-ISP 98, International Chamber of Commerce Publication #590. Tenant further covenants and warrants as follows:</w:t>
      </w:r>
    </w:p>
    <w:p>
      <w:pPr>
        <w:spacing w:after="0" w:line="5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21.2.1 </w:t>
      </w:r>
      <w:r>
        <w:rPr>
          <w:rFonts w:ascii="Arial" w:cs="Arial" w:eastAsia="Arial" w:hAnsi="Arial"/>
          <w:sz w:val="18"/>
          <w:szCs w:val="18"/>
          <w:b w:val="1"/>
          <w:bCs w:val="1"/>
          <w:u w:val="single" w:color="auto"/>
          <w:color w:val="auto"/>
        </w:rPr>
        <w:t>Landlord Right to Transfer</w:t>
      </w:r>
      <w:r>
        <w:rPr>
          <w:rFonts w:ascii="Arial" w:cs="Arial" w:eastAsia="Arial" w:hAnsi="Arial"/>
          <w:sz w:val="18"/>
          <w:szCs w:val="18"/>
          <w:color w:val="auto"/>
        </w:rPr>
        <w:t>. The L-C shall provide that Landlord, its successors and assigns, may, at any time and without notice to Tenant and without first obtaining Tenant’s consent thereto, transfer (one or more times) all of its interest in and to the L-C to another party, person or entity, as a part of the assignment by Landlord of its rights and interests in and to this Lease. In the event of a transfer of Landlord’s interest in the Buildings, Landlord shall transfer the L-C, to the transferee and thereupon Landlord shall, without any further agreement between the parties but upon the written assumption by the transferee of Landlord’s obligations hereunder with respect to the L-C, be released by Tenant from all liability therefor, and it is agreed that the provisions hereof shall apply to every transfer or assignment of the whole or any portion of said L-C to a new landlord. In connection with any such transfer of the L-C by Landlord, Tenant shall, at Tenant’s sole cost and expense, execute and submit to the Issuing Bank such applications, documents and instruments as may be necessary to effectuate such transfer, and Tenant shall be responsible for paying the Issuing Bank’s transfer and processing fees in connection therewith.</w:t>
      </w:r>
    </w:p>
    <w:p>
      <w:pPr>
        <w:spacing w:after="0" w:line="81"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color w:val="auto"/>
        </w:rPr>
        <w:t xml:space="preserve">21.2.2 </w:t>
      </w:r>
      <w:r>
        <w:rPr>
          <w:rFonts w:ascii="Arial" w:cs="Arial" w:eastAsia="Arial" w:hAnsi="Arial"/>
          <w:sz w:val="16"/>
          <w:szCs w:val="16"/>
          <w:b w:val="1"/>
          <w:bCs w:val="1"/>
          <w:u w:val="single" w:color="auto"/>
          <w:color w:val="auto"/>
        </w:rPr>
        <w:t>No Assignment by Tenant</w:t>
      </w:r>
      <w:r>
        <w:rPr>
          <w:rFonts w:ascii="Arial" w:cs="Arial" w:eastAsia="Arial" w:hAnsi="Arial"/>
          <w:sz w:val="16"/>
          <w:szCs w:val="16"/>
          <w:color w:val="auto"/>
        </w:rPr>
        <w:t xml:space="preserve">. Tenant shall neither assign nor encumber the L-C or any part thereof. Neither Landlord nor its successors or assigns will be bound by any assignment, encumbrance, attempted assignment or attempted encumbrance by Tenant in violation of this </w:t>
      </w:r>
      <w:r>
        <w:rPr>
          <w:rFonts w:ascii="Arial" w:cs="Arial" w:eastAsia="Arial" w:hAnsi="Arial"/>
          <w:sz w:val="16"/>
          <w:szCs w:val="16"/>
          <w:u w:val="single" w:color="auto"/>
          <w:color w:val="auto"/>
        </w:rPr>
        <w:t>Section 21.2.2</w:t>
      </w:r>
      <w:r>
        <w:rPr>
          <w:rFonts w:ascii="Arial" w:cs="Arial" w:eastAsia="Arial" w:hAnsi="Arial"/>
          <w:sz w:val="16"/>
          <w:szCs w:val="16"/>
          <w:color w:val="auto"/>
        </w:rPr>
        <w:t>.</w:t>
      </w:r>
    </w:p>
    <w:p>
      <w:pPr>
        <w:spacing w:after="0" w:line="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21.2.3 </w:t>
      </w:r>
      <w:r>
        <w:rPr>
          <w:rFonts w:ascii="Arial" w:cs="Arial" w:eastAsia="Arial" w:hAnsi="Arial"/>
          <w:sz w:val="16"/>
          <w:szCs w:val="16"/>
          <w:b w:val="1"/>
          <w:bCs w:val="1"/>
          <w:u w:val="single" w:color="auto"/>
          <w:color w:val="auto"/>
        </w:rPr>
        <w:t>Replenishment</w:t>
      </w:r>
      <w:r>
        <w:rPr>
          <w:rFonts w:ascii="Arial" w:cs="Arial" w:eastAsia="Arial" w:hAnsi="Arial"/>
          <w:sz w:val="16"/>
          <w:szCs w:val="16"/>
          <w:color w:val="auto"/>
        </w:rPr>
        <w:t xml:space="preserve">. If, as a result of any drawing by Landlord on the L-C pursuant to its rights set forth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below, the amount of the L-C shall be less than the L-C Amount, Tenant shall, within ten (10) days after written notice thereof from Landlord, provide Landlord with (i) an amendment to the L-C restoring such L-C to the L-C Amount or (ii) additional L-Cs in an amount equal to the deficiency, which additional L-Cs shall comply with all of the provisions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and if Tenant fails to comply with the foregoing, notwithstanding anything to the contrary contained in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above, the same shall constitute an incurable Default by Tenant under this Lease (without the need for any additional notice and/or cure period).</w:t>
      </w:r>
    </w:p>
    <w:p>
      <w:pPr>
        <w:spacing w:after="0" w:line="122"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 xml:space="preserve">21.2.4 </w:t>
      </w:r>
      <w:r>
        <w:rPr>
          <w:rFonts w:ascii="Arial" w:cs="Arial" w:eastAsia="Arial" w:hAnsi="Arial"/>
          <w:sz w:val="18"/>
          <w:szCs w:val="18"/>
          <w:b w:val="1"/>
          <w:bCs w:val="1"/>
          <w:u w:val="single" w:color="auto"/>
          <w:color w:val="auto"/>
        </w:rPr>
        <w:t>Renewal; Replacement</w:t>
      </w:r>
      <w:r>
        <w:rPr>
          <w:rFonts w:ascii="Arial" w:cs="Arial" w:eastAsia="Arial" w:hAnsi="Arial"/>
          <w:sz w:val="18"/>
          <w:szCs w:val="18"/>
          <w:color w:val="auto"/>
        </w:rPr>
        <w:t>. If the L-C expires earlier than the date (the “</w:t>
      </w:r>
      <w:r>
        <w:rPr>
          <w:rFonts w:ascii="Arial" w:cs="Arial" w:eastAsia="Arial" w:hAnsi="Arial"/>
          <w:sz w:val="18"/>
          <w:szCs w:val="18"/>
          <w:b w:val="1"/>
          <w:bCs w:val="1"/>
          <w:color w:val="auto"/>
        </w:rPr>
        <w:t>LC Expiration Date</w:t>
      </w:r>
      <w:r>
        <w:rPr>
          <w:rFonts w:ascii="Arial" w:cs="Arial" w:eastAsia="Arial" w:hAnsi="Arial"/>
          <w:sz w:val="18"/>
          <w:szCs w:val="18"/>
          <w:color w:val="auto"/>
        </w:rPr>
        <w:t>”) that is sixty (60) days after the expiration of the Lease Term, Tenant shall deliver a new L-C or a certificate of renewal or extension to Landlord at least thirty (30) days prior to the expiration of the L-C then held by Landlord, without any action whatsoever on the part of Landlord, which new L-C shall be irrevocable upon the same terms as the expiring L-C or such other terms as may be acceptable to Landlord in its sole discretion. In furtherance of the foregoing, Landlord and Tenant agree that the L-C shall contain a so-called “evergreen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69" w:right="259" w:bottom="1440" w:gutter="0" w:footer="0" w:header="0"/>
        </w:sectPr>
      </w:pPr>
    </w:p>
    <w:bookmarkStart w:id="318" w:name="page319"/>
    <w:bookmarkEnd w:id="31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whereby the L-C will automatically be renewed unless at least thirty (30) days’ prior written notice of non-renewal is provided by the issuer to Landlord. In the event that Landlord draws upon the L-C solely due to Tenant’s failure to renew the L-C at least thirty (30) days before its expiration, such failure shall not constitute a default hereunder and Tenant shall thereafter have the right to provide a substitute L-C that satisfies the requirements of this Lease, and Landlord shall concurrently refund the proceeds of the draw.</w:t>
      </w:r>
    </w:p>
    <w:p>
      <w:pPr>
        <w:spacing w:after="0" w:line="7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21.2.5 </w:t>
      </w:r>
      <w:r>
        <w:rPr>
          <w:rFonts w:ascii="Arial" w:cs="Arial" w:eastAsia="Arial" w:hAnsi="Arial"/>
          <w:sz w:val="16"/>
          <w:szCs w:val="16"/>
          <w:b w:val="1"/>
          <w:bCs w:val="1"/>
          <w:u w:val="single" w:color="auto"/>
          <w:color w:val="auto"/>
        </w:rPr>
        <w:t>Issuing Bank’s Financial Condition</w:t>
      </w:r>
      <w:r>
        <w:rPr>
          <w:rFonts w:ascii="Arial" w:cs="Arial" w:eastAsia="Arial" w:hAnsi="Arial"/>
          <w:sz w:val="16"/>
          <w:szCs w:val="16"/>
          <w:color w:val="auto"/>
        </w:rPr>
        <w:t>. If, at any time during the Lease Term, the Issuing Bank’s long term credit rating is reduced below a long term issuer credit rating from Standard and Poor’s Professional Rating Service of BBB+ or a comparable rating from Moody’s Professional Rating Service (either, a “</w:t>
      </w:r>
      <w:r>
        <w:rPr>
          <w:rFonts w:ascii="Arial" w:cs="Arial" w:eastAsia="Arial" w:hAnsi="Arial"/>
          <w:sz w:val="16"/>
          <w:szCs w:val="16"/>
          <w:b w:val="1"/>
          <w:bCs w:val="1"/>
          <w:color w:val="auto"/>
        </w:rPr>
        <w:t>Bank Credit Threat</w:t>
      </w:r>
      <w:r>
        <w:rPr>
          <w:rFonts w:ascii="Arial" w:cs="Arial" w:eastAsia="Arial" w:hAnsi="Arial"/>
          <w:sz w:val="16"/>
          <w:szCs w:val="16"/>
          <w:color w:val="auto"/>
        </w:rPr>
        <w:t xml:space="preserve">”), then Landlord shall have the right to require that Tenant obtain from a different issuer a substitute L-C that complies in all respects with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and Tenant’s failure to obtain such substitute L-C within ten (10) business days following Landlord’s written demand therefor (with no other notice or cure or grace period being applicable thereto, notwithstanding anything in this Lease to the contrary) shall entitle Landlord, or Landlord’s then managing agent, to immediately draw upon the then existing L-C in whole or in part, without notice to Tenant, as more specifically described in </w:t>
      </w:r>
      <w:r>
        <w:rPr>
          <w:rFonts w:ascii="Arial" w:cs="Arial" w:eastAsia="Arial" w:hAnsi="Arial"/>
          <w:sz w:val="16"/>
          <w:szCs w:val="16"/>
          <w:u w:val="single" w:color="auto"/>
          <w:color w:val="auto"/>
        </w:rPr>
        <w:t>Sections 21.3 and 21.6</w:t>
      </w:r>
      <w:r>
        <w:rPr>
          <w:rFonts w:ascii="Arial" w:cs="Arial" w:eastAsia="Arial" w:hAnsi="Arial"/>
          <w:sz w:val="16"/>
          <w:szCs w:val="16"/>
          <w:color w:val="auto"/>
        </w:rPr>
        <w:t xml:space="preserve"> below. Tenant shall be responsible for the payment of Landlord’s reasonable attorneys’ fees to review any replacement L-C, which replacement is required pursuant to this Section or is otherwise requested by Tenant.</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or elsewhere in this Lease, during the Construction Period, Landlord shall, upon five (5) business days following receipt of notice from Tenant, along with an invoice therefor, pay all fees and costs incurred in connection with the replacement or reissuance of the L-C as a consequence of a Bank Credit Threat, or the Issuing Bank’s placement into “Receivership” (as that term is defined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below), and Tenant shall have no obligation to pay any such fees or costs; provided, however, that to the extent that Landlord has paid any such fees or costs or otherwise incurred any expense as a consequence of the replacement or reissuance of the L-C during the Construction Period, then at any time after the Construction Period, Landlord may submit a statement to Tenant of the amount of any such fees, costs or expenses incurred by Landlord during the Construction Period, and Tenant shall be obligated to pay such amount as Additional Rent hereunder within ten (10) days after Tenant’s receipt of such statement from Landlord; and further, provided, however, in no event shall Landlord’s payment of any of the foregoing fees or costs include the obligation to supply any collateral in connection with the replacement or reissuance of the L-C.</w:t>
      </w:r>
    </w:p>
    <w:p>
      <w:pPr>
        <w:spacing w:after="0" w:line="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b w:val="1"/>
          <w:bCs w:val="1"/>
          <w:u w:val="single" w:color="auto"/>
          <w:color w:val="auto"/>
        </w:rPr>
        <w:t>Application of Letter of Credit</w:t>
      </w:r>
      <w:r>
        <w:rPr>
          <w:rFonts w:ascii="Arial" w:cs="Arial" w:eastAsia="Arial" w:hAnsi="Arial"/>
          <w:sz w:val="17"/>
          <w:szCs w:val="17"/>
          <w:color w:val="auto"/>
        </w:rPr>
        <w:t>. Tenant hereby acknowledges and agrees that Landlord is entering into this Lease in material reliance upon the ability of Landlord to draw upon the L-C as protection for the full and faithful performance by Tenant of all of its obligations under this Lease and for all losses and damages Landlord may suffer (or which Landlord reasonably estimates that it may suffer) as a result of any breach or default by Tenant under this Lease. Landlord, or its then managing agent, shall have the right to draw down an amount up to the face amount of the L-C if any of the following shall have occurred or be applicable: (A) such amount is past due to Landlord under the terms and conditions of this Lease, or (B) Tenant has filed a voluntary petition under the U. S. Bankruptcy Code or any state bankruptcy code (collectively, “</w:t>
      </w:r>
      <w:r>
        <w:rPr>
          <w:rFonts w:ascii="Arial" w:cs="Arial" w:eastAsia="Arial" w:hAnsi="Arial"/>
          <w:sz w:val="17"/>
          <w:szCs w:val="17"/>
          <w:b w:val="1"/>
          <w:bCs w:val="1"/>
          <w:color w:val="auto"/>
        </w:rPr>
        <w:t>Bankruptcy Code</w:t>
      </w:r>
      <w:r>
        <w:rPr>
          <w:rFonts w:ascii="Arial" w:cs="Arial" w:eastAsia="Arial" w:hAnsi="Arial"/>
          <w:sz w:val="17"/>
          <w:szCs w:val="17"/>
          <w:color w:val="auto"/>
        </w:rPr>
        <w:t>”), or (C) an involuntary petition has been filed against Tenant under the Bankruptcy Code that is not dismissed within thirty (30) days, 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4" w:right="279" w:bottom="1440" w:gutter="0" w:footer="0" w:header="0"/>
        </w:sectPr>
      </w:pPr>
    </w:p>
    <w:bookmarkStart w:id="319" w:name="page320"/>
    <w:bookmarkEnd w:id="319"/>
    <w:p>
      <w:pPr>
        <w:ind w:firstLine="8"/>
        <w:spacing w:after="0" w:line="285" w:lineRule="auto"/>
        <w:tabs>
          <w:tab w:leader="none" w:pos="295" w:val="left"/>
        </w:tabs>
        <w:numPr>
          <w:ilvl w:val="0"/>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Issuing Bank has notified Landlord that the L-C will not be renewed or extended through the LC Expiration Date and Tenant has not provided a replacement L-C that satisfies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within thirty (30) days prior to the expiration thereof, or (E) a Bank Credit Threat or Receivership (as such term is defined in </w:t>
      </w:r>
      <w:r>
        <w:rPr>
          <w:rFonts w:ascii="Arial" w:cs="Arial" w:eastAsia="Arial" w:hAnsi="Arial"/>
          <w:sz w:val="16"/>
          <w:szCs w:val="16"/>
          <w:u w:val="single" w:color="auto"/>
          <w:color w:val="auto"/>
        </w:rPr>
        <w:t>Section 21.6.1</w:t>
      </w:r>
      <w:r>
        <w:rPr>
          <w:rFonts w:ascii="Arial" w:cs="Arial" w:eastAsia="Arial" w:hAnsi="Arial"/>
          <w:sz w:val="16"/>
          <w:szCs w:val="16"/>
          <w:color w:val="auto"/>
        </w:rPr>
        <w:t xml:space="preserve"> below) has occurred and Tenant has failed to comply with the requirements of either </w:t>
      </w:r>
      <w:r>
        <w:rPr>
          <w:rFonts w:ascii="Arial" w:cs="Arial" w:eastAsia="Arial" w:hAnsi="Arial"/>
          <w:sz w:val="16"/>
          <w:szCs w:val="16"/>
          <w:u w:val="single" w:color="auto"/>
          <w:color w:val="auto"/>
        </w:rPr>
        <w:t>Section 21.2.5</w:t>
      </w:r>
      <w:r>
        <w:rPr>
          <w:rFonts w:ascii="Arial" w:cs="Arial" w:eastAsia="Arial" w:hAnsi="Arial"/>
          <w:sz w:val="16"/>
          <w:szCs w:val="16"/>
          <w:color w:val="auto"/>
        </w:rPr>
        <w:t xml:space="preserve"> above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below, as applicable. If Tenant shall breach any provision of this Lease or otherwise be in default hereunder in each case beyond applicable notice and cure periods or if any of the foregoing events identified in </w:t>
      </w:r>
      <w:r>
        <w:rPr>
          <w:rFonts w:ascii="Arial" w:cs="Arial" w:eastAsia="Arial" w:hAnsi="Arial"/>
          <w:sz w:val="16"/>
          <w:szCs w:val="16"/>
          <w:u w:val="single" w:color="auto"/>
          <w:color w:val="auto"/>
        </w:rPr>
        <w:t>Sections 21.3(B)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shall have occurred, Landlord may, but without obligation to do so, and without notice to Tenant, draw upon the L-C, in part or in whole, and the proceeds may be applied by Landlord (i) to cure any breach or default of Tenant and/or to compensate Landlord for any and all damages of any kind or nature sustained or which Landlord reasonably estimates that it will sustain resulting from Tenant’s breach or default, (ii) against any Rent payable by Tenant under this Lease that is not paid when due and/or (iii) to pay for all losses and damages to which Landlord is entitled pursuant to California Civil Code Section 1951.2. If Landlord draws on the L-C pursuant to subpart (A) above, Landlord shall only draw on the L-C to the extent required to cure the default.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shall not operate as a limitation on any recovery to which Landlord may otherwise be entitled. Tenant agrees not to interfere in any way with payment to Landlord of the proceeds of the L-C, either prior to or following a “draw” by Landlord of any portion of the L-C, regardless of whether any dispute exists between Tenant and Landlord as to Landlord’s right to draw upon the L-C. No condition or term of this Lease shall be deemed to render the L-C conditional to justify the issuer of the L-C in failing to honor a drawing upon such L-C in a timely manner. Tenant agrees and acknowledges that (i) the L-C constitutes a separate and independent contract between Landlord and the Issuing Bank, (ii) Tenant is not a third party beneficiary of such contract, (iii) Tenant has no property interest whatsoever in the L-C or the proceeds thereof, and (iv) in the event Tenant becomes a debtor under any chapter of the Bankruptcy Code, neither Tenant, any trustee, nor Tenant’s bankruptcy estate shall have any right to restrict or limit Landlord’s claim and/or rights to the L-C and/or the proceeds thereof by application of Section 502(b)(6) of the U. S. Bankruptcy Code or otherwise.</w:t>
      </w:r>
    </w:p>
    <w:p>
      <w:pPr>
        <w:spacing w:after="0" w:line="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u w:val="single" w:color="auto"/>
          <w:color w:val="auto"/>
        </w:rPr>
        <w:t>Letter of Credit not a Security Deposit</w:t>
      </w:r>
      <w:r>
        <w:rPr>
          <w:rFonts w:ascii="Arial" w:cs="Arial" w:eastAsia="Arial" w:hAnsi="Arial"/>
          <w:sz w:val="17"/>
          <w:szCs w:val="17"/>
          <w:color w:val="auto"/>
        </w:rPr>
        <w:t xml:space="preserve">. Landlord and Tenant acknowledge and agree that in no event or circumstance shall the L-C, the “Security Deposit” (as that term is defined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below), if applicable, or any renewal thereof or any proceeds thereof be (i) deemed to be or treated as a “security deposit” within the meaning of California Civil Code Section 1950.7, (ii) subject to the terms of such Section 1950.7, or (iii) intended to serve as a “security deposit” within the meaning of such Section 1950.7. The parties hereto (A) recite that the L-C and the Security Deposit (if applicable) are not intended to serve as a security deposit and such Section 1950.7 and any and all other laws, rules and regulations applicable to security deposits in the commercial context (“</w:t>
      </w:r>
      <w:r>
        <w:rPr>
          <w:rFonts w:ascii="Arial" w:cs="Arial" w:eastAsia="Arial" w:hAnsi="Arial"/>
          <w:sz w:val="17"/>
          <w:szCs w:val="17"/>
          <w:b w:val="1"/>
          <w:bCs w:val="1"/>
          <w:color w:val="auto"/>
        </w:rPr>
        <w:t>Security Deposit Laws</w:t>
      </w:r>
      <w:r>
        <w:rPr>
          <w:rFonts w:ascii="Arial" w:cs="Arial" w:eastAsia="Arial" w:hAnsi="Arial"/>
          <w:sz w:val="17"/>
          <w:szCs w:val="17"/>
          <w:color w:val="auto"/>
        </w:rPr>
        <w:t>”) shall have no applicability or relevancy thereto and (B) waive any and all rights, duties and obligations either party may now or, in the future, will have relating to or arising from the Security Deposit Laws.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320" w:name="page321"/>
    <w:bookmarkEnd w:id="32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21.5 </w:t>
      </w:r>
      <w:r>
        <w:rPr>
          <w:rFonts w:ascii="Arial" w:cs="Arial" w:eastAsia="Arial" w:hAnsi="Arial"/>
          <w:sz w:val="16"/>
          <w:szCs w:val="16"/>
          <w:b w:val="1"/>
          <w:bCs w:val="1"/>
          <w:u w:val="single" w:color="auto"/>
          <w:color w:val="auto"/>
        </w:rPr>
        <w:t>Proceeds of Draw</w:t>
      </w:r>
      <w:r>
        <w:rPr>
          <w:rFonts w:ascii="Arial" w:cs="Arial" w:eastAsia="Arial" w:hAnsi="Arial"/>
          <w:sz w:val="16"/>
          <w:szCs w:val="16"/>
          <w:color w:val="auto"/>
        </w:rPr>
        <w:t xml:space="preserve">. In the event Landlord draws down on the L-C pursuant to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the proceeds of the L-C may be held by Landlord and applied by Landlord against any Rent payable by Tenant under this Lease that is not paid when due (subject to applicable notice and cure periods) and/or to pay for all losses and damages that Landlord has suffered or that Landlord reasonably estimates that it will suffer as a result of any breach or default by Tenant under this Lease. Any unused proceeds shall constitute the property of Landlord and need not be segregated from Landlord’s other assets. Tenant hereby (i) agrees that (A) Tenant has no property interest whatsoever in the proceeds from any such draw, and (B) such proceeds shall not be deemed to be or treated as a “security deposit” under the Security Deposit Laws, and (ii) waives all rights, duties and obligations either party may now or, in the future, will have relating to or arising from the Security Deposit Laws. Landlord agrees that the amount of any proceeds of the L-C received by Landlord, and not (a) applied against any Rent payable by Tenant under this Lease that was not paid when due or (b) used to pay for any losses and/or damages suffered by Landlord (or reasonably estimated by Landlord that it will suffer) as a result of any breach or default by Tenant under this Lease (the “</w:t>
      </w:r>
      <w:r>
        <w:rPr>
          <w:rFonts w:ascii="Arial" w:cs="Arial" w:eastAsia="Arial" w:hAnsi="Arial"/>
          <w:sz w:val="16"/>
          <w:szCs w:val="16"/>
          <w:b w:val="1"/>
          <w:bCs w:val="1"/>
          <w:color w:val="auto"/>
        </w:rPr>
        <w:t>Unused L-C</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shall be paid by Landlord to Tenant (x) upon receipt by Landlord of a replacement L-C in the full L-C Amount, which replacement L-C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comply in all respects with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and (y) immediately after the LC Expiration Date;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b w:val="1"/>
          <w:bCs w:val="1"/>
          <w:u w:val="single" w:color="auto"/>
          <w:color w:val="auto"/>
        </w:rPr>
        <w:t>Issuing Bank Placed Into Receivership</w:t>
      </w:r>
      <w:r>
        <w:rPr>
          <w:rFonts w:ascii="Arial" w:cs="Arial" w:eastAsia="Arial" w:hAnsi="Arial"/>
          <w:sz w:val="17"/>
          <w:szCs w:val="17"/>
          <w:color w:val="auto"/>
        </w:rPr>
        <w:t>. In the event the Issuing Bank is placed into receivership or conservatorship (any such event, a “</w:t>
      </w:r>
      <w:r>
        <w:rPr>
          <w:rFonts w:ascii="Arial" w:cs="Arial" w:eastAsia="Arial" w:hAnsi="Arial"/>
          <w:sz w:val="17"/>
          <w:szCs w:val="17"/>
          <w:b w:val="1"/>
          <w:bCs w:val="1"/>
          <w:color w:val="auto"/>
        </w:rPr>
        <w:t>Receivership</w:t>
      </w:r>
      <w:r>
        <w:rPr>
          <w:rFonts w:ascii="Arial" w:cs="Arial" w:eastAsia="Arial" w:hAnsi="Arial"/>
          <w:sz w:val="17"/>
          <w:szCs w:val="17"/>
          <w:color w:val="auto"/>
        </w:rPr>
        <w:t>”) by the Federal Deposit Insurance Corporation or any successor or similar entity (the “</w:t>
      </w:r>
      <w:r>
        <w:rPr>
          <w:rFonts w:ascii="Arial" w:cs="Arial" w:eastAsia="Arial" w:hAnsi="Arial"/>
          <w:sz w:val="17"/>
          <w:szCs w:val="17"/>
          <w:b w:val="1"/>
          <w:bCs w:val="1"/>
          <w:color w:val="auto"/>
        </w:rPr>
        <w:t>FDIC</w:t>
      </w:r>
      <w:r>
        <w:rPr>
          <w:rFonts w:ascii="Arial" w:cs="Arial" w:eastAsia="Arial" w:hAnsi="Arial"/>
          <w:sz w:val="17"/>
          <w:szCs w:val="17"/>
          <w:color w:val="auto"/>
        </w:rPr>
        <w:t xml:space="preserve">”), then, effective as of the date such Receivership occurs, the L-C shall be deemed to not meet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and, within ten (10) business days following Landlord’s notice to Tenant of such Receivership, Tenant shall replace the L-C with a substitute L-C from a different issuer reasonably acceptable to Landlord and that complies in all respects with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In the event that Landlord draws upon the L-C due to solely Tenant’s failure to provide a substitute L-C due to a Bank Credit Threat or Receivership, such failure shall not constitute a default hereunder and Tenant shall thereafter have the right to provide a substitute L-C that satisfies the requirements of this Lease, in which case, Landlord shall concurrently refund the proceeds of the draw or the Security Deposit, as applicable. If Landlord improperly draws on the L-C or the Security Deposit (if applicable), Tenant may offset against Rent the amounts improperly drawn. If, during the Construction Period, Landlord draws upon the then existing L-C pursuant to a Bank Credit Threat or as of the result of the Issuing Bank’s placement into Receivership, then Landlord shall deposit the proceeds from the draw into an account, in Landlord’s name, with either Wells Fargo Bank, JP Morgan Chase Bank or Union Bank (as determined by Landlord in its sole discretion) (each a “</w:t>
      </w:r>
      <w:r>
        <w:rPr>
          <w:rFonts w:ascii="Arial" w:cs="Arial" w:eastAsia="Arial" w:hAnsi="Arial"/>
          <w:sz w:val="17"/>
          <w:szCs w:val="17"/>
          <w:b w:val="1"/>
          <w:bCs w:val="1"/>
          <w:color w:val="auto"/>
        </w:rPr>
        <w:t>Security Deposit Bank</w:t>
      </w:r>
      <w:r>
        <w:rPr>
          <w:rFonts w:ascii="Arial" w:cs="Arial" w:eastAsia="Arial" w:hAnsi="Arial"/>
          <w:sz w:val="17"/>
          <w:szCs w:val="17"/>
          <w:color w:val="auto"/>
        </w:rPr>
        <w:t>”), which proceeds shall be held by Landlord as a security deposit (the “</w:t>
      </w:r>
      <w:r>
        <w:rPr>
          <w:rFonts w:ascii="Arial" w:cs="Arial" w:eastAsia="Arial" w:hAnsi="Arial"/>
          <w:sz w:val="17"/>
          <w:szCs w:val="17"/>
          <w:b w:val="1"/>
          <w:bCs w:val="1"/>
          <w:color w:val="auto"/>
        </w:rPr>
        <w:t>Security Deposit</w:t>
      </w:r>
      <w:r>
        <w:rPr>
          <w:rFonts w:ascii="Arial" w:cs="Arial" w:eastAsia="Arial" w:hAnsi="Arial"/>
          <w:sz w:val="17"/>
          <w:szCs w:val="17"/>
          <w:color w:val="auto"/>
        </w:rPr>
        <w:t>”) until receipt of a replacement L-C. In connection with the foregoing, (i) Tenant shall not be entitled to any interest on the Security Deposit, (ii) Landlord shall request that the Security Deposit Bank provide Tenant with a courtesy copy of any bank statements pertaining to the Security Deposit account, and (iii) Landlord’s use of the Security Deposit shall be subject to the terms and conditions of the Lease pertaining to Landlord’s right to use the proceeds of the L-C.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0" w:right="239" w:bottom="1440" w:gutter="0" w:footer="0" w:header="0"/>
        </w:sectPr>
      </w:pPr>
    </w:p>
    <w:bookmarkStart w:id="321" w:name="page322"/>
    <w:bookmarkEnd w:id="321"/>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21.7 </w:t>
      </w:r>
      <w:r>
        <w:rPr>
          <w:rFonts w:ascii="Arial" w:cs="Arial" w:eastAsia="Arial" w:hAnsi="Arial"/>
          <w:sz w:val="16"/>
          <w:szCs w:val="16"/>
          <w:b w:val="1"/>
          <w:bCs w:val="1"/>
          <w:u w:val="single" w:color="auto"/>
          <w:color w:val="auto"/>
        </w:rPr>
        <w:t>Reduction of L-C Amount</w:t>
      </w:r>
      <w:r>
        <w:rPr>
          <w:rFonts w:ascii="Arial" w:cs="Arial" w:eastAsia="Arial" w:hAnsi="Arial"/>
          <w:sz w:val="16"/>
          <w:szCs w:val="16"/>
          <w:color w:val="auto"/>
        </w:rPr>
        <w:t xml:space="preserve">. The L-C Amount may be reduced upon or following the “Initial Reduction Date”, and upon or following each “Reduction Date” (as defined below) occurring thereafter, by the “L-C Reduction Amount”; provided, however, the L-C Amount shall never be less than Five Million Dollars ($5,000,000). The reduction of the L-C Amount shall be effectuated by Tenant’s delivery to Landlord of a certificate of amendment to the existing L-C, conforming in all respects to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in the amount of the applicable reduced L-C Amount. If Tenant is allowed to reduce the L-C Amount pursuant to the terms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then Landlord shall reasonably cooperate with Tenant in order to effectuate such reduction.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21.7.1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hereof, the following terms shall have the meanings set forth below.</w:t>
      </w:r>
    </w:p>
    <w:p>
      <w:pPr>
        <w:spacing w:after="0" w:line="117" w:lineRule="exact"/>
        <w:rPr>
          <w:sz w:val="20"/>
          <w:szCs w:val="20"/>
          <w:color w:val="auto"/>
        </w:rPr>
      </w:pPr>
    </w:p>
    <w:p>
      <w:pPr>
        <w:ind w:right="280" w:firstLine="1484"/>
        <w:spacing w:after="0" w:line="266" w:lineRule="auto"/>
        <w:rPr>
          <w:sz w:val="20"/>
          <w:szCs w:val="20"/>
          <w:color w:val="auto"/>
        </w:rPr>
      </w:pPr>
      <w:r>
        <w:rPr>
          <w:rFonts w:ascii="Arial" w:cs="Arial" w:eastAsia="Arial" w:hAnsi="Arial"/>
          <w:sz w:val="18"/>
          <w:szCs w:val="18"/>
          <w:color w:val="auto"/>
        </w:rPr>
        <w:t xml:space="preserve">21.7.1.1 </w:t>
      </w:r>
      <w:r>
        <w:rPr>
          <w:rFonts w:ascii="Arial" w:cs="Arial" w:eastAsia="Arial" w:hAnsi="Arial"/>
          <w:sz w:val="18"/>
          <w:szCs w:val="18"/>
          <w:b w:val="1"/>
          <w:bCs w:val="1"/>
          <w:color w:val="auto"/>
        </w:rPr>
        <w:t>“No Reduction Period</w:t>
      </w:r>
      <w:r>
        <w:rPr>
          <w:rFonts w:ascii="Arial" w:cs="Arial" w:eastAsia="Arial" w:hAnsi="Arial"/>
          <w:sz w:val="18"/>
          <w:szCs w:val="18"/>
          <w:color w:val="auto"/>
        </w:rPr>
        <w:t>” shall mean the period commencing on the Effective Date and expiring on the last day of the twelfth (12</w:t>
      </w:r>
      <w:r>
        <w:rPr>
          <w:rFonts w:ascii="Arial" w:cs="Arial" w:eastAsia="Arial" w:hAnsi="Arial"/>
          <w:sz w:val="15"/>
          <w:szCs w:val="15"/>
          <w:color w:val="auto"/>
        </w:rPr>
        <w:t>th</w:t>
      </w:r>
      <w:r>
        <w:rPr>
          <w:rFonts w:ascii="Arial" w:cs="Arial" w:eastAsia="Arial" w:hAnsi="Arial"/>
          <w:sz w:val="18"/>
          <w:szCs w:val="18"/>
          <w:color w:val="auto"/>
        </w:rPr>
        <w:t xml:space="preserve">) full calendar month following Landlord’s receipt of all of the items described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w:t>
      </w:r>
      <w:r>
        <w:rPr>
          <w:rFonts w:ascii="Arial" w:cs="Arial" w:eastAsia="Arial" w:hAnsi="Arial"/>
          <w:sz w:val="18"/>
          <w:szCs w:val="18"/>
          <w:b w:val="1"/>
          <w:bCs w:val="1"/>
          <w:u w:val="single" w:color="auto"/>
          <w:color w:val="auto"/>
        </w:rPr>
        <w:t>Schedule 4 to Exhibit B</w:t>
      </w:r>
      <w:r>
        <w:rPr>
          <w:rFonts w:ascii="Arial" w:cs="Arial" w:eastAsia="Arial" w:hAnsi="Arial"/>
          <w:sz w:val="18"/>
          <w:szCs w:val="18"/>
          <w:color w:val="auto"/>
        </w:rPr>
        <w:t xml:space="preserve"> with respect to the Improvements in the entire Premises.</w:t>
      </w:r>
    </w:p>
    <w:p>
      <w:pPr>
        <w:spacing w:after="0" w:line="68" w:lineRule="exact"/>
        <w:rPr>
          <w:sz w:val="20"/>
          <w:szCs w:val="20"/>
          <w:color w:val="auto"/>
        </w:rPr>
      </w:pPr>
    </w:p>
    <w:p>
      <w:pPr>
        <w:ind w:right="60" w:firstLine="1484"/>
        <w:spacing w:after="0" w:line="266" w:lineRule="auto"/>
        <w:rPr>
          <w:sz w:val="20"/>
          <w:szCs w:val="20"/>
          <w:color w:val="auto"/>
        </w:rPr>
      </w:pPr>
      <w:r>
        <w:rPr>
          <w:rFonts w:ascii="Arial" w:cs="Arial" w:eastAsia="Arial" w:hAnsi="Arial"/>
          <w:sz w:val="18"/>
          <w:szCs w:val="18"/>
          <w:color w:val="auto"/>
        </w:rPr>
        <w:t xml:space="preserve">21.7.1.2 </w:t>
      </w:r>
      <w:r>
        <w:rPr>
          <w:rFonts w:ascii="Arial" w:cs="Arial" w:eastAsia="Arial" w:hAnsi="Arial"/>
          <w:sz w:val="18"/>
          <w:szCs w:val="18"/>
          <w:b w:val="1"/>
          <w:bCs w:val="1"/>
          <w:color w:val="auto"/>
        </w:rPr>
        <w:t>“Initial Reduction Date</w:t>
      </w:r>
      <w:r>
        <w:rPr>
          <w:rFonts w:ascii="Arial" w:cs="Arial" w:eastAsia="Arial" w:hAnsi="Arial"/>
          <w:sz w:val="18"/>
          <w:szCs w:val="18"/>
          <w:color w:val="auto"/>
        </w:rPr>
        <w:t>” shall mean the first (1</w:t>
      </w:r>
      <w:r>
        <w:rPr>
          <w:rFonts w:ascii="Arial" w:cs="Arial" w:eastAsia="Arial" w:hAnsi="Arial"/>
          <w:sz w:val="15"/>
          <w:szCs w:val="15"/>
          <w:color w:val="auto"/>
        </w:rPr>
        <w:t>st</w:t>
      </w:r>
      <w:r>
        <w:rPr>
          <w:rFonts w:ascii="Arial" w:cs="Arial" w:eastAsia="Arial" w:hAnsi="Arial"/>
          <w:sz w:val="18"/>
          <w:szCs w:val="18"/>
          <w:color w:val="auto"/>
        </w:rPr>
        <w:t>) day of the first (1</w:t>
      </w:r>
      <w:r>
        <w:rPr>
          <w:rFonts w:ascii="Arial" w:cs="Arial" w:eastAsia="Arial" w:hAnsi="Arial"/>
          <w:sz w:val="15"/>
          <w:szCs w:val="15"/>
          <w:color w:val="auto"/>
        </w:rPr>
        <w:t>st</w:t>
      </w:r>
      <w:r>
        <w:rPr>
          <w:rFonts w:ascii="Arial" w:cs="Arial" w:eastAsia="Arial" w:hAnsi="Arial"/>
          <w:sz w:val="18"/>
          <w:szCs w:val="18"/>
          <w:color w:val="auto"/>
        </w:rPr>
        <w:t>) calendar month following the month in which the No Reduction Period expires and the L-C Reduction Conditions are satisfied, whether or not Tenant has delivered evidence to Landlord that such L-C Reduction Conditions are satisfied.</w:t>
      </w:r>
    </w:p>
    <w:p>
      <w:pPr>
        <w:spacing w:after="0" w:line="68" w:lineRule="exact"/>
        <w:rPr>
          <w:sz w:val="20"/>
          <w:szCs w:val="20"/>
          <w:color w:val="auto"/>
        </w:rPr>
      </w:pPr>
    </w:p>
    <w:p>
      <w:pPr>
        <w:ind w:right="140" w:firstLine="1484"/>
        <w:spacing w:after="0" w:line="282" w:lineRule="auto"/>
        <w:rPr>
          <w:sz w:val="20"/>
          <w:szCs w:val="20"/>
          <w:color w:val="auto"/>
        </w:rPr>
      </w:pPr>
      <w:r>
        <w:rPr>
          <w:rFonts w:ascii="Arial" w:cs="Arial" w:eastAsia="Arial" w:hAnsi="Arial"/>
          <w:sz w:val="18"/>
          <w:szCs w:val="18"/>
          <w:color w:val="auto"/>
        </w:rPr>
        <w:t xml:space="preserve">21.7.1.3 </w:t>
      </w:r>
      <w:r>
        <w:rPr>
          <w:rFonts w:ascii="Arial" w:cs="Arial" w:eastAsia="Arial" w:hAnsi="Arial"/>
          <w:sz w:val="18"/>
          <w:szCs w:val="18"/>
          <w:b w:val="1"/>
          <w:bCs w:val="1"/>
          <w:color w:val="auto"/>
        </w:rPr>
        <w:t>“Reduction Date</w:t>
      </w:r>
      <w:r>
        <w:rPr>
          <w:rFonts w:ascii="Arial" w:cs="Arial" w:eastAsia="Arial" w:hAnsi="Arial"/>
          <w:sz w:val="18"/>
          <w:szCs w:val="18"/>
          <w:color w:val="auto"/>
        </w:rPr>
        <w:t>” shall mean the date, if any, in each calendar year following the calendar year in which the Initial Reduction Date occurs that Tenant first satisfies (or maintains the satisfaction of) the L-C Reduction Conditions.</w:t>
      </w:r>
    </w:p>
    <w:p>
      <w:pPr>
        <w:spacing w:after="0" w:line="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21.7.1.4 </w:t>
      </w:r>
      <w:r>
        <w:rPr>
          <w:rFonts w:ascii="Arial" w:cs="Arial" w:eastAsia="Arial" w:hAnsi="Arial"/>
          <w:sz w:val="18"/>
          <w:szCs w:val="18"/>
          <w:b w:val="1"/>
          <w:bCs w:val="1"/>
          <w:color w:val="auto"/>
        </w:rPr>
        <w:t>“L-C Reduction Amount</w:t>
      </w:r>
      <w:r>
        <w:rPr>
          <w:rFonts w:ascii="Arial" w:cs="Arial" w:eastAsia="Arial" w:hAnsi="Arial"/>
          <w:sz w:val="18"/>
          <w:szCs w:val="18"/>
          <w:color w:val="auto"/>
        </w:rPr>
        <w:t>” shall mean an amount equal to $2,434,163.08.</w:t>
      </w:r>
    </w:p>
    <w:p>
      <w:pPr>
        <w:spacing w:after="0" w:line="117" w:lineRule="exact"/>
        <w:rPr>
          <w:sz w:val="20"/>
          <w:szCs w:val="20"/>
          <w:color w:val="auto"/>
        </w:rPr>
      </w:pPr>
    </w:p>
    <w:p>
      <w:pPr>
        <w:ind w:right="180" w:firstLine="1484"/>
        <w:spacing w:after="0" w:line="289" w:lineRule="auto"/>
        <w:rPr>
          <w:sz w:val="20"/>
          <w:szCs w:val="20"/>
          <w:color w:val="auto"/>
        </w:rPr>
      </w:pPr>
      <w:r>
        <w:rPr>
          <w:rFonts w:ascii="Arial" w:cs="Arial" w:eastAsia="Arial" w:hAnsi="Arial"/>
          <w:sz w:val="16"/>
          <w:szCs w:val="16"/>
          <w:color w:val="auto"/>
        </w:rPr>
        <w:t xml:space="preserve">21.7.1.5 </w:t>
      </w:r>
      <w:r>
        <w:rPr>
          <w:rFonts w:ascii="Arial" w:cs="Arial" w:eastAsia="Arial" w:hAnsi="Arial"/>
          <w:sz w:val="16"/>
          <w:szCs w:val="16"/>
          <w:b w:val="1"/>
          <w:bCs w:val="1"/>
          <w:color w:val="auto"/>
        </w:rPr>
        <w:t>“L-C Reduction Conditions</w:t>
      </w:r>
      <w:r>
        <w:rPr>
          <w:rFonts w:ascii="Arial" w:cs="Arial" w:eastAsia="Arial" w:hAnsi="Arial"/>
          <w:sz w:val="16"/>
          <w:szCs w:val="16"/>
          <w:color w:val="auto"/>
        </w:rPr>
        <w:t>” shall mean that Tenant is not then in Default under this Lease, and either of the following conditions is satisfied, as demonstrated, in the case of item (i) below, by Tenant’s most recent year-end annual financial reports prepared and certified by an independent certified public accountant and delivered to Landlord within one hundred fifty (150) days following the end of the financial year in question:</w:t>
      </w:r>
    </w:p>
    <w:p>
      <w:pPr>
        <w:spacing w:after="0" w:line="2" w:lineRule="exact"/>
        <w:rPr>
          <w:sz w:val="20"/>
          <w:szCs w:val="20"/>
          <w:color w:val="auto"/>
        </w:rPr>
      </w:pPr>
    </w:p>
    <w:p>
      <w:pPr>
        <w:ind w:firstLine="8"/>
        <w:spacing w:after="0" w:line="295" w:lineRule="auto"/>
        <w:tabs>
          <w:tab w:leader="none" w:pos="21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Tenant has (A) positive “Operating Cashflow” (defined below) of at least Two Hundred Fifty Million Dollars ($250,000,000) </w:t>
      </w:r>
      <w:r>
        <w:rPr>
          <w:rFonts w:ascii="Arial" w:cs="Arial" w:eastAsia="Arial" w:hAnsi="Arial"/>
          <w:sz w:val="16"/>
          <w:szCs w:val="16"/>
          <w:i w:val="1"/>
          <w:iCs w:val="1"/>
          <w:u w:val="single" w:color="auto"/>
          <w:color w:val="auto"/>
        </w:rPr>
        <w:t>and</w:t>
      </w:r>
      <w:r>
        <w:rPr>
          <w:rFonts w:ascii="Arial" w:cs="Arial" w:eastAsia="Arial" w:hAnsi="Arial"/>
          <w:sz w:val="16"/>
          <w:szCs w:val="16"/>
          <w:color w:val="auto"/>
        </w:rPr>
        <w:t xml:space="preserve"> (B) ”Total Liquidity” (defined below) of at least Three Hundred Fifty Million Dollars ($350,000,000) </w:t>
      </w:r>
      <w:r>
        <w:rPr>
          <w:rFonts w:ascii="Arial" w:cs="Arial" w:eastAsia="Arial" w:hAnsi="Arial"/>
          <w:sz w:val="16"/>
          <w:szCs w:val="16"/>
          <w:i w:val="1"/>
          <w:iCs w:val="1"/>
          <w:u w:val="single" w:color="auto"/>
          <w:color w:val="auto"/>
        </w:rPr>
        <w:t>or</w:t>
      </w:r>
      <w:r>
        <w:rPr>
          <w:rFonts w:ascii="Arial" w:cs="Arial" w:eastAsia="Arial" w:hAnsi="Arial"/>
          <w:sz w:val="16"/>
          <w:szCs w:val="16"/>
          <w:color w:val="auto"/>
        </w:rPr>
        <w:t xml:space="preserve"> (ii) the stock of Tenant is traded on a national public exchange and Tenant’s “equity market capitalization” as of the Reduction Date in question is greater than Eight Billion Dollars ($8,000,000,000) determined based upon the average of the closing price of Tenant’s stock on the last trading day of each calendar quarter during the four (4) quarters preceding such Reduction Date.</w:t>
      </w:r>
    </w:p>
    <w:p>
      <w:pPr>
        <w:spacing w:after="0" w:line="49" w:lineRule="exact"/>
        <w:rPr>
          <w:sz w:val="20"/>
          <w:szCs w:val="20"/>
          <w:color w:val="auto"/>
        </w:rPr>
      </w:pPr>
    </w:p>
    <w:p>
      <w:pPr>
        <w:ind w:right="20" w:firstLine="1484"/>
        <w:spacing w:after="0" w:line="282" w:lineRule="auto"/>
        <w:rPr>
          <w:sz w:val="20"/>
          <w:szCs w:val="20"/>
          <w:color w:val="auto"/>
        </w:rPr>
      </w:pPr>
      <w:r>
        <w:rPr>
          <w:rFonts w:ascii="Arial" w:cs="Arial" w:eastAsia="Arial" w:hAnsi="Arial"/>
          <w:sz w:val="18"/>
          <w:szCs w:val="18"/>
          <w:color w:val="auto"/>
        </w:rPr>
        <w:t xml:space="preserve">21.7.1.6 </w:t>
      </w:r>
      <w:r>
        <w:rPr>
          <w:rFonts w:ascii="Arial" w:cs="Arial" w:eastAsia="Arial" w:hAnsi="Arial"/>
          <w:sz w:val="18"/>
          <w:szCs w:val="18"/>
          <w:b w:val="1"/>
          <w:bCs w:val="1"/>
          <w:color w:val="auto"/>
        </w:rPr>
        <w:t>“Operating Cashflow</w:t>
      </w:r>
      <w:r>
        <w:rPr>
          <w:rFonts w:ascii="Arial" w:cs="Arial" w:eastAsia="Arial" w:hAnsi="Arial"/>
          <w:sz w:val="18"/>
          <w:szCs w:val="18"/>
          <w:color w:val="auto"/>
        </w:rPr>
        <w:t>” shall mean cash flow from operating activities as stated in Tenant’s audited financials, as determined by generally accepted accounting principles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0" w:right="279" w:bottom="1440" w:gutter="0" w:footer="0" w:header="0"/>
        </w:sectPr>
      </w:pPr>
    </w:p>
    <w:bookmarkStart w:id="322" w:name="page323"/>
    <w:bookmarkEnd w:id="322"/>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21.7.1.7 </w:t>
      </w:r>
      <w:r>
        <w:rPr>
          <w:rFonts w:ascii="Arial" w:cs="Arial" w:eastAsia="Arial" w:hAnsi="Arial"/>
          <w:sz w:val="18"/>
          <w:szCs w:val="18"/>
          <w:b w:val="1"/>
          <w:bCs w:val="1"/>
          <w:color w:val="auto"/>
        </w:rPr>
        <w:t>“Total Liquidity</w:t>
      </w:r>
      <w:r>
        <w:rPr>
          <w:rFonts w:ascii="Arial" w:cs="Arial" w:eastAsia="Arial" w:hAnsi="Arial"/>
          <w:sz w:val="18"/>
          <w:szCs w:val="18"/>
          <w:color w:val="auto"/>
        </w:rPr>
        <w:t>” shall mean cash on hand and borrowings available under Tenant’s credit agreement or revolver.</w:t>
      </w:r>
    </w:p>
    <w:p>
      <w:pPr>
        <w:spacing w:after="0" w:line="11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21.7.2 </w:t>
      </w:r>
      <w:r>
        <w:rPr>
          <w:rFonts w:ascii="Arial" w:cs="Arial" w:eastAsia="Arial" w:hAnsi="Arial"/>
          <w:sz w:val="18"/>
          <w:szCs w:val="18"/>
          <w:b w:val="1"/>
          <w:bCs w:val="1"/>
          <w:u w:val="single" w:color="auto"/>
          <w:color w:val="auto"/>
        </w:rPr>
        <w:t>Inspection Right</w:t>
      </w:r>
      <w:r>
        <w:rPr>
          <w:rFonts w:ascii="Arial" w:cs="Arial" w:eastAsia="Arial" w:hAnsi="Arial"/>
          <w:sz w:val="18"/>
          <w:szCs w:val="18"/>
          <w:color w:val="auto"/>
        </w:rPr>
        <w:t xml:space="preserve">. After Tenant has met the L-C Reduction Conditions set forth in item (i), but not item (ii) of </w:t>
      </w:r>
      <w:r>
        <w:rPr>
          <w:rFonts w:ascii="Arial" w:cs="Arial" w:eastAsia="Arial" w:hAnsi="Arial"/>
          <w:sz w:val="18"/>
          <w:szCs w:val="18"/>
          <w:u w:val="single" w:color="auto"/>
          <w:color w:val="auto"/>
        </w:rPr>
        <w:t>Section 21.7.1.5</w:t>
      </w:r>
      <w:r>
        <w:rPr>
          <w:rFonts w:ascii="Arial" w:cs="Arial" w:eastAsia="Arial" w:hAnsi="Arial"/>
          <w:sz w:val="18"/>
          <w:szCs w:val="18"/>
          <w:color w:val="auto"/>
        </w:rPr>
        <w:t>, above, upon request, Landlord shall have the right to inspect, at Tenant’s offices in San Francisco, California, Tenant’s current quarterly financial reports, provided that any reports made available to Landlord shall be certified as true and correct by Tenant’s chief financial officer, and at a minimum shall include an income statement, balance sheet and cash flow, and applicable notes thereto.</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 OF ROOF DECK</w:t>
      </w:r>
    </w:p>
    <w:p>
      <w:pPr>
        <w:spacing w:after="0" w:line="22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u w:val="single" w:color="auto"/>
          <w:color w:val="auto"/>
        </w:rPr>
        <w:t>In General</w:t>
      </w:r>
      <w:r>
        <w:rPr>
          <w:rFonts w:ascii="Arial" w:cs="Arial" w:eastAsia="Arial" w:hAnsi="Arial"/>
          <w:sz w:val="17"/>
          <w:szCs w:val="17"/>
          <w:color w:val="auto"/>
        </w:rPr>
        <w:t>. Tenant shall have the right to use, on an exclusive basis, but subject to “Landlord Use Rights” (as defined hereinbelow), the roof deck to be located on the seventh (7</w:t>
      </w:r>
      <w:r>
        <w:rPr>
          <w:rFonts w:ascii="Arial" w:cs="Arial" w:eastAsia="Arial" w:hAnsi="Arial"/>
          <w:sz w:val="14"/>
          <w:szCs w:val="14"/>
          <w:color w:val="auto"/>
        </w:rPr>
        <w:t>th</w:t>
      </w:r>
      <w:r>
        <w:rPr>
          <w:rFonts w:ascii="Arial" w:cs="Arial" w:eastAsia="Arial" w:hAnsi="Arial"/>
          <w:sz w:val="17"/>
          <w:szCs w:val="17"/>
          <w:color w:val="auto"/>
        </w:rPr>
        <w:t>) floor of the North Building (the “</w:t>
      </w:r>
      <w:r>
        <w:rPr>
          <w:rFonts w:ascii="Arial" w:cs="Arial" w:eastAsia="Arial" w:hAnsi="Arial"/>
          <w:sz w:val="17"/>
          <w:szCs w:val="17"/>
          <w:b w:val="1"/>
          <w:bCs w:val="1"/>
          <w:color w:val="auto"/>
        </w:rPr>
        <w:t>Roof Deck</w:t>
      </w:r>
      <w:r>
        <w:rPr>
          <w:rFonts w:ascii="Arial" w:cs="Arial" w:eastAsia="Arial" w:hAnsi="Arial"/>
          <w:sz w:val="17"/>
          <w:szCs w:val="17"/>
          <w:color w:val="auto"/>
        </w:rPr>
        <w:t>”), which Roof Deck shall, for purposes of this Lease, be deemed part of the Common Areas. Tenant’s use of the Roof Deck shall be subject to such reasonable rules and regulations as may be prescribed by Landlord from time to time, and Landlord shall also comply with such rules and regulations in connection with the Landlord Use Rights. Tenant shall not make any improvements or alterations to the Roof Deck, nor shall Tenant be permitted to install or place on the Roof Deck any furniture, fixtures, plants, graphics, signs or insignias or other items of any kind whatsoever, without Landlord’s prior consent, which consent shall not be unreasonably withheld.</w:t>
      </w:r>
    </w:p>
    <w:p>
      <w:pPr>
        <w:spacing w:after="0" w:line="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b w:val="1"/>
          <w:bCs w:val="1"/>
          <w:u w:val="single" w:color="auto"/>
          <w:color w:val="auto"/>
        </w:rPr>
        <w:t>Landlord Use Rights</w:t>
      </w:r>
      <w:r>
        <w:rPr>
          <w:rFonts w:ascii="Arial" w:cs="Arial" w:eastAsia="Arial" w:hAnsi="Arial"/>
          <w:sz w:val="17"/>
          <w:szCs w:val="17"/>
          <w:color w:val="auto"/>
        </w:rPr>
        <w:t>. Landlord shall have the right to temporarily close the Roof Deck or limit access thereto (i) from time to time in connection with Landlord’s maintenance or repair of the Roof Deck or Buildings and (ii) no more than twice within any twelve (12) month period, for a period of no more than six (6) consecutive hours (excluding set up and take down time) for other reasonable purposes, including, without limitation, for events hosted on behalf of or for Landlord (and not hosted by Landlord on behalf of another tenant or occupant of the Project) at any time (collectively, “</w:t>
      </w:r>
      <w:r>
        <w:rPr>
          <w:rFonts w:ascii="Arial" w:cs="Arial" w:eastAsia="Arial" w:hAnsi="Arial"/>
          <w:sz w:val="17"/>
          <w:szCs w:val="17"/>
          <w:b w:val="1"/>
          <w:bCs w:val="1"/>
          <w:color w:val="auto"/>
        </w:rPr>
        <w:t>Landlord Use</w:t>
      </w:r>
      <w:r>
        <w:rPr>
          <w:rFonts w:ascii="Arial" w:cs="Arial" w:eastAsia="Arial" w:hAnsi="Arial"/>
          <w:sz w:val="17"/>
          <w:szCs w:val="17"/>
          <w:color w:val="auto"/>
        </w:rPr>
        <w:t xml:space="preserve"> </w:t>
      </w:r>
      <w:r>
        <w:rPr>
          <w:rFonts w:ascii="Arial" w:cs="Arial" w:eastAsia="Arial" w:hAnsi="Arial"/>
          <w:sz w:val="17"/>
          <w:szCs w:val="17"/>
          <w:b w:val="1"/>
          <w:bCs w:val="1"/>
          <w:color w:val="auto"/>
        </w:rPr>
        <w:t>Rights</w:t>
      </w:r>
      <w:r>
        <w:rPr>
          <w:rFonts w:ascii="Arial" w:cs="Arial" w:eastAsia="Arial" w:hAnsi="Arial"/>
          <w:sz w:val="17"/>
          <w:szCs w:val="17"/>
          <w:color w:val="auto"/>
        </w:rPr>
        <w:t>”, and such Landlord Use Rights described in clause (ii) above are “</w:t>
      </w:r>
      <w:r>
        <w:rPr>
          <w:rFonts w:ascii="Arial" w:cs="Arial" w:eastAsia="Arial" w:hAnsi="Arial"/>
          <w:sz w:val="17"/>
          <w:szCs w:val="17"/>
          <w:b w:val="1"/>
          <w:bCs w:val="1"/>
          <w:color w:val="auto"/>
        </w:rPr>
        <w:t>Landlord Event Use Rights</w:t>
      </w:r>
      <w:r>
        <w:rPr>
          <w:rFonts w:ascii="Arial" w:cs="Arial" w:eastAsia="Arial" w:hAnsi="Arial"/>
          <w:sz w:val="17"/>
          <w:szCs w:val="17"/>
          <w:color w:val="auto"/>
        </w:rPr>
        <w:t>”); provided, however, that Landlord shall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reasonable advance notice to Tenant of the anticipated period of closure or limited use of the Roof Deck, and in the case of Landlord Event Use Rights, Landlord shall schedule any such use of the Roof Deck in consultation with Tenant so as to avoid conflicts with any particular pre-planned use of the Roof Deck by Tenant for an event that does not occur routinely. Subject to the terms of this </w:t>
      </w:r>
      <w:r>
        <w:rPr>
          <w:rFonts w:ascii="Arial" w:cs="Arial" w:eastAsia="Arial" w:hAnsi="Arial"/>
          <w:sz w:val="17"/>
          <w:szCs w:val="17"/>
          <w:u w:val="single" w:color="auto"/>
          <w:color w:val="auto"/>
        </w:rPr>
        <w:t>Article 22</w:t>
      </w:r>
      <w:r>
        <w:rPr>
          <w:rFonts w:ascii="Arial" w:cs="Arial" w:eastAsia="Arial" w:hAnsi="Arial"/>
          <w:sz w:val="17"/>
          <w:szCs w:val="17"/>
          <w:color w:val="auto"/>
        </w:rPr>
        <w:t>, Tenant shall allow Landlord and Landlord’s permitted users of the Roof Deck access to Tenant’s restrooms located in its Premises during any Landlord Use Rights. Tenant shall have the right to provide janitorial and security services to the Roof Deck in connection with any Landlord Event Use Rights, and Landlord shall reimburse Tenant’s actual, reasonable, out-of-pocket costs of providing the same, promptly following receipt of an invoice therefor.</w:t>
      </w:r>
    </w:p>
    <w:p>
      <w:pPr>
        <w:spacing w:after="0" w:line="66"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u w:val="single" w:color="auto"/>
          <w:color w:val="auto"/>
        </w:rPr>
        <w:t>Other Terms</w:t>
      </w:r>
      <w:r>
        <w:rPr>
          <w:rFonts w:ascii="Arial" w:cs="Arial" w:eastAsia="Arial" w:hAnsi="Arial"/>
          <w:sz w:val="17"/>
          <w:szCs w:val="17"/>
          <w:color w:val="auto"/>
        </w:rPr>
        <w:t>. Landlord and Tenant acknowledge and agree that (i) Tenant shall be responsible for supervising and controlling access to the Roof Deck by Tenant’s employees, officers, directors, shareholders, agents, representatives, contractors and invitees (the “</w:t>
      </w:r>
      <w:r>
        <w:rPr>
          <w:rFonts w:ascii="Arial" w:cs="Arial" w:eastAsia="Arial" w:hAnsi="Arial"/>
          <w:sz w:val="17"/>
          <w:szCs w:val="17"/>
          <w:b w:val="1"/>
          <w:bCs w:val="1"/>
          <w:color w:val="auto"/>
        </w:rPr>
        <w:t>Roof</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69" w:right="279" w:bottom="1440" w:gutter="0" w:footer="0" w:header="0"/>
        </w:sectPr>
      </w:pPr>
    </w:p>
    <w:bookmarkStart w:id="323" w:name="page324"/>
    <w:bookmarkEnd w:id="323"/>
    <w:p>
      <w:pPr>
        <w:ind w:right="6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Deck Users</w:t>
      </w:r>
      <w:r>
        <w:rPr>
          <w:rFonts w:ascii="Arial" w:cs="Arial" w:eastAsia="Arial" w:hAnsi="Arial"/>
          <w:sz w:val="17"/>
          <w:szCs w:val="17"/>
          <w:color w:val="auto"/>
        </w:rPr>
        <w:t>”) and Landlord shall be responsible for supervising and controlling access to the Roof Deck by Landlord’s Roof Deck Users; and (ii) Landlord is</w:t>
      </w:r>
      <w:r>
        <w:rPr>
          <w:rFonts w:ascii="Arial" w:cs="Arial" w:eastAsia="Arial" w:hAnsi="Arial"/>
          <w:sz w:val="17"/>
          <w:szCs w:val="17"/>
          <w:b w:val="1"/>
          <w:bCs w:val="1"/>
          <w:color w:val="auto"/>
        </w:rPr>
        <w:t xml:space="preserve"> </w:t>
      </w:r>
      <w:r>
        <w:rPr>
          <w:rFonts w:ascii="Arial" w:cs="Arial" w:eastAsia="Arial" w:hAnsi="Arial"/>
          <w:sz w:val="17"/>
          <w:szCs w:val="17"/>
          <w:color w:val="auto"/>
        </w:rPr>
        <w:t>not responsible for supervising and controlling access to the Roof Deck, except in connection with Landlord’s exercise of Landlord’s Use Rights. Except to the extent arising as a consequence of the negligence or willful misconduct of Landlord: (a) Tenant assumes the risk for any Loss arising out of the use or misuse of the Roof Deck by Tenant’s Roof Deck Users, and Tenant releases and discharges Landlord from and against any such loss, claim, damage or liability; (b) Tenant further agrees to indemnify, defend and hold Landlord and the Landlord Parties, harmless from and against any and all losses and claims relating to or arising out of the use or misuse of the Roof Deck by Tenant or Tenant’s Roof Deck Users. Except to the extent arising as a consequence of the negligence or willful misconduct of Tenant: (A) Landlord assumes the risk for any Loss arising out of the use or misuse of the Roof Deck by Landlord’s Roof Deck Users, and Landlord releases and discharges Tenant from and against any such Loss; (B) Landlord further agrees to indemnify, defend and hold Tenant and the Tenant Parties, harmless from and against any and all Losses relating to or arising out of the use or misuse of the Roof Deck by Landlord or Landlord’s Roof Deck Users. Neither party shall have any liability or responsibility to monitor the use, or manner of use, by the Roof Deck Users of the other party.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SIGNS; ROOF RIGHTS</w:t>
      </w:r>
    </w:p>
    <w:p>
      <w:pPr>
        <w:spacing w:after="0" w:line="225"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Full Floors</w:t>
      </w:r>
      <w:r>
        <w:rPr>
          <w:rFonts w:ascii="Arial" w:cs="Arial" w:eastAsia="Arial" w:hAnsi="Arial"/>
          <w:sz w:val="16"/>
          <w:szCs w:val="16"/>
          <w:color w:val="auto"/>
        </w:rPr>
        <w:t>. Subject to Landlord’s prior written approval, in its reasonable discretion, and provided all signs are in keeping with the quality, design and style of the Buildings and Project, (a) to the extent that the Premises includes any full floor(s) of any Building, Tenant, at its sole cost and expense, may install identification signage anywhere on such floor(s), and (b) to the extent that the Premises includes any partial floor(s) of any Building, Tenant, at its sole cost and expense, may install Building standard identification signage in the elevator lobby and at the entrance to the Premises on such floor(s).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u w:val="single" w:color="auto"/>
          <w:color w:val="auto"/>
        </w:rPr>
        <w:t>Lobby Signage</w:t>
      </w:r>
      <w:r>
        <w:rPr>
          <w:rFonts w:ascii="Arial" w:cs="Arial" w:eastAsia="Arial" w:hAnsi="Arial"/>
          <w:sz w:val="18"/>
          <w:szCs w:val="18"/>
          <w:color w:val="auto"/>
        </w:rPr>
        <w:t>. Original Tenant and any Permitted Transferee Assignee, at Tenant’s sole cost and expense, shall have the exclusive right to install, repair and maintain its name and/or logo in the North Lobby and the South Lobby. Any such installation, repair and/or maintenance shall be subject to compliance with Applicable Laws and Landlord’s prior approval of any such signs, which approval shall not be unreasonably withheld, conditioned or delayed. In any event, Tenant shall be entitled to building standard signage in the lobby directory of the North Complex and the South Complex throughout the Lease Term.</w:t>
      </w:r>
    </w:p>
    <w:p>
      <w:pPr>
        <w:spacing w:after="0" w:line="7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u w:val="single" w:color="auto"/>
          <w:color w:val="auto"/>
        </w:rPr>
        <w:t>Prohibited Signage and Other Items</w:t>
      </w:r>
      <w:r>
        <w:rPr>
          <w:rFonts w:ascii="Arial" w:cs="Arial" w:eastAsia="Arial" w:hAnsi="Arial"/>
          <w:sz w:val="18"/>
          <w:szCs w:val="18"/>
          <w:color w:val="auto"/>
        </w:rPr>
        <w:t xml:space="preserve">. Any signs, notices, logos, pictures, names or advertisements which are installed which are visible from the exterior or the Premises and that have not been separately approved by Landlord (which approval shall not be unreasonably withheld) may be removed without notice by Landlord at the sole expense of Tenant. Except as described in </w:t>
      </w:r>
      <w:r>
        <w:rPr>
          <w:rFonts w:ascii="Arial" w:cs="Arial" w:eastAsia="Arial" w:hAnsi="Arial"/>
          <w:sz w:val="18"/>
          <w:szCs w:val="18"/>
          <w:u w:val="single" w:color="auto"/>
          <w:color w:val="auto"/>
        </w:rPr>
        <w:t>Section 23.5</w:t>
      </w:r>
      <w:r>
        <w:rPr>
          <w:rFonts w:ascii="Arial" w:cs="Arial" w:eastAsia="Arial" w:hAnsi="Arial"/>
          <w:sz w:val="18"/>
          <w:szCs w:val="18"/>
          <w:color w:val="auto"/>
        </w:rPr>
        <w:t xml:space="preserve"> below, Tenant may not install any signs on the exterior or roof of any Building, the Project or the Common Areas. Any signs, window coverings, or blinds (even if the same are located behind the Landlord-approved window coverings for the Building), or other items visible from the exterior of the Premises or Buildings, shall be subject to the prior approval of Landlord, in its sole discretion.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69" w:right="239" w:bottom="1440" w:gutter="0" w:footer="0" w:header="0"/>
        </w:sectPr>
      </w:pPr>
    </w:p>
    <w:bookmarkStart w:id="324" w:name="page325"/>
    <w:bookmarkEnd w:id="324"/>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23.5 </w:t>
      </w:r>
      <w:r>
        <w:rPr>
          <w:rFonts w:ascii="Arial" w:cs="Arial" w:eastAsia="Arial" w:hAnsi="Arial"/>
          <w:sz w:val="16"/>
          <w:szCs w:val="16"/>
          <w:b w:val="1"/>
          <w:bCs w:val="1"/>
          <w:u w:val="single" w:color="auto"/>
          <w:color w:val="auto"/>
        </w:rPr>
        <w:t>Exterior Signage</w:t>
      </w:r>
      <w:r>
        <w:rPr>
          <w:rFonts w:ascii="Arial" w:cs="Arial" w:eastAsia="Arial" w:hAnsi="Arial"/>
          <w:sz w:val="16"/>
          <w:szCs w:val="16"/>
          <w:color w:val="auto"/>
        </w:rPr>
        <w:t xml:space="preserve">. Throughout the Lease Term, as the same may be extended, Original Tenant and any Permitted Transferee Assignee, at Tenant’s sole cost and expense, shall have the exclusive right (except to the extent provided below) to install, repair and maintain (i) its name and logo on any monument sign installed by Landlord (in Landlord’s sole discretion) and associated with a particular Building (provided that Tenant hereby acknowledges and agrees that no monument sign exists as of the date of this Lease, and Landlord has no obligation to install any monument sign for any Building), and (ii) signs on the exterior of Buildings in the locations shown on </w:t>
      </w:r>
      <w:r>
        <w:rPr>
          <w:rFonts w:ascii="Arial" w:cs="Arial" w:eastAsia="Arial" w:hAnsi="Arial"/>
          <w:sz w:val="16"/>
          <w:szCs w:val="16"/>
          <w:b w:val="1"/>
          <w:bCs w:val="1"/>
          <w:u w:val="single" w:color="auto"/>
          <w:color w:val="auto"/>
        </w:rPr>
        <w:t>Exhibit J</w:t>
      </w:r>
      <w:r>
        <w:rPr>
          <w:rFonts w:ascii="Arial" w:cs="Arial" w:eastAsia="Arial" w:hAnsi="Arial"/>
          <w:sz w:val="16"/>
          <w:szCs w:val="16"/>
          <w:color w:val="auto"/>
        </w:rPr>
        <w:t xml:space="preserve"> attached hereto, which exterior signs may be Tenant’s name and/or logo. Landlord shall work with Tenant to obtain City and other required approvals of such monument and exterior signs. Any such installation, repair and/or maintenance (including the exact location thereof) shall be subject to compliance with Applicable Laws, the Underlying Documents and Landlord’s prior approval, which approval shall not be unreasonably withheld, conditioned or delayed. Notwithstanding anything to the contrary set forth herein, Landlord shall be entitled to grant any retail tenants the rights to install their standard building sign package, including, eyebrow signage, blade signage, and store front signage, on or about their premises, and may grant such retail tenants monument signage rights, with the name and/or logo of such tenant located below Tenant’s name and logo on any shared monument sign. The anticipated size, types and locations of retail signage are set forth on </w:t>
      </w:r>
      <w:r>
        <w:rPr>
          <w:rFonts w:ascii="Arial" w:cs="Arial" w:eastAsia="Arial" w:hAnsi="Arial"/>
          <w:sz w:val="16"/>
          <w:szCs w:val="16"/>
          <w:b w:val="1"/>
          <w:bCs w:val="1"/>
          <w:u w:val="single" w:color="auto"/>
          <w:color w:val="auto"/>
        </w:rPr>
        <w:t>Exhibit J-1</w:t>
      </w:r>
      <w:r>
        <w:rPr>
          <w:rFonts w:ascii="Arial" w:cs="Arial" w:eastAsia="Arial" w:hAnsi="Arial"/>
          <w:sz w:val="16"/>
          <w:szCs w:val="16"/>
          <w:color w:val="auto"/>
        </w:rPr>
        <w:t xml:space="preserve"> attached hereto; provided that the exact size, types and locations of such signage shall be reasonably determined by Landlord in consultation with Tenant (but such consultation shall not be required if Landlord does not depart from the signage shown on </w:t>
      </w:r>
      <w:r>
        <w:rPr>
          <w:rFonts w:ascii="Arial" w:cs="Arial" w:eastAsia="Arial" w:hAnsi="Arial"/>
          <w:sz w:val="16"/>
          <w:szCs w:val="16"/>
          <w:b w:val="1"/>
          <w:bCs w:val="1"/>
          <w:u w:val="single" w:color="auto"/>
          <w:color w:val="auto"/>
        </w:rPr>
        <w:t>Exhibit J-1</w:t>
      </w:r>
      <w:r>
        <w:rPr>
          <w:rFonts w:ascii="Arial" w:cs="Arial" w:eastAsia="Arial" w:hAnsi="Arial"/>
          <w:sz w:val="16"/>
          <w:szCs w:val="16"/>
          <w:color w:val="auto"/>
        </w:rPr>
        <w:t>) and subject to City and other required approvals and the Underlying Documents.</w:t>
      </w:r>
    </w:p>
    <w:p>
      <w:pPr>
        <w:spacing w:after="0" w:line="5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b w:val="1"/>
          <w:bCs w:val="1"/>
          <w:u w:val="single" w:color="auto"/>
          <w:color w:val="auto"/>
        </w:rPr>
        <w:t>Name Change</w:t>
      </w:r>
      <w:r>
        <w:rPr>
          <w:rFonts w:ascii="Arial" w:cs="Arial" w:eastAsia="Arial" w:hAnsi="Arial"/>
          <w:sz w:val="17"/>
          <w:szCs w:val="17"/>
          <w:color w:val="auto"/>
        </w:rPr>
        <w:t>. If Tenant changes its name at any time, Tenant shall have the right, at Tenant’s cost, to make such changes to its signage as necessary to reflect the changed name, and may modify or change existing signs to do so. Any such changes or alterations to existing signage at the Project shall be subject to compliance with Applicable Laws and in connection with any exterior and lobby signage, Landlord’s prior approval as to the shape, size and location of any such changes or alterations, which approval shall not be unreasonably withheld, conditioned or delayed. To the extent Tenant desires to change the name and/or logo set forth on new or existing signs, such name and/or logo shall not have a name which relates to an entity which is of a character or reputation, or is associated with a political faction or orientation, which is inconsistent with the quality of the Project, or which would otherwise reasonably offend a landlord of the Comparable Buildings.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b w:val="1"/>
          <w:bCs w:val="1"/>
          <w:u w:val="single" w:color="auto"/>
          <w:color w:val="auto"/>
        </w:rPr>
        <w:t>Roof Rights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 xml:space="preserve">23.7.1 </w:t>
      </w:r>
      <w:r>
        <w:rPr>
          <w:rFonts w:ascii="Arial" w:cs="Arial" w:eastAsia="Arial" w:hAnsi="Arial"/>
          <w:sz w:val="18"/>
          <w:szCs w:val="18"/>
          <w:b w:val="1"/>
          <w:bCs w:val="1"/>
          <w:u w:val="single" w:color="auto"/>
          <w:color w:val="auto"/>
        </w:rPr>
        <w:t>Right to Install Equipment</w:t>
      </w:r>
      <w:r>
        <w:rPr>
          <w:rFonts w:ascii="Arial" w:cs="Arial" w:eastAsia="Arial" w:hAnsi="Arial"/>
          <w:sz w:val="18"/>
          <w:szCs w:val="18"/>
          <w:color w:val="auto"/>
        </w:rPr>
        <w:t xml:space="preserve">. Throughout the Lease Term, as the same may be extended, subject to Landlord’s reasonable approval and the terms of this </w:t>
      </w:r>
      <w:r>
        <w:rPr>
          <w:rFonts w:ascii="Arial" w:cs="Arial" w:eastAsia="Arial" w:hAnsi="Arial"/>
          <w:sz w:val="18"/>
          <w:szCs w:val="18"/>
          <w:u w:val="single" w:color="auto"/>
          <w:color w:val="auto"/>
        </w:rPr>
        <w:t>Section 23.7</w:t>
      </w:r>
      <w:r>
        <w:rPr>
          <w:rFonts w:ascii="Arial" w:cs="Arial" w:eastAsia="Arial" w:hAnsi="Arial"/>
          <w:sz w:val="18"/>
          <w:szCs w:val="18"/>
          <w:color w:val="auto"/>
        </w:rPr>
        <w:t>, Tenant shall have the non-exclusive right to install, repair, maintain (including access thereto) and replace on the roof of the Buildings, two (2) satellite dishes, television or communications antennae or facilities, related receiving or transmitting equipment, related cable connections and any and all other related or similar equipment (collectively, the “</w:t>
      </w:r>
      <w:r>
        <w:rPr>
          <w:rFonts w:ascii="Arial" w:cs="Arial" w:eastAsia="Arial" w:hAnsi="Arial"/>
          <w:sz w:val="18"/>
          <w:szCs w:val="18"/>
          <w:b w:val="1"/>
          <w:bCs w:val="1"/>
          <w:color w:val="auto"/>
        </w:rPr>
        <w:t>Communications Equipment</w:t>
      </w:r>
      <w:r>
        <w:rPr>
          <w:rFonts w:ascii="Arial" w:cs="Arial" w:eastAsia="Arial" w:hAnsi="Arial"/>
          <w:sz w:val="18"/>
          <w:szCs w:val="18"/>
          <w:color w:val="auto"/>
        </w:rPr>
        <w:t>”), for use in connection with Tenant’s business within the Premises, in a location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0" w:right="239" w:bottom="1440" w:gutter="0" w:footer="0" w:header="0"/>
        </w:sectPr>
      </w:pPr>
    </w:p>
    <w:bookmarkStart w:id="325" w:name="page326"/>
    <w:bookmarkEnd w:id="32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reasonably designated by Landlord and subject to the execution by Landlord and Tenant of a separate license agreement outlining the terms and conditions of Tenant’s use of such rooftop space; provided, however, any installation shall be performed pursuant to this </w:t>
      </w:r>
      <w:r>
        <w:rPr>
          <w:rFonts w:ascii="Arial" w:cs="Arial" w:eastAsia="Arial" w:hAnsi="Arial"/>
          <w:sz w:val="16"/>
          <w:szCs w:val="16"/>
          <w:u w:val="single" w:color="auto"/>
          <w:color w:val="auto"/>
        </w:rPr>
        <w:t>Section 23.7</w:t>
      </w:r>
      <w:r>
        <w:rPr>
          <w:rFonts w:ascii="Arial" w:cs="Arial" w:eastAsia="Arial" w:hAnsi="Arial"/>
          <w:sz w:val="16"/>
          <w:szCs w:val="16"/>
          <w:color w:val="auto"/>
        </w:rPr>
        <w:t xml:space="preserve">, and it shall be deemed reasonable for Landlord to withhold its approval to the extent any such installation would interfere with the Landlord’s or any other tenant’s use, operation, repair and/or maintenance of then-existing equipment and systems installed on the roof or use of the Roof Deck or would violate Code, the Mission Bay Requirements or the Underlying Documents. The exact location, physical appearance and all specifications of the Communications Equipment (including, without limitation, mounting and structural support specifications) shall be subject to Landlord’s reasonable approval, and Landlord may require Tenant to install screening around such Communications Equipment, at Tenant’s sole cost and expense, as reasonably designated by Landlord. Without having to pay any additional rental or license fees therefor, but subject to Landlord’s reasonable rules and regulations, Tenant may also use a Building’s risers, conduits and towers for purposes of installing cabling from the Communications Equipment to the Premises in the interior of such Building. Tenant may not license, assign or sublet the right to use any of such Communications Equipment or podium roof space, other than to Transferees permitted under </w:t>
      </w:r>
      <w:r>
        <w:rPr>
          <w:rFonts w:ascii="Arial" w:cs="Arial" w:eastAsia="Arial" w:hAnsi="Arial"/>
          <w:sz w:val="16"/>
          <w:szCs w:val="16"/>
          <w:u w:val="single" w:color="auto"/>
          <w:color w:val="auto"/>
        </w:rPr>
        <w:t>Article 14</w:t>
      </w:r>
      <w:r>
        <w:rPr>
          <w:rFonts w:ascii="Arial" w:cs="Arial" w:eastAsia="Arial" w:hAnsi="Arial"/>
          <w:sz w:val="16"/>
          <w:szCs w:val="16"/>
          <w:color w:val="auto"/>
        </w:rPr>
        <w:t>, without Landlord’s prior written consent, which consent may be withheld in Landlord’s sole and absolute discretion. Notwithstanding any provision set forth in the Lease, Tenant shall be responsible, at Tenant’s sole cost and expense, for (i) obtaining, as applicable, and maintaining all permits or other governmental approvals required in connection with the Communications Equipment, (ii) repairing and maintaining and causing the Communications Equipment to comply with all Applicable Laws, and (iii) the removal of the Communications Equipment and all associated wiring promptly following the expiration or earlier termination of this Lease (and the repair of all affected areas to the condition existing prior to the installation thereof). In no event shall Tenant permit the Communications Equipment to interfere with the Building Systems or any other communications equipment at the Project.</w:t>
      </w:r>
    </w:p>
    <w:p>
      <w:pPr>
        <w:spacing w:after="0" w:line="66"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color w:val="auto"/>
        </w:rPr>
        <w:t xml:space="preserve">23.7.2 </w:t>
      </w:r>
      <w:r>
        <w:rPr>
          <w:rFonts w:ascii="Arial" w:cs="Arial" w:eastAsia="Arial" w:hAnsi="Arial"/>
          <w:sz w:val="18"/>
          <w:szCs w:val="18"/>
          <w:b w:val="1"/>
          <w:bCs w:val="1"/>
          <w:u w:val="single" w:color="auto"/>
          <w:color w:val="auto"/>
        </w:rPr>
        <w:t>Right of Use</w:t>
      </w:r>
      <w:r>
        <w:rPr>
          <w:rFonts w:ascii="Arial" w:cs="Arial" w:eastAsia="Arial" w:hAnsi="Arial"/>
          <w:sz w:val="18"/>
          <w:szCs w:val="18"/>
          <w:color w:val="auto"/>
        </w:rPr>
        <w:t>. Landlord may grant to other tenants of the Project and to other third parties the right to use the roofs of the Buildings for the installation of Communications Equipment, provided that such installations do not materially interfere with any then-existing Communications Equipment of Tenant.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COMPLIANCE WITH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b w:val="1"/>
          <w:bCs w:val="1"/>
          <w:u w:val="single" w:color="auto"/>
          <w:color w:val="auto"/>
        </w:rPr>
        <w:t>By Tenant</w:t>
      </w:r>
      <w:r>
        <w:rPr>
          <w:rFonts w:ascii="Arial" w:cs="Arial" w:eastAsia="Arial" w:hAnsi="Arial"/>
          <w:sz w:val="17"/>
          <w:szCs w:val="17"/>
          <w:color w:val="auto"/>
        </w:rPr>
        <w:t>. Tenant shall not do anything or permit anything to be done in or about the Premises which will in any way conflict with any law,</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statute, ordinance or other governmental rule, regulation or requirement now in force or which may hereafter be enacted or promulgated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At its sole cost and expense, Tenant shall promptly comply with all Applicable Laws which relate to (i) Tenant’s use of the Premises,</w:t>
      </w:r>
    </w:p>
    <w:p>
      <w:pPr>
        <w:spacing w:after="0" w:line="32" w:lineRule="exact"/>
        <w:rPr>
          <w:sz w:val="20"/>
          <w:szCs w:val="20"/>
          <w:color w:val="auto"/>
        </w:rPr>
      </w:pPr>
    </w:p>
    <w:p>
      <w:pPr>
        <w:ind w:right="20" w:firstLine="8"/>
        <w:spacing w:after="0" w:line="302" w:lineRule="auto"/>
        <w:tabs>
          <w:tab w:leader="none" w:pos="26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Alterations made by Tenant to the Premises, and any Improvements in the Premises, or (iii) the Base Building, but as to the Base Building, only to the extent such obligations are triggered by Alterations made by Tenant to the Premises to the extent such Alterations are not normal and customary business office improvements in Comparable Buildings, or triggered by the Improvements to the extent such Improvements are not normal and customary business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326" w:name="page327"/>
    <w:bookmarkEnd w:id="326"/>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office improvements, or triggered by Tenant’s use of the Premises for non-general office use. Tenant shall not, however, be responsible for the cost of complying with Applicable Laws to the extent that any such compliance is required as a result of the Base Building failing to comply with Applicable Laws in effect as of the Delivery Date.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to the extent they apply to Tenant’s use or occupancy of the Premises. Tenant shall be responsible, at its sole cost and expense, to make all alterations to the Premises as are required to comply with the governmental rules, regulations, requirements or standards described in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with which Tenant is responsible for compliance. The judgment of any court of competent jurisdiction or the admission of Tenant in any judicial action, regardless of whether Landlord is a party thereto, that Tenant has violated any of said governmental measures, shall be conclusive of that fact as between Landlord and Tenant. Tenant shall promptly pay all fines, penalties and damages that may arise out of or be imposed because of its failure to comply with the provisions of this </w:t>
      </w:r>
      <w:r>
        <w:rPr>
          <w:rFonts w:ascii="Arial" w:cs="Arial" w:eastAsia="Arial" w:hAnsi="Arial"/>
          <w:sz w:val="16"/>
          <w:szCs w:val="16"/>
          <w:u w:val="single" w:color="auto"/>
          <w:color w:val="auto"/>
        </w:rPr>
        <w:t>Article 24</w:t>
      </w:r>
      <w:r>
        <w:rPr>
          <w:rFonts w:ascii="Arial" w:cs="Arial" w:eastAsia="Arial" w:hAnsi="Arial"/>
          <w:sz w:val="16"/>
          <w:szCs w:val="16"/>
          <w:color w:val="auto"/>
        </w:rPr>
        <w:t>.</w:t>
      </w:r>
    </w:p>
    <w:p>
      <w:pPr>
        <w:spacing w:after="0" w:line="5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b w:val="1"/>
          <w:bCs w:val="1"/>
          <w:u w:val="single" w:color="auto"/>
          <w:color w:val="auto"/>
        </w:rPr>
        <w:t>By Landlord</w:t>
      </w:r>
      <w:r>
        <w:rPr>
          <w:rFonts w:ascii="Arial" w:cs="Arial" w:eastAsia="Arial" w:hAnsi="Arial"/>
          <w:sz w:val="17"/>
          <w:szCs w:val="17"/>
          <w:color w:val="auto"/>
        </w:rPr>
        <w:t xml:space="preserve">. Notwithstanding anything to the contrary in this Lease, to the extent required in order for Tenant to obtain a CofO to legally occupy the Premises for normal and customary office use, assuming normal and customary office occupancy density, or to the extent required in order for Tenant to pull a construction permit or to otherwise comply with the requirements of the applicable permitting authority, Landlord (rather than Tenant) shall comply with all Applicable Laws relating to the Base Building and Common Areas, except to the extent such compliance is triggered by (a) Tenant’s particular use of the Premises for other than normal and customary business office use or (b) Tenant’s construction of Alterations or Improvements in the Premises that are not normal and customary office improvements for Comparable Buildings in which case compliance with such Applicable Laws shall be the responsibility of Tenant under this Lease. Landlord shall be permitted to include in Operating Expenses any costs or expenses incurred by Landlord under this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to the extent not prohibited by the terms of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above.</w:t>
      </w:r>
    </w:p>
    <w:p>
      <w:pPr>
        <w:spacing w:after="0" w:line="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b w:val="1"/>
          <w:bCs w:val="1"/>
          <w:u w:val="single" w:color="auto"/>
          <w:color w:val="auto"/>
        </w:rPr>
        <w:t>Certified Access Specialist</w:t>
      </w:r>
      <w:r>
        <w:rPr>
          <w:rFonts w:ascii="Arial" w:cs="Arial" w:eastAsia="Arial" w:hAnsi="Arial"/>
          <w:sz w:val="16"/>
          <w:szCs w:val="16"/>
          <w:color w:val="auto"/>
        </w:rPr>
        <w:t>. For purposes of Section 1938 of the California Civil Code, Landlord hereby discloses to Tenant, and Tenant hereby acknowledges, that the Premises have not undergone inspection by a Certified Access Specialist (“</w:t>
      </w:r>
      <w:r>
        <w:rPr>
          <w:rFonts w:ascii="Arial" w:cs="Arial" w:eastAsia="Arial" w:hAnsi="Arial"/>
          <w:sz w:val="16"/>
          <w:szCs w:val="16"/>
          <w:b w:val="1"/>
          <w:bCs w:val="1"/>
          <w:color w:val="auto"/>
        </w:rPr>
        <w:t>CASp</w:t>
      </w:r>
      <w:r>
        <w:rPr>
          <w:rFonts w:ascii="Arial" w:cs="Arial" w:eastAsia="Arial" w:hAnsi="Arial"/>
          <w:sz w:val="16"/>
          <w:szCs w:val="16"/>
          <w:color w:val="auto"/>
        </w:rPr>
        <w:t>”).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Landlord or Tenant shall be conducted, at the requesting party’s sole cost and expense, by a</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327" w:name="page328"/>
    <w:bookmarkEnd w:id="327"/>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CASp approved by Landlord, subject to the non-requesting party’s reasonable rules and requirements; and (b) the cost of making any improvements or repairs within the Premises, the Buildings or the Project to correct violations of construction-related accessibility standards shall be allocated as provided in </w:t>
      </w:r>
      <w:r>
        <w:rPr>
          <w:rFonts w:ascii="Arial" w:cs="Arial" w:eastAsia="Arial" w:hAnsi="Arial"/>
          <w:sz w:val="18"/>
          <w:szCs w:val="18"/>
          <w:u w:val="single" w:color="auto"/>
          <w:color w:val="auto"/>
        </w:rPr>
        <w:t>Section 24.1 and 24.2</w:t>
      </w:r>
      <w:r>
        <w:rPr>
          <w:rFonts w:ascii="Arial" w:cs="Arial" w:eastAsia="Arial" w:hAnsi="Arial"/>
          <w:sz w:val="18"/>
          <w:szCs w:val="18"/>
          <w:color w:val="auto"/>
        </w:rPr>
        <w:t xml:space="preserve"> above.</w:t>
      </w:r>
    </w:p>
    <w:p>
      <w:pPr>
        <w:spacing w:after="0" w:line="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b w:val="1"/>
          <w:bCs w:val="1"/>
          <w:u w:val="single" w:color="auto"/>
          <w:color w:val="auto"/>
        </w:rPr>
        <w:t>Underlying Documents</w:t>
      </w:r>
      <w:r>
        <w:rPr>
          <w:rFonts w:ascii="Arial" w:cs="Arial" w:eastAsia="Arial" w:hAnsi="Arial"/>
          <w:sz w:val="16"/>
          <w:szCs w:val="16"/>
          <w:color w:val="auto"/>
        </w:rPr>
        <w:t>. Tenant shall comply with all easements, licenses, operating agreements, declarations, restrictive covenants, or instruments pertaining to the sharing of costs by Landlord with respect to the Project, including, without limitation, any covenants, conditions and restrictions affecting the Project, and reciprocal easement agreements affecting the Project, any parking licenses, and any agreements with transit agencies affecting the Project (collectively, “</w:t>
      </w:r>
      <w:r>
        <w:rPr>
          <w:rFonts w:ascii="Arial" w:cs="Arial" w:eastAsia="Arial" w:hAnsi="Arial"/>
          <w:sz w:val="16"/>
          <w:szCs w:val="16"/>
          <w:b w:val="1"/>
          <w:bCs w:val="1"/>
          <w:color w:val="auto"/>
        </w:rPr>
        <w:t>Underlying Documents</w:t>
      </w:r>
      <w:r>
        <w:rPr>
          <w:rFonts w:ascii="Arial" w:cs="Arial" w:eastAsia="Arial" w:hAnsi="Arial"/>
          <w:sz w:val="16"/>
          <w:szCs w:val="16"/>
          <w:color w:val="auto"/>
        </w:rPr>
        <w:t>”), including, without limitation, (i) that certain Amended and Restated Declaration and Agreement of Covenants, Conditions and Restrictions for the UCSF Mission Bay Campus recorded July 19, 1999 in the Official Records as Instrument No. 99-G622193-00,</w:t>
      </w:r>
    </w:p>
    <w:p>
      <w:pPr>
        <w:spacing w:after="0" w:line="2" w:lineRule="exact"/>
        <w:rPr>
          <w:sz w:val="20"/>
          <w:szCs w:val="20"/>
          <w:color w:val="auto"/>
        </w:rPr>
      </w:pPr>
    </w:p>
    <w:p>
      <w:pPr>
        <w:ind w:right="40" w:firstLine="8"/>
        <w:spacing w:after="0" w:line="281" w:lineRule="auto"/>
        <w:tabs>
          <w:tab w:leader="none" w:pos="26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that certain Master Declaration of Covenants, Conditions, Restrictions and Reservation of Easements for Mission Bay Commercial, recorded January 16, 2001 in the Official Records as Instrument No. 2001-G889923-00, (iii) that certain Mission Bay South Owner Participation Agreement between the Redevelopment Agency of the City and County of San Francisco (the “</w:t>
      </w:r>
      <w:r>
        <w:rPr>
          <w:rFonts w:ascii="Arial" w:cs="Arial" w:eastAsia="Arial" w:hAnsi="Arial"/>
          <w:sz w:val="16"/>
          <w:szCs w:val="16"/>
          <w:b w:val="1"/>
          <w:bCs w:val="1"/>
          <w:color w:val="auto"/>
        </w:rPr>
        <w:t>Redevelopment Agency</w:t>
      </w:r>
      <w:r>
        <w:rPr>
          <w:rFonts w:ascii="Arial" w:cs="Arial" w:eastAsia="Arial" w:hAnsi="Arial"/>
          <w:sz w:val="16"/>
          <w:szCs w:val="16"/>
          <w:color w:val="auto"/>
        </w:rPr>
        <w:t>”) and Catellus Development Corporation (“</w:t>
      </w:r>
      <w:r>
        <w:rPr>
          <w:rFonts w:ascii="Arial" w:cs="Arial" w:eastAsia="Arial" w:hAnsi="Arial"/>
          <w:sz w:val="16"/>
          <w:szCs w:val="16"/>
          <w:b w:val="1"/>
          <w:bCs w:val="1"/>
          <w:color w:val="auto"/>
        </w:rPr>
        <w:t>CDC</w:t>
      </w:r>
      <w:r>
        <w:rPr>
          <w:rFonts w:ascii="Arial" w:cs="Arial" w:eastAsia="Arial" w:hAnsi="Arial"/>
          <w:sz w:val="16"/>
          <w:szCs w:val="16"/>
          <w:color w:val="auto"/>
        </w:rPr>
        <w:t>”) recorded December 3, 1998 in the Official Records as Instrument No. 98-G477258-00 (as amended, the “</w:t>
      </w:r>
      <w:r>
        <w:rPr>
          <w:rFonts w:ascii="Arial" w:cs="Arial" w:eastAsia="Arial" w:hAnsi="Arial"/>
          <w:sz w:val="16"/>
          <w:szCs w:val="16"/>
          <w:b w:val="1"/>
          <w:bCs w:val="1"/>
          <w:color w:val="auto"/>
        </w:rPr>
        <w:t>OPA</w:t>
      </w:r>
      <w:r>
        <w:rPr>
          <w:rFonts w:ascii="Arial" w:cs="Arial" w:eastAsia="Arial" w:hAnsi="Arial"/>
          <w:sz w:val="16"/>
          <w:szCs w:val="16"/>
          <w:color w:val="auto"/>
        </w:rPr>
        <w:t>”), (iv) that certain Redevelopment Plan for the Mission Bay South Redevelopment Project recorded November 18, 1998 in the Official Records as Instrument No. 98-G470337-00 (the “</w:t>
      </w:r>
      <w:r>
        <w:rPr>
          <w:rFonts w:ascii="Arial" w:cs="Arial" w:eastAsia="Arial" w:hAnsi="Arial"/>
          <w:sz w:val="16"/>
          <w:szCs w:val="16"/>
          <w:b w:val="1"/>
          <w:bCs w:val="1"/>
          <w:color w:val="auto"/>
        </w:rPr>
        <w:t>Redevelopment Plan</w:t>
      </w:r>
      <w:r>
        <w:rPr>
          <w:rFonts w:ascii="Arial" w:cs="Arial" w:eastAsia="Arial" w:hAnsi="Arial"/>
          <w:sz w:val="16"/>
          <w:szCs w:val="16"/>
          <w:color w:val="auto"/>
        </w:rPr>
        <w:t>”), and</w:t>
      </w:r>
    </w:p>
    <w:p>
      <w:pPr>
        <w:spacing w:after="0" w:line="3" w:lineRule="exact"/>
        <w:rPr>
          <w:rFonts w:ascii="Arial" w:cs="Arial" w:eastAsia="Arial" w:hAnsi="Arial"/>
          <w:sz w:val="16"/>
          <w:szCs w:val="16"/>
          <w:color w:val="auto"/>
        </w:rPr>
      </w:pPr>
    </w:p>
    <w:p>
      <w:pPr>
        <w:ind w:right="260" w:firstLine="8"/>
        <w:spacing w:after="0" w:line="292" w:lineRule="auto"/>
        <w:tabs>
          <w:tab w:leader="none" w:pos="2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that certain Mission Bay South Redevelopment Plan Area Declaration of Restrictions recorded December 3, 1998 in the Official Records as Instrument No. 98-G477250-00. Additionally, Tenant acknowledges that the Project may be subject to future Underlying Documents, which Landlord, in Landlord’s discretion, deems reasonably necessary or desirable, and Tenant agrees that this Lease shall be subject and subordinate to such Underlying Documents and Tenant shall promptly execute and acknowledge, within fifteen (15) business days of a request by Landlord, a “Recognition of Covenants, Conditions, and Restrictions,” in a form substantially similar to that attached hereto as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agreeing to and acknowledging the applicable Underlying Document.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LATE CHARGES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any installment of Rent or any other sum due from Tenant shall not be received by Landlord or Landlord’s designee within five (5) business days after said amount is due, then Tenant shall pay to Landlord a late charge equal to three percent (3%) of the overdue amount plus any attorneys’ fees incurred by Landlord by reason of Tenant’s failure to pay Rent and/or other charges when due hereunder; notwithstanding the foregoing to the contrary, Tenant shall be entitled to notice of non-payment and a five (5) business day grace period prior to the imposition of such late charge on the first (1st) occasion in any Lease Year in which any installment of Rent is not timely paid by Tenant.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3" w:right="239" w:bottom="1440" w:gutter="0" w:footer="0" w:header="0"/>
        </w:sectPr>
      </w:pPr>
    </w:p>
    <w:bookmarkStart w:id="328" w:name="page329"/>
    <w:bookmarkEnd w:id="328"/>
    <w:p>
      <w:pPr>
        <w:jc w:val="both"/>
        <w:ind w:right="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date when due until paid at a rate (the “</w:t>
      </w:r>
      <w:r>
        <w:rPr>
          <w:rFonts w:ascii="Arial" w:cs="Arial" w:eastAsia="Arial" w:hAnsi="Arial"/>
          <w:sz w:val="17"/>
          <w:szCs w:val="17"/>
          <w:b w:val="1"/>
          <w:bCs w:val="1"/>
          <w:color w:val="auto"/>
        </w:rPr>
        <w:t>Interest Rate</w:t>
      </w:r>
      <w:r>
        <w:rPr>
          <w:rFonts w:ascii="Arial" w:cs="Arial" w:eastAsia="Arial" w:hAnsi="Arial"/>
          <w:sz w:val="17"/>
          <w:szCs w:val="17"/>
          <w:color w:val="auto"/>
        </w:rPr>
        <w:t>”) per annum equal to the lesser of (i) the annual “</w:t>
      </w:r>
      <w:r>
        <w:rPr>
          <w:rFonts w:ascii="Arial" w:cs="Arial" w:eastAsia="Arial" w:hAnsi="Arial"/>
          <w:sz w:val="17"/>
          <w:szCs w:val="17"/>
          <w:b w:val="1"/>
          <w:bCs w:val="1"/>
          <w:color w:val="auto"/>
        </w:rPr>
        <w:t>Bank Prime Loan</w:t>
      </w:r>
      <w:r>
        <w:rPr>
          <w:rFonts w:ascii="Arial" w:cs="Arial" w:eastAsia="Arial" w:hAnsi="Arial"/>
          <w:sz w:val="17"/>
          <w:szCs w:val="17"/>
          <w:color w:val="auto"/>
        </w:rPr>
        <w:t>” rate cited in the Federal Reserve Statistical Release Publication H.15(519), published weekly (or such other comparable index as Landlord and Tenant shall reasonably agree upon if such rate ceases to be published) plus four (4) percentage points, and (ii) the highest rate permitted by Applicable Laws.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LANDLORD’S RIGHT TO CURE DEFAULT; PAYMENTS BY TENANT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6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u w:val="single" w:color="auto"/>
          <w:color w:val="auto"/>
        </w:rPr>
        <w:t>Tenant’s Reimbursement</w:t>
      </w:r>
      <w:r>
        <w:rPr>
          <w:rFonts w:ascii="Arial" w:cs="Arial" w:eastAsia="Arial" w:hAnsi="Arial"/>
          <w:sz w:val="18"/>
          <w:szCs w:val="18"/>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(ii) sums equal to all Losses referred to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(iii) sums equal to all expenditures made and obligations incurred by Landlord in collecting or attempting to collect any past-due Rent, including, without limitation, all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ENTRY BY LANDLORD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Landlord reserves the right at all reasonable times and upon reasonable notice to Tenant (except in the case of an emergency) to enter the Premises to</w:t>
      </w:r>
    </w:p>
    <w:p>
      <w:pPr>
        <w:spacing w:after="0" w:line="46" w:lineRule="exact"/>
        <w:rPr>
          <w:sz w:val="20"/>
          <w:szCs w:val="20"/>
          <w:color w:val="auto"/>
        </w:rPr>
      </w:pPr>
    </w:p>
    <w:p>
      <w:pPr>
        <w:ind w:firstLine="8"/>
        <w:spacing w:after="0" w:line="268" w:lineRule="auto"/>
        <w:tabs>
          <w:tab w:leader="none" w:pos="21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inspect them; (ii) show the Premises to prospective purchasers, mortgagees or (during the final twelve (12) months of the Lease Term) tenants, or to current or prospective mortgagees, ground or underlying lessors or insurers; (iii) post notices of non-responsibility; or (iv) make reasonably necessary alterations, improvements or repairs to the Premises or the Building Systems. Notwithstanding anything to the contrary contained in this </w:t>
      </w:r>
      <w:r>
        <w:rPr>
          <w:rFonts w:ascii="Arial" w:cs="Arial" w:eastAsia="Arial" w:hAnsi="Arial"/>
          <w:sz w:val="17"/>
          <w:szCs w:val="17"/>
          <w:u w:val="single" w:color="auto"/>
          <w:color w:val="auto"/>
        </w:rPr>
        <w:t>Article 27</w:t>
      </w:r>
      <w:r>
        <w:rPr>
          <w:rFonts w:ascii="Arial" w:cs="Arial" w:eastAsia="Arial" w:hAnsi="Arial"/>
          <w:sz w:val="17"/>
          <w:szCs w:val="17"/>
          <w:color w:val="auto"/>
        </w:rPr>
        <w:t xml:space="preserve">, Landlord may enter the Premises at any time to (A) perform services required of Landlord; (B) take possession due to any Default of this Lease in the manner provided herein; and (C) perform any covenants of Tenant which Tenant fails to perform following applicable notice and cure periods. Landlord shall use commercially reasonable efforts to minimize interference with the conduct of Tenant’s business in connection with such entries into the Premises. To the extent reasonably practical given the nature of the work, Landlord will provide Tenant with at least five (5) days prior notice of any of the actions set forth in this </w:t>
      </w:r>
      <w:r>
        <w:rPr>
          <w:rFonts w:ascii="Arial" w:cs="Arial" w:eastAsia="Arial" w:hAnsi="Arial"/>
          <w:sz w:val="17"/>
          <w:szCs w:val="17"/>
          <w:u w:val="single" w:color="auto"/>
          <w:color w:val="auto"/>
        </w:rPr>
        <w:t>Article 27</w:t>
      </w:r>
      <w:r>
        <w:rPr>
          <w:rFonts w:ascii="Arial" w:cs="Arial" w:eastAsia="Arial" w:hAnsi="Arial"/>
          <w:sz w:val="17"/>
          <w:szCs w:val="17"/>
          <w:color w:val="auto"/>
        </w:rPr>
        <w:t>, to be taken by Landlord if such action will substantially interfere with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69" w:right="259" w:bottom="1440" w:gutter="0" w:footer="0" w:header="0"/>
        </w:sectPr>
      </w:pPr>
    </w:p>
    <w:bookmarkStart w:id="329" w:name="page330"/>
    <w:bookmarkEnd w:id="32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Tenant’s ability to (i) conduct business in the Premises, (ii) gain access to and from the Premises, or (iii) use or have access to and egress from the Parking Facilities. Tenant shall additionally have the right to require that Landlord be accompanied by a representative of Tenant during any such entry so long as Tenant makes a representative available at commercially reasonable times. Landlord shall use good faith efforts to ensure that the performance of any such work of repairs or alterations shall not materially interfere with Tenant’s use of the Premises (or any portion thereof) for Tenant’s business purposes (Landlord’s efforts in such regard will include, where reasonably possible, limiting the performance of any such work which might be disruptive to weekends or the evening and the cleaning of any work area prior to the commencement of the next business day). Landlord may make any such entries without the abatement of Rent (except as specifically set forth in </w:t>
      </w:r>
      <w:r>
        <w:rPr>
          <w:rFonts w:ascii="Arial" w:cs="Arial" w:eastAsia="Arial" w:hAnsi="Arial"/>
          <w:sz w:val="17"/>
          <w:szCs w:val="17"/>
          <w:u w:val="single" w:color="auto"/>
          <w:color w:val="auto"/>
        </w:rPr>
        <w:t>Section 19.5.2</w:t>
      </w:r>
      <w:r>
        <w:rPr>
          <w:rFonts w:ascii="Arial" w:cs="Arial" w:eastAsia="Arial" w:hAnsi="Arial"/>
          <w:sz w:val="17"/>
          <w:szCs w:val="17"/>
          <w:color w:val="auto"/>
        </w:rPr>
        <w:t xml:space="preserve"> of this Lease) and may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Notwithstanding anything to the contrary set forth in this </w:t>
      </w:r>
      <w:r>
        <w:rPr>
          <w:rFonts w:ascii="Arial" w:cs="Arial" w:eastAsia="Arial" w:hAnsi="Arial"/>
          <w:sz w:val="17"/>
          <w:szCs w:val="17"/>
          <w:u w:val="single" w:color="auto"/>
          <w:color w:val="auto"/>
        </w:rPr>
        <w:t>Article 27</w:t>
      </w:r>
      <w:r>
        <w:rPr>
          <w:rFonts w:ascii="Arial" w:cs="Arial" w:eastAsia="Arial" w:hAnsi="Arial"/>
          <w:sz w:val="17"/>
          <w:szCs w:val="17"/>
          <w:color w:val="auto"/>
        </w:rPr>
        <w:t>, Tenant may designate in writing certain reasonable areas of the Premises as “</w:t>
      </w:r>
      <w:r>
        <w:rPr>
          <w:rFonts w:ascii="Arial" w:cs="Arial" w:eastAsia="Arial" w:hAnsi="Arial"/>
          <w:sz w:val="17"/>
          <w:szCs w:val="17"/>
          <w:b w:val="1"/>
          <w:bCs w:val="1"/>
          <w:color w:val="auto"/>
        </w:rPr>
        <w:t>Secured Areas</w:t>
      </w:r>
      <w:r>
        <w:rPr>
          <w:rFonts w:ascii="Arial" w:cs="Arial" w:eastAsia="Arial" w:hAnsi="Arial"/>
          <w:sz w:val="17"/>
          <w:szCs w:val="17"/>
          <w:color w:val="auto"/>
        </w:rPr>
        <w:t>” should Tenant require such areas for the purpose of securing certain valuable property or confidential information. In connection with the foregoing, Landlord shall not enter such Secured Areas except in the event of an emergency. Landlord need not clean any area designated by Tenant as a Secured Area and shall only maintain or repair such secured areas to the extent (i) such repair or maintenance is required in order to maintain and repair the Base Building; (ii) as required by Applicable Law, or (iii) in response to specific requests by Tenant and in accordance with a schedule reasonably designated by Tenant, subject to Landlord’s reasonable approval.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TENANT PARKING</w:t>
      </w:r>
    </w:p>
    <w:p>
      <w:pPr>
        <w:spacing w:after="0" w:line="225"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b w:val="1"/>
          <w:bCs w:val="1"/>
          <w:u w:val="single" w:color="auto"/>
          <w:color w:val="auto"/>
        </w:rPr>
        <w:t>Parking Passes; Give-Back Parking Passes; Subleased Parking Passes</w:t>
      </w:r>
      <w:r>
        <w:rPr>
          <w:rFonts w:ascii="Arial" w:cs="Arial" w:eastAsia="Arial" w:hAnsi="Arial"/>
          <w:sz w:val="16"/>
          <w:szCs w:val="16"/>
          <w:color w:val="auto"/>
        </w:rPr>
        <w:t xml:space="preserve">. Subject to the terms of this </w:t>
      </w:r>
      <w:r>
        <w:rPr>
          <w:rFonts w:ascii="Arial" w:cs="Arial" w:eastAsia="Arial" w:hAnsi="Arial"/>
          <w:sz w:val="16"/>
          <w:szCs w:val="16"/>
          <w:u w:val="single" w:color="auto"/>
          <w:color w:val="auto"/>
        </w:rPr>
        <w:t>Article 28</w:t>
      </w:r>
      <w:r>
        <w:rPr>
          <w:rFonts w:ascii="Arial" w:cs="Arial" w:eastAsia="Arial" w:hAnsi="Arial"/>
          <w:sz w:val="16"/>
          <w:szCs w:val="16"/>
          <w:color w:val="auto"/>
        </w:rPr>
        <w:t xml:space="preserve">, Tenant shall be obligated to rent from Landlord, commencing on the applicable Lease Commencement Date, the amount of parking passes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the Summary (“</w:t>
      </w:r>
      <w:r>
        <w:rPr>
          <w:rFonts w:ascii="Arial" w:cs="Arial" w:eastAsia="Arial" w:hAnsi="Arial"/>
          <w:sz w:val="16"/>
          <w:szCs w:val="16"/>
          <w:b w:val="1"/>
          <w:bCs w:val="1"/>
          <w:color w:val="auto"/>
        </w:rPr>
        <w:t>Parking</w:t>
      </w:r>
      <w:r>
        <w:rPr>
          <w:rFonts w:ascii="Arial" w:cs="Arial" w:eastAsia="Arial" w:hAnsi="Arial"/>
          <w:sz w:val="16"/>
          <w:szCs w:val="16"/>
          <w:color w:val="auto"/>
        </w:rPr>
        <w:t xml:space="preserve"> </w:t>
      </w:r>
      <w:r>
        <w:rPr>
          <w:rFonts w:ascii="Arial" w:cs="Arial" w:eastAsia="Arial" w:hAnsi="Arial"/>
          <w:sz w:val="16"/>
          <w:szCs w:val="16"/>
          <w:b w:val="1"/>
          <w:bCs w:val="1"/>
          <w:color w:val="auto"/>
        </w:rPr>
        <w:t>Passes</w:t>
      </w:r>
      <w:r>
        <w:rPr>
          <w:rFonts w:ascii="Arial" w:cs="Arial" w:eastAsia="Arial" w:hAnsi="Arial"/>
          <w:sz w:val="16"/>
          <w:szCs w:val="16"/>
          <w:color w:val="auto"/>
        </w:rPr>
        <w:t>”), on a monthly basis throughout the Lease Term, which Parking Passes shall pertain to the Project parking facilities (“</w:t>
      </w:r>
      <w:r>
        <w:rPr>
          <w:rFonts w:ascii="Arial" w:cs="Arial" w:eastAsia="Arial" w:hAnsi="Arial"/>
          <w:sz w:val="16"/>
          <w:szCs w:val="16"/>
          <w:b w:val="1"/>
          <w:bCs w:val="1"/>
          <w:color w:val="auto"/>
        </w:rPr>
        <w:t>Parking Facilities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no more than once in a twelve (12) calendar month period, Tenant may decrease the number of Parking Passes rented by Tenant by a total of fifty (50) Parking Passes per year (any such Parking Passes no longer rented by Tenant are, the “</w:t>
      </w:r>
      <w:r>
        <w:rPr>
          <w:rFonts w:ascii="Arial" w:cs="Arial" w:eastAsia="Arial" w:hAnsi="Arial"/>
          <w:sz w:val="16"/>
          <w:szCs w:val="16"/>
          <w:b w:val="1"/>
          <w:bCs w:val="1"/>
          <w:color w:val="auto"/>
        </w:rPr>
        <w:t>Give-Back Parking Passes</w:t>
      </w:r>
      <w:r>
        <w:rPr>
          <w:rFonts w:ascii="Arial" w:cs="Arial" w:eastAsia="Arial" w:hAnsi="Arial"/>
          <w:sz w:val="16"/>
          <w:szCs w:val="16"/>
          <w:color w:val="auto"/>
        </w:rPr>
        <w:t>”), upon ninety (90) days prior written notice to Landlord; provided, however, that prior to the Phase III Lease Commencement Date, the annual maximum number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74" w:right="259" w:bottom="1440" w:gutter="0" w:footer="0" w:header="0"/>
        </w:sectPr>
      </w:pPr>
    </w:p>
    <w:bookmarkStart w:id="330" w:name="page331"/>
    <w:bookmarkEnd w:id="33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Give-Back Parking Passes shall be equal to fifty (50) times a fraction the numerator of which is the then-current rentable square footage of the Premises and the denominator of which is 735,700. The total number of Give-Back Parking Passes shall not exceed two hundred thirty-five (235) Parking Passes. Landlord shall have the right to rent or grant use of the Give-Back Parking Passes to any party designated by Landlord, including members of the general public. Notwithstanding the foregoing, upon ninety (90) days prior written notice to Landlord, Tenant may elect to re-rent any Give-Back Parking Passes. Further, Tenant may from time to time sublease, on a monthly basis, or otherwise make available for use, on a monthly basis, by any party designated by Tenant, including members of the general public, some or all of Tenant’s Parking Passes (the “</w:t>
      </w:r>
      <w:r>
        <w:rPr>
          <w:rFonts w:ascii="Arial" w:cs="Arial" w:eastAsia="Arial" w:hAnsi="Arial"/>
          <w:sz w:val="16"/>
          <w:szCs w:val="16"/>
          <w:b w:val="1"/>
          <w:bCs w:val="1"/>
          <w:color w:val="auto"/>
        </w:rPr>
        <w:t>Subleased Parking Passes</w:t>
      </w:r>
      <w:r>
        <w:rPr>
          <w:rFonts w:ascii="Arial" w:cs="Arial" w:eastAsia="Arial" w:hAnsi="Arial"/>
          <w:sz w:val="16"/>
          <w:szCs w:val="16"/>
          <w:color w:val="auto"/>
        </w:rPr>
        <w:t>”), upon thirty (30) days prior written notice to Landlord. Landlord shall reasonably assist and cooperate with Tenant, and shall cause its parking operator to reasonably assist and cooperate with Tenant, in implementing and carrying out any such subleasing of Parking Passes by Tenant (e.g., providing ‘garage only’ access cards), and Tenant shall reimburse Landlord for any costs of operating the Parking Facilities that are incurred specifically as a consequence of Tenant’s subleasing of Parking Passes.</w:t>
      </w:r>
    </w:p>
    <w:p>
      <w:pPr>
        <w:spacing w:after="0" w:line="5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b w:val="1"/>
          <w:bCs w:val="1"/>
          <w:u w:val="single" w:color="auto"/>
          <w:color w:val="auto"/>
        </w:rPr>
        <w:t>Parking Pass Rates</w:t>
      </w:r>
      <w:r>
        <w:rPr>
          <w:rFonts w:ascii="Arial" w:cs="Arial" w:eastAsia="Arial" w:hAnsi="Arial"/>
          <w:sz w:val="18"/>
          <w:szCs w:val="18"/>
          <w:color w:val="auto"/>
        </w:rPr>
        <w:t>. Tenant shall pay to Landlord for Parking Passes on a monthly basis the monthly parking rate charged by Landlord, which monthly rate for Parking Passes (the “</w:t>
      </w:r>
      <w:r>
        <w:rPr>
          <w:rFonts w:ascii="Arial" w:cs="Arial" w:eastAsia="Arial" w:hAnsi="Arial"/>
          <w:sz w:val="18"/>
          <w:szCs w:val="18"/>
          <w:b w:val="1"/>
          <w:bCs w:val="1"/>
          <w:color w:val="auto"/>
        </w:rPr>
        <w:t>Parking Rate</w:t>
      </w:r>
      <w:r>
        <w:rPr>
          <w:rFonts w:ascii="Arial" w:cs="Arial" w:eastAsia="Arial" w:hAnsi="Arial"/>
          <w:sz w:val="18"/>
          <w:szCs w:val="18"/>
          <w:color w:val="auto"/>
        </w:rPr>
        <w:t>”) shall initially be equal to, and during the Lease Term shall not be less than, $345.00 per Parking Pass per month (the “</w:t>
      </w:r>
      <w:r>
        <w:rPr>
          <w:rFonts w:ascii="Arial" w:cs="Arial" w:eastAsia="Arial" w:hAnsi="Arial"/>
          <w:sz w:val="18"/>
          <w:szCs w:val="18"/>
          <w:b w:val="1"/>
          <w:bCs w:val="1"/>
          <w:color w:val="auto"/>
        </w:rPr>
        <w:t>Parking Rate Floor</w:t>
      </w:r>
      <w:r>
        <w:rPr>
          <w:rFonts w:ascii="Arial" w:cs="Arial" w:eastAsia="Arial" w:hAnsi="Arial"/>
          <w:sz w:val="18"/>
          <w:szCs w:val="18"/>
          <w:color w:val="auto"/>
        </w:rPr>
        <w:t>”). Subject to the Parking Rate Floor, the Parking Rate shall be adjusted annually to be consistent with the prevailing monthly parking rate for similar parking spaces then being charged by landlords in Mission Bay. In addition, Tenant shall be responsible for the full amount of any taxes imposed by any governmental authority in connection with the renting of such Parking Passes by Tenant for the use of the Parking Facilities by Tenant.</w:t>
      </w:r>
    </w:p>
    <w:p>
      <w:pPr>
        <w:spacing w:after="0" w:line="8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b w:val="1"/>
          <w:bCs w:val="1"/>
          <w:u w:val="single" w:color="auto"/>
          <w:color w:val="auto"/>
        </w:rPr>
        <w:t>Use of Parking Passes</w:t>
      </w:r>
      <w:r>
        <w:rPr>
          <w:rFonts w:ascii="Arial" w:cs="Arial" w:eastAsia="Arial" w:hAnsi="Arial"/>
          <w:sz w:val="17"/>
          <w:szCs w:val="17"/>
          <w:color w:val="auto"/>
        </w:rPr>
        <w:t xml:space="preserve">. Tenant’s continued right to use the Parking Passes is conditioned upon Tenant abiding by all rules and regulations which are prescribed from time to time for the orderly operation and use of the Parking Facilities, including any sticker or other identification system established by Landlord, and Tenant’s cooperation in seeing that Tenant’s employees and visitors also comply with such rules and regulations. Landlord specifically reserves the right to change the size, configuration, design, layout and all other aspects of the Parking Facilities at any time and Tenant acknowledges and agrees that Landlord may, without incurring any liability to Tenant and without any abatement of Rent under this Lease, from time to time, temporarily close-off or restrict access to the Parking Facilities for purposes of permitting or facilitating any such construction, alteration or improvements; provided, however, that Landlord will use reasonable efforts to provide Tenant with reasonable advance notice of any such anticipated temporary close-off or restriction in access to the Parking Facilities. Landlord may delegate its responsibilities hereunder to a parking operator in which case such parking operator shall have all the rights of control attributed hereby to the Landlord. The Parking Passes rented by Tenant pursuant to this </w:t>
      </w:r>
      <w:r>
        <w:rPr>
          <w:rFonts w:ascii="Arial" w:cs="Arial" w:eastAsia="Arial" w:hAnsi="Arial"/>
          <w:sz w:val="17"/>
          <w:szCs w:val="17"/>
          <w:u w:val="single" w:color="auto"/>
          <w:color w:val="auto"/>
        </w:rPr>
        <w:t>Article 28</w:t>
      </w:r>
      <w:r>
        <w:rPr>
          <w:rFonts w:ascii="Arial" w:cs="Arial" w:eastAsia="Arial" w:hAnsi="Arial"/>
          <w:sz w:val="17"/>
          <w:szCs w:val="17"/>
          <w:color w:val="auto"/>
        </w:rPr>
        <w:t xml:space="preserve"> are provided to Tenant solely for use by Tenant’s own personnel and such passes may not be transferred, assigned, subleased or otherwise alienated by Tenant, except in connection with a Transfer of the Premises pursuant to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of this Lease or as relates to the Subleased Parking Passes, without Landlord’s prior approval. Tenant may validate visitor parking by such method or methods as the Landlord may establish, at the validation rate from time to time generally applicable to visitor parking. Tenant’s use of the Parking Facilities are on a non-exclusive basis.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4" w:right="279" w:bottom="1440" w:gutter="0" w:footer="0" w:header="0"/>
        </w:sectPr>
      </w:pPr>
    </w:p>
    <w:bookmarkStart w:id="331" w:name="page332"/>
    <w:bookmarkEnd w:id="331"/>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28.4 </w:t>
      </w:r>
      <w:r>
        <w:rPr>
          <w:rFonts w:ascii="Arial" w:cs="Arial" w:eastAsia="Arial" w:hAnsi="Arial"/>
          <w:sz w:val="16"/>
          <w:szCs w:val="16"/>
          <w:b w:val="1"/>
          <w:bCs w:val="1"/>
          <w:u w:val="single" w:color="auto"/>
          <w:color w:val="auto"/>
        </w:rPr>
        <w:t>Electrical Vehicle Charging</w:t>
      </w:r>
      <w:r>
        <w:rPr>
          <w:rFonts w:ascii="Arial" w:cs="Arial" w:eastAsia="Arial" w:hAnsi="Arial"/>
          <w:sz w:val="16"/>
          <w:szCs w:val="16"/>
          <w:color w:val="auto"/>
        </w:rPr>
        <w:t>. Landlord shall install, at Landlord’s sole cost and expense, ten (10) electrical vehicle charging stations in the Parking Facilities, which shall be available for non-exclusive use by Tenant. In addition to the electrical vehicle charging stations installed by Landlord, Tenant shall have the right to install additional electrical vehicle charging stations in the Parking Facilities, at Tenant’s sole cost and expense, and Tenant shall be obligated to pay the monthly parking rate allocated to the parking spaces utilized by such electrical vehicle charging stations. In the event Tenant elects to install any such electrical vehicle charging stations, the same shall be designated for exclusive use by Tenant, except as required by Applicable Laws. Landlord may, by written notice to Tenant prior to the end of the Lease Term, or given following any earlier termination of this Lease, require Tenant, at Tenant’s expense, to remove any electrical vehicle charging stations installed by Tenant and to repair any damage to the Parking Facilities and return the affected portion of the Parking Facilities to the condition existing prior to the installation of such charging stations as reasonably determined by Landlord.</w:t>
      </w:r>
    </w:p>
    <w:p>
      <w:pPr>
        <w:spacing w:after="0" w:line="5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28.5 </w:t>
      </w:r>
      <w:r>
        <w:rPr>
          <w:rFonts w:ascii="Arial" w:cs="Arial" w:eastAsia="Arial" w:hAnsi="Arial"/>
          <w:sz w:val="17"/>
          <w:szCs w:val="17"/>
          <w:b w:val="1"/>
          <w:bCs w:val="1"/>
          <w:u w:val="single" w:color="auto"/>
          <w:color w:val="auto"/>
        </w:rPr>
        <w:t>Public Parking Use</w:t>
      </w:r>
      <w:r>
        <w:rPr>
          <w:rFonts w:ascii="Arial" w:cs="Arial" w:eastAsia="Arial" w:hAnsi="Arial"/>
          <w:sz w:val="17"/>
          <w:szCs w:val="17"/>
          <w:color w:val="auto"/>
        </w:rPr>
        <w:t>. In addition to Landlord’s rights to rent the Give-Back Parking Passes as set forth above, Landlord shall have the right to permit use (the “</w:t>
      </w:r>
      <w:r>
        <w:rPr>
          <w:rFonts w:ascii="Arial" w:cs="Arial" w:eastAsia="Arial" w:hAnsi="Arial"/>
          <w:sz w:val="17"/>
          <w:szCs w:val="17"/>
          <w:b w:val="1"/>
          <w:bCs w:val="1"/>
          <w:color w:val="auto"/>
        </w:rPr>
        <w:t>Public Parking Use</w:t>
      </w:r>
      <w:r>
        <w:rPr>
          <w:rFonts w:ascii="Arial" w:cs="Arial" w:eastAsia="Arial" w:hAnsi="Arial"/>
          <w:sz w:val="17"/>
          <w:szCs w:val="17"/>
          <w:color w:val="auto"/>
        </w:rPr>
        <w:t>”) of the Parking Facilities by the general public (or for any other use). Landlord may accommodate the Public Parking Use through valet parking, tandem or stack parking, or any other parking program using parking personnel and/or systems and equipment; provided, however, in connection with the Public Parking Use, Landlord shall cooperate with Tenant to minimize interference with Tenant’s use of the Parking Facilities, which may include developing a system to partially or totally segregate the areas designated for Public Parking Use in the Parking Facilities from the areas designated for use (the “</w:t>
      </w:r>
      <w:r>
        <w:rPr>
          <w:rFonts w:ascii="Arial" w:cs="Arial" w:eastAsia="Arial" w:hAnsi="Arial"/>
          <w:sz w:val="17"/>
          <w:szCs w:val="17"/>
          <w:b w:val="1"/>
          <w:bCs w:val="1"/>
          <w:color w:val="auto"/>
        </w:rPr>
        <w:t>Project Parking Use</w:t>
      </w:r>
      <w:r>
        <w:rPr>
          <w:rFonts w:ascii="Arial" w:cs="Arial" w:eastAsia="Arial" w:hAnsi="Arial"/>
          <w:sz w:val="17"/>
          <w:szCs w:val="17"/>
          <w:color w:val="auto"/>
        </w:rPr>
        <w:t>”) by Tenant, other tenants or occupants of the Project, visitors of the Project, transient parkers of the Project, and Landlord and its affiliates and service providers for the Project (collectively, the “</w:t>
      </w:r>
      <w:r>
        <w:rPr>
          <w:rFonts w:ascii="Arial" w:cs="Arial" w:eastAsia="Arial" w:hAnsi="Arial"/>
          <w:sz w:val="17"/>
          <w:szCs w:val="17"/>
          <w:b w:val="1"/>
          <w:bCs w:val="1"/>
          <w:color w:val="auto"/>
        </w:rPr>
        <w:t>Project Related Parkers</w:t>
      </w:r>
      <w:r>
        <w:rPr>
          <w:rFonts w:ascii="Arial" w:cs="Arial" w:eastAsia="Arial" w:hAnsi="Arial"/>
          <w:sz w:val="17"/>
          <w:szCs w:val="17"/>
          <w:color w:val="auto"/>
        </w:rPr>
        <w:t>”). To account for the shared use of the Parking Facilities for the Public Parking Use and Project Parking Use, Landlord and Tenant agree that any incremental increase in (i) parking and security personnel costs and (ii) costs for parking access control equipment, which is directly attributable to the Public Parking Use shall be excluded from Operating Expenses.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u w:val="single" w:color="auto"/>
          <w:color w:val="auto"/>
        </w:rPr>
        <w:t>Terms; Captions</w:t>
      </w:r>
      <w:r>
        <w:rPr>
          <w:rFonts w:ascii="Arial" w:cs="Arial" w:eastAsia="Arial" w:hAnsi="Arial"/>
          <w:sz w:val="18"/>
          <w:szCs w:val="18"/>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72" w:lineRule="exact"/>
        <w:rPr>
          <w:sz w:val="20"/>
          <w:szCs w:val="20"/>
          <w:color w:val="auto"/>
        </w:rPr>
      </w:pPr>
    </w:p>
    <w:p>
      <w:pPr>
        <w:ind w:right="300" w:firstLine="456"/>
        <w:spacing w:after="0" w:line="31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0" w:right="259" w:bottom="1440" w:gutter="0" w:footer="0" w:header="0"/>
        </w:sectPr>
      </w:pPr>
    </w:p>
    <w:bookmarkStart w:id="332" w:name="page333"/>
    <w:bookmarkEnd w:id="332"/>
    <w:p>
      <w:pPr>
        <w:ind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72" w:lineRule="exact"/>
        <w:rPr>
          <w:sz w:val="20"/>
          <w:szCs w:val="20"/>
          <w:color w:val="auto"/>
        </w:rPr>
      </w:pPr>
    </w:p>
    <w:p>
      <w:pPr>
        <w:ind w:right="200" w:firstLine="456"/>
        <w:spacing w:after="0" w:line="274" w:lineRule="auto"/>
        <w:rPr>
          <w:sz w:val="20"/>
          <w:szCs w:val="20"/>
          <w:color w:val="auto"/>
        </w:rPr>
      </w:pPr>
      <w:r>
        <w:rPr>
          <w:rFonts w:ascii="Arial" w:cs="Arial" w:eastAsia="Arial" w:hAnsi="Arial"/>
          <w:sz w:val="17"/>
          <w:szCs w:val="17"/>
          <w:color w:val="auto"/>
        </w:rPr>
        <w:t xml:space="preserve">29.4 </w:t>
      </w:r>
      <w:r>
        <w:rPr>
          <w:rFonts w:ascii="Arial" w:cs="Arial" w:eastAsia="Arial" w:hAnsi="Arial"/>
          <w:sz w:val="17"/>
          <w:szCs w:val="17"/>
          <w:b w:val="1"/>
          <w:bCs w:val="1"/>
          <w:u w:val="single" w:color="auto"/>
          <w:color w:val="auto"/>
        </w:rPr>
        <w:t>Modification of Lease</w:t>
      </w:r>
      <w:r>
        <w:rPr>
          <w:rFonts w:ascii="Arial" w:cs="Arial" w:eastAsia="Arial" w:hAnsi="Arial"/>
          <w:sz w:val="17"/>
          <w:szCs w:val="17"/>
          <w:color w:val="auto"/>
        </w:rPr>
        <w:t>. Should any current or prospective mortgagee or ground lessor for the Buildings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(or make good faith comments to) whatever documents are reasonably required therefor and to deliver the same to Landlord within thirty (30) days following a request therefor. At the request of Landlord or any mortgagee or ground lessor, Tenant agrees to execute (or make good faith comments to) a short form of Lease and deliver the same to Landlord within thirty (30) days following the request therefor.</w:t>
      </w:r>
    </w:p>
    <w:p>
      <w:pPr>
        <w:spacing w:after="0" w:line="66" w:lineRule="exact"/>
        <w:rPr>
          <w:sz w:val="20"/>
          <w:szCs w:val="20"/>
          <w:color w:val="auto"/>
        </w:rPr>
      </w:pPr>
    </w:p>
    <w:p>
      <w:pPr>
        <w:ind w:right="180" w:firstLine="456"/>
        <w:spacing w:after="0" w:line="292" w:lineRule="auto"/>
        <w:rPr>
          <w:sz w:val="20"/>
          <w:szCs w:val="20"/>
          <w:color w:val="auto"/>
        </w:rPr>
      </w:pPr>
      <w:r>
        <w:rPr>
          <w:rFonts w:ascii="Arial" w:cs="Arial" w:eastAsia="Arial" w:hAnsi="Arial"/>
          <w:sz w:val="16"/>
          <w:szCs w:val="16"/>
          <w:color w:val="auto"/>
        </w:rPr>
        <w:t xml:space="preserve">29.5 </w:t>
      </w:r>
      <w:r>
        <w:rPr>
          <w:rFonts w:ascii="Arial" w:cs="Arial" w:eastAsia="Arial" w:hAnsi="Arial"/>
          <w:sz w:val="16"/>
          <w:szCs w:val="16"/>
          <w:b w:val="1"/>
          <w:bCs w:val="1"/>
          <w:u w:val="single" w:color="auto"/>
          <w:color w:val="auto"/>
        </w:rPr>
        <w:t>Transfer of Landlord’s Interest</w:t>
      </w:r>
      <w:r>
        <w:rPr>
          <w:rFonts w:ascii="Arial" w:cs="Arial" w:eastAsia="Arial" w:hAnsi="Arial"/>
          <w:sz w:val="16"/>
          <w:szCs w:val="16"/>
          <w:color w:val="auto"/>
        </w:rPr>
        <w:t>. Tenant acknowledges that Landlord has the right to transfer all or any portion of its interest in the Project or Buildings and in this Lease, and Tenant agrees that in the event of any such transfer, Landlord shall automatically be released from all liability under this Lease arising from and after the date of such transfer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and/or letter of credit,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54"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b w:val="1"/>
          <w:bCs w:val="1"/>
          <w:u w:val="single" w:color="auto"/>
          <w:color w:val="auto"/>
        </w:rPr>
        <w:t>Prohibition Against Recording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29.4</w:t>
      </w:r>
      <w:r>
        <w:rPr>
          <w:rFonts w:ascii="Arial" w:cs="Arial" w:eastAsia="Arial" w:hAnsi="Arial"/>
          <w:sz w:val="18"/>
          <w:szCs w:val="18"/>
          <w:color w:val="auto"/>
        </w:rPr>
        <w:t xml:space="preserve"> of this Lease, neither this Lease, nor any memorandum, affidavit or other writing with respect thereto, shall be recorded by Tenant or by anyone acting through, under or on behalf of Tenant.</w:t>
      </w:r>
    </w:p>
    <w:p>
      <w:pPr>
        <w:spacing w:after="0" w:line="54"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5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54"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u w:val="single" w:color="auto"/>
          <w:color w:val="auto"/>
        </w:rPr>
        <w:t>Application of Payments</w:t>
      </w:r>
      <w:r>
        <w:rPr>
          <w:rFonts w:ascii="Arial" w:cs="Arial" w:eastAsia="Arial" w:hAnsi="Arial"/>
          <w:sz w:val="16"/>
          <w:szCs w:val="16"/>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69" w:right="2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29.10 </w:t>
      </w:r>
      <w:r>
        <w:rPr>
          <w:rFonts w:ascii="Arial" w:cs="Arial" w:eastAsia="Arial" w:hAnsi="Arial"/>
          <w:sz w:val="17"/>
          <w:szCs w:val="17"/>
          <w:b w:val="1"/>
          <w:bCs w:val="1"/>
          <w:u w:val="single" w:color="auto"/>
          <w:color w:val="auto"/>
        </w:rPr>
        <w:t>Time of Essence</w:t>
      </w:r>
      <w:r>
        <w:rPr>
          <w:rFonts w:ascii="Arial" w:cs="Arial" w:eastAsia="Arial" w:hAnsi="Arial"/>
          <w:sz w:val="17"/>
          <w:szCs w:val="17"/>
          <w:color w:val="auto"/>
        </w:rPr>
        <w:t>. Time is of the essence with respect to the performance of every provision of this Lease in which time of performance is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factor.</w:t>
      </w:r>
    </w:p>
    <w:p>
      <w:pPr>
        <w:spacing w:after="0" w:line="99"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7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29.13 </w:t>
      </w:r>
      <w:r>
        <w:rPr>
          <w:rFonts w:ascii="Arial" w:cs="Arial" w:eastAsia="Arial" w:hAnsi="Arial"/>
          <w:sz w:val="17"/>
          <w:szCs w:val="17"/>
          <w:b w:val="1"/>
          <w:bCs w:val="1"/>
          <w:u w:val="single" w:color="auto"/>
          <w:color w:val="auto"/>
        </w:rPr>
        <w:t>Landlord Exculpation</w:t>
      </w:r>
      <w:r>
        <w:rPr>
          <w:rFonts w:ascii="Arial" w:cs="Arial" w:eastAsia="Arial" w:hAnsi="Arial"/>
          <w:sz w:val="17"/>
          <w:szCs w:val="17"/>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net interest of Landlord in the Buildings, including any condemnation, rental, sales or insurance proceeds received by Landlord in connection with the Buildings.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7"/>
          <w:szCs w:val="17"/>
          <w:u w:val="single" w:color="auto"/>
          <w:color w:val="auto"/>
        </w:rPr>
        <w:t>Section 29.13</w:t>
      </w:r>
      <w:r>
        <w:rPr>
          <w:rFonts w:ascii="Arial" w:cs="Arial" w:eastAsia="Arial" w:hAnsi="Arial"/>
          <w:sz w:val="17"/>
          <w:szCs w:val="17"/>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similarly, except with respect to Tenant’s violations of the provisions of this Lease regarding Hazardous Substances and Tenant’s holding over in the Premises following the expiration or sooner termination of this Lease, Tenant shall not be liable under any circumstances for injury or damage to, or interference with, Landlord’s business, including, but not limited to, loss of profits or other revenues (not including, however, loss of rents), loss of business opportunity, loss of goodwill or loss of use, in each case, however occurring.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69" w:right="239" w:bottom="1440" w:gutter="0" w:footer="0" w:header="0"/>
        </w:sectPr>
      </w:pPr>
    </w:p>
    <w:bookmarkStart w:id="334" w:name="page335"/>
    <w:bookmarkEnd w:id="334"/>
    <w:p>
      <w:pPr>
        <w:ind w:right="120"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6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Buildings or Project. Tenant does not rely on the fact, nor does Landlord represent, that any specific tenant or type or number of tenants shall, during the Lease Term, occupy any space in the Buildings or Project.</w:t>
      </w:r>
    </w:p>
    <w:p>
      <w:pPr>
        <w:spacing w:after="0" w:line="5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29.16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xml:space="preserve">.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Arial" w:cs="Arial" w:eastAsia="Arial" w:hAnsi="Arial"/>
          <w:sz w:val="16"/>
          <w:szCs w:val="16"/>
          <w:u w:val="single" w:color="auto"/>
          <w:color w:val="auto"/>
        </w:rPr>
        <w:t>Articles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of this Lease (collectively, a “</w:t>
      </w:r>
      <w:r>
        <w:rPr>
          <w:rFonts w:ascii="Arial" w:cs="Arial" w:eastAsia="Arial" w:hAnsi="Arial"/>
          <w:sz w:val="16"/>
          <w:szCs w:val="16"/>
          <w:b w:val="1"/>
          <w:bCs w:val="1"/>
          <w:color w:val="auto"/>
        </w:rPr>
        <w:t>Force Majeure</w:t>
      </w:r>
      <w:r>
        <w:rPr>
          <w:rFonts w:ascii="Arial" w:cs="Arial" w:eastAsia="Arial" w:hAnsi="Arial"/>
          <w:sz w:val="16"/>
          <w:szCs w:val="16"/>
          <w:color w:val="auto"/>
        </w:rPr>
        <w:t xml:space="preserve">”),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The provisions of this </w:t>
      </w:r>
      <w:r>
        <w:rPr>
          <w:rFonts w:ascii="Arial" w:cs="Arial" w:eastAsia="Arial" w:hAnsi="Arial"/>
          <w:sz w:val="16"/>
          <w:szCs w:val="16"/>
          <w:u w:val="single" w:color="auto"/>
          <w:color w:val="auto"/>
        </w:rPr>
        <w:t>Section 29.16</w:t>
      </w:r>
      <w:r>
        <w:rPr>
          <w:rFonts w:ascii="Arial" w:cs="Arial" w:eastAsia="Arial" w:hAnsi="Arial"/>
          <w:sz w:val="16"/>
          <w:szCs w:val="16"/>
          <w:color w:val="auto"/>
        </w:rPr>
        <w:t xml:space="preserve"> shall not, however, delay (i) the trigger date for Tenant’s right to abatements in Rent as set forth in </w:t>
      </w:r>
      <w:r>
        <w:rPr>
          <w:rFonts w:ascii="Arial" w:cs="Arial" w:eastAsia="Arial" w:hAnsi="Arial"/>
          <w:sz w:val="16"/>
          <w:szCs w:val="16"/>
          <w:u w:val="single" w:color="auto"/>
          <w:color w:val="auto"/>
        </w:rPr>
        <w:t>Section 19.5.2</w:t>
      </w:r>
      <w:r>
        <w:rPr>
          <w:rFonts w:ascii="Arial" w:cs="Arial" w:eastAsia="Arial" w:hAnsi="Arial"/>
          <w:sz w:val="16"/>
          <w:szCs w:val="16"/>
          <w:color w:val="auto"/>
        </w:rPr>
        <w:t xml:space="preserve"> above, or (ii) the date upon which Tenant may exercise its right to terminate this Lease following casualty described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above except as expressly set forth in </w:t>
      </w:r>
      <w:r>
        <w:rPr>
          <w:rFonts w:ascii="Arial" w:cs="Arial" w:eastAsia="Arial" w:hAnsi="Arial"/>
          <w:sz w:val="16"/>
          <w:szCs w:val="16"/>
          <w:u w:val="single" w:color="auto"/>
          <w:color w:val="auto"/>
        </w:rPr>
        <w:t>Section 11.2</w:t>
      </w:r>
      <w:r>
        <w:rPr>
          <w:rFonts w:ascii="Arial" w:cs="Arial" w:eastAsia="Arial" w:hAnsi="Arial"/>
          <w:sz w:val="16"/>
          <w:szCs w:val="16"/>
          <w:color w:val="auto"/>
        </w:rPr>
        <w:t>. In the event that either party is delayed from performing any obligation hereunder as a result of Force Majeure, such party shall promptly give notice to the other party of the delay in question, specifying in such notice the nature of the delay and, without any such estimate being deemed a representation or warranty, such party’s good faith estimate of the length of the delay in question.</w:t>
      </w:r>
    </w:p>
    <w:p>
      <w:pPr>
        <w:spacing w:after="0" w:line="5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6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29.18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demands, statements or communications (collectively,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given or required to be given by either party to the other hereunder shall be in writing, shall be (A) delivered by a nationally recognized overnight courier, or (B) delivered personally. Any such Notice shall be delivered (i) to Tenant at the appropriate address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Summary, or to such other place as Tenant may from time to time designate in a Notice to Landlord; or (ii) to Landlord at the addresses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Summary, or to such other firm or to such other place as Landlord may from time to time designate in a Notice to Tenant. Any Notice will be deemed given on the date of receipted delivery, of refusal to accept delivery, or when delivery is first attempted but cannot be made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70" w:right="259" w:bottom="1440" w:gutter="0" w:footer="0" w:header="0"/>
        </w:sectPr>
      </w:pPr>
    </w:p>
    <w:bookmarkStart w:id="335" w:name="page336"/>
    <w:bookmarkEnd w:id="33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to a change of address for which no Notice was given. If Tenant is notified of the identity and address of Landlord’s mortgagee or ground or underlying lessor, Tenant shall give to such mortgagee or ground or underlying lessor written notice of any default by Landlord under the terms of this Lease by registered or certified mail. The party delivering Notice shall use commercially reasonable efforts to provide a courtesy copy of each such Notice to the receiving party via electronic mail.</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29.19 </w:t>
      </w:r>
      <w:r>
        <w:rPr>
          <w:rFonts w:ascii="Arial" w:cs="Arial" w:eastAsia="Arial" w:hAnsi="Arial"/>
          <w:sz w:val="17"/>
          <w:szCs w:val="17"/>
          <w:b w:val="1"/>
          <w:bCs w:val="1"/>
          <w:u w:val="single" w:color="auto"/>
          <w:color w:val="auto"/>
        </w:rPr>
        <w:t>Joint and Several</w:t>
      </w:r>
      <w:r>
        <w:rPr>
          <w:rFonts w:ascii="Arial" w:cs="Arial" w:eastAsia="Arial" w:hAnsi="Arial"/>
          <w:sz w:val="17"/>
          <w:szCs w:val="17"/>
          <w:color w:val="auto"/>
        </w:rPr>
        <w:t>. If there is more than one Tenant, the obligations imposed upon Tenant under this Lease shall be joint and several.</w:t>
      </w:r>
    </w:p>
    <w:p>
      <w:pPr>
        <w:spacing w:after="0" w:line="12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29.20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If Tenant is a corporation, trust or partnership, each individual executing this Lease on behalf of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upon request from Landlord prior to or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w:t>
      </w:r>
    </w:p>
    <w:p>
      <w:pPr>
        <w:spacing w:after="0" w:line="4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43" w:lineRule="exact"/>
        <w:rPr>
          <w:sz w:val="20"/>
          <w:szCs w:val="20"/>
          <w:color w:val="auto"/>
        </w:rPr>
      </w:pPr>
    </w:p>
    <w:p>
      <w:pPr>
        <w:ind w:right="380" w:firstLine="456"/>
        <w:spacing w:after="0" w:line="287" w:lineRule="auto"/>
        <w:rPr>
          <w:sz w:val="20"/>
          <w:szCs w:val="20"/>
          <w:color w:val="auto"/>
        </w:rPr>
      </w:pPr>
      <w:r>
        <w:rPr>
          <w:rFonts w:ascii="Arial" w:cs="Arial" w:eastAsia="Arial" w:hAnsi="Arial"/>
          <w:sz w:val="16"/>
          <w:szCs w:val="16"/>
          <w:color w:val="auto"/>
        </w:rPr>
        <w:t xml:space="preserve">29.22 </w:t>
      </w:r>
      <w:r>
        <w:rPr>
          <w:rFonts w:ascii="Arial" w:cs="Arial" w:eastAsia="Arial" w:hAnsi="Arial"/>
          <w:sz w:val="16"/>
          <w:szCs w:val="16"/>
          <w:b w:val="1"/>
          <w:bCs w:val="1"/>
          <w:u w:val="single" w:color="auto"/>
          <w:color w:val="auto"/>
        </w:rPr>
        <w:t>Governing Law; WAIVER OF TRIAL BY JURY</w:t>
      </w:r>
      <w:r>
        <w:rPr>
          <w:rFonts w:ascii="Arial" w:cs="Arial" w:eastAsia="Arial" w:hAnsi="Arial"/>
          <w:sz w:val="16"/>
          <w:szCs w:val="16"/>
          <w:color w:val="auto"/>
        </w:rPr>
        <w:t xml:space="preserve">. This Lease, including the terms of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(which shall include any dispute between Landlord and Tenant relating to the L-C),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w:t>
      </w:r>
    </w:p>
    <w:p>
      <w:pPr>
        <w:spacing w:after="0" w:line="3" w:lineRule="exact"/>
        <w:rPr>
          <w:sz w:val="20"/>
          <w:szCs w:val="20"/>
          <w:color w:val="auto"/>
        </w:rPr>
      </w:pPr>
    </w:p>
    <w:p>
      <w:pPr>
        <w:ind w:right="60" w:firstLine="8"/>
        <w:spacing w:after="0" w:line="269" w:lineRule="auto"/>
        <w:tabs>
          <w:tab w:leader="none" w:pos="34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336" w:name="page337"/>
    <w:bookmarkEnd w:id="336"/>
    <w:p>
      <w:pPr>
        <w:ind w:right="3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29.23 </w:t>
      </w:r>
      <w:r>
        <w:rPr>
          <w:rFonts w:ascii="Arial" w:cs="Arial" w:eastAsia="Arial" w:hAnsi="Arial"/>
          <w:sz w:val="18"/>
          <w:szCs w:val="18"/>
          <w:b w:val="1"/>
          <w:bCs w:val="1"/>
          <w:u w:val="single" w:color="auto"/>
          <w:color w:val="auto"/>
        </w:rPr>
        <w:t>Submission of Lease</w:t>
      </w:r>
      <w:r>
        <w:rPr>
          <w:rFonts w:ascii="Arial" w:cs="Arial" w:eastAsia="Arial" w:hAnsi="Arial"/>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29.24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Brokers</w:t>
      </w:r>
      <w:r>
        <w:rPr>
          <w:rFonts w:ascii="Arial" w:cs="Arial" w:eastAsia="Arial" w:hAnsi="Arial"/>
          <w:sz w:val="17"/>
          <w:szCs w:val="17"/>
          <w:color w:val="auto"/>
        </w:rPr>
        <w:t>”),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Brokers shall be compensated by Landlord pursuant to the provisions of a separate agreement.</w:t>
      </w:r>
    </w:p>
    <w:p>
      <w:pPr>
        <w:spacing w:after="0" w:line="6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color w:val="auto"/>
        </w:rPr>
        <w:t xml:space="preserve">29.25 </w:t>
      </w:r>
      <w:r>
        <w:rPr>
          <w:rFonts w:ascii="Arial" w:cs="Arial" w:eastAsia="Arial" w:hAnsi="Arial"/>
          <w:sz w:val="17"/>
          <w:szCs w:val="17"/>
          <w:b w:val="1"/>
          <w:bCs w:val="1"/>
          <w:u w:val="single" w:color="auto"/>
          <w:color w:val="auto"/>
        </w:rPr>
        <w:t>Independent Covenants</w:t>
      </w:r>
      <w:r>
        <w:rPr>
          <w:rFonts w:ascii="Arial" w:cs="Arial" w:eastAsia="Arial" w:hAnsi="Arial"/>
          <w:sz w:val="17"/>
          <w:szCs w:val="17"/>
          <w:color w:val="auto"/>
        </w:rPr>
        <w:t>. This Lease shall be construed as though the covenants herein between Landlord and Tenant are independent and not dependent and Tenant hereby expressly waives the benefit of any statute to the contrary; and, except as otherwise expressly provided for herein, Tenant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57"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7"/>
          <w:szCs w:val="17"/>
          <w:color w:val="auto"/>
        </w:rPr>
        <w:t xml:space="preserve">29.26 </w:t>
      </w:r>
      <w:r>
        <w:rPr>
          <w:rFonts w:ascii="Arial" w:cs="Arial" w:eastAsia="Arial" w:hAnsi="Arial"/>
          <w:sz w:val="17"/>
          <w:szCs w:val="17"/>
          <w:b w:val="1"/>
          <w:bCs w:val="1"/>
          <w:u w:val="single" w:color="auto"/>
          <w:color w:val="auto"/>
        </w:rPr>
        <w:t>Project or Building(s) Name</w:t>
      </w:r>
      <w:r>
        <w:rPr>
          <w:rFonts w:ascii="Arial" w:cs="Arial" w:eastAsia="Arial" w:hAnsi="Arial"/>
          <w:sz w:val="17"/>
          <w:szCs w:val="17"/>
          <w:color w:val="auto"/>
        </w:rPr>
        <w:t>. Landlord shall have the right at any time to change the name of the Project or Building(s). Tenant shall not use the name of the Project or Building(s) or use pictures or illustrations of the Project or Building(s) in advertising or other publicity or for any purpose other than as the address of the business to be conducted by Tenant in the Premises, without the prior written consent of Landlord.</w:t>
      </w:r>
    </w:p>
    <w:p>
      <w:pPr>
        <w:spacing w:after="0" w:line="5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29.27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Lease may be executed in counterparts with the same effect as if both parties hereto had executed the same document. Both counterparts shall be construed together and shall constitute a single lease.</w:t>
      </w:r>
    </w:p>
    <w:p>
      <w:pPr>
        <w:spacing w:after="0" w:line="5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29.28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and space planning consultants, or its directors, officers, employees, attorneys, accountants, prospective lenders, prospective purchasers, brokers, underwriters, and current and potential partners or investors, or to the extent that disclosure is mandated by Applicable Laws, the Securities Exchange Commission, the rules of any public exchange upon which Tenant’s shares are from time to time traded, or in connection with a stock or debt offering. Additionally, Tenant shall have the right to deliver a copy of this Lease to any proposed subtenant or assignee (with, in the case of a subtenant, economic terms redacted), provided such subtenant or assignee agrees to keep the contents hereof confidential. Landlord acknowledges that the content of this Lease and any related documents (including financial statements provided by Tenant pursuant to </w:t>
      </w:r>
      <w:r>
        <w:rPr>
          <w:rFonts w:ascii="Arial" w:cs="Arial" w:eastAsia="Arial" w:hAnsi="Arial"/>
          <w:sz w:val="16"/>
          <w:szCs w:val="16"/>
          <w:u w:val="single" w:color="auto"/>
          <w:color w:val="auto"/>
        </w:rPr>
        <w:t>Articles 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0" w:right="239" w:bottom="1440" w:gutter="0" w:footer="0" w:header="0"/>
        </w:sectPr>
      </w:pPr>
    </w:p>
    <w:bookmarkStart w:id="337" w:name="page338"/>
    <w:bookmarkEnd w:id="33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above) are confidential information. Landlord shall keep such confidential information strictly confidential and shall not disclose such confidential information to any person or entity other than Landlord’s financial, legal and space planning consultants, or its directors, officers, employees, attorneys, accountants, prospective lenders, prospective purchasers, brokers, and current and potential partners or investors, or to the extent that disclosure is mandated by Applicable Laws, or the Securities Exchange Commission. Moreover, Landlord has advised Tenant that Landlord is obligated to regularly provide financial information concerning the Landlord and/or its affiliates (including Kilroy Realty Corporation, a public company whose shares of stock are listed on the New York Stock Exchange) to the shareholders of its affiliates, to the Federal Securities and Exchange Commission and other regulatory agencies, and to auditors and underwriters, which information may include summaries of financial information concerning leases, rents, costs and results of operations of its real estate business, including any rents or results of operations affected by this Lease. Notwithstanding the foregoing, the parties acknowledge that Landlord may use the name of Tenant without Tenant’s consent (i) on the Building directory, and (ii) to the extent that Tenant is only referenced by name as a customer or tenant of Landlord, in investor presentations and earnings calls or earnings related releases, and in connection with the marketing efforts of Landlord or any real estate broker or agent on Landlord’s behalf with respect to the proposed leasing, financing, sale or other conveyance of the Building, or any portion thereof. This provision shall survive the expiration or earlier termination of this Lease for one (1) year.</w:t>
      </w:r>
    </w:p>
    <w:p>
      <w:pPr>
        <w:spacing w:after="0" w:line="5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7"/>
          <w:szCs w:val="17"/>
          <w:color w:val="auto"/>
        </w:rPr>
        <w:t xml:space="preserve">29.29 </w:t>
      </w:r>
      <w:r>
        <w:rPr>
          <w:rFonts w:ascii="Arial" w:cs="Arial" w:eastAsia="Arial" w:hAnsi="Arial"/>
          <w:sz w:val="17"/>
          <w:szCs w:val="17"/>
          <w:b w:val="1"/>
          <w:bCs w:val="1"/>
          <w:u w:val="single" w:color="auto"/>
          <w:color w:val="auto"/>
        </w:rPr>
        <w:t>Transportation Management</w:t>
      </w:r>
      <w:r>
        <w:rPr>
          <w:rFonts w:ascii="Arial" w:cs="Arial" w:eastAsia="Arial" w:hAnsi="Arial"/>
          <w:sz w:val="17"/>
          <w:szCs w:val="17"/>
          <w:color w:val="auto"/>
        </w:rPr>
        <w:t>. Tenant shall fully comply with all present or future programs intended to manage parking, transportation or traffic in and around the Project, including, without limitation, any programs promulgated or required by the Transportation System Management Plan administered by the Mission Bay Transportation Management Association,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6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29.30 </w:t>
      </w:r>
      <w:r>
        <w:rPr>
          <w:rFonts w:ascii="Arial" w:cs="Arial" w:eastAsia="Arial" w:hAnsi="Arial"/>
          <w:sz w:val="17"/>
          <w:szCs w:val="17"/>
          <w:b w:val="1"/>
          <w:bCs w:val="1"/>
          <w:u w:val="single" w:color="auto"/>
          <w:color w:val="auto"/>
        </w:rPr>
        <w:t>Renovations</w:t>
      </w:r>
      <w:r>
        <w:rPr>
          <w:rFonts w:ascii="Arial" w:cs="Arial" w:eastAsia="Arial" w:hAnsi="Arial"/>
          <w:sz w:val="17"/>
          <w:szCs w:val="17"/>
          <w:color w:val="auto"/>
        </w:rPr>
        <w:t>. It is specifically understood and agreed that Landlord has made no representation or warranty to Tenant and has no obligation and has made no promises to alter, remodel, improve, renovate, repair or decorate the Premises, Buildings, Project, or any part thereof and that no representations respecting the condition of the Premises, the Buildings, or Project have been made by Landlord to Tenant except as specifically set forth herein or in the Work Letter. However, Tenant hereby acknowledges that following Landlord’s completion of construction of the Base Building, Landlord may during the Lease Term renovate, improve, alter, or modify (collectively, the “</w:t>
      </w:r>
      <w:r>
        <w:rPr>
          <w:rFonts w:ascii="Arial" w:cs="Arial" w:eastAsia="Arial" w:hAnsi="Arial"/>
          <w:sz w:val="17"/>
          <w:szCs w:val="17"/>
          <w:b w:val="1"/>
          <w:bCs w:val="1"/>
          <w:color w:val="auto"/>
        </w:rPr>
        <w:t>Renovations</w:t>
      </w:r>
      <w:r>
        <w:rPr>
          <w:rFonts w:ascii="Arial" w:cs="Arial" w:eastAsia="Arial" w:hAnsi="Arial"/>
          <w:sz w:val="17"/>
          <w:szCs w:val="17"/>
          <w:color w:val="auto"/>
        </w:rPr>
        <w:t>”) the Project and/or the Buildings, including without limitation, the Parking Facilities, Common Areas, Building Systems and/or Building Structure, which Renovations may include, without limitation, (i) modifying the Common Areas and tenant spaces to comply with Applicable Laws, including regulations relating to the physically disabled, seismic conditions, and Project safety and security, and (ii) installing new floor covering, lighting, and wall coverings in the Building Common Areas, and in connection with any Renovations, Landlord may, among other things, erect scaffolding or other necessary structures in the Project, limit or eliminate access to portions of the Project, including portions of the Common Areas, or perform work in the Project, which work may create noise, dust or leave debris in the Buildings. Landlord shall use commercially reasonable efforts to undertake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3" w:right="239" w:bottom="1440" w:gutter="0" w:footer="0" w:header="0"/>
        </w:sectPr>
      </w:pPr>
    </w:p>
    <w:bookmarkStart w:id="338" w:name="page339"/>
    <w:bookmarkEnd w:id="338"/>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complete any Renovations in a manner which does not materially, adversely affect Tenant’s use of or access to the Premises. Notwithstanding the foregoing, Tenant hereby agrees that such Renovations and Landlord’s actions in connection with such Renovations shall in no way constitute a constructive eviction of Tenant nor, subject to the provisions of </w:t>
      </w:r>
      <w:r>
        <w:rPr>
          <w:rFonts w:ascii="Arial" w:cs="Arial" w:eastAsia="Arial" w:hAnsi="Arial"/>
          <w:sz w:val="16"/>
          <w:szCs w:val="16"/>
          <w:u w:val="single" w:color="auto"/>
          <w:color w:val="auto"/>
        </w:rPr>
        <w:t>Section 19.5.2</w:t>
      </w:r>
      <w:r>
        <w:rPr>
          <w:rFonts w:ascii="Arial" w:cs="Arial" w:eastAsia="Arial" w:hAnsi="Arial"/>
          <w:sz w:val="16"/>
          <w:szCs w:val="16"/>
          <w:color w:val="auto"/>
        </w:rPr>
        <w:t xml:space="preserve"> above,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Landlord’s actions in connection with such Renovations, or for any inconvenience or annoyance occasioned by such Renovations or Landlord’s actions, provided that the foregoing shall not limit Landlord’s liability, if any, pursuant to Applicable Law for personal injury and property damage to the extent caused by the gross negligence or willful misconduct of Landlord, its agents, employees or contractors.</w:t>
      </w:r>
    </w:p>
    <w:p>
      <w:pPr>
        <w:spacing w:after="0" w:line="54"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29.31 </w:t>
      </w:r>
      <w:r>
        <w:rPr>
          <w:rFonts w:ascii="Arial" w:cs="Arial" w:eastAsia="Arial" w:hAnsi="Arial"/>
          <w:sz w:val="18"/>
          <w:szCs w:val="18"/>
          <w:b w:val="1"/>
          <w:bCs w:val="1"/>
          <w:u w:val="single" w:color="auto"/>
          <w:color w:val="auto"/>
        </w:rPr>
        <w:t>No Violation</w:t>
      </w:r>
      <w:r>
        <w:rPr>
          <w:rFonts w:ascii="Arial" w:cs="Arial" w:eastAsia="Arial" w:hAnsi="Arial"/>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29.32 </w:t>
      </w:r>
      <w:r>
        <w:rPr>
          <w:rFonts w:ascii="Arial" w:cs="Arial" w:eastAsia="Arial" w:hAnsi="Arial"/>
          <w:sz w:val="16"/>
          <w:szCs w:val="16"/>
          <w:b w:val="1"/>
          <w:bCs w:val="1"/>
          <w:u w:val="single" w:color="auto"/>
          <w:color w:val="auto"/>
        </w:rPr>
        <w:t>Communications and Computer Lines</w:t>
      </w:r>
      <w:r>
        <w:rPr>
          <w:rFonts w:ascii="Arial" w:cs="Arial" w:eastAsia="Arial" w:hAnsi="Arial"/>
          <w:sz w:val="16"/>
          <w:szCs w:val="16"/>
          <w:color w:val="auto"/>
        </w:rPr>
        <w:t>. Tenant may install, maintain, replace, remove or use any communications or computer wires and cables (collectively, the “</w:t>
      </w:r>
      <w:r>
        <w:rPr>
          <w:rFonts w:ascii="Arial" w:cs="Arial" w:eastAsia="Arial" w:hAnsi="Arial"/>
          <w:sz w:val="16"/>
          <w:szCs w:val="16"/>
          <w:b w:val="1"/>
          <w:bCs w:val="1"/>
          <w:color w:val="auto"/>
        </w:rPr>
        <w:t>Lines</w:t>
      </w:r>
      <w:r>
        <w:rPr>
          <w:rFonts w:ascii="Arial" w:cs="Arial" w:eastAsia="Arial" w:hAnsi="Arial"/>
          <w:sz w:val="16"/>
          <w:szCs w:val="16"/>
          <w:color w:val="auto"/>
        </w:rPr>
        <w:t xml:space="preserve">”) at the Project in or serving the Premises, provided that (i) Tenant shall obtain Landlord’s prior written consent to the installation of any such Lines (such consent not to be unreasonably withheld), use an experienced and qualified contractor approved in writing by Landlord (such approval not to be unreasonably withheld), and comply with all of the other provisions of </w:t>
      </w:r>
      <w:r>
        <w:rPr>
          <w:rFonts w:ascii="Arial" w:cs="Arial" w:eastAsia="Arial" w:hAnsi="Arial"/>
          <w:sz w:val="16"/>
          <w:szCs w:val="16"/>
          <w:u w:val="single" w:color="auto"/>
          <w:color w:val="auto"/>
        </w:rPr>
        <w:t>Articles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of this Lease, (ii) an acceptable amount of space for additional Lines shall be maintained for future occupants of the Project, as determined in Landlord’s reasonable opinion, (iii) the Lines (including riser cables) shall be appropriately insulated to prevent excessive electromagnetic fields or radiation, and shall be surrounded by a protective conduit reasonably acceptable to Landlord, (iv) any Lines servicing the Premises shall comply with all Applicable Laws, (v) as a condition to permitting the installation of new Lines, Landlord may require that Tenant remove existing Lines located in or serving the Premises that will no longer be used by Tenant and repair any damage in connection with such removal, and (vi) Tenant shall pay all costs in connection therewith. Landlord reserves the right to require that Tenant remove any Lines located in or serving the Premises which are installed in violation of these provisions, or which are at any time in violation of any Applicable Laws or represent a dangerous or potentially dangerous condition. Upon the expiration of the Lease Term, or immediately following any earlier termination of this Lease, Tenant shall, at Tenant’s sole cost and expense, remove all Lines installed by Tenant, and repair any damage caused by such removal.</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29.33 </w:t>
      </w:r>
      <w:r>
        <w:rPr>
          <w:rFonts w:ascii="Arial" w:cs="Arial" w:eastAsia="Arial" w:hAnsi="Arial"/>
          <w:sz w:val="18"/>
          <w:szCs w:val="18"/>
          <w:b w:val="1"/>
          <w:bCs w:val="1"/>
          <w:u w:val="single" w:color="auto"/>
          <w:color w:val="auto"/>
        </w:rPr>
        <w:t>Office and Communications Services</w:t>
      </w:r>
      <w:r>
        <w:rPr>
          <w:rFonts w:ascii="Arial" w:cs="Arial" w:eastAsia="Arial" w:hAnsi="Arial"/>
          <w:sz w:val="18"/>
          <w:szCs w:val="18"/>
          <w:color w:val="auto"/>
        </w:rPr>
        <w:t>.</w:t>
      </w:r>
    </w:p>
    <w:p>
      <w:pPr>
        <w:spacing w:after="0" w:line="117" w:lineRule="exact"/>
        <w:rPr>
          <w:sz w:val="20"/>
          <w:szCs w:val="20"/>
          <w:color w:val="auto"/>
        </w:rPr>
      </w:pPr>
    </w:p>
    <w:p>
      <w:pPr>
        <w:ind w:right="600" w:firstLine="913"/>
        <w:spacing w:after="0" w:line="347" w:lineRule="auto"/>
        <w:rPr>
          <w:sz w:val="20"/>
          <w:szCs w:val="20"/>
          <w:color w:val="auto"/>
        </w:rPr>
      </w:pPr>
      <w:r>
        <w:rPr>
          <w:rFonts w:ascii="Arial" w:cs="Arial" w:eastAsia="Arial" w:hAnsi="Arial"/>
          <w:sz w:val="16"/>
          <w:szCs w:val="16"/>
          <w:color w:val="auto"/>
        </w:rPr>
        <w:t xml:space="preserve">29.33.1 </w:t>
      </w:r>
      <w:r>
        <w:rPr>
          <w:rFonts w:ascii="Arial" w:cs="Arial" w:eastAsia="Arial" w:hAnsi="Arial"/>
          <w:sz w:val="16"/>
          <w:szCs w:val="16"/>
          <w:b w:val="1"/>
          <w:bCs w:val="1"/>
          <w:u w:val="single" w:color="auto"/>
          <w:color w:val="auto"/>
        </w:rPr>
        <w:t>The Provider</w:t>
      </w:r>
      <w:r>
        <w:rPr>
          <w:rFonts w:ascii="Arial" w:cs="Arial" w:eastAsia="Arial" w:hAnsi="Arial"/>
          <w:sz w:val="16"/>
          <w:szCs w:val="16"/>
          <w:color w:val="auto"/>
        </w:rPr>
        <w:t>. Tenant shall be permitted to contract with an office and communications services concessionaire (the “</w:t>
      </w:r>
      <w:r>
        <w:rPr>
          <w:rFonts w:ascii="Arial" w:cs="Arial" w:eastAsia="Arial" w:hAnsi="Arial"/>
          <w:sz w:val="16"/>
          <w:szCs w:val="16"/>
          <w:b w:val="1"/>
          <w:bCs w:val="1"/>
          <w:color w:val="auto"/>
        </w:rPr>
        <w:t>Provider</w:t>
      </w:r>
      <w:r>
        <w:rPr>
          <w:rFonts w:ascii="Arial" w:cs="Arial" w:eastAsia="Arial" w:hAnsi="Arial"/>
          <w:sz w:val="16"/>
          <w:szCs w:val="16"/>
          <w:color w:val="auto"/>
        </w:rPr>
        <w:t>”) selected by Tenant and subject to Landlord’s reasonable approval (which may include, without limitation, cable or satellite television service).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3" w:right="239" w:bottom="1440" w:gutter="0" w:footer="0" w:header="0"/>
        </w:sectPr>
      </w:pPr>
    </w:p>
    <w:bookmarkStart w:id="339" w:name="page340"/>
    <w:bookmarkEnd w:id="339"/>
    <w:p>
      <w:pPr>
        <w:ind w:right="12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29.33.2 </w:t>
      </w:r>
      <w:r>
        <w:rPr>
          <w:rFonts w:ascii="Arial" w:cs="Arial" w:eastAsia="Arial" w:hAnsi="Arial"/>
          <w:sz w:val="16"/>
          <w:szCs w:val="16"/>
          <w:b w:val="1"/>
          <w:bCs w:val="1"/>
          <w:u w:val="single" w:color="auto"/>
          <w:color w:val="auto"/>
        </w:rPr>
        <w:t>Other Terms</w:t>
      </w:r>
      <w:r>
        <w:rPr>
          <w:rFonts w:ascii="Arial" w:cs="Arial" w:eastAsia="Arial" w:hAnsi="Arial"/>
          <w:sz w:val="16"/>
          <w:szCs w:val="16"/>
          <w:color w:val="auto"/>
        </w:rPr>
        <w:t>. Tenant acknowledges and agrees that: (i) Landlord has made no warranty or representation to Tenant with respect to the availability of any such services, or the quality, reliability or suitability thereof; (ii) Landlord shall have no responsibility or liability for the installation, alteration, repair, maintenance, furnishing, operation, adjustment or removal of any such services, equipment or facilities; and (iii) any contract or other agreement between Tenant and Provider shall be independent of this Lease, the obligations of Tenant hereunder, and the rights of Landlord hereunder, and, without limiting the foregoing, no default or failure of Provider with respect to any such services, equipment or facilities, or under any contract or agreement relating thereto, shall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29.34 </w:t>
      </w:r>
      <w:r>
        <w:rPr>
          <w:rFonts w:ascii="Arial" w:cs="Arial" w:eastAsia="Arial" w:hAnsi="Arial"/>
          <w:sz w:val="18"/>
          <w:szCs w:val="18"/>
          <w:b w:val="1"/>
          <w:bCs w:val="1"/>
          <w:u w:val="single" w:color="auto"/>
          <w:color w:val="auto"/>
        </w:rPr>
        <w:t>Development of the Project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color w:val="auto"/>
        </w:rPr>
        <w:t xml:space="preserve">29.34.1 </w:t>
      </w:r>
      <w:r>
        <w:rPr>
          <w:rFonts w:ascii="Arial" w:cs="Arial" w:eastAsia="Arial" w:hAnsi="Arial"/>
          <w:sz w:val="18"/>
          <w:szCs w:val="18"/>
          <w:b w:val="1"/>
          <w:bCs w:val="1"/>
          <w:u w:val="single" w:color="auto"/>
          <w:color w:val="auto"/>
        </w:rPr>
        <w:t>Subdivision</w:t>
      </w:r>
      <w:r>
        <w:rPr>
          <w:rFonts w:ascii="Arial" w:cs="Arial" w:eastAsia="Arial" w:hAnsi="Arial"/>
          <w:sz w:val="18"/>
          <w:szCs w:val="18"/>
          <w:color w:val="auto"/>
        </w:rPr>
        <w:t>. Landlord reserves the right to further subdivide all or a portion of the Project. Tenant agrees to execute and deliver, upon demand by Landlord and in the form requested by Landlord, any additional documents needed to conform this Lease to the circumstances resulting from such subdivision.</w:t>
      </w:r>
    </w:p>
    <w:p>
      <w:pPr>
        <w:spacing w:after="0" w:line="6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29.34.2 </w:t>
      </w:r>
      <w:r>
        <w:rPr>
          <w:rFonts w:ascii="Arial" w:cs="Arial" w:eastAsia="Arial" w:hAnsi="Arial"/>
          <w:sz w:val="17"/>
          <w:szCs w:val="17"/>
          <w:b w:val="1"/>
          <w:bCs w:val="1"/>
          <w:u w:val="single" w:color="auto"/>
          <w:color w:val="auto"/>
        </w:rPr>
        <w:t>The Other Improvements</w:t>
      </w:r>
      <w:r>
        <w:rPr>
          <w:rFonts w:ascii="Arial" w:cs="Arial" w:eastAsia="Arial" w:hAnsi="Arial"/>
          <w:sz w:val="17"/>
          <w:szCs w:val="17"/>
          <w:color w:val="auto"/>
        </w:rPr>
        <w:t>. If portions of the Project or property adjacent to the Project (collectively, the “</w:t>
      </w:r>
      <w:r>
        <w:rPr>
          <w:rFonts w:ascii="Arial" w:cs="Arial" w:eastAsia="Arial" w:hAnsi="Arial"/>
          <w:sz w:val="17"/>
          <w:szCs w:val="17"/>
          <w:b w:val="1"/>
          <w:bCs w:val="1"/>
          <w:color w:val="auto"/>
        </w:rPr>
        <w:t>Other Improvements</w:t>
      </w:r>
      <w:r>
        <w:rPr>
          <w:rFonts w:ascii="Arial" w:cs="Arial" w:eastAsia="Arial" w:hAnsi="Arial"/>
          <w:sz w:val="17"/>
          <w:szCs w:val="17"/>
          <w:color w:val="auto"/>
        </w:rPr>
        <w:t>”) are owned by an entity other than Landlord, Landlord, at its option, may enter into an agreement with the owner or owners of any or all of the Other Improvements to provide (i) for reciprocal rights of access and/or use of the Project and the Other Improvements, (ii) for the common management, operation, maintenance, improvement and/or repair of all or any portion of the Project and the Other Improvements, (iii) for the allocation of a portion of the Direct Expenses to the Other Improvements and the operating expenses and taxes for the Other Improvements to the Project, and (iv) for the use or improvement of the Other Improvements and/or the Project in connection with the improvement, construction, and/or excavation of the Other Improvements and/or the Project. Nothing contained herein shall be deemed or construed to limit or otherwise affect Landlord’s right to convey all or any portion of the Project or any other of Landlord’s rights described in this Lease.</w:t>
      </w:r>
    </w:p>
    <w:p>
      <w:pPr>
        <w:spacing w:after="0" w:line="64"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 xml:space="preserve">29.35 </w:t>
      </w:r>
      <w:r>
        <w:rPr>
          <w:rFonts w:ascii="Arial" w:cs="Arial" w:eastAsia="Arial" w:hAnsi="Arial"/>
          <w:sz w:val="17"/>
          <w:szCs w:val="17"/>
          <w:b w:val="1"/>
          <w:bCs w:val="1"/>
          <w:u w:val="single" w:color="auto"/>
          <w:color w:val="auto"/>
        </w:rPr>
        <w:t>Water Sensors</w:t>
      </w:r>
      <w:r>
        <w:rPr>
          <w:rFonts w:ascii="Arial" w:cs="Arial" w:eastAsia="Arial" w:hAnsi="Arial"/>
          <w:sz w:val="17"/>
          <w:szCs w:val="17"/>
          <w:color w:val="auto"/>
        </w:rPr>
        <w:t>. Tenant shall, at Tenant’s sole cost and expense, be responsible for promptly installing web-enabled wireless water leak sensor devices designed to alert the Tenant on a twenty-four (24) hour seven (7) day per week basis if a water leak is occurring in the Premises (which water sensor device(s) located in the Premises shall be referred to herein as “</w:t>
      </w:r>
      <w:r>
        <w:rPr>
          <w:rFonts w:ascii="Arial" w:cs="Arial" w:eastAsia="Arial" w:hAnsi="Arial"/>
          <w:sz w:val="17"/>
          <w:szCs w:val="17"/>
          <w:b w:val="1"/>
          <w:bCs w:val="1"/>
          <w:color w:val="auto"/>
        </w:rPr>
        <w:t>Web-Enabled Water Sensors</w:t>
      </w:r>
      <w:r>
        <w:rPr>
          <w:rFonts w:ascii="Arial" w:cs="Arial" w:eastAsia="Arial" w:hAnsi="Arial"/>
          <w:sz w:val="17"/>
          <w:szCs w:val="17"/>
          <w:color w:val="auto"/>
        </w:rPr>
        <w:t>”). Notwithstanding the foregoing, Tenant, at Tenant’s sole cost and expense, may instead install water sensors that are not web-enabled (“</w:t>
      </w:r>
      <w:r>
        <w:rPr>
          <w:rFonts w:ascii="Arial" w:cs="Arial" w:eastAsia="Arial" w:hAnsi="Arial"/>
          <w:sz w:val="17"/>
          <w:szCs w:val="17"/>
          <w:b w:val="1"/>
          <w:bCs w:val="1"/>
          <w:color w:val="auto"/>
        </w:rPr>
        <w:t>Non Web-Enabled Water Sensors</w:t>
      </w:r>
      <w:r>
        <w:rPr>
          <w:rFonts w:ascii="Arial" w:cs="Arial" w:eastAsia="Arial" w:hAnsi="Arial"/>
          <w:sz w:val="17"/>
          <w:szCs w:val="17"/>
          <w:color w:val="auto"/>
        </w:rPr>
        <w:t>”), of a model and specifications to be approved by Landlord, provided, however, that in the event the performance of the Non Web-Enabled Water Sensors is in any way deficient (i.e., fails to detect a water leak with the same or similar speed as the web enabled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0" w:right="239" w:bottom="1440" w:gutter="0" w:footer="0" w:header="0"/>
        </w:sectPr>
      </w:pPr>
    </w:p>
    <w:bookmarkStart w:id="340" w:name="page341"/>
    <w:bookmarkEnd w:id="34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Water Sensors, or in any way fails to detect a water leak), Tenant shall, upon Landlord’s written demand, at Tenant’s sole cost and expense, remove the Non Web-Enabled Water Sensors and install Web-Enabled Water Sensors in accordance with this </w:t>
      </w:r>
      <w:r>
        <w:rPr>
          <w:rFonts w:ascii="Arial" w:cs="Arial" w:eastAsia="Arial" w:hAnsi="Arial"/>
          <w:sz w:val="16"/>
          <w:szCs w:val="16"/>
          <w:u w:val="single" w:color="auto"/>
          <w:color w:val="auto"/>
        </w:rPr>
        <w:t>Section 29.35</w:t>
      </w:r>
      <w:r>
        <w:rPr>
          <w:rFonts w:ascii="Arial" w:cs="Arial" w:eastAsia="Arial" w:hAnsi="Arial"/>
          <w:sz w:val="16"/>
          <w:szCs w:val="16"/>
          <w:color w:val="auto"/>
        </w:rPr>
        <w:t>. Web-Enabled Water Sensors and Non Web-Enabled Water Sensors are each “</w:t>
      </w:r>
      <w:r>
        <w:rPr>
          <w:rFonts w:ascii="Arial" w:cs="Arial" w:eastAsia="Arial" w:hAnsi="Arial"/>
          <w:sz w:val="16"/>
          <w:szCs w:val="16"/>
          <w:b w:val="1"/>
          <w:bCs w:val="1"/>
          <w:color w:val="auto"/>
        </w:rPr>
        <w:t>Water Sensors</w:t>
      </w:r>
      <w:r>
        <w:rPr>
          <w:rFonts w:ascii="Arial" w:cs="Arial" w:eastAsia="Arial" w:hAnsi="Arial"/>
          <w:sz w:val="16"/>
          <w:szCs w:val="16"/>
          <w:color w:val="auto"/>
        </w:rPr>
        <w:t>”. The Water Sensors shall be installed in any areas in the Premises where water is utilized (such as sinks, pipes, faucets, water heaters, coffee machines, ice machines, water dispensers and water fountains), and in locations that may be reasonably designated from time to time by Landlord (the “</w:t>
      </w:r>
      <w:r>
        <w:rPr>
          <w:rFonts w:ascii="Arial" w:cs="Arial" w:eastAsia="Arial" w:hAnsi="Arial"/>
          <w:sz w:val="16"/>
          <w:szCs w:val="16"/>
          <w:b w:val="1"/>
          <w:bCs w:val="1"/>
          <w:color w:val="auto"/>
        </w:rPr>
        <w:t>Sensor Areas</w:t>
      </w:r>
      <w:r>
        <w:rPr>
          <w:rFonts w:ascii="Arial" w:cs="Arial" w:eastAsia="Arial" w:hAnsi="Arial"/>
          <w:sz w:val="16"/>
          <w:szCs w:val="16"/>
          <w:color w:val="auto"/>
        </w:rPr>
        <w:t xml:space="preserve">”). In connection with any Alterations affecting or relating to any Sensor Areas, Landlord may require Water Sensors to be installed or updated in Landlord’s reasonable discretion. With respect to the installation of any such Water Sensors, Tenant shall use an experienced and qualified contractor reasonably approved by Landlord, and comply with all of the other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Tenant shall, at Tenant’s sole cost and expense,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keep any Water Sensors located in the Premises in good working order, repair and condition at all times during the Lease Term and comply with all of the other provisions of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Notwithstanding any provision to the contrary contained herein, Landlord has neither an obligation to monitor, repair or otherwise maintain the Water Sensors, nor an obligation to respond to any alerts it may receive from the Water Sensors or which may be generated from the Water Sensors. Upon the expiration of the Lease Term, or immediately following any earlier termination of this Lease, Tenant shall leave the Water Sensors in place together with all necessary user information such that the same may be used by a future occupant of the Premises (</w:t>
      </w:r>
      <w:r>
        <w:rPr>
          <w:rFonts w:ascii="Arial" w:cs="Arial" w:eastAsia="Arial" w:hAnsi="Arial"/>
          <w:sz w:val="16"/>
          <w:szCs w:val="16"/>
          <w:i w:val="1"/>
          <w:iCs w:val="1"/>
          <w:color w:val="auto"/>
        </w:rPr>
        <w:t>e.g.</w:t>
      </w:r>
      <w:r>
        <w:rPr>
          <w:rFonts w:ascii="Arial" w:cs="Arial" w:eastAsia="Arial" w:hAnsi="Arial"/>
          <w:sz w:val="16"/>
          <w:szCs w:val="16"/>
          <w:color w:val="auto"/>
        </w:rPr>
        <w:t>, the Water Sensors shall be unblocked and ready for use by a third-party).</w:t>
      </w:r>
    </w:p>
    <w:p>
      <w:pPr>
        <w:spacing w:after="0" w:line="6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29.36 </w:t>
      </w:r>
      <w:r>
        <w:rPr>
          <w:rFonts w:ascii="Arial" w:cs="Arial" w:eastAsia="Arial" w:hAnsi="Arial"/>
          <w:sz w:val="18"/>
          <w:szCs w:val="18"/>
          <w:b w:val="1"/>
          <w:bCs w:val="1"/>
          <w:u w:val="single" w:color="auto"/>
          <w:color w:val="auto"/>
        </w:rPr>
        <w:t>Utility Billing Information</w:t>
      </w:r>
      <w:r>
        <w:rPr>
          <w:rFonts w:ascii="Arial" w:cs="Arial" w:eastAsia="Arial" w:hAnsi="Arial"/>
          <w:sz w:val="18"/>
          <w:szCs w:val="18"/>
          <w:color w:val="auto"/>
        </w:rPr>
        <w:t>. In the event that Landlord permits Tenant to contract directly for the provision of electricity, gas and/or water services to the Premises with the third-party provider thereof, Tenant shall provide Landlord with a copy of each invoice received from the applicable utility provider promptly following Tenant’s receipt thereof. Landlord may be required to disclose information concerning Tenant’s energy usage at the Project to certain third parties, including, without limitation, prospective purchasers, lenders and tenants of the Project (the “</w:t>
      </w:r>
      <w:r>
        <w:rPr>
          <w:rFonts w:ascii="Arial" w:cs="Arial" w:eastAsia="Arial" w:hAnsi="Arial"/>
          <w:sz w:val="18"/>
          <w:szCs w:val="18"/>
          <w:b w:val="1"/>
          <w:bCs w:val="1"/>
          <w:color w:val="auto"/>
        </w:rPr>
        <w:t>Tenant Energy Use Disclosure</w:t>
      </w:r>
      <w:r>
        <w:rPr>
          <w:rFonts w:ascii="Arial" w:cs="Arial" w:eastAsia="Arial" w:hAnsi="Arial"/>
          <w:sz w:val="18"/>
          <w:szCs w:val="18"/>
          <w:color w:val="auto"/>
        </w:rPr>
        <w:t xml:space="preserve">”). Tenant hereby consents to all such Tenant Energy Use Disclosures, and Landlord shall use commercially reasonable efforts to notify Tenant of any Tenant Energy Use Disclosures made by Landlord.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8"/>
          <w:szCs w:val="18"/>
          <w:u w:val="single" w:color="auto"/>
          <w:color w:val="auto"/>
        </w:rPr>
        <w:t>Section 29.36</w:t>
      </w:r>
      <w:r>
        <w:rPr>
          <w:rFonts w:ascii="Arial" w:cs="Arial" w:eastAsia="Arial" w:hAnsi="Arial"/>
          <w:sz w:val="18"/>
          <w:szCs w:val="18"/>
          <w:color w:val="auto"/>
        </w:rPr>
        <w:t xml:space="preserve"> shall survive the expiration or earlier termination of this Lease.</w:t>
      </w:r>
    </w:p>
    <w:p>
      <w:pPr>
        <w:spacing w:after="0" w:line="77"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color w:val="auto"/>
        </w:rPr>
        <w:t xml:space="preserve">29.37 </w:t>
      </w:r>
      <w:r>
        <w:rPr>
          <w:rFonts w:ascii="Arial" w:cs="Arial" w:eastAsia="Arial" w:hAnsi="Arial"/>
          <w:sz w:val="18"/>
          <w:szCs w:val="18"/>
          <w:b w:val="1"/>
          <w:bCs w:val="1"/>
          <w:u w:val="single" w:color="auto"/>
          <w:color w:val="auto"/>
        </w:rPr>
        <w:t>Green Cleaning/Recycling Program</w:t>
      </w:r>
      <w:r>
        <w:rPr>
          <w:rFonts w:ascii="Arial" w:cs="Arial" w:eastAsia="Arial" w:hAnsi="Arial"/>
          <w:sz w:val="18"/>
          <w:szCs w:val="18"/>
          <w:color w:val="auto"/>
        </w:rPr>
        <w:t>. Tenant shall cooperate if and to the extent Landlord implements a green cleaning program and/or recycling program for the Project, and hereby agrees that the reasonable costs associated with any such green cleaning and/or recycling program shall be included in Operating Expenses.</w:t>
      </w:r>
    </w:p>
    <w:p>
      <w:pPr>
        <w:spacing w:after="0" w:line="6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29.38 </w:t>
      </w:r>
      <w:r>
        <w:rPr>
          <w:rFonts w:ascii="Arial" w:cs="Arial" w:eastAsia="Arial" w:hAnsi="Arial"/>
          <w:sz w:val="18"/>
          <w:szCs w:val="18"/>
          <w:b w:val="1"/>
          <w:bCs w:val="1"/>
          <w:u w:val="single" w:color="auto"/>
          <w:color w:val="auto"/>
        </w:rPr>
        <w:t>LEED Certification</w:t>
      </w:r>
      <w:r>
        <w:rPr>
          <w:rFonts w:ascii="Arial" w:cs="Arial" w:eastAsia="Arial" w:hAnsi="Arial"/>
          <w:sz w:val="18"/>
          <w:szCs w:val="18"/>
          <w:color w:val="auto"/>
        </w:rPr>
        <w:t>. Landlord may, in Landlord’s sole and absolute discretion, elect to apply to obtain or maintain a LEED certification for the Project (or portion thereof), or other applicable certification in connection with Landlord’s sustainability practices for the Project (as such sustainability practices are to be determined by Landlord, in its sole and absolute discretion, from time to time). In the event that Landlord elects to pursue such an aforementioned certification, Tenant shall, at Tenant’s sole cost and expense, promptly</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274" w:right="319" w:bottom="1440" w:gutter="0" w:footer="0" w:header="0"/>
        </w:sectPr>
      </w:pPr>
    </w:p>
    <w:bookmarkStart w:id="341" w:name="page342"/>
    <w:bookmarkEnd w:id="34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cooperate with the Landlord’s efforts in connection therewith and provide Landlord with any documentation it may need in order to obtain or maintain the aforementioned certification (which cooperation may include, but shall not be limited to, Tenant complying with certain standards pertaining to the purchase of materials used in connection with any Alterations or improvements undertaken by the Tenant in the Project, the sharing of documentation pertaining to any Alterations or improvements undertaken by Tenant in the Project with Landlord, and the sharing of Tenant’s billing information pertaining to trash removal and recycling related to Tenant’s operations in the Project).</w:t>
      </w:r>
    </w:p>
    <w:p>
      <w:pPr>
        <w:spacing w:after="0" w:line="76"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 xml:space="preserve">29.39 </w:t>
      </w:r>
      <w:r>
        <w:rPr>
          <w:rFonts w:ascii="Arial" w:cs="Arial" w:eastAsia="Arial" w:hAnsi="Arial"/>
          <w:sz w:val="18"/>
          <w:szCs w:val="18"/>
          <w:b w:val="1"/>
          <w:bCs w:val="1"/>
          <w:u w:val="single" w:color="auto"/>
          <w:color w:val="auto"/>
        </w:rPr>
        <w:t>Approvals</w:t>
      </w:r>
      <w:r>
        <w:rPr>
          <w:rFonts w:ascii="Arial" w:cs="Arial" w:eastAsia="Arial" w:hAnsi="Arial"/>
          <w:sz w:val="18"/>
          <w:szCs w:val="18"/>
          <w:color w:val="auto"/>
        </w:rPr>
        <w:t>. Whenever this Lease requires an approval, consent, determination, selection or judgment by either Landlord or Tenant, unless another standard is expressly set forth, such approval, consent, determination, selection or judgment and any conditions imposed thereby shall be reasonable and shall not be unreasonably withheld or delayed.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29.40 </w:t>
      </w:r>
      <w:r>
        <w:rPr>
          <w:rFonts w:ascii="Arial" w:cs="Arial" w:eastAsia="Arial" w:hAnsi="Arial"/>
          <w:sz w:val="16"/>
          <w:szCs w:val="16"/>
          <w:b w:val="1"/>
          <w:bCs w:val="1"/>
          <w:u w:val="single" w:color="auto"/>
          <w:color w:val="auto"/>
        </w:rPr>
        <w:t>Shuttle Service</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29.40</w:t>
      </w:r>
      <w:r>
        <w:rPr>
          <w:rFonts w:ascii="Arial" w:cs="Arial" w:eastAsia="Arial" w:hAnsi="Arial"/>
          <w:sz w:val="16"/>
          <w:szCs w:val="16"/>
          <w:color w:val="auto"/>
        </w:rPr>
        <w:t>, so long as no Default is continuing, Landlord shall operate (or provide for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operation of), throughout the Lease Term, a shuttle service (the “</w:t>
      </w:r>
      <w:r>
        <w:rPr>
          <w:rFonts w:ascii="Arial" w:cs="Arial" w:eastAsia="Arial" w:hAnsi="Arial"/>
          <w:sz w:val="16"/>
          <w:szCs w:val="16"/>
          <w:b w:val="1"/>
          <w:bCs w:val="1"/>
          <w:color w:val="auto"/>
        </w:rPr>
        <w:t>Shuttle Service</w:t>
      </w:r>
      <w:r>
        <w:rPr>
          <w:rFonts w:ascii="Arial" w:cs="Arial" w:eastAsia="Arial" w:hAnsi="Arial"/>
          <w:sz w:val="16"/>
          <w:szCs w:val="16"/>
          <w:color w:val="auto"/>
        </w:rPr>
        <w:t>”) at the Project, for exclusive use by Tenant’s employees at the Project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Shuttle Service Riders</w:t>
      </w:r>
      <w:r>
        <w:rPr>
          <w:rFonts w:ascii="Arial" w:cs="Arial" w:eastAsia="Arial" w:hAnsi="Arial"/>
          <w:sz w:val="16"/>
          <w:szCs w:val="16"/>
          <w:color w:val="auto"/>
        </w:rPr>
        <w:t>”). The use of the Shuttle Service shall be subject to the reasonable rules and regulations reasonably established from time to time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and/or the operator of the Shuttle Service, provided that any such rules and regulations do not expressly contradict any of the terms set forth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29.40</w:t>
      </w:r>
      <w:r>
        <w:rPr>
          <w:rFonts w:ascii="Arial" w:cs="Arial" w:eastAsia="Arial" w:hAnsi="Arial"/>
          <w:sz w:val="16"/>
          <w:szCs w:val="16"/>
          <w:color w:val="auto"/>
        </w:rPr>
        <w:t>. Landlord will reasonably designate (a) the hours of operation of the Shuttle Service, which shall at least include the hours of 8 a.m.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10:30 a.m. and 4:30 p.m. through 7:30 p.m., five (5) days a week (excluding weekends and holidays) (the “</w:t>
      </w:r>
      <w:r>
        <w:rPr>
          <w:rFonts w:ascii="Arial" w:cs="Arial" w:eastAsia="Arial" w:hAnsi="Arial"/>
          <w:sz w:val="16"/>
          <w:szCs w:val="16"/>
          <w:b w:val="1"/>
          <w:bCs w:val="1"/>
          <w:color w:val="auto"/>
        </w:rPr>
        <w:t>Shuttle Service Hours</w:t>
      </w:r>
      <w:r>
        <w:rPr>
          <w:rFonts w:ascii="Arial" w:cs="Arial" w:eastAsia="Arial" w:hAnsi="Arial"/>
          <w:sz w:val="16"/>
          <w:szCs w:val="16"/>
          <w:color w:val="auto"/>
        </w:rPr>
        <w:t>”), (b) the frequency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stops, and (c) designated routes, which shall include stops at the nearest BART Station and CalTrain Station. Upon request from Tenant, Landlord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 Shuttle Service during hours other than Shuttle Service Hours (which additional hours shall be contiguous with the Shuttle Service Hours),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Tenant shall reimburse Landlord, as Additional Rent, within thirty (30) days of request, Landlord’s costs and expenses incurred in providing the Shuttle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outside of the Shuttle Service Hours. Landlord and Tenant acknowledge that the use of the Shuttle Service by the Shuttle Service Riders shall be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own risk. Landlord agrees that, if Tenant so elects and appoints a representative, Landlord shall meet and confer with Tenant’s representative from time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time regarding the manner in which the Shuttle Service is operated, including the Shuttle Service Hours, the number and capacity of shuttles,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designated routes of the Shuttle Service; provided, however, any suggestions or requests made by Tenant’s representative shall not be binding on Landlord,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shall be taken into reasonable consideration. Subject to Tenant’s obligation to reimburse Landlord for after-Shuttle Service Hours costs, as set forth above,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 shall be no fee payable by the Shuttle Service Riders for use of the Shuttle Service and the cost of the Shuttle Service shall be excluded from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Expenses of the Project, as set forth in </w:t>
      </w:r>
      <w:r>
        <w:rPr>
          <w:rFonts w:ascii="Arial" w:cs="Arial" w:eastAsia="Arial" w:hAnsi="Arial"/>
          <w:sz w:val="18"/>
          <w:szCs w:val="18"/>
          <w:u w:val="single" w:color="auto"/>
          <w:color w:val="auto"/>
        </w:rPr>
        <w:t>Section 4.2.4(l)</w:t>
      </w:r>
      <w:r>
        <w:rPr>
          <w:rFonts w:ascii="Arial" w:cs="Arial" w:eastAsia="Arial" w:hAnsi="Arial"/>
          <w:sz w:val="18"/>
          <w:szCs w:val="18"/>
          <w:color w:val="auto"/>
        </w:rPr>
        <w:t xml:space="preserve"> above.</w:t>
      </w:r>
    </w:p>
    <w:p>
      <w:pPr>
        <w:spacing w:after="0" w:line="99"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29.41 </w:t>
      </w:r>
      <w:r>
        <w:rPr>
          <w:rFonts w:ascii="Arial" w:cs="Arial" w:eastAsia="Arial" w:hAnsi="Arial"/>
          <w:sz w:val="18"/>
          <w:szCs w:val="18"/>
          <w:b w:val="1"/>
          <w:bCs w:val="1"/>
          <w:u w:val="single" w:color="auto"/>
          <w:color w:val="auto"/>
        </w:rPr>
        <w:t>Prohibited Persons; Foreign Corrupt Practices Act and Anti-Money Laundering</w:t>
      </w:r>
      <w:r>
        <w:rPr>
          <w:rFonts w:ascii="Arial" w:cs="Arial" w:eastAsia="Arial" w:hAnsi="Arial"/>
          <w:sz w:val="18"/>
          <w:szCs w:val="18"/>
          <w:color w:val="auto"/>
        </w:rPr>
        <w:t>. Neither (i) Tenant nor any of its officers, directors or managers, or (ii) to Tenant’s knowledge, any of Tenant’s affiliates, nor any of their respective members, partners, other equity holders (excluding any holders of any publicly traded stock or other equity interests of Tenant, if any), officers, directors or managers is, nor prior to or during the Lease Term, will they become a person or entity with whom U.S. persons or entities are restricted from doing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342" w:name="page343"/>
    <w:bookmarkEnd w:id="34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under (a) the Patriot Act (as defined below), (b) any other requirements contained in the rules and regulations of the Office of Foreign Assets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Control,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(including any “blocked” person or entity listed in the Annex to Executive Order Nos. 12947, 13099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13224 and any modifications thereto or thereof or any other person or entity named on OFAC’s Specially Designated Blocked Persons List) or (c) any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statute, Executive Order (including the September 24, 2001, Executive Order Blocking Property and Prohibiting Transactions with Persons Who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 Threaten to Commit or Support Terrorism) or other governmental action (collectively, “</w:t>
      </w:r>
      <w:r>
        <w:rPr>
          <w:rFonts w:ascii="Arial" w:cs="Arial" w:eastAsia="Arial" w:hAnsi="Arial"/>
          <w:sz w:val="16"/>
          <w:szCs w:val="16"/>
          <w:b w:val="1"/>
          <w:bCs w:val="1"/>
          <w:color w:val="auto"/>
        </w:rPr>
        <w:t>Prohibited Persons</w:t>
      </w:r>
      <w:r>
        <w:rPr>
          <w:rFonts w:ascii="Arial" w:cs="Arial" w:eastAsia="Arial" w:hAnsi="Arial"/>
          <w:sz w:val="16"/>
          <w:szCs w:val="16"/>
          <w:color w:val="auto"/>
        </w:rPr>
        <w:t>”). Tenant is not entering into this 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directly or indirectly, in violation of any laws relating to drug trafficking, money laundering or predicate crimes to money laundering. As used herein,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Patriot Act</w:t>
      </w:r>
      <w:r>
        <w:rPr>
          <w:rFonts w:ascii="Arial" w:cs="Arial" w:eastAsia="Arial" w:hAnsi="Arial"/>
          <w:sz w:val="16"/>
          <w:szCs w:val="16"/>
          <w:color w:val="auto"/>
        </w:rPr>
        <w:t>” shall mean the USA Patriot Act of 2001, 107 Public Law 56 (October 26, 2001) and all other statutes, orders, rules and regulations of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its various executive departments, agencies and offices interpreting and implementing the Patriot Act.</w:t>
      </w:r>
    </w:p>
    <w:p>
      <w:pPr>
        <w:spacing w:after="0" w:line="9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29.42 </w:t>
      </w:r>
      <w:r>
        <w:rPr>
          <w:rFonts w:ascii="Arial" w:cs="Arial" w:eastAsia="Arial" w:hAnsi="Arial"/>
          <w:sz w:val="18"/>
          <w:szCs w:val="18"/>
          <w:b w:val="1"/>
          <w:bCs w:val="1"/>
          <w:u w:val="single" w:color="auto"/>
          <w:color w:val="auto"/>
        </w:rPr>
        <w:t>Multi-Tenant Lease Provisions</w:t>
      </w:r>
      <w:r>
        <w:rPr>
          <w:rFonts w:ascii="Arial" w:cs="Arial" w:eastAsia="Arial" w:hAnsi="Arial"/>
          <w:sz w:val="18"/>
          <w:szCs w:val="18"/>
          <w:color w:val="auto"/>
        </w:rPr>
        <w:t xml:space="preserve">. At any time that any party other than Tenant and/or its Permitted Transferees are no longer leasing or anticipated to lease the entirety of the office space within the Project pursuant to the terms of this Lease, Landlord and Tenant shall promptly enter into a lease amendment consistent with the terms and conditions of the Lease, but documenting the nature of any Building, as applicable, and the Project, as no longer a single-tenant office project, as further set forth in </w:t>
      </w:r>
      <w:r>
        <w:rPr>
          <w:rFonts w:ascii="Arial" w:cs="Arial" w:eastAsia="Arial" w:hAnsi="Arial"/>
          <w:sz w:val="18"/>
          <w:szCs w:val="18"/>
          <w:b w:val="1"/>
          <w:bCs w:val="1"/>
          <w:u w:val="single" w:color="auto"/>
          <w:color w:val="auto"/>
        </w:rPr>
        <w:t>Exhibit K</w:t>
      </w:r>
      <w:r>
        <w:rPr>
          <w:rFonts w:ascii="Arial" w:cs="Arial" w:eastAsia="Arial" w:hAnsi="Arial"/>
          <w:sz w:val="18"/>
          <w:szCs w:val="18"/>
          <w:color w:val="auto"/>
        </w:rPr>
        <w:t xml:space="preserve"> attached hereto.</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30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FLOWER MART EXPANSION</w:t>
      </w:r>
    </w:p>
    <w:p>
      <w:pPr>
        <w:spacing w:after="0" w:line="99"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u w:val="single" w:color="auto"/>
          <w:color w:val="auto"/>
        </w:rPr>
        <w:t>Flower Mart</w:t>
      </w:r>
      <w:r>
        <w:rPr>
          <w:rFonts w:ascii="Arial" w:cs="Arial" w:eastAsia="Arial" w:hAnsi="Arial"/>
          <w:sz w:val="18"/>
          <w:szCs w:val="18"/>
          <w:color w:val="auto"/>
        </w:rPr>
        <w:t>. An affiliate of Landlord, KR Flower Mart, LLC, a Delaware limited liability company (“</w:t>
      </w:r>
      <w:r>
        <w:rPr>
          <w:rFonts w:ascii="Arial" w:cs="Arial" w:eastAsia="Arial" w:hAnsi="Arial"/>
          <w:sz w:val="18"/>
          <w:szCs w:val="18"/>
          <w:b w:val="1"/>
          <w:bCs w:val="1"/>
          <w:color w:val="auto"/>
        </w:rPr>
        <w:t>KRFM</w:t>
      </w:r>
      <w:r>
        <w:rPr>
          <w:rFonts w:ascii="Arial" w:cs="Arial" w:eastAsia="Arial" w:hAnsi="Arial"/>
          <w:sz w:val="18"/>
          <w:szCs w:val="18"/>
          <w:color w:val="auto"/>
        </w:rPr>
        <w:t>”), is the owner of certain property located at 630-686 Brannan Street, San Francisco, California, upon which, KRFM anticipates constructing a mixed use office project, commonly known as the Flower Mart (the “</w:t>
      </w:r>
      <w:r>
        <w:rPr>
          <w:rFonts w:ascii="Arial" w:cs="Arial" w:eastAsia="Arial" w:hAnsi="Arial"/>
          <w:sz w:val="18"/>
          <w:szCs w:val="18"/>
          <w:b w:val="1"/>
          <w:bCs w:val="1"/>
          <w:color w:val="auto"/>
        </w:rPr>
        <w:t>Flower Mart</w:t>
      </w:r>
      <w:r>
        <w:rPr>
          <w:rFonts w:ascii="Arial" w:cs="Arial" w:eastAsia="Arial" w:hAnsi="Arial"/>
          <w:sz w:val="18"/>
          <w:szCs w:val="18"/>
          <w:color w:val="auto"/>
        </w:rPr>
        <w:t xml:space="preserve">”). Landlord shall cause KRFM to comply with the terms of this </w:t>
      </w:r>
      <w:r>
        <w:rPr>
          <w:rFonts w:ascii="Arial" w:cs="Arial" w:eastAsia="Arial" w:hAnsi="Arial"/>
          <w:sz w:val="18"/>
          <w:szCs w:val="18"/>
          <w:u w:val="single" w:color="auto"/>
          <w:color w:val="auto"/>
        </w:rPr>
        <w:t>Article 30</w:t>
      </w:r>
      <w:r>
        <w:rPr>
          <w:rFonts w:ascii="Arial" w:cs="Arial" w:eastAsia="Arial" w:hAnsi="Arial"/>
          <w:sz w:val="18"/>
          <w:szCs w:val="18"/>
          <w:color w:val="auto"/>
        </w:rPr>
        <w:t>.</w:t>
      </w:r>
    </w:p>
    <w:p>
      <w:pPr>
        <w:spacing w:after="0" w:line="6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b w:val="1"/>
          <w:bCs w:val="1"/>
          <w:u w:val="single" w:color="auto"/>
          <w:color w:val="auto"/>
        </w:rPr>
        <w:t>Landlord Notice of Discretionary Approvals</w:t>
      </w:r>
      <w:r>
        <w:rPr>
          <w:rFonts w:ascii="Arial" w:cs="Arial" w:eastAsia="Arial" w:hAnsi="Arial"/>
          <w:sz w:val="18"/>
          <w:szCs w:val="18"/>
          <w:color w:val="auto"/>
        </w:rPr>
        <w:t>. KRFM shall provide written notice to Tenant after all discretionary approvals for the construction of the Flower Mart have been finally granted (the “</w:t>
      </w:r>
      <w:r>
        <w:rPr>
          <w:rFonts w:ascii="Arial" w:cs="Arial" w:eastAsia="Arial" w:hAnsi="Arial"/>
          <w:sz w:val="18"/>
          <w:szCs w:val="18"/>
          <w:b w:val="1"/>
          <w:bCs w:val="1"/>
          <w:color w:val="auto"/>
        </w:rPr>
        <w:t>Discretionary Approvals Notice</w:t>
      </w:r>
      <w:r>
        <w:rPr>
          <w:rFonts w:ascii="Arial" w:cs="Arial" w:eastAsia="Arial" w:hAnsi="Arial"/>
          <w:sz w:val="18"/>
          <w:szCs w:val="18"/>
          <w:color w:val="auto"/>
        </w:rPr>
        <w:t>”), which notice shall include information regarding the then approved square footage of the Flower Mart project and Landlord’s anticipated schedule for the development thereof. Within ten (10) business days following Tenant’s receipt of the Discretionary Approvals Notice, Tenant shall have the right to provide written notice to KRFM of Tenant’s interest in leasing space in the Flower Mart (“</w:t>
      </w:r>
      <w:r>
        <w:rPr>
          <w:rFonts w:ascii="Arial" w:cs="Arial" w:eastAsia="Arial" w:hAnsi="Arial"/>
          <w:sz w:val="18"/>
          <w:szCs w:val="18"/>
          <w:b w:val="1"/>
          <w:bCs w:val="1"/>
          <w:color w:val="auto"/>
        </w:rPr>
        <w:t>Tenant’s Interest Notice</w:t>
      </w:r>
      <w:r>
        <w:rPr>
          <w:rFonts w:ascii="Arial" w:cs="Arial" w:eastAsia="Arial" w:hAnsi="Arial"/>
          <w:sz w:val="18"/>
          <w:szCs w:val="18"/>
          <w:color w:val="auto"/>
        </w:rPr>
        <w:t>”), which Tenant’s Interest Notice shall include a description of the amount of space that Tenant is then interested in leasing.</w:t>
      </w:r>
    </w:p>
    <w:p>
      <w:pPr>
        <w:spacing w:after="0" w:line="8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b w:val="1"/>
          <w:bCs w:val="1"/>
          <w:u w:val="single" w:color="auto"/>
          <w:color w:val="auto"/>
        </w:rPr>
        <w:t>Landlord Notice of Availability</w:t>
      </w:r>
      <w:r>
        <w:rPr>
          <w:rFonts w:ascii="Arial" w:cs="Arial" w:eastAsia="Arial" w:hAnsi="Arial"/>
          <w:sz w:val="18"/>
          <w:szCs w:val="18"/>
          <w:color w:val="auto"/>
        </w:rPr>
        <w:t>. In addition, regardless of whether or not Landlord has delivered Landlord’s Discretionary Approvals Notice, KRFM shall provide, written notice to Tenant prior to entering into a lease pertaining to at least 250,000 rentable square feet of office space at the Flower Mart (the “</w:t>
      </w:r>
      <w:r>
        <w:rPr>
          <w:rFonts w:ascii="Arial" w:cs="Arial" w:eastAsia="Arial" w:hAnsi="Arial"/>
          <w:sz w:val="18"/>
          <w:szCs w:val="18"/>
          <w:b w:val="1"/>
          <w:bCs w:val="1"/>
          <w:color w:val="auto"/>
        </w:rPr>
        <w:t>Availability Notice</w:t>
      </w:r>
      <w:r>
        <w:rPr>
          <w:rFonts w:ascii="Arial" w:cs="Arial" w:eastAsia="Arial" w:hAnsi="Arial"/>
          <w:sz w:val="18"/>
          <w:szCs w:val="18"/>
          <w:color w:val="auto"/>
        </w:rPr>
        <w:t>”), which Availability Notice shall include a description of the space that KRFM determines is available and which is the subject of the anticipated, aforementioned lease. Within ten (10) business days following Tenant’s receipt of the Availability Notice, Tenant shall have the right to provide written notice to KRFM of Tenant’s interest in leasing the space described in the Availability Notice (“</w:t>
      </w:r>
      <w:r>
        <w:rPr>
          <w:rFonts w:ascii="Arial" w:cs="Arial" w:eastAsia="Arial" w:hAnsi="Arial"/>
          <w:sz w:val="18"/>
          <w:szCs w:val="18"/>
          <w:b w:val="1"/>
          <w:bCs w:val="1"/>
          <w:color w:val="auto"/>
        </w:rPr>
        <w:t>Tenant’s Availability Interest</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3" w:right="259" w:bottom="1440" w:gutter="0" w:footer="0" w:header="0"/>
        </w:sectPr>
      </w:pPr>
    </w:p>
    <w:bookmarkStart w:id="343" w:name="page344"/>
    <w:bookmarkEnd w:id="34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30.4 </w:t>
      </w:r>
      <w:r>
        <w:rPr>
          <w:rFonts w:ascii="Arial" w:cs="Arial" w:eastAsia="Arial" w:hAnsi="Arial"/>
          <w:sz w:val="18"/>
          <w:szCs w:val="18"/>
          <w:b w:val="1"/>
          <w:bCs w:val="1"/>
          <w:u w:val="single" w:color="auto"/>
          <w:color w:val="auto"/>
        </w:rPr>
        <w:t>Meeting Period</w:t>
      </w:r>
      <w:r>
        <w:rPr>
          <w:rFonts w:ascii="Arial" w:cs="Arial" w:eastAsia="Arial" w:hAnsi="Arial"/>
          <w:sz w:val="18"/>
          <w:szCs w:val="18"/>
          <w:color w:val="auto"/>
        </w:rPr>
        <w:t>. Following KRFM’s timely receipt of Tenant’s Interest Notice or Tenant’s Availability Interest Notice, for a period of thirty</w:t>
      </w:r>
    </w:p>
    <w:p>
      <w:pPr>
        <w:spacing w:after="0" w:line="27" w:lineRule="exact"/>
        <w:rPr>
          <w:sz w:val="20"/>
          <w:szCs w:val="20"/>
          <w:color w:val="auto"/>
        </w:rPr>
      </w:pPr>
    </w:p>
    <w:p>
      <w:pPr>
        <w:ind w:firstLine="8"/>
        <w:spacing w:after="0" w:line="270" w:lineRule="auto"/>
        <w:tabs>
          <w:tab w:leader="none" w:pos="34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days thereafter (the “</w:t>
      </w:r>
      <w:r>
        <w:rPr>
          <w:rFonts w:ascii="Arial" w:cs="Arial" w:eastAsia="Arial" w:hAnsi="Arial"/>
          <w:sz w:val="17"/>
          <w:szCs w:val="17"/>
          <w:b w:val="1"/>
          <w:bCs w:val="1"/>
          <w:color w:val="auto"/>
        </w:rPr>
        <w:t>Meeting Period</w:t>
      </w:r>
      <w:r>
        <w:rPr>
          <w:rFonts w:ascii="Arial" w:cs="Arial" w:eastAsia="Arial" w:hAnsi="Arial"/>
          <w:sz w:val="17"/>
          <w:szCs w:val="17"/>
          <w:color w:val="auto"/>
        </w:rPr>
        <w:t xml:space="preserve">”), KRFM and Tenant shall use good faith to schedule an initial discussion, but on a non-exclusive basis, and thereafter discuss terms acceptable to each party in their sole discretion, without the necessity of either party acting in good faith to reach agreement (other than with respect to the scheduling of the initial discussion as set forth above), for Tenant’s lease of the amount of space designated in Tenant’s Interest Notice or in the Availability Notice, as applicable. If Tenant does not so notify KRFM within the ten (10) business day period described in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above, or if KRFM or Tenant, in its sole discretion, decides not to continue to discuss a lease of space at the Flower Mart prior to the expiration of the Meeting Period, then KRFM shall be free to lease the applicable space to anyone to whom KRFM desires on any terms KRFM desires.</w:t>
      </w:r>
    </w:p>
    <w:p>
      <w:pPr>
        <w:spacing w:after="0" w:line="6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All Notices by means identified in </w:t>
      </w:r>
      <w:r>
        <w:rPr>
          <w:rFonts w:ascii="Arial" w:cs="Arial" w:eastAsia="Arial" w:hAnsi="Arial"/>
          <w:sz w:val="18"/>
          <w:szCs w:val="18"/>
          <w:u w:val="single" w:color="auto"/>
          <w:color w:val="auto"/>
        </w:rPr>
        <w:t>Section 29.18</w:t>
      </w:r>
      <w:r>
        <w:rPr>
          <w:rFonts w:ascii="Arial" w:cs="Arial" w:eastAsia="Arial" w:hAnsi="Arial"/>
          <w:sz w:val="18"/>
          <w:szCs w:val="18"/>
          <w:color w:val="auto"/>
        </w:rPr>
        <w:t xml:space="preserve"> above, and if to Tenant shall be delivered to the addresses identified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Summary (as the same may be modified from time to time pursuant to </w:t>
      </w:r>
      <w:r>
        <w:rPr>
          <w:rFonts w:ascii="Arial" w:cs="Arial" w:eastAsia="Arial" w:hAnsi="Arial"/>
          <w:sz w:val="18"/>
          <w:szCs w:val="18"/>
          <w:u w:val="single" w:color="auto"/>
          <w:color w:val="auto"/>
        </w:rPr>
        <w:t>Section 29.18</w:t>
      </w:r>
      <w:r>
        <w:rPr>
          <w:rFonts w:ascii="Arial" w:cs="Arial" w:eastAsia="Arial" w:hAnsi="Arial"/>
          <w:sz w:val="18"/>
          <w:szCs w:val="18"/>
          <w:color w:val="auto"/>
        </w:rPr>
        <w:t xml:space="preserve"> above), and if to KRFM shall be delivered to the addresses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Summary (as the same may be modified from time to time pursuant to </w:t>
      </w:r>
      <w:r>
        <w:rPr>
          <w:rFonts w:ascii="Arial" w:cs="Arial" w:eastAsia="Arial" w:hAnsi="Arial"/>
          <w:sz w:val="18"/>
          <w:szCs w:val="18"/>
          <w:u w:val="single" w:color="auto"/>
          <w:color w:val="auto"/>
        </w:rPr>
        <w:t>Section 29.18</w:t>
      </w:r>
      <w:r>
        <w:rPr>
          <w:rFonts w:ascii="Arial" w:cs="Arial" w:eastAsia="Arial" w:hAnsi="Arial"/>
          <w:sz w:val="18"/>
          <w:szCs w:val="18"/>
          <w:color w:val="auto"/>
        </w:rPr>
        <w:t xml:space="preserve"> above), except that any reference therein to “KR Mission Bay, LLC” shall instead be “KR Flower Mart, LLC”.</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xml:space="preserve">. Tenant’s rights under this </w:t>
      </w:r>
      <w:r>
        <w:rPr>
          <w:rFonts w:ascii="Arial" w:cs="Arial" w:eastAsia="Arial" w:hAnsi="Arial"/>
          <w:sz w:val="16"/>
          <w:szCs w:val="16"/>
          <w:u w:val="single" w:color="auto"/>
          <w:color w:val="auto"/>
        </w:rPr>
        <w:t>Article 30</w:t>
      </w:r>
      <w:r>
        <w:rPr>
          <w:rFonts w:ascii="Arial" w:cs="Arial" w:eastAsia="Arial" w:hAnsi="Arial"/>
          <w:sz w:val="16"/>
          <w:szCs w:val="16"/>
          <w:color w:val="auto"/>
        </w:rPr>
        <w:t xml:space="preserve"> shall terminate and be of no further force or effect upon the occurrence of any of the following:</w:t>
      </w:r>
    </w:p>
    <w:p>
      <w:pPr>
        <w:spacing w:after="0" w:line="50" w:lineRule="exact"/>
        <w:rPr>
          <w:sz w:val="20"/>
          <w:szCs w:val="20"/>
          <w:color w:val="auto"/>
        </w:rPr>
      </w:pPr>
    </w:p>
    <w:p>
      <w:pPr>
        <w:ind w:right="200" w:firstLine="8"/>
        <w:spacing w:after="0" w:line="292" w:lineRule="auto"/>
        <w:tabs>
          <w:tab w:leader="none" w:pos="21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Tenant’s assignment of this Lease to any entity that is not a Permitted Transferee Assignee, (ii) the sale of this Project or the Flower Mart (or prior to the date of the construction of the Flower Mart, the sale of the land upon which the Flower Mart is anticipated to be constructed) to any entity other than an affiliate (an entity which controls, is controlled by, or is under common control with Landlord or KRFM), (iii) the date that KRFM notifies Tenant, in good faith, that KRFM has determined to permanently cease seeking discretionary approvals for the construction of the Flower Mart, or (iv) the date that KRFM has entered into a lease or leases pertaining to at least seventy-five percent (75%) of the rentable square footage of the Flower Mart.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69" w:right="259" w:bottom="1440" w:gutter="0" w:footer="0" w:header="0"/>
        </w:sectPr>
      </w:pPr>
    </w:p>
    <w:bookmarkStart w:id="344" w:name="page345"/>
    <w:bookmarkEnd w:id="3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Landlord and Tenant have caused this Lease to be executed the day and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KR MISSION BAY,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By: Kilroy Realty, 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Delaware partnership</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Sole Member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Kilroy Realty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Maryland corporation,</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Paratte</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380" w:type="dxa"/>
            <w:vAlign w:val="bottom"/>
          </w:tcPr>
          <w:p>
            <w:pPr>
              <w:spacing w:after="0"/>
              <w:rPr>
                <w:sz w:val="20"/>
                <w:szCs w:val="20"/>
                <w:color w:val="auto"/>
              </w:rPr>
            </w:pPr>
            <w:r>
              <w:rPr>
                <w:rFonts w:ascii="Arial" w:cs="Arial" w:eastAsia="Arial" w:hAnsi="Arial"/>
                <w:sz w:val="18"/>
                <w:szCs w:val="18"/>
                <w:color w:val="auto"/>
              </w:rPr>
              <w:t>Robert Paratte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Buziak</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380" w:type="dxa"/>
            <w:vAlign w:val="bottom"/>
          </w:tcPr>
          <w:p>
            <w:pPr>
              <w:spacing w:after="0"/>
              <w:rPr>
                <w:sz w:val="20"/>
                <w:szCs w:val="20"/>
                <w:color w:val="auto"/>
              </w:rPr>
            </w:pPr>
            <w:r>
              <w:rPr>
                <w:rFonts w:ascii="Arial" w:cs="Arial" w:eastAsia="Arial" w:hAnsi="Arial"/>
                <w:sz w:val="18"/>
                <w:szCs w:val="18"/>
                <w:color w:val="auto"/>
              </w:rPr>
              <w:t>Richard Buziak</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w w:val="99"/>
              </w:rPr>
              <w:t>Senior Vice President, Asset Management</w:t>
            </w:r>
          </w:p>
        </w:tc>
      </w:tr>
    </w:tbl>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[signatures continue on next pages]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274" w:right="1440"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Drew Houston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Drew Houston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Volkmer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Bart Volkmer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270" w:right="1440" w:bottom="1440" w:gutter="0" w:footer="0" w:header="0"/>
        </w:sectPr>
      </w:pPr>
    </w:p>
    <w:bookmarkStart w:id="346" w:name="page347"/>
    <w:bookmarkEnd w:id="346"/>
    <w:p>
      <w:pPr>
        <w:jc w:val="center"/>
        <w:ind w:right="-7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u w:val="single" w:color="auto"/>
          <w:color w:val="auto"/>
        </w:rPr>
        <w:t>OUTLINE OF PREMISES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Premises is shown in the pages that follow as the area marked with diagonal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184150</wp:posOffset>
            </wp:positionV>
            <wp:extent cx="5360035" cy="70319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360035" cy="703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759"/>
          </w:cols>
          <w:pgMar w:left="700" w:top="270" w:right="1440" w:bottom="1440" w:gutter="0" w:footer="0" w:header="0"/>
        </w:sectPr>
      </w:pPr>
    </w:p>
    <w:bookmarkStart w:id="347" w:name="page348"/>
    <w:bookmarkEnd w:id="3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259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712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348" w:name="page349"/>
    <w:bookmarkEnd w:id="3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634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696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349" w:name="page350"/>
    <w:bookmarkEnd w:id="3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634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696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1440" w:right="1440" w:bottom="1440" w:gutter="0" w:footer="0" w:header="0"/>
        </w:sectPr>
      </w:pPr>
    </w:p>
    <w:bookmarkStart w:id="350" w:name="page351"/>
    <w:bookmarkEnd w:id="3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551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695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1440" w:right="1440" w:bottom="1440" w:gutter="0" w:footer="0" w:header="0"/>
        </w:sectPr>
      </w:pPr>
    </w:p>
    <w:bookmarkStart w:id="351" w:name="page352"/>
    <w:bookmarkEnd w:id="3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291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692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1440" w:right="1440" w:bottom="1440" w:gutter="0" w:footer="0" w:header="0"/>
        </w:sectPr>
      </w:pPr>
    </w:p>
    <w:bookmarkStart w:id="352" w:name="page353"/>
    <w:bookmarkEnd w:id="3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2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9019"/>
          </w:cols>
          <w:pgMar w:left="1440" w:top="144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440" w:right="1440" w:bottom="1440" w:gutter="0" w:footer="0" w:header="0"/>
          <w:type w:val="continuous"/>
        </w:sectPr>
      </w:pPr>
    </w:p>
    <w:bookmarkStart w:id="353" w:name="page354"/>
    <w:bookmarkEnd w:id="3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2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1440" w:right="1440" w:bottom="1440" w:gutter="0" w:footer="0" w:header="0"/>
        </w:sectPr>
      </w:pPr>
    </w:p>
    <w:bookmarkStart w:id="354" w:name="page355"/>
    <w:bookmarkEnd w:id="35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RENTABLE SQUARE FOOTAGE OF EACH FLOOR OF THE PREMISES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rPr>
              <w:t>BLDG</w:t>
            </w:r>
          </w:p>
        </w:tc>
        <w:tc>
          <w:tcPr>
            <w:tcW w:w="15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COMPLEX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RENTABLE</w:t>
            </w: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RENTABLE</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RENTABLE</w:t>
            </w:r>
          </w:p>
        </w:tc>
        <w:tc>
          <w:tcPr>
            <w:tcW w:w="0" w:type="dxa"/>
            <w:vAlign w:val="bottom"/>
          </w:tcPr>
          <w:p>
            <w:pPr>
              <w:spacing w:after="0"/>
              <w:rPr>
                <w:sz w:val="1"/>
                <w:szCs w:val="1"/>
                <w:color w:val="auto"/>
              </w:rPr>
            </w:pPr>
          </w:p>
        </w:tc>
      </w:tr>
      <w:tr>
        <w:trPr>
          <w:trHeight w:val="181"/>
        </w:trPr>
        <w:tc>
          <w:tcPr>
            <w:tcW w:w="3820" w:type="dxa"/>
            <w:vAlign w:val="bottom"/>
            <w:gridSpan w:val="4"/>
          </w:tcPr>
          <w:p>
            <w:pPr>
              <w:spacing w:after="0"/>
              <w:rPr>
                <w:sz w:val="20"/>
                <w:szCs w:val="20"/>
                <w:color w:val="auto"/>
              </w:rPr>
            </w:pPr>
            <w:r>
              <w:rPr>
                <w:rFonts w:ascii="Arial" w:cs="Arial" w:eastAsia="Arial" w:hAnsi="Arial"/>
                <w:sz w:val="14"/>
                <w:szCs w:val="14"/>
                <w:color w:val="auto"/>
              </w:rPr>
              <w:t>BUILDING</w:t>
            </w:r>
          </w:p>
        </w:tc>
        <w:tc>
          <w:tcPr>
            <w:tcW w:w="1120" w:type="dxa"/>
            <w:vAlign w:val="bottom"/>
            <w:gridSpan w:val="2"/>
          </w:tcPr>
          <w:p>
            <w:pPr>
              <w:ind w:left="80"/>
              <w:spacing w:after="0"/>
              <w:rPr>
                <w:sz w:val="20"/>
                <w:szCs w:val="20"/>
                <w:color w:val="auto"/>
              </w:rPr>
            </w:pPr>
            <w:r>
              <w:rPr>
                <w:rFonts w:ascii="Arial" w:cs="Arial" w:eastAsia="Arial" w:hAnsi="Arial"/>
                <w:sz w:val="14"/>
                <w:szCs w:val="14"/>
                <w:color w:val="auto"/>
              </w:rPr>
              <w:t>LEVEL</w:t>
            </w:r>
          </w:p>
        </w:tc>
        <w:tc>
          <w:tcPr>
            <w:tcW w:w="33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SQUARE FEET PER FLOOR</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SQUARE FEET</w:t>
            </w:r>
          </w:p>
        </w:tc>
        <w:tc>
          <w:tcPr>
            <w:tcW w:w="150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SQUARE FEET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BLDG1</w:t>
            </w: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NORTH TOWER</w:t>
            </w: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L1</w:t>
            </w:r>
          </w:p>
        </w:tc>
        <w:tc>
          <w:tcPr>
            <w:tcW w:w="240" w:type="dxa"/>
            <w:vAlign w:val="bottom"/>
          </w:tcPr>
          <w:p>
            <w:pPr>
              <w:spacing w:after="0"/>
              <w:rPr>
                <w:sz w:val="16"/>
                <w:szCs w:val="16"/>
                <w:color w:val="auto"/>
              </w:rPr>
            </w:pPr>
          </w:p>
        </w:tc>
        <w:tc>
          <w:tcPr>
            <w:tcW w:w="3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12,289.09*</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299,255.17</w:t>
            </w:r>
          </w:p>
        </w:tc>
        <w:tc>
          <w:tcPr>
            <w:tcW w:w="20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424,454.69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L2</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23,421.33</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L3</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23,439.15</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L4</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27,338.28</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L5</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24,618.21</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L6</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27,596.04</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L7</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26,657.33</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L8</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26,577.07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L9</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26,577.07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L10</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26,913.87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L11</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26,913.87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L12</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26,913.87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tcPr>
          <w:p>
            <w:pPr>
              <w:spacing w:after="0"/>
              <w:rPr>
                <w:sz w:val="20"/>
                <w:szCs w:val="20"/>
                <w:color w:val="auto"/>
              </w:rPr>
            </w:pPr>
            <w:r>
              <w:rPr>
                <w:rFonts w:ascii="Arial" w:cs="Arial" w:eastAsia="Arial" w:hAnsi="Arial"/>
                <w:sz w:val="18"/>
                <w:szCs w:val="18"/>
                <w:color w:val="auto"/>
              </w:rPr>
              <w:t>BLDG 2 NORTH BUILDING</w:t>
            </w: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L1</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2,381.03*</w:t>
            </w:r>
          </w:p>
        </w:tc>
        <w:tc>
          <w:tcPr>
            <w:tcW w:w="2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125,199.52</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L2</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11,816.12</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L3</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11,788.80</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L4</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33,664.07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L5</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32,816.33</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L6</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32,733.18</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tcPr>
          <w:p>
            <w:pPr>
              <w:spacing w:after="0"/>
              <w:rPr>
                <w:sz w:val="20"/>
                <w:szCs w:val="20"/>
                <w:color w:val="auto"/>
              </w:rPr>
            </w:pPr>
            <w:r>
              <w:rPr>
                <w:rFonts w:ascii="Arial" w:cs="Arial" w:eastAsia="Arial" w:hAnsi="Arial"/>
                <w:sz w:val="18"/>
                <w:szCs w:val="18"/>
                <w:color w:val="auto"/>
              </w:rPr>
              <w:t>BLDG3 SOUTH TOWER</w:t>
            </w: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L1</w:t>
            </w: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807.73</w:t>
            </w:r>
          </w:p>
        </w:tc>
        <w:tc>
          <w:tcPr>
            <w:tcW w:w="2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259,551.05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325,915.63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L2</w:t>
            </w: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464.45</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L3</w:t>
            </w: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1,591.71</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L4</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30,104.76</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L5</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29,549.59</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L6</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29,550.77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L7</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29,486.99</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L8</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29,543.96</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L9</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29,543.96</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L10</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26,302.38</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L11</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26,302.38</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L12</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26,302.38</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4"/>
          </w:tcPr>
          <w:p>
            <w:pPr>
              <w:spacing w:after="0"/>
              <w:rPr>
                <w:sz w:val="20"/>
                <w:szCs w:val="20"/>
                <w:color w:val="auto"/>
              </w:rPr>
            </w:pPr>
            <w:r>
              <w:rPr>
                <w:rFonts w:ascii="Arial" w:cs="Arial" w:eastAsia="Arial" w:hAnsi="Arial"/>
                <w:sz w:val="18"/>
                <w:szCs w:val="18"/>
                <w:color w:val="auto"/>
              </w:rPr>
              <w:t>BLDG4 SOUTH BUILDING</w:t>
            </w: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L1</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12,564.47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66,364.58</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L2</w:t>
            </w: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L3</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13,986.84</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L4</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13,313.33</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L5</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13,337.09</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OVERALL BUILDING FLOOR AREA</w:t>
            </w: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L6</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13,162.86</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750,370.32</w:t>
            </w:r>
          </w:p>
        </w:tc>
        <w:tc>
          <w:tcPr>
            <w:tcW w:w="0" w:type="dxa"/>
            <w:vAlign w:val="bottom"/>
          </w:tcPr>
          <w:p>
            <w:pPr>
              <w:spacing w:after="0"/>
              <w:rPr>
                <w:sz w:val="1"/>
                <w:szCs w:val="1"/>
                <w:color w:val="auto"/>
              </w:rPr>
            </w:pPr>
          </w:p>
        </w:tc>
      </w:tr>
      <w:tr>
        <w:trPr>
          <w:trHeight w:val="202"/>
        </w:trPr>
        <w:tc>
          <w:tcPr>
            <w:tcW w:w="382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4"/>
          </w:tcPr>
          <w:p>
            <w:pPr>
              <w:spacing w:after="0"/>
              <w:rPr>
                <w:sz w:val="20"/>
                <w:szCs w:val="20"/>
                <w:color w:val="auto"/>
              </w:rPr>
            </w:pPr>
            <w:r>
              <w:rPr>
                <w:rFonts w:ascii="Arial" w:cs="Arial" w:eastAsia="Arial" w:hAnsi="Arial"/>
                <w:sz w:val="18"/>
                <w:szCs w:val="18"/>
                <w:color w:val="auto"/>
              </w:rPr>
              <w:t>* Retail Space, not part of the Premises.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55" w:name="page356"/>
    <w:bookmarkEnd w:id="355"/>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0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This Work Letter shall set forth the terms and conditions relating to the construction of the Premises. This Work Letter is essentially organized chronologically and addresses the issues of the construction of the Premises, in sequence, as such issues will arise during the actual construction of the Premises. All references in this Work Letter to Articles or Sections of “this Lease” shall mean the relevant portions of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of the Office Lease to which this Work Letter is attached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and all references in this Work Letter to Sections of “this Work Letter” shall mean the relevant portions of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this Work Letter. All capitalized terms used but not otherwise defined herein shall have the meanings ascribed to such terms in the Lease.</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SECTION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LANDLORD’S INITIAL CONSTRUCTION OF THE BASE BUILDING</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Construction of Base Building</w:t>
      </w:r>
      <w:r>
        <w:rPr>
          <w:rFonts w:ascii="Arial" w:cs="Arial" w:eastAsia="Arial" w:hAnsi="Arial"/>
          <w:sz w:val="16"/>
          <w:szCs w:val="16"/>
          <w:color w:val="auto"/>
        </w:rPr>
        <w:t>. Landlord shall construct, at its sole cost and expense, and without deduction from the Improvement Allowance, the base, shell, and core of the Buildings and the other portions of the Project including the Parking Facilities and Common Areas (collectively,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Shell and Core</w:t>
      </w:r>
      <w:r>
        <w:rPr>
          <w:rFonts w:ascii="Arial" w:cs="Arial" w:eastAsia="Arial" w:hAnsi="Arial"/>
          <w:sz w:val="16"/>
          <w:szCs w:val="16"/>
          <w:color w:val="auto"/>
        </w:rPr>
        <w:t>” and/or “</w:t>
      </w:r>
      <w:r>
        <w:rPr>
          <w:rFonts w:ascii="Arial" w:cs="Arial" w:eastAsia="Arial" w:hAnsi="Arial"/>
          <w:sz w:val="16"/>
          <w:szCs w:val="16"/>
          <w:b w:val="1"/>
          <w:bCs w:val="1"/>
          <w:color w:val="auto"/>
        </w:rPr>
        <w:t>Base Building</w:t>
      </w:r>
      <w:r>
        <w:rPr>
          <w:rFonts w:ascii="Arial" w:cs="Arial" w:eastAsia="Arial" w:hAnsi="Arial"/>
          <w:sz w:val="16"/>
          <w:szCs w:val="16"/>
          <w:color w:val="auto"/>
        </w:rPr>
        <w:t>”), which shall be in compliance with Applicable Laws (to the extent necessary for Tenant to submit for permits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construction of the Improvements or to obtain and retain a “CofO”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below) for the Premises for general office use). The Base Building shall be constructed in accordance with the design and development plans and specifications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(the “</w:t>
      </w:r>
      <w:r>
        <w:rPr>
          <w:rFonts w:ascii="Arial" w:cs="Arial" w:eastAsia="Arial" w:hAnsi="Arial"/>
          <w:sz w:val="16"/>
          <w:szCs w:val="16"/>
          <w:b w:val="1"/>
          <w:bCs w:val="1"/>
          <w:color w:val="auto"/>
        </w:rPr>
        <w:t>Base Building</w:t>
      </w:r>
      <w:r>
        <w:rPr>
          <w:rFonts w:ascii="Arial" w:cs="Arial" w:eastAsia="Arial" w:hAnsi="Arial"/>
          <w:sz w:val="16"/>
          <w:szCs w:val="16"/>
          <w:color w:val="auto"/>
        </w:rPr>
        <w:t xml:space="preserve"> </w:t>
      </w:r>
      <w:r>
        <w:rPr>
          <w:rFonts w:ascii="Arial" w:cs="Arial" w:eastAsia="Arial" w:hAnsi="Arial"/>
          <w:sz w:val="16"/>
          <w:szCs w:val="16"/>
          <w:b w:val="1"/>
          <w:bCs w:val="1"/>
          <w:color w:val="auto"/>
        </w:rPr>
        <w:t>Plans</w:t>
      </w:r>
      <w:r>
        <w:rPr>
          <w:rFonts w:ascii="Arial" w:cs="Arial" w:eastAsia="Arial" w:hAnsi="Arial"/>
          <w:sz w:val="16"/>
          <w:szCs w:val="16"/>
          <w:color w:val="auto"/>
        </w:rPr>
        <w:t>”), subject to Landlord Minor Changes as provided for hereinbelow; and the final construction drawings for the Base Building (the “</w:t>
      </w:r>
      <w:r>
        <w:rPr>
          <w:rFonts w:ascii="Arial" w:cs="Arial" w:eastAsia="Arial" w:hAnsi="Arial"/>
          <w:sz w:val="16"/>
          <w:szCs w:val="16"/>
          <w:b w:val="1"/>
          <w:bCs w:val="1"/>
          <w:color w:val="auto"/>
        </w:rPr>
        <w:t>Base Building Construction Drawings and Specifications</w:t>
      </w:r>
      <w:r>
        <w:rPr>
          <w:rFonts w:ascii="Arial" w:cs="Arial" w:eastAsia="Arial" w:hAnsi="Arial"/>
          <w:sz w:val="16"/>
          <w:szCs w:val="16"/>
          <w:color w:val="auto"/>
        </w:rPr>
        <w:t>”) shall in all respects conform to and be consistent, except as provided in this Work Letter, with such Base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Building Plans. Upon completion of the Base Building Construction Drawings and Specifications, Landlord shall deliver to Tenant complete copies thereof (four (4) hard copies and one (1) electronic copy), together with a certification from Landlord addressed to Tenant certifying that the Base Building Construction Drawings and Specifications conform to and are consistent with the Base Building Plans, except as allowed by the terms of this Work Letter. In the event that an updated set of the Base Building Construction Drawings and Specifications are prepared for Landlord, Landlord shall provide Tenant with complete copies of the most up-to-date set. Landlord shall be responsible for obtaining all building permits and other governmental approvals required to construct the Base Building in accordance with the Base Building Construction Drawings and Specifications. As used in this Work Letter (and the Schedules attached hereto), the term “Base Building” shall have the meaning set forth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not the meaning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Lease. Additionally, to the extent not set forth in the version of the Base Building Plans referenced in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Landlord shall make the necessary modifications to provide that the Base Building, as constructed by Landlord, shall comply with the Base Building Definition set forth in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(the “</w:t>
      </w:r>
      <w:r>
        <w:rPr>
          <w:rFonts w:ascii="Arial" w:cs="Arial" w:eastAsia="Arial" w:hAnsi="Arial"/>
          <w:sz w:val="16"/>
          <w:szCs w:val="16"/>
          <w:b w:val="1"/>
          <w:bCs w:val="1"/>
          <w:color w:val="auto"/>
        </w:rPr>
        <w:t>Base Building</w:t>
      </w:r>
      <w:r>
        <w:rPr>
          <w:rFonts w:ascii="Arial" w:cs="Arial" w:eastAsia="Arial" w:hAnsi="Arial"/>
          <w:sz w:val="16"/>
          <w:szCs w:val="16"/>
          <w:color w:val="auto"/>
        </w:rPr>
        <w:t xml:space="preserve"> </w:t>
      </w:r>
      <w:r>
        <w:rPr>
          <w:rFonts w:ascii="Arial" w:cs="Arial" w:eastAsia="Arial" w:hAnsi="Arial"/>
          <w:sz w:val="16"/>
          <w:szCs w:val="16"/>
          <w:b w:val="1"/>
          <w:bCs w:val="1"/>
          <w:color w:val="auto"/>
        </w:rPr>
        <w:t>Definition</w:t>
      </w:r>
      <w:r>
        <w:rPr>
          <w:rFonts w:ascii="Arial" w:cs="Arial" w:eastAsia="Arial" w:hAnsi="Arial"/>
          <w:sz w:val="16"/>
          <w:szCs w:val="16"/>
          <w:color w:val="auto"/>
        </w:rPr>
        <w:t>”). Certain work described in the Base Building Definition is described as Tenant’s obligation as part of the construction of the</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269" w:right="339" w:bottom="1440" w:gutter="0" w:footer="0" w:header="0"/>
        </w:sectPr>
      </w:pPr>
    </w:p>
    <w:bookmarkStart w:id="356" w:name="page357"/>
    <w:bookmarkEnd w:id="35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Improvements, and are not components of the Base Building. In the event of a conflict between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shall prevail. Landlord hereby reserves the right to modify the Base Building Plans, the Base Building Definition, and the Base Building Construction Drawings and Specifications, provided that such modifications (each such modification is a “</w:t>
      </w:r>
      <w:r>
        <w:rPr>
          <w:rFonts w:ascii="Arial" w:cs="Arial" w:eastAsia="Arial" w:hAnsi="Arial"/>
          <w:sz w:val="16"/>
          <w:szCs w:val="16"/>
          <w:b w:val="1"/>
          <w:bCs w:val="1"/>
          <w:color w:val="auto"/>
        </w:rPr>
        <w:t>Landlord Minor Change</w:t>
      </w:r>
      <w:r>
        <w:rPr>
          <w:rFonts w:ascii="Arial" w:cs="Arial" w:eastAsia="Arial" w:hAnsi="Arial"/>
          <w:sz w:val="16"/>
          <w:szCs w:val="16"/>
          <w:color w:val="auto"/>
        </w:rPr>
        <w:t>”): (A) are required to comply with Applicable Laws,</w:t>
      </w:r>
    </w:p>
    <w:p>
      <w:pPr>
        <w:spacing w:after="0" w:line="2" w:lineRule="exact"/>
        <w:rPr>
          <w:sz w:val="20"/>
          <w:szCs w:val="20"/>
          <w:color w:val="auto"/>
        </w:rPr>
      </w:pPr>
    </w:p>
    <w:p>
      <w:pPr>
        <w:ind w:right="120" w:firstLine="8"/>
        <w:spacing w:after="0" w:line="267" w:lineRule="auto"/>
        <w:tabs>
          <w:tab w:leader="none" w:pos="28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will not (i) materially and adversely affect Tenant’s permitted use of the Premises and the Project or materially increase the cost of construction of the Improvements, unless Landlord pays such increased costs, or (ii) result in the use of materials, systems or components which are not of a reasonably equivalent or better quality than the materials, systems and components set forth in the Base Building Plans or in the Lease, or (C) relate to areas of the Project located outside of the Buildings and Parking Facilities. Landlord’s general contractor shall, on commercially reasonable terms, warrant to Landlord that the Base, Shell and Core is free from any defects in workmanship and materials for a period of not less than one (1) year from the date of completion thereof. Landlord’s general contractor shall be responsible, on commercially reasonable terms, for the replacement or repair, without additional charge, of all work done or furnished in accordance with its contract that shall become defective within one (1) year after the completion of the work performed by such contractor. The correction of such work shall include, on commercially reasonable terms, without additional charge, all additional expenses and damages incurred in connection with such removal or replacement of all or any part of the Base, Shell and Core that may be damaged or disturbed thereby. All such warranties or guarantees as to materials or workmanship of or with respect to the Base, Shell and Core shall be contained in the contract or subcontract, on commercially reasonable terms.</w:t>
      </w:r>
    </w:p>
    <w:p>
      <w:pPr>
        <w:spacing w:after="0" w:line="75" w:lineRule="exact"/>
        <w:rPr>
          <w:sz w:val="20"/>
          <w:szCs w:val="20"/>
          <w:color w:val="auto"/>
        </w:rPr>
      </w:pPr>
    </w:p>
    <w:p>
      <w:pPr>
        <w:ind w:right="200" w:firstLine="913"/>
        <w:spacing w:after="0" w:line="272"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Shaft Work</w:t>
      </w:r>
      <w:r>
        <w:rPr>
          <w:rFonts w:ascii="Arial" w:cs="Arial" w:eastAsia="Arial" w:hAnsi="Arial"/>
          <w:sz w:val="17"/>
          <w:szCs w:val="17"/>
          <w:color w:val="auto"/>
        </w:rPr>
        <w:t xml:space="preserve">. After receipt of the CofO for the Base, Shell and Core and satisfaction of the Final Condition, using methods and materials selected by Landlord, Landlord, at its cost and expense, will in-fill and remove the ductwork and exhaust equipment located within or comprising the shafts and voids for the Tenant duct/utility riser openings identified on </w:t>
      </w:r>
      <w:r>
        <w:rPr>
          <w:rFonts w:ascii="Arial" w:cs="Arial" w:eastAsia="Arial" w:hAnsi="Arial"/>
          <w:sz w:val="17"/>
          <w:szCs w:val="17"/>
          <w:b w:val="1"/>
          <w:bCs w:val="1"/>
          <w:u w:val="single" w:color="auto"/>
          <w:color w:val="auto"/>
        </w:rPr>
        <w:t>Schedule 5</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Shaft Work</w:t>
      </w:r>
      <w:r>
        <w:rPr>
          <w:rFonts w:ascii="Arial" w:cs="Arial" w:eastAsia="Arial" w:hAnsi="Arial"/>
          <w:sz w:val="17"/>
          <w:szCs w:val="17"/>
          <w:color w:val="auto"/>
        </w:rPr>
        <w:t xml:space="preserve">”). The Shaft Work shall not include the removal of associated equipment from the roof of the Project, but Landlord may remove such equipment at any time. Notwithstanding the foregoing, the Shaft Work shall not include the in-fill of any shafts or voids, which in-fill shall be performed by Tenant as part of the construction of the Improvements, unless Tenant delivers written notice to Landlord on or before May 1, 2018 identifying any shafts and voids (of the shafts and voids shown on </w:t>
      </w:r>
      <w:r>
        <w:rPr>
          <w:rFonts w:ascii="Arial" w:cs="Arial" w:eastAsia="Arial" w:hAnsi="Arial"/>
          <w:sz w:val="17"/>
          <w:szCs w:val="17"/>
          <w:b w:val="1"/>
          <w:bCs w:val="1"/>
          <w:u w:val="single" w:color="auto"/>
          <w:color w:val="auto"/>
        </w:rPr>
        <w:t>Schedule 5</w:t>
      </w:r>
      <w:r>
        <w:rPr>
          <w:rFonts w:ascii="Arial" w:cs="Arial" w:eastAsia="Arial" w:hAnsi="Arial"/>
          <w:sz w:val="17"/>
          <w:szCs w:val="17"/>
          <w:color w:val="auto"/>
        </w:rPr>
        <w:t xml:space="preserve"> attached hereto) that Tenant requires Landlord to in-fill pursuant to the terms hereof. Landlord will use commercially reasonable efforts to coordinate the performance of the Shaft Work with Tenant’s construction of the Improvements.</w:t>
      </w:r>
    </w:p>
    <w:p>
      <w:pPr>
        <w:spacing w:after="0" w:line="64" w:lineRule="exact"/>
        <w:rPr>
          <w:sz w:val="20"/>
          <w:szCs w:val="20"/>
          <w:color w:val="auto"/>
        </w:rPr>
      </w:pPr>
    </w:p>
    <w:p>
      <w:pPr>
        <w:ind w:right="160" w:firstLine="913"/>
        <w:spacing w:after="0" w:line="28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Tenant Input</w:t>
      </w:r>
      <w:r>
        <w:rPr>
          <w:rFonts w:ascii="Arial" w:cs="Arial" w:eastAsia="Arial" w:hAnsi="Arial"/>
          <w:sz w:val="17"/>
          <w:szCs w:val="17"/>
          <w:color w:val="auto"/>
        </w:rPr>
        <w:t>. Landlord agrees that, upon request from Tenant, Landlord shall meet and confer with Tenant’s Representative from time to time regarding the anticipated artwork to be installed at the Project as part of the Final Condition; provided, however, any suggestions or requests made by Tenant’s representative shall not be binding on Landlord, but shall be taken into reasonable consideration.</w:t>
      </w:r>
    </w:p>
    <w:p>
      <w:pPr>
        <w:spacing w:after="0" w:line="50"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Delivery Condition</w:t>
      </w:r>
      <w:r>
        <w:rPr>
          <w:rFonts w:ascii="Arial" w:cs="Arial" w:eastAsia="Arial" w:hAnsi="Arial"/>
          <w:sz w:val="18"/>
          <w:szCs w:val="18"/>
          <w:color w:val="auto"/>
        </w:rPr>
        <w:t>. The “</w:t>
      </w:r>
      <w:r>
        <w:rPr>
          <w:rFonts w:ascii="Arial" w:cs="Arial" w:eastAsia="Arial" w:hAnsi="Arial"/>
          <w:sz w:val="18"/>
          <w:szCs w:val="18"/>
          <w:b w:val="1"/>
          <w:bCs w:val="1"/>
          <w:color w:val="auto"/>
        </w:rPr>
        <w:t>Delivery Condition</w:t>
      </w:r>
      <w:r>
        <w:rPr>
          <w:rFonts w:ascii="Arial" w:cs="Arial" w:eastAsia="Arial" w:hAnsi="Arial"/>
          <w:sz w:val="18"/>
          <w:szCs w:val="18"/>
          <w:color w:val="auto"/>
        </w:rPr>
        <w:t xml:space="preserve">” shall occur at such time as Landlord delivers the applicable Phase to Tenant for commencement of construction of the Improvements, and in compliance with the conditions set forth in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attached hereto. The “</w:t>
      </w:r>
      <w:r>
        <w:rPr>
          <w:rFonts w:ascii="Arial" w:cs="Arial" w:eastAsia="Arial" w:hAnsi="Arial"/>
          <w:sz w:val="18"/>
          <w:szCs w:val="18"/>
          <w:b w:val="1"/>
          <w:bCs w:val="1"/>
          <w:color w:val="auto"/>
        </w:rPr>
        <w:t>Delivery Date</w:t>
      </w:r>
      <w:r>
        <w:rPr>
          <w:rFonts w:ascii="Arial" w:cs="Arial" w:eastAsia="Arial" w:hAnsi="Arial"/>
          <w:sz w:val="18"/>
          <w:szCs w:val="18"/>
          <w:color w:val="auto"/>
        </w:rPr>
        <w:t>” shall occur on the date of Landlord’s delivery of the applicable Phase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57" w:name="page358"/>
    <w:bookmarkEnd w:id="357"/>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 in the Delivery Condition, which date shall be no earlier than the date that Landlord certifies to Tenant that, to the extent required to satisfy the Delivery Condition, the applicable Base Building has been partially completed in accordance with the Base Building Construction Drawings and Specifications, but shall not occur prior to May 18, 2018. The Delivery Date shall be deemed to occur on the date the Delivery Condition would have occurred but for “Tenant Delays” (defined below). Landlord shall provide Tenant with thirty (30) days prior written notice of the date the applicable Phase is anticipated to be delivered to Tenant in the Delivery Condition, if such date is different from the anticipated applicable Delivery Date specified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below. The parties acknowledge and agree that the Delivery Condition does not reflect all work necessary to cause each Building to comply with the Base Building Construction Drawings and Specifications or to be in substantially completed Base, Shell and Core condition as set forth in the Base Building Construction Drawings and Specifications. As such, Landlord shall continue to be obligated to perform additional construction after the completion of the Delivery Condition to cause the applicable Phase to be in Final Condition (as defined below). From and after the date Landlord delivers the applicable Phase to Tenant in the Delivery Condition, neither party shall unreasonably interfere with or delay the work of the other party or of other tenants and occupants of the Project and/or their contractors or consultants, and Landlord and Tenant shall mutually coordinate and cooperate with each other and with other tenants and occupants of the Project, and shall cause their respective employees, vendors, contractors, and consultants to work in harmony with and to mutually coordinate and cooperate with the other’s employees, vendors, contractors and consultants, respectively, to minimize any interference or delay by either party with respect to the other party’s work, including, without limitation, coordinating shared use of the Project loading docks and freight elevators. Notwithstanding the foregoing, in the event of any irreconcilable conflict between the work of Landlord’s workers, mechanics and contractors and the work of Tenant’s workers, mechanics and contractors, Landlord and Tenant shall resolve such conflict or interference as follows: (i) prior to the Final Condition Date, Tenant’s work shall be reasonably resequenced or rescheduled as necessary to avoid the conflict or interference, but such resequencing or rescheduling may constitute a Landlord Caused Delay if the same delays the construction of the Improvements, subject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below and (ii) after the Final Condition Date, Landlord’s work shall be reasonably resequenced or rescheduled as necessary to avoid the conflict or interference.</w:t>
      </w:r>
    </w:p>
    <w:p>
      <w:pPr>
        <w:spacing w:after="0" w:line="5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u w:val="single" w:color="auto"/>
          <w:color w:val="auto"/>
        </w:rPr>
        <w:t>Delivery Date Delay</w:t>
      </w:r>
      <w:r>
        <w:rPr>
          <w:rFonts w:ascii="Arial" w:cs="Arial" w:eastAsia="Arial" w:hAnsi="Arial"/>
          <w:sz w:val="16"/>
          <w:szCs w:val="16"/>
          <w:color w:val="auto"/>
        </w:rPr>
        <w:t>. In the event Landlord has failed to cause the Delivery Date to occur on or before January 1, 2019 (the “</w:t>
      </w:r>
      <w:r>
        <w:rPr>
          <w:rFonts w:ascii="Arial" w:cs="Arial" w:eastAsia="Arial" w:hAnsi="Arial"/>
          <w:sz w:val="16"/>
          <w:szCs w:val="16"/>
          <w:b w:val="1"/>
          <w:bCs w:val="1"/>
          <w:color w:val="auto"/>
        </w:rPr>
        <w:t>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Outside Date</w:t>
      </w:r>
      <w:r>
        <w:rPr>
          <w:rFonts w:ascii="Arial" w:cs="Arial" w:eastAsia="Arial" w:hAnsi="Arial"/>
          <w:sz w:val="16"/>
          <w:szCs w:val="16"/>
          <w:color w:val="auto"/>
        </w:rPr>
        <w:t>”) (which date shall be extended by virtue of “Force Majeure Delay” (as defined below), and any Tenant Delay), then Tenant shall have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terminate this Lease by written notice to Landlord (“</w:t>
      </w:r>
      <w:r>
        <w:rPr>
          <w:rFonts w:ascii="Arial" w:cs="Arial" w:eastAsia="Arial" w:hAnsi="Arial"/>
          <w:sz w:val="16"/>
          <w:szCs w:val="16"/>
          <w:b w:val="1"/>
          <w:bCs w:val="1"/>
          <w:color w:val="auto"/>
        </w:rPr>
        <w:t>Delivery Failure Termination Notice</w:t>
      </w:r>
      <w:r>
        <w:rPr>
          <w:rFonts w:ascii="Arial" w:cs="Arial" w:eastAsia="Arial" w:hAnsi="Arial"/>
          <w:sz w:val="16"/>
          <w:szCs w:val="16"/>
          <w:color w:val="auto"/>
        </w:rPr>
        <w:t>”) effective upon the date occurring five (5) business days following receipt by Landlord of the Delivery Failure Termination Notice (the “</w:t>
      </w:r>
      <w:r>
        <w:rPr>
          <w:rFonts w:ascii="Arial" w:cs="Arial" w:eastAsia="Arial" w:hAnsi="Arial"/>
          <w:sz w:val="16"/>
          <w:szCs w:val="16"/>
          <w:b w:val="1"/>
          <w:bCs w:val="1"/>
          <w:color w:val="auto"/>
        </w:rPr>
        <w:t>Delivery Termination Effective Date</w:t>
      </w:r>
      <w:r>
        <w:rPr>
          <w:rFonts w:ascii="Arial" w:cs="Arial" w:eastAsia="Arial" w:hAnsi="Arial"/>
          <w:sz w:val="16"/>
          <w:szCs w:val="16"/>
          <w:color w:val="auto"/>
        </w:rPr>
        <w:t>”), in which event Landlord shall return any prepaid rent and the L-C forthwith to Tenant. Should the Delivery Date occur prior to the effective date of the foregoing termination right, however, such termination right shall, in such event, expire and be of no further force or effect upon the Delivery Date. If Tenant delivers a Delivery Failure Termination Notice to Landlord, then Landlord shall have the right to suspend the occurrence of the Delivery Termination Effective Date for a period ending thirty</w:t>
      </w:r>
    </w:p>
    <w:p>
      <w:pPr>
        <w:spacing w:after="0" w:line="2" w:lineRule="exact"/>
        <w:rPr>
          <w:sz w:val="20"/>
          <w:szCs w:val="20"/>
          <w:color w:val="auto"/>
        </w:rPr>
      </w:pPr>
    </w:p>
    <w:p>
      <w:pPr>
        <w:ind w:right="500" w:firstLine="8"/>
        <w:spacing w:after="0" w:line="323" w:lineRule="auto"/>
        <w:tabs>
          <w:tab w:leader="none" w:pos="34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days after the Delivery Termination Effective Date by delivering written notice to Tenant, prior to the Delivery Termination Effective Date, that, in Landlord’s reasonable, good faith judgment, the Delivery Date will occur within thirty (30) days after the Delivery Termination Effective Date. If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58" w:name="page359"/>
    <w:bookmarkEnd w:id="358"/>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Delivery Date occurs within such thirty (30) day suspension period, then the Delivery Failure Termination Notice shall be of no force or effect, but if the Delivery Date does not occur within such thirty (30) day suspension period, then this Lease shall terminate upon the expiration of such thirty (30) day suspension period. Upon any termination as set forth in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Landlord and Tenant shall be relieved from any and all liability to each other resulting under this Lease. Tenant’s right to terminate this Lease, as set forth in this </w:t>
      </w:r>
      <w:r>
        <w:rPr>
          <w:rFonts w:ascii="Arial" w:cs="Arial" w:eastAsia="Arial" w:hAnsi="Arial"/>
          <w:sz w:val="18"/>
          <w:szCs w:val="18"/>
          <w:u w:val="single" w:color="auto"/>
          <w:color w:val="auto"/>
        </w:rPr>
        <w:t>Section 1.2.1</w:t>
      </w:r>
      <w:r>
        <w:rPr>
          <w:rFonts w:ascii="Arial" w:cs="Arial" w:eastAsia="Arial" w:hAnsi="Arial"/>
          <w:sz w:val="18"/>
          <w:szCs w:val="18"/>
          <w:color w:val="auto"/>
        </w:rPr>
        <w:t>, shall be Tenant’s sole and exclusive remedy at law or in equity for the failure of the Delivery Date to occur by any particular date.</w:t>
      </w:r>
    </w:p>
    <w:p>
      <w:pPr>
        <w:spacing w:after="0" w:line="7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Final Condition</w:t>
      </w:r>
      <w:r>
        <w:rPr>
          <w:rFonts w:ascii="Arial" w:cs="Arial" w:eastAsia="Arial" w:hAnsi="Arial"/>
          <w:sz w:val="16"/>
          <w:szCs w:val="16"/>
          <w:color w:val="auto"/>
        </w:rPr>
        <w:t>. The “</w:t>
      </w:r>
      <w:r>
        <w:rPr>
          <w:rFonts w:ascii="Arial" w:cs="Arial" w:eastAsia="Arial" w:hAnsi="Arial"/>
          <w:sz w:val="16"/>
          <w:szCs w:val="16"/>
          <w:b w:val="1"/>
          <w:bCs w:val="1"/>
          <w:color w:val="auto"/>
        </w:rPr>
        <w:t>Final Condition</w:t>
      </w:r>
      <w:r>
        <w:rPr>
          <w:rFonts w:ascii="Arial" w:cs="Arial" w:eastAsia="Arial" w:hAnsi="Arial"/>
          <w:sz w:val="16"/>
          <w:szCs w:val="16"/>
          <w:color w:val="auto"/>
        </w:rPr>
        <w:t>” of the applicable Building shall mean that (A) the Base, Shell and Core of such Building has been substantially completed in accordance with the Base Building Construction Drawings and Specifications and Applicable Laws to the extent necessary for Landlord to obtain a certificate of occupancy or temporary certificate of occupancy, or legal equivalent (each, a “</w:t>
      </w:r>
      <w:r>
        <w:rPr>
          <w:rFonts w:ascii="Arial" w:cs="Arial" w:eastAsia="Arial" w:hAnsi="Arial"/>
          <w:sz w:val="16"/>
          <w:szCs w:val="16"/>
          <w:b w:val="1"/>
          <w:bCs w:val="1"/>
          <w:color w:val="auto"/>
        </w:rPr>
        <w:t>CofO</w:t>
      </w:r>
      <w:r>
        <w:rPr>
          <w:rFonts w:ascii="Arial" w:cs="Arial" w:eastAsia="Arial" w:hAnsi="Arial"/>
          <w:sz w:val="16"/>
          <w:szCs w:val="16"/>
          <w:color w:val="auto"/>
        </w:rPr>
        <w:t>”), for the applicable Base, Shell and Core, and (B) the Common Areas that relate to Tenant’s use or occupancy of the applicable Phase have been substantially completed in accordance with the Base Building Construction Drawings and Specifications and Applicable Laws to the extent necessary for Landlord to obtain a CofO, excluding the completion of “punch-list” items (the “</w:t>
      </w:r>
      <w:r>
        <w:rPr>
          <w:rFonts w:ascii="Arial" w:cs="Arial" w:eastAsia="Arial" w:hAnsi="Arial"/>
          <w:sz w:val="16"/>
          <w:szCs w:val="16"/>
          <w:b w:val="1"/>
          <w:bCs w:val="1"/>
          <w:color w:val="auto"/>
        </w:rPr>
        <w:t>Base Building Punch List Items</w:t>
      </w:r>
      <w:r>
        <w:rPr>
          <w:rFonts w:ascii="Arial" w:cs="Arial" w:eastAsia="Arial" w:hAnsi="Arial"/>
          <w:sz w:val="16"/>
          <w:szCs w:val="16"/>
          <w:color w:val="auto"/>
        </w:rPr>
        <w:t>”). The Final Condition of the Premises shall be deemed to occur on the date such Final Condition would have occurred but for Tenant Delays. As used herein, the term “</w:t>
      </w:r>
      <w:r>
        <w:rPr>
          <w:rFonts w:ascii="Arial" w:cs="Arial" w:eastAsia="Arial" w:hAnsi="Arial"/>
          <w:sz w:val="16"/>
          <w:szCs w:val="16"/>
          <w:b w:val="1"/>
          <w:bCs w:val="1"/>
          <w:color w:val="auto"/>
        </w:rPr>
        <w:t>Tenant Delay</w:t>
      </w:r>
      <w:r>
        <w:rPr>
          <w:rFonts w:ascii="Arial" w:cs="Arial" w:eastAsia="Arial" w:hAnsi="Arial"/>
          <w:sz w:val="16"/>
          <w:szCs w:val="16"/>
          <w:color w:val="auto"/>
        </w:rPr>
        <w:t>” shall mean an actual delay in achieving the Delivery Condition or Final Condition to the extent caused by: (i) the failure of Tenant to timely approve or disapprove any matter requiring Tenant’s approval relating to the construction of the Base, Shell and Core; or (ii) unreasonable (when judged in accordance with industry custom and practice) interference by Tenant, its agents or other Tenant Parties with the substantial completion of the Base, Shell and Core which interference continues for more than one (1) business day following written notice from Landlord. For purposes of clarification, Base Building Punch List Items shall not include any items that would (I) materially interfere with the operation of Tenant’s business from the applicable Phase or (II) prevent Tenant from obtaining a CofO for the applicable Phase following Tenant’s substantial completion of the Improvements in the applicable Phase. Without limiting the foregoing, the Final Condition with respect to a particular Phase shall not be deemed to have occurred, other than as a result of Tenant Delays, unless (i) Tenant has access to and from the applicable Building, the applicable Phase and the Parking Facilities, (ii) Tenant has use of the Parking Facilities, (iii) all Building Systems serving the applicable Phase are complete (except for Base Building Punch List items applicable thereto) and Landlord is providing services to the applicable Phase in accordance with the requirements of the Lease, and (iv) Tenant may conduct its business from the applicable Phase without material interference. Furthermore, Landlord shall promptly and diligently proceed to fully complete all Base Building Punch List Items within two (2) months after the date of Final Condition and in a manner calculated to minimize interference with the operation of Tenant’s business at the Premises. Upon receipt, Landlord shall provide Tenant with a copy of the final Certificate for Payment issued by Landlord’s architect (as defined in the A102 of Landlord’s construction contract).</w:t>
      </w:r>
    </w:p>
    <w:p>
      <w:pPr>
        <w:spacing w:after="0" w:line="60" w:lineRule="exact"/>
        <w:rPr>
          <w:sz w:val="20"/>
          <w:szCs w:val="20"/>
          <w:color w:val="auto"/>
        </w:rPr>
      </w:pPr>
    </w:p>
    <w:p>
      <w:pPr>
        <w:jc w:val="both"/>
        <w:ind w:right="360" w:firstLine="456"/>
        <w:spacing w:after="0" w:line="314"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u w:val="single" w:color="auto"/>
          <w:color w:val="auto"/>
        </w:rPr>
        <w:t>Estimated Construction Dates</w:t>
      </w:r>
      <w:r>
        <w:rPr>
          <w:rFonts w:ascii="Arial" w:cs="Arial" w:eastAsia="Arial" w:hAnsi="Arial"/>
          <w:sz w:val="16"/>
          <w:szCs w:val="16"/>
          <w:color w:val="auto"/>
        </w:rPr>
        <w:t xml:space="preserve">. Landlord’s non-binding estimated construction dates are set forth below, and </w:t>
      </w:r>
      <w:r>
        <w:rPr>
          <w:rFonts w:ascii="Arial" w:cs="Arial" w:eastAsia="Arial" w:hAnsi="Arial"/>
          <w:sz w:val="16"/>
          <w:szCs w:val="16"/>
          <w:u w:val="single" w:color="auto"/>
          <w:color w:val="auto"/>
        </w:rPr>
        <w:t>such dates</w:t>
      </w:r>
      <w:r>
        <w:rPr>
          <w:rFonts w:ascii="Arial" w:cs="Arial" w:eastAsia="Arial" w:hAnsi="Arial"/>
          <w:sz w:val="16"/>
          <w:szCs w:val="16"/>
          <w:color w:val="auto"/>
        </w:rPr>
        <w:t xml:space="preserve"> are for informational purposes only. If at any time during the construction process, Tenant reasonably believes that Landlord will fail to meet any of the estimated construction dates, Tenant shall have the right to notify Landlord of such belief, and Landlord shall promptly provide a construction status update to Tenant.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59" w:name="page360"/>
    <w:bookmarkEnd w:id="359"/>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Date for North Complex – May 21,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Delivery Date for South Complex – May 21,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Final Condition Date for North Complex – May 21, 2018.</w:t>
      </w:r>
    </w:p>
    <w:p>
      <w:pPr>
        <w:spacing w:after="0" w:line="130" w:lineRule="exact"/>
        <w:rPr>
          <w:rFonts w:ascii="Arial" w:cs="Arial" w:eastAsia="Arial" w:hAnsi="Arial"/>
          <w:sz w:val="18"/>
          <w:szCs w:val="18"/>
          <w:color w:val="auto"/>
        </w:rPr>
      </w:pPr>
    </w:p>
    <w:p>
      <w:pPr>
        <w:ind w:left="460" w:right="6320" w:firstLine="115"/>
        <w:spacing w:after="0" w:line="373" w:lineRule="auto"/>
        <w:tabs>
          <w:tab w:leader="none" w:pos="89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Final Condition Date for South Complex – May 21, 2018. 1.5 </w:t>
      </w:r>
      <w:r>
        <w:rPr>
          <w:rFonts w:ascii="Arial" w:cs="Arial" w:eastAsia="Arial" w:hAnsi="Arial"/>
          <w:sz w:val="18"/>
          <w:szCs w:val="18"/>
          <w:b w:val="1"/>
          <w:bCs w:val="1"/>
          <w:u w:val="single" w:color="auto"/>
          <w:color w:val="auto"/>
        </w:rPr>
        <w:t>Construction Delay Payments</w:t>
      </w:r>
      <w:r>
        <w:rPr>
          <w:rFonts w:ascii="Arial" w:cs="Arial" w:eastAsia="Arial" w:hAnsi="Arial"/>
          <w:sz w:val="18"/>
          <w:szCs w:val="18"/>
          <w:color w:val="auto"/>
        </w:rPr>
        <w:t>.</w:t>
      </w:r>
    </w:p>
    <w:p>
      <w:pPr>
        <w:spacing w:after="0" w:line="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Block 40 Purchase Agreement Terms</w:t>
      </w:r>
      <w:r>
        <w:rPr>
          <w:rFonts w:ascii="Arial" w:cs="Arial" w:eastAsia="Arial" w:hAnsi="Arial"/>
          <w:sz w:val="17"/>
          <w:szCs w:val="17"/>
          <w:color w:val="auto"/>
        </w:rPr>
        <w:t>. Pursuant to that certain Purchase and Sale Agreement and Joint Escrow Instructions dated May 13, 2014 (“</w:t>
      </w:r>
      <w:r>
        <w:rPr>
          <w:rFonts w:ascii="Arial" w:cs="Arial" w:eastAsia="Arial" w:hAnsi="Arial"/>
          <w:sz w:val="17"/>
          <w:szCs w:val="17"/>
          <w:b w:val="1"/>
          <w:bCs w:val="1"/>
          <w:color w:val="auto"/>
        </w:rPr>
        <w:t>Block 40 Purchase Agreement</w:t>
      </w:r>
      <w:r>
        <w:rPr>
          <w:rFonts w:ascii="Arial" w:cs="Arial" w:eastAsia="Arial" w:hAnsi="Arial"/>
          <w:sz w:val="17"/>
          <w:szCs w:val="17"/>
          <w:color w:val="auto"/>
        </w:rPr>
        <w:t>”) by and between FOCIL-MB, LLC, a Delaware limited liability company (“</w:t>
      </w:r>
      <w:r>
        <w:rPr>
          <w:rFonts w:ascii="Arial" w:cs="Arial" w:eastAsia="Arial" w:hAnsi="Arial"/>
          <w:sz w:val="17"/>
          <w:szCs w:val="17"/>
          <w:b w:val="1"/>
          <w:bCs w:val="1"/>
          <w:color w:val="auto"/>
        </w:rPr>
        <w:t>Focil</w:t>
      </w:r>
      <w:r>
        <w:rPr>
          <w:rFonts w:ascii="Arial" w:cs="Arial" w:eastAsia="Arial" w:hAnsi="Arial"/>
          <w:sz w:val="17"/>
          <w:szCs w:val="17"/>
          <w:color w:val="auto"/>
        </w:rPr>
        <w:t xml:space="preserve">”), as “Seller” thereunder, and Landlord, as “Buyer” thereunder, Landlord is obligated to make certain “Construction Delay Payments” (as defined in the Block 40 Purchase Agreement) to Focil upon the failure of Landlord, as “Buyer,” to achieve “Completion of Construction” (as defined in the Block 40 Purchase Agreement) of one and/or both Buildings by certain dates, all as further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the Block 40 Purchase Agreement and generally described in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below. A redacted copy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the Block 40 Purchase Agreement, together with corresponding definitions (with defined terms that are inapplicable to Section 25 redacted), is attached hereto as </w:t>
      </w:r>
      <w:r>
        <w:rPr>
          <w:rFonts w:ascii="Arial" w:cs="Arial" w:eastAsia="Arial" w:hAnsi="Arial"/>
          <w:sz w:val="17"/>
          <w:szCs w:val="17"/>
          <w:b w:val="1"/>
          <w:bCs w:val="1"/>
          <w:u w:val="single" w:color="auto"/>
          <w:color w:val="auto"/>
        </w:rPr>
        <w:t>Schedule 6 to Exhibit B</w:t>
      </w:r>
      <w:r>
        <w:rPr>
          <w:rFonts w:ascii="Arial" w:cs="Arial" w:eastAsia="Arial" w:hAnsi="Arial"/>
          <w:sz w:val="17"/>
          <w:szCs w:val="17"/>
          <w:color w:val="auto"/>
        </w:rPr>
        <w:t>.</w:t>
      </w:r>
    </w:p>
    <w:p>
      <w:pPr>
        <w:spacing w:after="0" w:line="6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General Description of Construction Delay Payments</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the Block 40 Purchase Agreement, if Landlord, as “Buyer”, fails to cause “Completion of Construction” (as defined in the Block 40 Purchase Agreement) of one or more Buildings containing, in the aggregate, at least 270,000 “Gross Square Feet” (as defined in the Block 40 Purchase Agreement) (the “</w:t>
      </w:r>
      <w:r>
        <w:rPr>
          <w:rFonts w:ascii="Arial" w:cs="Arial" w:eastAsia="Arial" w:hAnsi="Arial"/>
          <w:sz w:val="17"/>
          <w:szCs w:val="17"/>
          <w:b w:val="1"/>
          <w:bCs w:val="1"/>
          <w:color w:val="auto"/>
        </w:rPr>
        <w:t>Initial Required Square Footage</w:t>
      </w:r>
      <w:r>
        <w:rPr>
          <w:rFonts w:ascii="Arial" w:cs="Arial" w:eastAsia="Arial" w:hAnsi="Arial"/>
          <w:sz w:val="17"/>
          <w:szCs w:val="17"/>
          <w:color w:val="auto"/>
        </w:rPr>
        <w:t>”) on or before December 15, 2017 (subject to “Unavoidable Delay” (as defined in the Block 40 Purchase Agreement)), then Landlord, as “Buyer”, must pay to Focil a “Construction Delay Payment” (as defined in the Block 40 Purchase Agreement) equal to Three Hundred Seventy-Five Thousand Dollars ($375,000.00) on December 15, 2017 and every six (6) months thereafter until the date that “Completion of Construction” of the Initial Required Square Footage occurs. Furthermore, if Landlord fails to cause “Completion of Construction” of one or more Buildings containing, in the aggregate, 635,000 “Gross Square Feet” (the “</w:t>
      </w:r>
      <w:r>
        <w:rPr>
          <w:rFonts w:ascii="Arial" w:cs="Arial" w:eastAsia="Arial" w:hAnsi="Arial"/>
          <w:sz w:val="17"/>
          <w:szCs w:val="17"/>
          <w:b w:val="1"/>
          <w:bCs w:val="1"/>
          <w:color w:val="auto"/>
        </w:rPr>
        <w:t>Minimum Square</w:t>
      </w:r>
      <w:r>
        <w:rPr>
          <w:rFonts w:ascii="Arial" w:cs="Arial" w:eastAsia="Arial" w:hAnsi="Arial"/>
          <w:sz w:val="17"/>
          <w:szCs w:val="17"/>
          <w:color w:val="auto"/>
        </w:rPr>
        <w:t xml:space="preserve"> </w:t>
      </w:r>
      <w:r>
        <w:rPr>
          <w:rFonts w:ascii="Arial" w:cs="Arial" w:eastAsia="Arial" w:hAnsi="Arial"/>
          <w:sz w:val="17"/>
          <w:szCs w:val="17"/>
          <w:b w:val="1"/>
          <w:bCs w:val="1"/>
          <w:color w:val="auto"/>
        </w:rPr>
        <w:t>Footage</w:t>
      </w:r>
      <w:r>
        <w:rPr>
          <w:rFonts w:ascii="Arial" w:cs="Arial" w:eastAsia="Arial" w:hAnsi="Arial"/>
          <w:sz w:val="17"/>
          <w:szCs w:val="17"/>
          <w:color w:val="auto"/>
        </w:rPr>
        <w:t>”) on or before December 15, 2020, then, in addition to the payments set forth above, Landlord, as “Buyer”, must pay to Focil a “Construction Delay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equal to Three Hundred Seventy-Five Thousand Dollars ($375,000.00) on December 15, 2020 and every six (6) months thereafter until the date that Completion of Construction of the Minimum Square Footage occurs. The amount of each Construction Delay Payments increased on January 1, 2016 (which increase is not reflected in the above-described amounts), and shall increase annually thereafter, by two percent (2%). Landlord, as “Buyer”, also has the right to make certain final payments pursuant to </w:t>
      </w:r>
      <w:r>
        <w:rPr>
          <w:rFonts w:ascii="Arial" w:cs="Arial" w:eastAsia="Arial" w:hAnsi="Arial"/>
          <w:sz w:val="17"/>
          <w:szCs w:val="17"/>
          <w:u w:val="single" w:color="auto"/>
          <w:color w:val="auto"/>
        </w:rPr>
        <w:t>Section 25.6</w:t>
      </w:r>
      <w:r>
        <w:rPr>
          <w:rFonts w:ascii="Arial" w:cs="Arial" w:eastAsia="Arial" w:hAnsi="Arial"/>
          <w:sz w:val="17"/>
          <w:szCs w:val="17"/>
          <w:color w:val="auto"/>
        </w:rPr>
        <w:t xml:space="preserve"> of the Block 40 Purchase Agreement in lieu of making further “Construction Delay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95" w:right="259" w:bottom="1440" w:gutter="0" w:footer="0" w:header="0"/>
        </w:sectPr>
      </w:pPr>
    </w:p>
    <w:bookmarkStart w:id="360" w:name="page361"/>
    <w:bookmarkEnd w:id="360"/>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1.5.3 </w:t>
      </w:r>
      <w:r>
        <w:rPr>
          <w:rFonts w:ascii="Arial" w:cs="Arial" w:eastAsia="Arial" w:hAnsi="Arial"/>
          <w:sz w:val="16"/>
          <w:szCs w:val="16"/>
          <w:b w:val="1"/>
          <w:bCs w:val="1"/>
          <w:u w:val="single" w:color="auto"/>
          <w:color w:val="auto"/>
        </w:rPr>
        <w:t>Completion of Construction</w:t>
      </w:r>
      <w:r>
        <w:rPr>
          <w:rFonts w:ascii="Arial" w:cs="Arial" w:eastAsia="Arial" w:hAnsi="Arial"/>
          <w:sz w:val="16"/>
          <w:szCs w:val="16"/>
          <w:color w:val="auto"/>
        </w:rPr>
        <w:t>. As set forth above, Landlord anticipates that the Final Condition Date will be May 21, 2018 and that Final Condition will constitute the “Completion of Construction” (“</w:t>
      </w:r>
      <w:r>
        <w:rPr>
          <w:rFonts w:ascii="Arial" w:cs="Arial" w:eastAsia="Arial" w:hAnsi="Arial"/>
          <w:sz w:val="16"/>
          <w:szCs w:val="16"/>
          <w:b w:val="1"/>
          <w:bCs w:val="1"/>
          <w:color w:val="auto"/>
        </w:rPr>
        <w:t>Current CofO Date</w:t>
      </w:r>
      <w:r>
        <w:rPr>
          <w:rFonts w:ascii="Arial" w:cs="Arial" w:eastAsia="Arial" w:hAnsi="Arial"/>
          <w:sz w:val="16"/>
          <w:szCs w:val="16"/>
          <w:color w:val="auto"/>
        </w:rPr>
        <w:t>”). All Construction Delay Payments which are attributable to the period prior to the Current CofO Date will be at Landlord’s sole cost and expense. If the “Completion of Construction” (as defined in the Block 40 Purchase Agreement) for the Buildings in at least the Initial Required Square Footage does not occur by June 15, 2018 solely as a result of any Tenant Delay (i.e., Landlord would otherwise have achieved Completion of Construction of at least the Initial Required Square Footage by such date, but for such Tenant Delay), then Tenant shall pay to Landlord, within five (5) business days of written request from Landlord setting forth the amount due, the Construction Delay Payment required to be paid to Focil as a consequence of Landlord having failed to achieve such Completion of Construction by such date. Thereafter, Tenant shall be responsible for a Construction Delay Payment (i) in the case of the Initial Required Square Footage, for any subsequent six-month period, and (ii) in the case of the Minimum Square Footage, as of December 15, 2020 and any six-month period thereafter, if Landlord fails to achieve Completion of Construction with respect to the Initial Required Square Footage or the Minimum Square Footage, as the case may be, solely as a result of any Tenant Delay occurring within each such six-month period in the case of the Initial Required Square Footage or on or before December 15, 2020 or within each six-month period thereafter in the case of the Minimum Square Footage At any time, if Landlord determines in its reasonable discretion that it will be more cost effective to make the “First Phase Final Payment” and/or the “Second Phase Final Payment” (as defined in the Block 40 Purchase Agreement), Landlord shall notify Tenant in writing thereof, which written notice shall include the calculation set forth in Section 25.6.1 or 25.6.2, as applicable, of the Block 40 Purchase Agreement, and Tenant shall pay to Landlord within five (5) business days following the date of such notice, the portion of such amount that is allocable to Tenant as a consequence of the delay in Completion of Construction solely caused by the Tenant Delay.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IMPROVEMENTS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Improvement Allowance</w:t>
      </w:r>
      <w:r>
        <w:rPr>
          <w:rFonts w:ascii="Arial" w:cs="Arial" w:eastAsia="Arial" w:hAnsi="Arial"/>
          <w:sz w:val="17"/>
          <w:szCs w:val="17"/>
          <w:color w:val="auto"/>
        </w:rPr>
        <w:t>. Tenant shall be entitled to an Improvement allowance (the “</w:t>
      </w:r>
      <w:r>
        <w:rPr>
          <w:rFonts w:ascii="Arial" w:cs="Arial" w:eastAsia="Arial" w:hAnsi="Arial"/>
          <w:sz w:val="17"/>
          <w:szCs w:val="17"/>
          <w:b w:val="1"/>
          <w:bCs w:val="1"/>
          <w:color w:val="auto"/>
        </w:rPr>
        <w:t>Improvement Allowance</w:t>
      </w:r>
      <w:r>
        <w:rPr>
          <w:rFonts w:ascii="Arial" w:cs="Arial" w:eastAsia="Arial" w:hAnsi="Arial"/>
          <w:sz w:val="17"/>
          <w:szCs w:val="17"/>
          <w:color w:val="auto"/>
        </w:rPr>
        <w:t xml:space="preserve">”) in the amount set forth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of the Summary for the costs relating to the design, permitting and construction of improvements, which, except as otherwise provided in </w:t>
      </w:r>
      <w:r>
        <w:rPr>
          <w:rFonts w:ascii="Arial" w:cs="Arial" w:eastAsia="Arial" w:hAnsi="Arial"/>
          <w:sz w:val="17"/>
          <w:szCs w:val="17"/>
          <w:u w:val="single" w:color="auto"/>
          <w:color w:val="auto"/>
        </w:rPr>
        <w:t>Section 2.2.1</w:t>
      </w:r>
      <w:r>
        <w:rPr>
          <w:rFonts w:ascii="Arial" w:cs="Arial" w:eastAsia="Arial" w:hAnsi="Arial"/>
          <w:sz w:val="17"/>
          <w:szCs w:val="17"/>
          <w:color w:val="auto"/>
        </w:rPr>
        <w:t>, below, are permanently affixed to the Premises (the “</w:t>
      </w:r>
      <w:r>
        <w:rPr>
          <w:rFonts w:ascii="Arial" w:cs="Arial" w:eastAsia="Arial" w:hAnsi="Arial"/>
          <w:sz w:val="17"/>
          <w:szCs w:val="17"/>
          <w:b w:val="1"/>
          <w:bCs w:val="1"/>
          <w:color w:val="auto"/>
        </w:rPr>
        <w:t>Improvements</w:t>
      </w:r>
      <w:r>
        <w:rPr>
          <w:rFonts w:ascii="Arial" w:cs="Arial" w:eastAsia="Arial" w:hAnsi="Arial"/>
          <w:sz w:val="17"/>
          <w:szCs w:val="17"/>
          <w:color w:val="auto"/>
        </w:rPr>
        <w:t xml:space="preserve">”). Tenant may construct the Improvements on a phased basis throughout the entire Premises, and in such event, each reference in </w:t>
      </w:r>
      <w:r>
        <w:rPr>
          <w:rFonts w:ascii="Arial" w:cs="Arial" w:eastAsia="Arial" w:hAnsi="Arial"/>
          <w:sz w:val="17"/>
          <w:szCs w:val="17"/>
          <w:u w:val="single" w:color="auto"/>
          <w:color w:val="auto"/>
        </w:rPr>
        <w:t>Sections 2-6</w:t>
      </w:r>
      <w:r>
        <w:rPr>
          <w:rFonts w:ascii="Arial" w:cs="Arial" w:eastAsia="Arial" w:hAnsi="Arial"/>
          <w:sz w:val="17"/>
          <w:szCs w:val="17"/>
          <w:color w:val="auto"/>
        </w:rPr>
        <w:t xml:space="preserve"> of this Work Letter to the “Premises” shall be deemed to refer to the applicable “Phase”, and each reference in this Work Letter to the “Improvement Allowance” shall refer to the portion of the Improvement Allowance calculated based on the rentable square footage of the applicable Phase. Except with respect to the construction of the Base, Shell and Core, in no event shall Landlord be obligated to make disbursements pursuant to this Work Letter in a total amount which exceeds the Improvement Allowance and “Landlord’s Drawing Contribution” (as that term is defined below). Tenant shall complete construction of the Improvements by the later of (i) seventeen (17) months after the Delivery Date for the applicable Phase, and (ii) (a) September 30, 2019 for the Phase I Premises, (b) May 31, 2020 for the Phase II Premises, and (c) December 31, 2020 for the Phase III Premises (the applicable foregoing “later of” date is an “</w:t>
      </w:r>
      <w:r>
        <w:rPr>
          <w:rFonts w:ascii="Arial" w:cs="Arial" w:eastAsia="Arial" w:hAnsi="Arial"/>
          <w:sz w:val="17"/>
          <w:szCs w:val="17"/>
          <w:b w:val="1"/>
          <w:bCs w:val="1"/>
          <w:color w:val="auto"/>
        </w:rPr>
        <w:t>Outside Allowance Date</w:t>
      </w:r>
      <w:r>
        <w:rPr>
          <w:rFonts w:ascii="Arial" w:cs="Arial" w:eastAsia="Arial" w:hAnsi="Arial"/>
          <w:sz w:val="17"/>
          <w:szCs w:val="17"/>
          <w:color w:val="auto"/>
        </w:rPr>
        <w: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9" w:right="259" w:bottom="1440" w:gutter="0" w:footer="0" w:header="0"/>
        </w:sectPr>
      </w:pPr>
    </w:p>
    <w:bookmarkStart w:id="361" w:name="page362"/>
    <w:bookmarkEnd w:id="36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Outside Allowance Date shall be extended on a day-for-day basis for Force Majeure Delays and Landlord Caused Delays (as defined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below). In the event that the applicable Improvement Allowance for any Phase is not utilized by Tenant as of the applicable Outside Allowance Date (as the same may be extended), then such unused amounts shall revert to Landlord, and Tenant shall have no further rights with respect thereto (provided, however, that for purposes of the foregoing, the Improvement Allowance for a particular Phase shall be deemed to have been ‘utilized’ for that Phase at such time as the Improvements for such Phase have been substantially completed, and Tenant has satisfied the requirements for such disbursement under </w:t>
      </w:r>
      <w:r>
        <w:rPr>
          <w:rFonts w:ascii="Arial" w:cs="Arial" w:eastAsia="Arial" w:hAnsi="Arial"/>
          <w:sz w:val="16"/>
          <w:szCs w:val="16"/>
          <w:u w:val="single" w:color="auto"/>
          <w:color w:val="auto"/>
        </w:rPr>
        <w:t>Sections 2.2.2.2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4.3</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 4</w:t>
      </w:r>
      <w:r>
        <w:rPr>
          <w:rFonts w:ascii="Arial" w:cs="Arial" w:eastAsia="Arial" w:hAnsi="Arial"/>
          <w:sz w:val="16"/>
          <w:szCs w:val="16"/>
          <w:color w:val="auto"/>
        </w:rPr>
        <w:t xml:space="preserve"> attached hereto, even though Landlord may not have yet disbursed all amounts required to be disbursed). Any Improvements that require the use of Building risers, raceways, shafts and/or conduits, shall be subject to Landlord’s and Landlord’s management company’s reasonable rules, regulations, and restrictions. In addition, Landlord shall contribute an amount not to exceed Twenty-Five Thousand and 00/100 Dollars ($25,000.00) (“</w:t>
      </w:r>
      <w:r>
        <w:rPr>
          <w:rFonts w:ascii="Arial" w:cs="Arial" w:eastAsia="Arial" w:hAnsi="Arial"/>
          <w:sz w:val="16"/>
          <w:szCs w:val="16"/>
          <w:b w:val="1"/>
          <w:bCs w:val="1"/>
          <w:color w:val="auto"/>
        </w:rPr>
        <w:t>Landlord’s Drawing Contribution</w:t>
      </w:r>
      <w:r>
        <w:rPr>
          <w:rFonts w:ascii="Arial" w:cs="Arial" w:eastAsia="Arial" w:hAnsi="Arial"/>
          <w:sz w:val="16"/>
          <w:szCs w:val="16"/>
          <w:color w:val="auto"/>
        </w:rPr>
        <w:t>”) toward the cost of a preliminary analysis and fit plan to be prepared by the “Architect” (as that term is defined below), and no portion of the Landlord’s Drawing Contribution, if any, remaining after completion of the Improvements shall be available for use by Tenant.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Disbursement of the Improvement Allowance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u w:val="single" w:color="auto"/>
          <w:color w:val="auto"/>
        </w:rPr>
        <w:t>Improvement Allowance Items</w:t>
      </w:r>
      <w:r>
        <w:rPr>
          <w:rFonts w:ascii="Arial" w:cs="Arial" w:eastAsia="Arial" w:hAnsi="Arial"/>
          <w:sz w:val="17"/>
          <w:szCs w:val="17"/>
          <w:color w:val="auto"/>
        </w:rPr>
        <w:t>. Except as otherwise set forth in this Work Letter, the Improvement Allowance shall be disbursed by Landlord only for the following items and costs and, except as otherwise specifically and expressly provided in this Work Letter or the Lease, Landlord shall not deduct any other expenses from the Improvement Allowance (collectively the “</w:t>
      </w:r>
      <w:r>
        <w:rPr>
          <w:rFonts w:ascii="Arial" w:cs="Arial" w:eastAsia="Arial" w:hAnsi="Arial"/>
          <w:sz w:val="17"/>
          <w:szCs w:val="17"/>
          <w:b w:val="1"/>
          <w:bCs w:val="1"/>
          <w:color w:val="auto"/>
        </w:rPr>
        <w:t>Improvement Allowance Items</w:t>
      </w:r>
      <w:r>
        <w:rPr>
          <w:rFonts w:ascii="Arial" w:cs="Arial" w:eastAsia="Arial" w:hAnsi="Arial"/>
          <w:sz w:val="17"/>
          <w:szCs w:val="17"/>
          <w:color w:val="auto"/>
        </w:rPr>
        <w:t>”):</w:t>
      </w:r>
    </w:p>
    <w:p>
      <w:pPr>
        <w:spacing w:after="0" w:line="54" w:lineRule="exact"/>
        <w:rPr>
          <w:sz w:val="20"/>
          <w:szCs w:val="20"/>
          <w:color w:val="auto"/>
        </w:rPr>
      </w:pPr>
    </w:p>
    <w:p>
      <w:pPr>
        <w:ind w:right="40" w:firstLine="1484"/>
        <w:spacing w:after="0" w:line="257" w:lineRule="auto"/>
        <w:rPr>
          <w:sz w:val="20"/>
          <w:szCs w:val="20"/>
          <w:color w:val="auto"/>
        </w:rPr>
      </w:pPr>
      <w:r>
        <w:rPr>
          <w:rFonts w:ascii="Arial" w:cs="Arial" w:eastAsia="Arial" w:hAnsi="Arial"/>
          <w:sz w:val="18"/>
          <w:szCs w:val="18"/>
          <w:color w:val="auto"/>
        </w:rPr>
        <w:t xml:space="preserve">2.2.1.1 Payment of the fees of the “Architect” and “Engineers” (as those terms are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Work Letter) and other consultants (including any construction manager) retained by or on behalf of Tenant, in connection with space planning and design of the Improvements and the payment of plan check, permit and license fees relating to construction of the Improvements (but in no event shall disbursements of the Improvement Allowance for all of the foregoing items in this </w:t>
      </w:r>
      <w:r>
        <w:rPr>
          <w:rFonts w:ascii="Arial" w:cs="Arial" w:eastAsia="Arial" w:hAnsi="Arial"/>
          <w:sz w:val="18"/>
          <w:szCs w:val="18"/>
          <w:u w:val="single" w:color="auto"/>
          <w:color w:val="auto"/>
        </w:rPr>
        <w:t>Section 2.2.1.1</w:t>
      </w:r>
      <w:r>
        <w:rPr>
          <w:rFonts w:ascii="Arial" w:cs="Arial" w:eastAsia="Arial" w:hAnsi="Arial"/>
          <w:sz w:val="18"/>
          <w:szCs w:val="18"/>
          <w:color w:val="auto"/>
        </w:rPr>
        <w:t xml:space="preserve"> exceed an aggregate amount equal to Seven and 50/100 Dollars ($7.50) per rentable square foot of the Premises);</w:t>
      </w:r>
    </w:p>
    <w:p>
      <w:pPr>
        <w:spacing w:after="0" w:line="80"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 xml:space="preserve">2.2.1.2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below, the cost of construction of the Improvements (excluding Specialty Alterations), including, without limitation, all materials and labor to complete the Improvements (excluding Specialty Alterations), testing and inspection costs, freight elevator usage, hoisting and trash removal costs, and contractors’ fees and general conditions;</w:t>
      </w:r>
    </w:p>
    <w:p>
      <w:pPr>
        <w:spacing w:after="0" w:line="73"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 xml:space="preserve">2.2.1.3 Tenant’s costs of performing any changes to the Base Building when such changes are required by the Construction Documents and are not Landlord’s obligation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above (including if such changes are due to the fact that such work is prepared on an unoccupied basis), such cost to include all direct architectural and/or engineering fees and expenses, and any City or permit costs, incurred in connection therewith (provided, however, that if any such changes are required due to Landlord’s failure to perform its obligations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such changes shall be performed by Landlord at Landlord’s sole cost and expense);</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362" w:name="page363"/>
    <w:bookmarkEnd w:id="362"/>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2.2.1.4 The cost of any changes to the Construction Documents or Improvements required by all applicable building codes (the “</w:t>
      </w:r>
      <w:r>
        <w:rPr>
          <w:rFonts w:ascii="Arial" w:cs="Arial" w:eastAsia="Arial" w:hAnsi="Arial"/>
          <w:sz w:val="16"/>
          <w:szCs w:val="16"/>
          <w:b w:val="1"/>
          <w:bCs w:val="1"/>
          <w:color w:val="auto"/>
        </w:rPr>
        <w:t>Code</w:t>
      </w:r>
      <w:r>
        <w:rPr>
          <w:rFonts w:ascii="Arial" w:cs="Arial" w:eastAsia="Arial" w:hAnsi="Arial"/>
          <w:sz w:val="16"/>
          <w:szCs w:val="16"/>
          <w:color w:val="auto"/>
        </w:rPr>
        <w:t>”);</w:t>
      </w:r>
    </w:p>
    <w:p>
      <w:pPr>
        <w:spacing w:after="0" w:line="144"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2.2.1.5 The cost of connection of the Premises to the Building’s energy management and access control systems and for chilled water hook-up fees, if applicable;</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2.2.1.6 The cost of the “Coordination Fee,” as that term is defined in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of this Work Letter;</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2.2.1.7 Sales and use taxes and Title 24 fees, gross receipts taxes and any other taxes imposed on or pertaining to construction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Improvements;</w:t>
      </w:r>
    </w:p>
    <w:p>
      <w:pPr>
        <w:spacing w:after="0" w:line="103" w:lineRule="exact"/>
        <w:rPr>
          <w:sz w:val="20"/>
          <w:szCs w:val="20"/>
          <w:color w:val="auto"/>
        </w:rPr>
      </w:pPr>
    </w:p>
    <w:p>
      <w:pPr>
        <w:ind w:right="180" w:firstLine="1484"/>
        <w:spacing w:after="0" w:line="259" w:lineRule="auto"/>
        <w:rPr>
          <w:sz w:val="20"/>
          <w:szCs w:val="20"/>
          <w:color w:val="auto"/>
        </w:rPr>
      </w:pPr>
      <w:r>
        <w:rPr>
          <w:rFonts w:ascii="Arial" w:cs="Arial" w:eastAsia="Arial" w:hAnsi="Arial"/>
          <w:sz w:val="18"/>
          <w:szCs w:val="18"/>
          <w:color w:val="auto"/>
        </w:rPr>
        <w:t xml:space="preserve">2.2.1.8 Payment of the reasonable out-of-pocket fees incurred by, and the reasonable out-of-pocket cost of documents and materials supplied by, Landlord and Landlord’s consultants in connection with the preparation and review of the “Construction Documents,” as that term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Work Letter, provided however, no such fees or costs shall apply to engineers that Tenant retains for the Improvements if such engineers are the same engineers Landlord retained for the Base Building;</w:t>
      </w:r>
    </w:p>
    <w:p>
      <w:pPr>
        <w:spacing w:after="0" w:line="79" w:lineRule="exact"/>
        <w:rPr>
          <w:sz w:val="20"/>
          <w:szCs w:val="20"/>
          <w:color w:val="auto"/>
        </w:rPr>
      </w:pPr>
    </w:p>
    <w:p>
      <w:pPr>
        <w:ind w:right="320" w:firstLine="1484"/>
        <w:spacing w:after="0" w:line="277" w:lineRule="auto"/>
        <w:rPr>
          <w:sz w:val="20"/>
          <w:szCs w:val="20"/>
          <w:color w:val="auto"/>
        </w:rPr>
      </w:pPr>
      <w:r>
        <w:rPr>
          <w:rFonts w:ascii="Arial" w:cs="Arial" w:eastAsia="Arial" w:hAnsi="Arial"/>
          <w:sz w:val="18"/>
          <w:szCs w:val="18"/>
          <w:color w:val="auto"/>
        </w:rPr>
        <w:t>2.2.1.9 All other reasonable and actual out-of-pocket costs expended by Landlord, upon prior notice to Tenant, in connection with the construction of the Improvements.</w:t>
      </w:r>
    </w:p>
    <w:p>
      <w:pPr>
        <w:spacing w:after="0" w:line="62" w:lineRule="exact"/>
        <w:rPr>
          <w:sz w:val="20"/>
          <w:szCs w:val="20"/>
          <w:color w:val="auto"/>
        </w:rPr>
      </w:pPr>
    </w:p>
    <w:p>
      <w:pPr>
        <w:jc w:val="both"/>
        <w:ind w:right="140" w:firstLine="1484"/>
        <w:spacing w:after="0" w:line="264" w:lineRule="auto"/>
        <w:rPr>
          <w:sz w:val="20"/>
          <w:szCs w:val="20"/>
          <w:color w:val="auto"/>
        </w:rPr>
      </w:pPr>
      <w:r>
        <w:rPr>
          <w:rFonts w:ascii="Arial" w:cs="Arial" w:eastAsia="Arial" w:hAnsi="Arial"/>
          <w:sz w:val="18"/>
          <w:szCs w:val="18"/>
          <w:color w:val="auto"/>
        </w:rPr>
        <w:t>2.2.1.10 Any costs and/or expenses incurred in connection with the design, permitting and construction of the Improvements (excluding Specialty Alterations) which are (i) the obligation of Tenant under this Work Letter, or (ii) expressly designated in the Lease as costs and/or expenses which may be deducted from the Improvement Allowance.</w:t>
      </w:r>
    </w:p>
    <w:p>
      <w:pPr>
        <w:spacing w:after="0" w:line="6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u w:val="single" w:color="auto"/>
          <w:color w:val="auto"/>
        </w:rPr>
        <w:t>Disbursement of Improvement Allowance</w:t>
      </w:r>
      <w:r>
        <w:rPr>
          <w:rFonts w:ascii="Arial" w:cs="Arial" w:eastAsia="Arial" w:hAnsi="Arial"/>
          <w:sz w:val="18"/>
          <w:szCs w:val="18"/>
          <w:color w:val="auto"/>
        </w:rPr>
        <w:t>. Tenant acknowledges that Landlord is a publicly traded real estate investment trust (“</w:t>
      </w:r>
      <w:r>
        <w:rPr>
          <w:rFonts w:ascii="Arial" w:cs="Arial" w:eastAsia="Arial" w:hAnsi="Arial"/>
          <w:sz w:val="18"/>
          <w:szCs w:val="18"/>
          <w:b w:val="1"/>
          <w:bCs w:val="1"/>
          <w:color w:val="auto"/>
        </w:rPr>
        <w:t>REIT</w:t>
      </w:r>
      <w:r>
        <w:rPr>
          <w:rFonts w:ascii="Arial" w:cs="Arial" w:eastAsia="Arial" w:hAnsi="Arial"/>
          <w:sz w:val="18"/>
          <w:szCs w:val="18"/>
          <w:color w:val="auto"/>
        </w:rPr>
        <w:t>”), and due to such REIT status Landlord is required to satisfy certain tax and accounting requirements and related obligations in connection with the leases at the Project. In order to satisfy such requirements and obligations in connection with this Lease, Landlord requires various construction-related deliverables to be timely submitted by Tenant to Landlord (“</w:t>
      </w:r>
      <w:r>
        <w:rPr>
          <w:rFonts w:ascii="Arial" w:cs="Arial" w:eastAsia="Arial" w:hAnsi="Arial"/>
          <w:sz w:val="18"/>
          <w:szCs w:val="18"/>
          <w:b w:val="1"/>
          <w:bCs w:val="1"/>
          <w:color w:val="auto"/>
        </w:rPr>
        <w:t>Tenant Deliverables</w:t>
      </w:r>
      <w:r>
        <w:rPr>
          <w:rFonts w:ascii="Arial" w:cs="Arial" w:eastAsia="Arial" w:hAnsi="Arial"/>
          <w:sz w:val="18"/>
          <w:szCs w:val="18"/>
          <w:color w:val="auto"/>
        </w:rPr>
        <w:t xml:space="preserve">”) at designated times prior to, during and immediately following the construction of the Improvements by Tenant, and Tenant hereby agrees to timely comply with all such Tenant Deliverable obligations. The Tenant Deliverables and related delivery deadlines are set forth in this Work Letter and in </w:t>
      </w:r>
      <w:r>
        <w:rPr>
          <w:rFonts w:ascii="Arial" w:cs="Arial" w:eastAsia="Arial" w:hAnsi="Arial"/>
          <w:sz w:val="18"/>
          <w:szCs w:val="18"/>
          <w:b w:val="1"/>
          <w:bCs w:val="1"/>
          <w:u w:val="single" w:color="auto"/>
          <w:color w:val="auto"/>
        </w:rPr>
        <w:t>Schedule 4</w:t>
      </w:r>
      <w:r>
        <w:rPr>
          <w:rFonts w:ascii="Arial" w:cs="Arial" w:eastAsia="Arial" w:hAnsi="Arial"/>
          <w:sz w:val="18"/>
          <w:szCs w:val="18"/>
          <w:color w:val="auto"/>
        </w:rPr>
        <w:t xml:space="preserve"> attached to this Work Letter and incorporated herein by this reference. Tenant shall deliver to Landlord all Tenant Deliverables in a timely fashion as such Tenant Deliverables are required pursuant to the timing set forth on </w:t>
      </w:r>
      <w:r>
        <w:rPr>
          <w:rFonts w:ascii="Arial" w:cs="Arial" w:eastAsia="Arial" w:hAnsi="Arial"/>
          <w:sz w:val="18"/>
          <w:szCs w:val="18"/>
          <w:b w:val="1"/>
          <w:bCs w:val="1"/>
          <w:u w:val="single" w:color="auto"/>
          <w:color w:val="auto"/>
        </w:rPr>
        <w:t>Schedule 4</w:t>
      </w:r>
      <w:r>
        <w:rPr>
          <w:rFonts w:ascii="Arial" w:cs="Arial" w:eastAsia="Arial" w:hAnsi="Arial"/>
          <w:sz w:val="18"/>
          <w:szCs w:val="18"/>
          <w:color w:val="auto"/>
        </w:rPr>
        <w:t xml:space="preserve"> attached to this Work Letter.</w:t>
      </w:r>
    </w:p>
    <w:p>
      <w:pPr>
        <w:spacing w:after="0" w:line="189" w:lineRule="exact"/>
        <w:rPr>
          <w:sz w:val="20"/>
          <w:szCs w:val="20"/>
          <w:color w:val="auto"/>
        </w:rPr>
      </w:pPr>
    </w:p>
    <w:p>
      <w:pPr>
        <w:ind w:right="420" w:firstLine="913"/>
        <w:spacing w:after="0" w:line="312" w:lineRule="auto"/>
        <w:rPr>
          <w:sz w:val="20"/>
          <w:szCs w:val="20"/>
          <w:color w:val="auto"/>
        </w:rPr>
      </w:pPr>
      <w:r>
        <w:rPr>
          <w:rFonts w:ascii="Arial" w:cs="Arial" w:eastAsia="Arial" w:hAnsi="Arial"/>
          <w:sz w:val="16"/>
          <w:szCs w:val="16"/>
          <w:color w:val="auto"/>
        </w:rPr>
        <w:t xml:space="preserve">Prior to the commencement of construction of the Improvements, Tenant shall deliver all of the Tenant Deliverables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w:t>
      </w:r>
      <w:r>
        <w:rPr>
          <w:rFonts w:ascii="Arial" w:cs="Arial" w:eastAsia="Arial" w:hAnsi="Arial"/>
          <w:sz w:val="16"/>
          <w:szCs w:val="16"/>
          <w:b w:val="1"/>
          <w:bCs w:val="1"/>
          <w:u w:val="single" w:color="auto"/>
          <w:color w:val="auto"/>
        </w:rPr>
        <w:t>Schedule 4</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this Work Letter (i.e., the “Prior to Start of Construction” category of Tenant Deliverables) to Landlord. Certain of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Deliverables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w:t>
      </w:r>
      <w:r>
        <w:rPr>
          <w:rFonts w:ascii="Arial" w:cs="Arial" w:eastAsia="Arial" w:hAnsi="Arial"/>
          <w:sz w:val="16"/>
          <w:szCs w:val="16"/>
          <w:b w:val="1"/>
          <w:bCs w:val="1"/>
          <w:u w:val="single" w:color="auto"/>
          <w:color w:val="auto"/>
        </w:rPr>
        <w:t>Schedule 4</w:t>
      </w:r>
      <w:r>
        <w:rPr>
          <w:rFonts w:ascii="Arial" w:cs="Arial" w:eastAsia="Arial" w:hAnsi="Arial"/>
          <w:sz w:val="16"/>
          <w:szCs w:val="16"/>
          <w:color w:val="auto"/>
        </w:rPr>
        <w:t xml:space="preserve"> attached to this Work Letter are further addressed with more specific provisions in this Work Letter.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363" w:name="page364"/>
    <w:bookmarkEnd w:id="363"/>
    <w:p>
      <w:pPr>
        <w:ind w:right="8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and during the design and construction of the Improvements, Landlord shall make monthly disbursements of the Improvement Allowance for Improvement Allowance Items and shall authorize the release of monies as follows:</w:t>
      </w:r>
    </w:p>
    <w:p>
      <w:pPr>
        <w:spacing w:after="0" w:line="58" w:lineRule="exact"/>
        <w:rPr>
          <w:sz w:val="20"/>
          <w:szCs w:val="20"/>
          <w:color w:val="auto"/>
        </w:rPr>
      </w:pPr>
    </w:p>
    <w:p>
      <w:pPr>
        <w:ind w:right="100" w:firstLine="1484"/>
        <w:spacing w:after="0" w:line="285"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b w:val="1"/>
          <w:bCs w:val="1"/>
          <w:u w:val="single" w:color="auto"/>
          <w:color w:val="auto"/>
        </w:rPr>
        <w:t>Monthly Disbursements</w:t>
      </w:r>
      <w:r>
        <w:rPr>
          <w:rFonts w:ascii="Arial" w:cs="Arial" w:eastAsia="Arial" w:hAnsi="Arial"/>
          <w:sz w:val="16"/>
          <w:szCs w:val="16"/>
          <w:color w:val="auto"/>
        </w:rPr>
        <w:t xml:space="preserve">. From time to time, but not more frequently than one (1) time in any thirty (30) consecutive day period during the design and construction of the Improvements (and not less frequently than monthly during the construction of the Improvements), Tenant shall deliver to Landlord: (i) a request for payment of the “Contractor,” as that term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this Work Letter, approved by Tenant, on AIA forms G702 or G703 (or comparable forms reasonably approved by Landlord), showing the schedule, by trade, of percentage of completion of the Improvements in the Premises, detailing the portion of the work completed and the portion not completed; (ii) invoices from all 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Work Letter, for labor rendered and materials delivered to the Premises and proof of payment of the same by Tenant;</w:t>
      </w:r>
    </w:p>
    <w:p>
      <w:pPr>
        <w:spacing w:after="0" w:line="4" w:lineRule="exact"/>
        <w:rPr>
          <w:sz w:val="20"/>
          <w:szCs w:val="20"/>
          <w:color w:val="auto"/>
        </w:rPr>
      </w:pPr>
    </w:p>
    <w:p>
      <w:pPr>
        <w:ind w:right="260" w:firstLine="8"/>
        <w:spacing w:after="0" w:line="281" w:lineRule="auto"/>
        <w:tabs>
          <w:tab w:leader="none" w:pos="31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executed unconditional mechanic’s lien releases from all of Tenant’s Agents which shall comply with California Civil Code Section 8134 or, if applicable, Section 8138; provided, however, that with respect to fees and expenses of the Architect, or construction or project managers or other similar consultants, and/or any other pre-construction items for which the payment scheme set forth in items (i) through (iii), above, of this Work Letter, is not applicable (collectively, the “</w:t>
      </w:r>
      <w:r>
        <w:rPr>
          <w:rFonts w:ascii="Arial" w:cs="Arial" w:eastAsia="Arial" w:hAnsi="Arial"/>
          <w:sz w:val="16"/>
          <w:szCs w:val="16"/>
          <w:b w:val="1"/>
          <w:bCs w:val="1"/>
          <w:color w:val="auto"/>
        </w:rPr>
        <w:t>Non-Contribution Items</w:t>
      </w:r>
      <w:r>
        <w:rPr>
          <w:rFonts w:ascii="Arial" w:cs="Arial" w:eastAsia="Arial" w:hAnsi="Arial"/>
          <w:sz w:val="16"/>
          <w:szCs w:val="16"/>
          <w:color w:val="auto"/>
        </w:rPr>
        <w:t xml:space="preserve">”), Tenant shall only be required to deliver to Landlord an invoice of the cost for the applicable Non-Contribution Items and proof of payment by Tenant; and (iv) all of the Tenant Deliverables set forth in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of the List of Tenant Deliverables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“Ongoing During Construction” and “Prior to Release of Any Funds” categories of Tenant Deliverables, respectively), to the extent such items are not mentioned in clauses (i) through (iii) of this </w:t>
      </w:r>
      <w:r>
        <w:rPr>
          <w:rFonts w:ascii="Arial" w:cs="Arial" w:eastAsia="Arial" w:hAnsi="Arial"/>
          <w:sz w:val="16"/>
          <w:szCs w:val="16"/>
          <w:u w:val="single" w:color="auto"/>
          <w:color w:val="auto"/>
        </w:rPr>
        <w:t>Section 2.2.1</w:t>
      </w:r>
      <w:r>
        <w:rPr>
          <w:rFonts w:ascii="Arial" w:cs="Arial" w:eastAsia="Arial" w:hAnsi="Arial"/>
          <w:sz w:val="16"/>
          <w:szCs w:val="16"/>
          <w:color w:val="auto"/>
        </w:rPr>
        <w:t>. Tenant’s request for payment shall, as between Landlord and Tenant only, be deemed Tenant’s acceptance and approval of the work furnished and/or the materials supplied as set forth in Tenant’s payment request vis-à-vis Landlord. Within thirty (30) days thereafter, Landlord shall deliver to Tenant by wire transfer of immediately available funds the amount that is equal to the lesser of:</w:t>
      </w:r>
    </w:p>
    <w:p>
      <w:pPr>
        <w:spacing w:after="0" w:line="6"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(A) the amounts so requested by Tenant, as set forth in this </w:t>
      </w:r>
      <w:r>
        <w:rPr>
          <w:rFonts w:ascii="Arial" w:cs="Arial" w:eastAsia="Arial" w:hAnsi="Arial"/>
          <w:sz w:val="17"/>
          <w:szCs w:val="17"/>
          <w:u w:val="single" w:color="auto"/>
          <w:color w:val="auto"/>
        </w:rPr>
        <w:t>Section 2.2.2.1</w:t>
      </w:r>
      <w:r>
        <w:rPr>
          <w:rFonts w:ascii="Arial" w:cs="Arial" w:eastAsia="Arial" w:hAnsi="Arial"/>
          <w:sz w:val="17"/>
          <w:szCs w:val="17"/>
          <w:color w:val="auto"/>
        </w:rPr>
        <w:t>, above, less a ten percent (10%) retention (the aggregate amount of such retentions to be known as the “</w:t>
      </w:r>
      <w:r>
        <w:rPr>
          <w:rFonts w:ascii="Arial" w:cs="Arial" w:eastAsia="Arial" w:hAnsi="Arial"/>
          <w:sz w:val="17"/>
          <w:szCs w:val="17"/>
          <w:b w:val="1"/>
          <w:bCs w:val="1"/>
          <w:color w:val="auto"/>
        </w:rPr>
        <w:t>Final Retention</w:t>
      </w:r>
      <w:r>
        <w:rPr>
          <w:rFonts w:ascii="Arial" w:cs="Arial" w:eastAsia="Arial" w:hAnsi="Arial"/>
          <w:sz w:val="17"/>
          <w:szCs w:val="17"/>
          <w:color w:val="auto"/>
        </w:rPr>
        <w:t>”), and (B) the balance of any remaining available portion of the Improvement Allowance (not including the Final Retention), provided, however, that (x) no such retention shall be applicable to the fees of the Architect, Engineers, Tenant’s project manager and consultants, and (y) with respect to payment requests in connection with the construction of the Improvements only, Landlord’s payment of such amounts shall not be deemed Landlord’s approval or acceptance of the work furnished or materials supplied as set forth in Tenant’s payment request.</w:t>
      </w:r>
    </w:p>
    <w:p>
      <w:pPr>
        <w:spacing w:after="0" w:line="67"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2.2.2.2 </w:t>
      </w:r>
      <w:r>
        <w:rPr>
          <w:rFonts w:ascii="Arial" w:cs="Arial" w:eastAsia="Arial" w:hAnsi="Arial"/>
          <w:sz w:val="18"/>
          <w:szCs w:val="18"/>
          <w:b w:val="1"/>
          <w:bCs w:val="1"/>
          <w:u w:val="single" w:color="auto"/>
          <w:color w:val="auto"/>
        </w:rPr>
        <w:t>Final Retention</w:t>
      </w:r>
      <w:r>
        <w:rPr>
          <w:rFonts w:ascii="Arial" w:cs="Arial" w:eastAsia="Arial" w:hAnsi="Arial"/>
          <w:sz w:val="18"/>
          <w:szCs w:val="18"/>
          <w:color w:val="auto"/>
        </w:rPr>
        <w:t xml:space="preserve">. Subject to the provisions of this Work Letter (including, without limitation,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below), a check for the Final Retention payable to Tenant shall be delivered by Landlord to Tenant following the completion of construction of the Improvements in the applicable Phase, provided that (i) Tenant delivers to Landlord properly executed mechanics lien releases in compliance with both California Civil Code Section 8134 and Section 8138 from Tenant’s contractor, subcontractors and material suppliers and any other party which has lien rights in connection with the construction of such Improvements, (ii) Landlord, in Landlord’s reasonable good faith judgment, has determined that no substandard work exists which materially deviates from the “Approved Working Drawings”, as that term 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364" w:name="page365"/>
    <w:bookmarkEnd w:id="364"/>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below, materially adversely affects the Building Systems, the exterior walls of any Building, or the Building Structure or exterior appearance of any Building (provided that Landlord will have thirty (30) days following Tenant’s request for the Final Retention in which to determine whether any such substandard work exists and notify Tenant of such determination, failing which Landlord shall be deemed to have determined that no such substandard work exists), and (iii) Tenant delivers to Landlord a certificate issued by Architect, in a form reasonably acceptable to Landlord, certifying that the construction of the Improvements in the Premises has been substantially completed, (iv) Tenant delivers to Landlord two (2) hard copies and one</w:t>
      </w:r>
    </w:p>
    <w:p>
      <w:pPr>
        <w:spacing w:after="0" w:line="2" w:lineRule="exact"/>
        <w:rPr>
          <w:sz w:val="20"/>
          <w:szCs w:val="20"/>
          <w:color w:val="auto"/>
        </w:rPr>
      </w:pPr>
    </w:p>
    <w:p>
      <w:pPr>
        <w:ind w:right="280" w:firstLine="8"/>
        <w:spacing w:after="0" w:line="255" w:lineRule="auto"/>
        <w:tabs>
          <w:tab w:leader="none" w:pos="2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electronic copy of the “Close-Out Package” (as that term is defined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and (v) Tenant delivers to Landlord all of the Tenant Deliverables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List of Tenant Deliverables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“Prior to Release of Final Payment” category of Tenant Deliverables), to the extent such items are not mentioned in clauses (i) through (iv) of this </w:t>
      </w:r>
      <w:r>
        <w:rPr>
          <w:rFonts w:ascii="Arial" w:cs="Arial" w:eastAsia="Arial" w:hAnsi="Arial"/>
          <w:sz w:val="18"/>
          <w:szCs w:val="18"/>
          <w:u w:val="single" w:color="auto"/>
          <w:color w:val="auto"/>
        </w:rPr>
        <w:t>Section 2.2.2.2</w:t>
      </w:r>
      <w:r>
        <w:rPr>
          <w:rFonts w:ascii="Arial" w:cs="Arial" w:eastAsia="Arial" w:hAnsi="Arial"/>
          <w:sz w:val="18"/>
          <w:szCs w:val="18"/>
          <w:color w:val="auto"/>
        </w:rPr>
        <w:t>.</w:t>
      </w:r>
    </w:p>
    <w:p>
      <w:pPr>
        <w:spacing w:after="0" w:line="78" w:lineRule="exact"/>
        <w:rPr>
          <w:sz w:val="20"/>
          <w:szCs w:val="20"/>
          <w:color w:val="auto"/>
        </w:rPr>
      </w:pPr>
    </w:p>
    <w:p>
      <w:pPr>
        <w:jc w:val="both"/>
        <w:ind w:right="120" w:firstLine="1484"/>
        <w:spacing w:after="0" w:line="314" w:lineRule="auto"/>
        <w:rPr>
          <w:sz w:val="20"/>
          <w:szCs w:val="20"/>
          <w:color w:val="auto"/>
        </w:rPr>
      </w:pPr>
      <w:r>
        <w:rPr>
          <w:rFonts w:ascii="Arial" w:cs="Arial" w:eastAsia="Arial" w:hAnsi="Arial"/>
          <w:sz w:val="16"/>
          <w:szCs w:val="16"/>
          <w:color w:val="auto"/>
        </w:rPr>
        <w:t xml:space="preserve">2.2.2.3 </w:t>
      </w:r>
      <w:r>
        <w:rPr>
          <w:rFonts w:ascii="Arial" w:cs="Arial" w:eastAsia="Arial" w:hAnsi="Arial"/>
          <w:sz w:val="16"/>
          <w:szCs w:val="16"/>
          <w:b w:val="1"/>
          <w:bCs w:val="1"/>
          <w:u w:val="single" w:color="auto"/>
          <w:color w:val="auto"/>
        </w:rPr>
        <w:t>Other Terms</w:t>
      </w:r>
      <w:r>
        <w:rPr>
          <w:rFonts w:ascii="Arial" w:cs="Arial" w:eastAsia="Arial" w:hAnsi="Arial"/>
          <w:sz w:val="16"/>
          <w:szCs w:val="16"/>
          <w:color w:val="auto"/>
        </w:rPr>
        <w:t xml:space="preserve">. Landlord shall only be obligated to make disbursements from the Improvement Allowance to the extent costs are incurred by Tenant for Improvement Allowance Items. To the extent that a dispute shall arise as to whether certain amounts of the Allowance are due and/or payable to Tenant, any amounts which are not the subject of such dispute shall be disbursed by Landlord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below.</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u w:val="single" w:color="auto"/>
          <w:color w:val="auto"/>
        </w:rPr>
        <w:t>Failure to Disburse Improvement Allowance</w:t>
      </w:r>
      <w:r>
        <w:rPr>
          <w:rFonts w:ascii="Arial" w:cs="Arial" w:eastAsia="Arial" w:hAnsi="Arial"/>
          <w:sz w:val="16"/>
          <w:szCs w:val="16"/>
          <w:color w:val="auto"/>
        </w:rPr>
        <w:t>. If Landlord fails to timely fulfill its obligation to fund any portion of the Improvement Allowance, Tenant shall be entitled to deliver notice (the “</w:t>
      </w:r>
      <w:r>
        <w:rPr>
          <w:rFonts w:ascii="Arial" w:cs="Arial" w:eastAsia="Arial" w:hAnsi="Arial"/>
          <w:sz w:val="16"/>
          <w:szCs w:val="16"/>
          <w:b w:val="1"/>
          <w:bCs w:val="1"/>
          <w:color w:val="auto"/>
        </w:rPr>
        <w:t>Payment Notice</w:t>
      </w:r>
      <w:r>
        <w:rPr>
          <w:rFonts w:ascii="Arial" w:cs="Arial" w:eastAsia="Arial" w:hAnsi="Arial"/>
          <w:sz w:val="16"/>
          <w:szCs w:val="16"/>
          <w:color w:val="auto"/>
        </w:rPr>
        <w:t>”) thereof to Landlord and to any mortgage or trust deed holder of the Project whose identity and address have been previously provided to Tenant. If Landlord still fails to fulfill any such obligation within twenty (20) business days after Landlord’s receipt of the Payment Notice from Tenant and if Landlord fails to deliver a notice to Tenant within such twenty (20) business day period explaining Landlord’s reasons that Landlord believes that the amounts described in Tenant’s Payment Notice are not due and payable by Landlord (“</w:t>
      </w:r>
      <w:r>
        <w:rPr>
          <w:rFonts w:ascii="Arial" w:cs="Arial" w:eastAsia="Arial" w:hAnsi="Arial"/>
          <w:sz w:val="16"/>
          <w:szCs w:val="16"/>
          <w:b w:val="1"/>
          <w:bCs w:val="1"/>
          <w:color w:val="auto"/>
        </w:rPr>
        <w:t>Refusal Notice</w:t>
      </w:r>
      <w:r>
        <w:rPr>
          <w:rFonts w:ascii="Arial" w:cs="Arial" w:eastAsia="Arial" w:hAnsi="Arial"/>
          <w:sz w:val="16"/>
          <w:szCs w:val="16"/>
          <w:color w:val="auto"/>
        </w:rPr>
        <w:t xml:space="preserve">”), Tenant shall be entitled to offset the amount so owed to Tenant by Landlord but not paid by Landlord (or if Landlord delivers a Refusal Notice but only with respect to a portion of the amount set forth in the Payment Notice and Landlord fails to pay such undisputed amount as required by the next succeeding sentence, the undisputed amount so owed to Tenant), together with interest at the Interest Rate (as defined 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of this Lease) from the date that the amount was originally due and payable until the date of offset, against Tenant’s next obligations to pay Rent. Notwithstanding the foregoing, Landlord hereby agrees that if Landlord delivers a Refusal Notice disputing a portion of the amount set forth in Tenant’s Payment Notice, Landlord shall pay to Tenant, concurrently with the delivery of the Refusal Notice, the undisputed portion of the amount set forth in the Payment Notice. However, if Tenant is in Default under </w:t>
      </w:r>
      <w:r>
        <w:rPr>
          <w:rFonts w:ascii="Arial" w:cs="Arial" w:eastAsia="Arial" w:hAnsi="Arial"/>
          <w:sz w:val="16"/>
          <w:szCs w:val="16"/>
          <w:u w:val="single" w:color="auto"/>
          <w:color w:val="auto"/>
        </w:rPr>
        <w:t>Section 19.1.1</w:t>
      </w:r>
      <w:r>
        <w:rPr>
          <w:rFonts w:ascii="Arial" w:cs="Arial" w:eastAsia="Arial" w:hAnsi="Arial"/>
          <w:sz w:val="16"/>
          <w:szCs w:val="16"/>
          <w:color w:val="auto"/>
        </w:rPr>
        <w:t xml:space="preserve"> of the Lease at the time that such offset would otherwise be applicable, Tenant shall not be entitled to such offset until such Default is cured. If Landlord delivers a Refusal Notice, and if Landlord and Tenant are not able to agree on the disputed amounts to be so paid by Landlord, if any, within ten (10) days after Tenant’s receipt of a Refusal Notice, Tenant may submit such dispute to arbitration in accordance with the American Arbitration Association. If Tenant prevails in any such arbitration, Tenant shall be entitled to apply such award as a credit against Tenant’s obligations to pay Rent.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 DRAWINGS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Selection of Architect/Construction Documents</w:t>
      </w:r>
      <w:r>
        <w:rPr>
          <w:rFonts w:ascii="Arial" w:cs="Arial" w:eastAsia="Arial" w:hAnsi="Arial"/>
          <w:sz w:val="17"/>
          <w:szCs w:val="17"/>
          <w:color w:val="auto"/>
        </w:rPr>
        <w:t>. Tenant shall retain an architect/space planner reasonably approved by Landlord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Architect</w:t>
      </w:r>
      <w:r>
        <w:rPr>
          <w:rFonts w:ascii="Arial" w:cs="Arial" w:eastAsia="Arial" w:hAnsi="Arial"/>
          <w:sz w:val="16"/>
          <w:szCs w:val="16"/>
          <w:color w:val="auto"/>
        </w:rPr>
        <w:t xml:space="preserve">”) to prepare the “Construction Documents,” as that term is defined in this </w:t>
      </w:r>
      <w:r>
        <w:rPr>
          <w:rFonts w:ascii="Arial" w:cs="Arial" w:eastAsia="Arial" w:hAnsi="Arial"/>
          <w:sz w:val="16"/>
          <w:szCs w:val="16"/>
          <w:u w:val="single" w:color="auto"/>
          <w:color w:val="auto"/>
        </w:rPr>
        <w:t>Section 3.1</w:t>
      </w:r>
      <w:r>
        <w:rPr>
          <w:rFonts w:ascii="Arial" w:cs="Arial" w:eastAsia="Arial" w:hAnsi="Arial"/>
          <w:sz w:val="16"/>
          <w:szCs w:val="16"/>
          <w:color w:val="auto"/>
        </w:rPr>
        <w:t>. Tenant shall retain (or cause the Architect or, on a design-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build basis, the Contractor to retain) engineering consultants reasonably approved by Landlord (the “</w:t>
      </w:r>
      <w:r>
        <w:rPr>
          <w:rFonts w:ascii="Arial" w:cs="Arial" w:eastAsia="Arial" w:hAnsi="Arial"/>
          <w:sz w:val="17"/>
          <w:szCs w:val="17"/>
          <w:b w:val="1"/>
          <w:bCs w:val="1"/>
          <w:color w:val="auto"/>
        </w:rPr>
        <w:t>Engineers</w:t>
      </w:r>
      <w:r>
        <w:rPr>
          <w:rFonts w:ascii="Arial" w:cs="Arial" w:eastAsia="Arial" w:hAnsi="Arial"/>
          <w:sz w:val="17"/>
          <w:szCs w:val="17"/>
          <w:color w:val="auto"/>
        </w:rPr>
        <w:t>”), which approval shall be granted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withheld within five (5) business days following Tenant’s written request (if Landlord fails to notify Tenant of Landlord’s approval or disapproval of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Engineers within such five (5) business day period, Tenant shall deliver Landlord an additional notice requesting approval and if Landlord thereafter fails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respond within three (3) business days of receipt of such additional notice, then Landlord will be deemed to have approved such Engineers), to prepare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and engineering working drawings relating to the structural, mechanical, electrical, plumbing, HVAC, lifesafety, and sprinkler work in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work is not part of the Base Building, and Tenant agrees that it shall be required to hire (i) Landlord’s preferred structural engineer for all structural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 and(ii) Landlord’s preferred engineers for all fire-life-safety work, or any other replacement engineers, designated by Landlord, for such structural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fire-life-safety work, provided that such Engineers charge commercially competitive rates for the work in question. The plans and drawings to be prepared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Architect and the Engineers hereunder shall be known collectively as the “</w:t>
      </w:r>
      <w:r>
        <w:rPr>
          <w:rFonts w:ascii="Arial" w:cs="Arial" w:eastAsia="Arial" w:hAnsi="Arial"/>
          <w:sz w:val="17"/>
          <w:szCs w:val="17"/>
          <w:b w:val="1"/>
          <w:bCs w:val="1"/>
          <w:color w:val="auto"/>
        </w:rPr>
        <w:t>Construction Documents</w:t>
      </w:r>
      <w:r>
        <w:rPr>
          <w:rFonts w:ascii="Arial" w:cs="Arial" w:eastAsia="Arial" w:hAnsi="Arial"/>
          <w:sz w:val="17"/>
          <w:szCs w:val="17"/>
          <w:color w:val="auto"/>
        </w:rPr>
        <w:t>.” Tenant shall deliver one (1) hard copy and one</w:t>
      </w:r>
    </w:p>
    <w:p>
      <w:pPr>
        <w:spacing w:after="0" w:line="21" w:lineRule="exact"/>
        <w:rPr>
          <w:sz w:val="20"/>
          <w:szCs w:val="20"/>
          <w:color w:val="auto"/>
        </w:rPr>
      </w:pPr>
    </w:p>
    <w:p>
      <w:pPr>
        <w:ind w:firstLine="8"/>
        <w:spacing w:after="0" w:line="286" w:lineRule="auto"/>
        <w:tabs>
          <w:tab w:leader="none" w:pos="2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electronic copy of the Construction Documents to Landlord. Tenant shall be required to include in its contracts with the Architect and the Engineers a provision which requires ownership of all Construction Documents to be transferred to Tenant upon the Substantial Completion of the Improvements and Tenant hereby grants to Landlord a non-exclusive right to use such Construction Documents, including, without limitation, a right to make copies thereof. All Construction Documents shall be delivered in a CAD drawing format. Tenant and Architect shall verify, in the field, the dimensions and conditions as shown on the relevant portions of the Base Building Construction Drawings Specifications, and Tenant and Architect shall be solely responsible for the same, and Landlord shall have no responsibility in connection therewith. Landlord’s review of the Construction Documents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shall be for its sole purpose and shall not imply Landlord’s review of the same, or obligate Landlord to review the same, for quality, design, Code compliance or other like matters. Accordingly, notwithstanding that any Construction Documents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Documents, and Tenant’s waiver and indemnity set forth in this Lease shall specifically apply to the Construction Documents.</w:t>
      </w:r>
    </w:p>
    <w:p>
      <w:pPr>
        <w:spacing w:after="0" w:line="5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Final Space Plan</w:t>
      </w:r>
      <w:r>
        <w:rPr>
          <w:rFonts w:ascii="Arial" w:cs="Arial" w:eastAsia="Arial" w:hAnsi="Arial"/>
          <w:sz w:val="18"/>
          <w:szCs w:val="18"/>
          <w:color w:val="auto"/>
        </w:rPr>
        <w:t>. Tenant shall supply Landlord with four (4) hard copies and one (1) electronic copy of its final space plan for the Premises. The final space plan (the “</w:t>
      </w:r>
      <w:r>
        <w:rPr>
          <w:rFonts w:ascii="Arial" w:cs="Arial" w:eastAsia="Arial" w:hAnsi="Arial"/>
          <w:sz w:val="18"/>
          <w:szCs w:val="18"/>
          <w:b w:val="1"/>
          <w:bCs w:val="1"/>
          <w:color w:val="auto"/>
        </w:rPr>
        <w:t>Final Space Plan</w:t>
      </w:r>
      <w:r>
        <w:rPr>
          <w:rFonts w:ascii="Arial" w:cs="Arial" w:eastAsia="Arial" w:hAnsi="Arial"/>
          <w:sz w:val="18"/>
          <w:szCs w:val="18"/>
          <w:color w:val="auto"/>
        </w:rPr>
        <w:t>”) shall include a layout and designation of all offices, rooms and other partitioning, their intended use, and the equipment anticipated to be contained therein. Landlord may request clarification or more specific drawings for special use items not included in the Final Space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69" w:right="259" w:bottom="1440" w:gutter="0" w:footer="0" w:header="0"/>
        </w:sectPr>
      </w:pPr>
    </w:p>
    <w:bookmarkStart w:id="366" w:name="page367"/>
    <w:bookmarkEnd w:id="36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shall advise Tenant within five (5) business days after Landlord’s receipt of the Final Space Plan if the same is approved, or, if the Final Space Plan is not reasonably satisfactory or is incomplete in any respect, disapproved, in which event Landlord shall include in its notice of disapproval a reasonably detailed explanation as to which items are not satisfactory or complete and the reason(s) therefor. Landlord shall not unreasonably withhold its consent to the Final Space Plan, provided that Tenant shall design such improvements so as to not (i) have a material adverse effect on the Building Structure or Building Systems, or (ii) fail to comply with Code. If Tenant is so advised that the Final Space Plan is not satisfactory or complete, Tenant shall promptly cause the Final Space Plan to be revised to correct any deficiencies or other matters Landlord may reasonably require and deliver such revised Final Space Plan to Landlord. If Landlord disapproves the Final Space Plan, Tenant may resubmit the proposed Final Space Plan to Landlord at any time, and Landlord shall approve or disapprove of the resubmitted Final Space Plan, based upon the criteria set forth in this </w:t>
      </w:r>
      <w:r>
        <w:rPr>
          <w:rFonts w:ascii="Arial" w:cs="Arial" w:eastAsia="Arial" w:hAnsi="Arial"/>
          <w:sz w:val="16"/>
          <w:szCs w:val="16"/>
          <w:u w:val="single" w:color="auto"/>
          <w:color w:val="auto"/>
        </w:rPr>
        <w:t>Section 3.2</w:t>
      </w:r>
      <w:r>
        <w:rPr>
          <w:rFonts w:ascii="Arial" w:cs="Arial" w:eastAsia="Arial" w:hAnsi="Arial"/>
          <w:sz w:val="16"/>
          <w:szCs w:val="16"/>
          <w:color w:val="auto"/>
        </w:rPr>
        <w:t>, within five (5) business days after Landlord receives such resubmitted Final Space Plan. Such procedure shall be repeated until the Final Space Plan is approved; provided, however, that if Landlord fails to notify Tenant of Landlord’s approval or disapproval of any iteration of the Final Space Plan within the five (5) business day review period for approval or disapproval thereof, Tenant shall deliver Landlord an additional notice requesting approval and if Landlord thereafter fails to respond within three (3) business days of receipt of such additional notice, Landlord will be deemed to have approved such iteration of the Final Space Plan.</w:t>
      </w:r>
    </w:p>
    <w:p>
      <w:pPr>
        <w:spacing w:after="0" w:line="5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Final Working Drawings</w:t>
      </w:r>
      <w:r>
        <w:rPr>
          <w:rFonts w:ascii="Arial" w:cs="Arial" w:eastAsia="Arial" w:hAnsi="Arial"/>
          <w:sz w:val="16"/>
          <w:szCs w:val="16"/>
          <w:color w:val="auto"/>
        </w:rPr>
        <w:t>. After the Final Space Plan has been approved by Landlord, Tenant shall supply the Engineers with a complete listing of standard and non-standard equipment and specifications, including, without limitation, B.T.U.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cause the Architect and the Engineers to complete the architectural and engineering drawings for the Premises, and Architect shall compile a fully coordinated set of architectural, structural, mechanical, electrical and plumbing working drawings in a form which is complete to allow subcontractors to bid on the work, to the extent applicable, and to obtain all applicable permits (collectively, the “</w:t>
      </w:r>
      <w:r>
        <w:rPr>
          <w:rFonts w:ascii="Arial" w:cs="Arial" w:eastAsia="Arial" w:hAnsi="Arial"/>
          <w:sz w:val="16"/>
          <w:szCs w:val="16"/>
          <w:b w:val="1"/>
          <w:bCs w:val="1"/>
          <w:color w:val="auto"/>
        </w:rPr>
        <w:t>Final Working Drawings</w:t>
      </w:r>
      <w:r>
        <w:rPr>
          <w:rFonts w:ascii="Arial" w:cs="Arial" w:eastAsia="Arial" w:hAnsi="Arial"/>
          <w:sz w:val="16"/>
          <w:szCs w:val="16"/>
          <w:color w:val="auto"/>
        </w:rPr>
        <w:t xml:space="preserve">”) and shall submit the same to Landlord for Landlord’s approval, which approval shall not be unreasonably withheld. Tenant shall supply Landlord with four (4) hard copies and one (1) electronic copy of such Final Working Drawings. Landlord shall advise Tenant within ten (10) business days after Landlord’s receipt of the Final Working Drawings for the Premises if the same are approved, or, if the Final Working Drawings are not reasonably satisfactory or are incomplete in any respect, disapproved, in which event Landlord shall include in its notice of disapproval a reasonably detailed explanation as to which items are not satisfactory or complete and the reason(s) therefor. If Tenant is so advised that the Final Working Drawings are not satisfactory or complete, Tenant shall promptly revise the Final Working Drawings in accordance with such review and any disapproval of Landlord in connection therewith, and Landlord shall approve or disapprove the resubmitted Final Working Drawings, based upon the criteria set forth in this </w:t>
      </w:r>
      <w:r>
        <w:rPr>
          <w:rFonts w:ascii="Arial" w:cs="Arial" w:eastAsia="Arial" w:hAnsi="Arial"/>
          <w:sz w:val="16"/>
          <w:szCs w:val="16"/>
          <w:u w:val="single" w:color="auto"/>
          <w:color w:val="auto"/>
        </w:rPr>
        <w:t>Section 3.3</w:t>
      </w:r>
      <w:r>
        <w:rPr>
          <w:rFonts w:ascii="Arial" w:cs="Arial" w:eastAsia="Arial" w:hAnsi="Arial"/>
          <w:sz w:val="16"/>
          <w:szCs w:val="16"/>
          <w:color w:val="auto"/>
        </w:rPr>
        <w:t>, within five (5) business days after Landlord receives such resubmitted Final Working Drawings. Such procedure shall be repeated until the Final Working Drawings are approved; provided, however, that if Landlord fails to notify Tenant of Landlord’s approval or disapproval of any iteration of the Final Working Drawings within the initial ten (10) business day review period or 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67" w:name="page368"/>
    <w:bookmarkEnd w:id="36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five (5) business day review period for approval or disapproval thereof, Tenant shall deliver Landlord an additional notice requesting approval and if Landlord thereafter fails to respond within five (5) business days of receipt of such additional notice, Landlord will be deemed to have approved such iteration of the Final Working Drawings.</w:t>
      </w:r>
    </w:p>
    <w:p>
      <w:pPr>
        <w:spacing w:after="0" w:line="6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Approved Working Drawings</w:t>
      </w:r>
      <w:r>
        <w:rPr>
          <w:rFonts w:ascii="Arial" w:cs="Arial" w:eastAsia="Arial" w:hAnsi="Arial"/>
          <w:sz w:val="16"/>
          <w:szCs w:val="16"/>
          <w:color w:val="auto"/>
        </w:rPr>
        <w:t>. The Final Working Drawings shall be approved by Landlord (the “</w:t>
      </w:r>
      <w:r>
        <w:rPr>
          <w:rFonts w:ascii="Arial" w:cs="Arial" w:eastAsia="Arial" w:hAnsi="Arial"/>
          <w:sz w:val="16"/>
          <w:szCs w:val="16"/>
          <w:b w:val="1"/>
          <w:bCs w:val="1"/>
          <w:color w:val="auto"/>
        </w:rPr>
        <w:t>Approved Working Drawings</w:t>
      </w:r>
      <w:r>
        <w:rPr>
          <w:rFonts w:ascii="Arial" w:cs="Arial" w:eastAsia="Arial" w:hAnsi="Arial"/>
          <w:sz w:val="16"/>
          <w:szCs w:val="16"/>
          <w:color w:val="auto"/>
        </w:rPr>
        <w:t>”) prior to the submission of the same to the appropriate municipal authorities for all applicable building permits (the “</w:t>
      </w:r>
      <w:r>
        <w:rPr>
          <w:rFonts w:ascii="Arial" w:cs="Arial" w:eastAsia="Arial" w:hAnsi="Arial"/>
          <w:sz w:val="16"/>
          <w:szCs w:val="16"/>
          <w:b w:val="1"/>
          <w:bCs w:val="1"/>
          <w:color w:val="auto"/>
        </w:rPr>
        <w:t>Permits</w:t>
      </w:r>
      <w:r>
        <w:rPr>
          <w:rFonts w:ascii="Arial" w:cs="Arial" w:eastAsia="Arial" w:hAnsi="Arial"/>
          <w:sz w:val="16"/>
          <w:szCs w:val="16"/>
          <w:color w:val="auto"/>
        </w:rPr>
        <w:t>”) and commencement of construction of the Improvements by Tenant; provided, however, at Tenant’s election and at Tenant’s risk with respect to any subsequent changes that may be required by Landlord in accordance with this Work Letter, Tenant may submit the Final Working Drawings to the appropriate municipal authorities for Permits concurrently with Landlord’s review thereof. After approval by Landlord of the Final Working Drawings, Tenant shall submit such Approved Working Drawings for the Permits. Tenant hereby agrees that neither Landlord nor Landlord’s consultants shall be responsible for obtaining any building permit(s) for the Improvements or required permission for lawful occupancy for the Premises and that obtaining the same shall be Tenant’s responsibility; provided, however, that Landlord, at its cost, shall provide to Tenant such path-of-travel documentation regarding the Buildings and the Project, as available, as may be required in order for Tenant to apply for and/or obtain any building permit(s) for the Improvements or required permission for lawful occupancy for the Premises (the parties acknowledging that Landlord shall have no obligation to prepare such path-of-travel documentation to comply with the foregoing), and shall cooperate with Tenant in executing permit applications and performing other ministerial acts reasonably necessary to enable Tenant to obtain any such permit(s) or occupancy permission. No material changes, modifications or alterations in the Approved Working Drawings may be made without the prior written consent of Landlord, which consent may not be unreasonably withheld, conditioned or delayed. Landlord shall provide any approvals and take any actions required under this Work Letter within the time periods specified herein, or, if no time period is specified, then within five (5) business days.</w:t>
      </w:r>
    </w:p>
    <w:p>
      <w:pPr>
        <w:spacing w:after="0" w:line="64" w:lineRule="exact"/>
        <w:rPr>
          <w:sz w:val="20"/>
          <w:szCs w:val="20"/>
          <w:color w:val="auto"/>
        </w:rPr>
      </w:pPr>
    </w:p>
    <w:p>
      <w:pPr>
        <w:ind w:right="220" w:firstLine="456"/>
        <w:spacing w:after="0" w:line="295"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Change Orders</w:t>
      </w:r>
      <w:r>
        <w:rPr>
          <w:rFonts w:ascii="Arial" w:cs="Arial" w:eastAsia="Arial" w:hAnsi="Arial"/>
          <w:sz w:val="16"/>
          <w:szCs w:val="16"/>
          <w:color w:val="auto"/>
        </w:rPr>
        <w:t>. In the event Tenant desires to materially change the Approved Working Drawings, Tenant shall deliver notice (the “</w:t>
      </w:r>
      <w:r>
        <w:rPr>
          <w:rFonts w:ascii="Arial" w:cs="Arial" w:eastAsia="Arial" w:hAnsi="Arial"/>
          <w:sz w:val="16"/>
          <w:szCs w:val="16"/>
          <w:b w:val="1"/>
          <w:bCs w:val="1"/>
          <w:color w:val="auto"/>
        </w:rPr>
        <w:t>Drawing</w:t>
      </w:r>
      <w:r>
        <w:rPr>
          <w:rFonts w:ascii="Arial" w:cs="Arial" w:eastAsia="Arial" w:hAnsi="Arial"/>
          <w:sz w:val="16"/>
          <w:szCs w:val="16"/>
          <w:color w:val="auto"/>
        </w:rPr>
        <w:t xml:space="preserve"> </w:t>
      </w:r>
      <w:r>
        <w:rPr>
          <w:rFonts w:ascii="Arial" w:cs="Arial" w:eastAsia="Arial" w:hAnsi="Arial"/>
          <w:sz w:val="16"/>
          <w:szCs w:val="16"/>
          <w:b w:val="1"/>
          <w:bCs w:val="1"/>
          <w:color w:val="auto"/>
        </w:rPr>
        <w:t>Change Notice</w:t>
      </w:r>
      <w:r>
        <w:rPr>
          <w:rFonts w:ascii="Arial" w:cs="Arial" w:eastAsia="Arial" w:hAnsi="Arial"/>
          <w:sz w:val="16"/>
          <w:szCs w:val="16"/>
          <w:color w:val="auto"/>
        </w:rPr>
        <w:t>”) of the same to Landlord, setting forth in detail the changes (the “</w:t>
      </w:r>
      <w:r>
        <w:rPr>
          <w:rFonts w:ascii="Arial" w:cs="Arial" w:eastAsia="Arial" w:hAnsi="Arial"/>
          <w:sz w:val="16"/>
          <w:szCs w:val="16"/>
          <w:b w:val="1"/>
          <w:bCs w:val="1"/>
          <w:color w:val="auto"/>
        </w:rPr>
        <w:t>Tenant Change</w:t>
      </w:r>
      <w:r>
        <w:rPr>
          <w:rFonts w:ascii="Arial" w:cs="Arial" w:eastAsia="Arial" w:hAnsi="Arial"/>
          <w:sz w:val="16"/>
          <w:szCs w:val="16"/>
          <w:color w:val="auto"/>
        </w:rPr>
        <w:t>”) Tenant desires to make to the Approved Working</w:t>
      </w:r>
      <w:r>
        <w:rPr>
          <w:rFonts w:ascii="Arial" w:cs="Arial" w:eastAsia="Arial" w:hAnsi="Arial"/>
          <w:sz w:val="16"/>
          <w:szCs w:val="16"/>
          <w:b w:val="1"/>
          <w:bCs w:val="1"/>
          <w:color w:val="auto"/>
        </w:rPr>
        <w:t xml:space="preserve"> </w:t>
      </w:r>
      <w:r>
        <w:rPr>
          <w:rFonts w:ascii="Arial" w:cs="Arial" w:eastAsia="Arial" w:hAnsi="Arial"/>
          <w:sz w:val="16"/>
          <w:szCs w:val="16"/>
          <w:color w:val="auto"/>
        </w:rPr>
        <w:t>Drawings. Landlord shall, within five (5) business days of receipt of a Drawing Change Notice, either (i) approve the Tenant Change, or (ii) disapprove the Tenant Change and deliver a notice to Tenant specifying in reasonably sufficient detail the reasons for Landlord’s disapproval. Any additional costs which arise in connection with such Tenant Change shall be paid by Tenant pursuant to this Work Letter; provided, however, that to the extent the Improvement Allowance has not been fully disbursed, such payment shall be made out of the Improvement Allowance subject to the terms of this Work Letter.</w:t>
      </w:r>
    </w:p>
    <w:p>
      <w:pPr>
        <w:spacing w:after="0" w:line="4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Electronic Approvals</w:t>
      </w:r>
      <w:r>
        <w:rPr>
          <w:rFonts w:ascii="Arial" w:cs="Arial" w:eastAsia="Arial" w:hAnsi="Arial"/>
          <w:sz w:val="18"/>
          <w:szCs w:val="18"/>
          <w:color w:val="auto"/>
        </w:rPr>
        <w:t xml:space="preserve">. Notwithstanding any provision to the contrary contained in the Lease or this Work Letter, Landlord may, in Landlord’s sole and absolute discretion, transmit or otherwise deliver any of the approvals required under this Work Letter via electronic mail to Tenant’s representative identified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this Work Letter, or by any of the other means identified in </w:t>
      </w:r>
      <w:r>
        <w:rPr>
          <w:rFonts w:ascii="Arial" w:cs="Arial" w:eastAsia="Arial" w:hAnsi="Arial"/>
          <w:sz w:val="18"/>
          <w:szCs w:val="18"/>
          <w:u w:val="single" w:color="auto"/>
          <w:color w:val="auto"/>
        </w:rPr>
        <w:t>Section 29.18</w:t>
      </w:r>
      <w:r>
        <w:rPr>
          <w:rFonts w:ascii="Arial" w:cs="Arial" w:eastAsia="Arial" w:hAnsi="Arial"/>
          <w:sz w:val="18"/>
          <w:szCs w:val="18"/>
          <w:color w:val="auto"/>
        </w:rPr>
        <w:t xml:space="preserve"> of this Lease.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68" w:name="page369"/>
    <w:bookmarkEnd w:id="36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CONSTRUCTION OF THE IMPROVEMENTS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Tenant’s Selection of Contractors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The Contractor</w:t>
      </w:r>
      <w:r>
        <w:rPr>
          <w:rFonts w:ascii="Arial" w:cs="Arial" w:eastAsia="Arial" w:hAnsi="Arial"/>
          <w:sz w:val="16"/>
          <w:szCs w:val="16"/>
          <w:color w:val="auto"/>
        </w:rPr>
        <w:t>. Tenant shall retain a licensed general contractor, approved in advance by Landlord (“</w:t>
      </w:r>
      <w:r>
        <w:rPr>
          <w:rFonts w:ascii="Arial" w:cs="Arial" w:eastAsia="Arial" w:hAnsi="Arial"/>
          <w:sz w:val="16"/>
          <w:szCs w:val="16"/>
          <w:b w:val="1"/>
          <w:bCs w:val="1"/>
          <w:color w:val="auto"/>
        </w:rPr>
        <w:t>Contractor</w:t>
      </w:r>
      <w:r>
        <w:rPr>
          <w:rFonts w:ascii="Arial" w:cs="Arial" w:eastAsia="Arial" w:hAnsi="Arial"/>
          <w:sz w:val="16"/>
          <w:szCs w:val="16"/>
          <w:color w:val="auto"/>
        </w:rPr>
        <w:t>”), to construct the Improvements. Landlord’s approval of the Contractor shall not be unreasonably withheld. Landlord shall notify Tenant of Landlord’s approval or disapproval of such Contractor within five (5) business days following notice to Landlord of Tenant’s selection; if Landlord fails to timely notify Tenant of Landlord’s approval or disapproval, Tenant shall deliver Landlord an additional notice requesting approval and if Landlord thereafter fails to respond within three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business days of receipt of such additional notice, Landlord will be deemed to have approved such Contractor.</w:t>
      </w:r>
    </w:p>
    <w:p>
      <w:pPr>
        <w:spacing w:after="0" w:line="9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 All subcontractors, laborers, materialmen, and suppliers used by Tenant in connection with the Improvements, together with the Contractor, shall be known collectively as “</w:t>
      </w:r>
      <w:r>
        <w:rPr>
          <w:rFonts w:ascii="Arial" w:cs="Arial" w:eastAsia="Arial" w:hAnsi="Arial"/>
          <w:sz w:val="18"/>
          <w:szCs w:val="18"/>
          <w:b w:val="1"/>
          <w:bCs w:val="1"/>
          <w:color w:val="auto"/>
        </w:rPr>
        <w:t>Tenant’s Agents</w:t>
      </w:r>
      <w:r>
        <w:rPr>
          <w:rFonts w:ascii="Arial" w:cs="Arial" w:eastAsia="Arial" w:hAnsi="Arial"/>
          <w:sz w:val="18"/>
          <w:szCs w:val="18"/>
          <w:color w:val="auto"/>
        </w:rPr>
        <w:t>”. The subcontractors used by Tenant, but not any materialmen, and suppliers, must be approved in writing by Landlord, which approval shall not be unreasonably withheld or delayed. Landlord will notify Tenant within five (5) business days following Tenant’s notice to Landlord of the identity of any such subcontractors, if Landlord approves or disapproves such subcontractors; if Landlord fails to timely notify Tenant of Landlord’s approval or disapproval of such subcontractors, Tenant shall deliver Landlord an additional notice requesting approval and if Landlord thereafter fails to respond within three (3) business days of receipt of such additional notice, Landlord will be deemed to have approved such subcontractors.</w:t>
      </w:r>
    </w:p>
    <w:p>
      <w:pPr>
        <w:spacing w:after="0" w:line="8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Construction of Improvements by Tenant’s Agents</w:t>
      </w:r>
      <w:r>
        <w:rPr>
          <w:rFonts w:ascii="Arial" w:cs="Arial" w:eastAsia="Arial" w:hAnsi="Arial"/>
          <w:sz w:val="16"/>
          <w:szCs w:val="16"/>
          <w:color w:val="auto"/>
        </w:rPr>
        <w:t>. Landlord may elect by written notice to Tenant the “Separate Schedules of Value Alternative” set forth below with respect to the Improvements to be constructed in a Phase in order that Landlord may satisfy its REIT related obligations with respect to timely recognizing revenue from this Lease (as determined by Landlord in its sole discretion). The term “</w:t>
      </w:r>
      <w:r>
        <w:rPr>
          <w:rFonts w:ascii="Arial" w:cs="Arial" w:eastAsia="Arial" w:hAnsi="Arial"/>
          <w:sz w:val="16"/>
          <w:szCs w:val="16"/>
          <w:b w:val="1"/>
          <w:bCs w:val="1"/>
          <w:color w:val="auto"/>
        </w:rPr>
        <w:t>Separate Schedules of Value</w:t>
      </w:r>
      <w:r>
        <w:rPr>
          <w:rFonts w:ascii="Arial" w:cs="Arial" w:eastAsia="Arial" w:hAnsi="Arial"/>
          <w:sz w:val="16"/>
          <w:szCs w:val="16"/>
          <w:color w:val="auto"/>
        </w:rPr>
        <w:t xml:space="preserve"> </w:t>
      </w:r>
      <w:r>
        <w:rPr>
          <w:rFonts w:ascii="Arial" w:cs="Arial" w:eastAsia="Arial" w:hAnsi="Arial"/>
          <w:sz w:val="16"/>
          <w:szCs w:val="16"/>
          <w:b w:val="1"/>
          <w:bCs w:val="1"/>
          <w:color w:val="auto"/>
        </w:rPr>
        <w:t>Alternative</w:t>
      </w:r>
      <w:r>
        <w:rPr>
          <w:rFonts w:ascii="Arial" w:cs="Arial" w:eastAsia="Arial" w:hAnsi="Arial"/>
          <w:sz w:val="16"/>
          <w:szCs w:val="16"/>
          <w:color w:val="auto"/>
        </w:rPr>
        <w:t>” means that for any Phase, Tenant shall provide separate schedules of value for (i) those Improvements in that Phase that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do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Specialty Alterations and, therefore, </w:t>
      </w:r>
      <w:r>
        <w:rPr>
          <w:rFonts w:ascii="Arial" w:cs="Arial" w:eastAsia="Arial" w:hAnsi="Arial"/>
          <w:sz w:val="16"/>
          <w:szCs w:val="16"/>
          <w:u w:val="single" w:color="auto"/>
          <w:color w:val="auto"/>
        </w:rPr>
        <w:t>do qualify</w:t>
      </w:r>
      <w:r>
        <w:rPr>
          <w:rFonts w:ascii="Arial" w:cs="Arial" w:eastAsia="Arial" w:hAnsi="Arial"/>
          <w:sz w:val="16"/>
          <w:szCs w:val="16"/>
          <w:color w:val="auto"/>
        </w:rPr>
        <w:t xml:space="preserve"> as Improvement Allowance Items (“</w:t>
      </w:r>
      <w:r>
        <w:rPr>
          <w:rFonts w:ascii="Arial" w:cs="Arial" w:eastAsia="Arial" w:hAnsi="Arial"/>
          <w:sz w:val="16"/>
          <w:szCs w:val="16"/>
          <w:b w:val="1"/>
          <w:bCs w:val="1"/>
          <w:color w:val="auto"/>
        </w:rPr>
        <w:t>IA Qualifying Improvements</w:t>
      </w:r>
      <w:r>
        <w:rPr>
          <w:rFonts w:ascii="Arial" w:cs="Arial" w:eastAsia="Arial" w:hAnsi="Arial"/>
          <w:sz w:val="16"/>
          <w:szCs w:val="16"/>
          <w:color w:val="auto"/>
        </w:rPr>
        <w:t xml:space="preserve">”), and (ii) those Improvements in that Phase that </w:t>
      </w:r>
      <w:r>
        <w:rPr>
          <w:rFonts w:ascii="Arial" w:cs="Arial" w:eastAsia="Arial" w:hAnsi="Arial"/>
          <w:sz w:val="16"/>
          <w:szCs w:val="16"/>
          <w:u w:val="single" w:color="auto"/>
          <w:color w:val="auto"/>
        </w:rPr>
        <w:t>do</w:t>
      </w:r>
      <w:r>
        <w:rPr>
          <w:rFonts w:ascii="Arial" w:cs="Arial" w:eastAsia="Arial" w:hAnsi="Arial"/>
          <w:sz w:val="16"/>
          <w:szCs w:val="16"/>
          <w:color w:val="auto"/>
        </w:rPr>
        <w:t xml:space="preserve"> constitute Specialty Alterations and, therefore, </w:t>
      </w:r>
      <w:r>
        <w:rPr>
          <w:rFonts w:ascii="Arial" w:cs="Arial" w:eastAsia="Arial" w:hAnsi="Arial"/>
          <w:sz w:val="16"/>
          <w:szCs w:val="16"/>
          <w:u w:val="single" w:color="auto"/>
          <w:color w:val="auto"/>
        </w:rPr>
        <w:t>do not qualify</w:t>
      </w:r>
      <w:r>
        <w:rPr>
          <w:rFonts w:ascii="Arial" w:cs="Arial" w:eastAsia="Arial" w:hAnsi="Arial"/>
          <w:sz w:val="16"/>
          <w:szCs w:val="16"/>
          <w:color w:val="auto"/>
        </w:rPr>
        <w:t xml:space="preserve"> as Improvement Allowance Items (“</w:t>
      </w:r>
      <w:r>
        <w:rPr>
          <w:rFonts w:ascii="Arial" w:cs="Arial" w:eastAsia="Arial" w:hAnsi="Arial"/>
          <w:sz w:val="16"/>
          <w:szCs w:val="16"/>
          <w:b w:val="1"/>
          <w:bCs w:val="1"/>
          <w:color w:val="auto"/>
        </w:rPr>
        <w:t>Non IA Qualifying Improvements</w:t>
      </w:r>
      <w:r>
        <w:rPr>
          <w:rFonts w:ascii="Arial" w:cs="Arial" w:eastAsia="Arial" w:hAnsi="Arial"/>
          <w:sz w:val="16"/>
          <w:szCs w:val="16"/>
          <w:color w:val="auto"/>
        </w:rPr>
        <w:t>”). Landlord shall notify Tenant of its election (“</w:t>
      </w:r>
      <w:r>
        <w:rPr>
          <w:rFonts w:ascii="Arial" w:cs="Arial" w:eastAsia="Arial" w:hAnsi="Arial"/>
          <w:sz w:val="16"/>
          <w:szCs w:val="16"/>
          <w:b w:val="1"/>
          <w:bCs w:val="1"/>
          <w:color w:val="auto"/>
        </w:rPr>
        <w:t>Landlord’s Separate Schedules of Value Notice</w:t>
      </w:r>
      <w:r>
        <w:rPr>
          <w:rFonts w:ascii="Arial" w:cs="Arial" w:eastAsia="Arial" w:hAnsi="Arial"/>
          <w:sz w:val="16"/>
          <w:szCs w:val="16"/>
          <w:color w:val="auto"/>
        </w:rPr>
        <w:t>”) of the Separate Schedules of Value Alternative for a Phase no later than ten (10) business days following Landlord’s receipt of a draft of the proposed Contract and the construction schedule for the Improvements to be constructed in such Phase. In the event that Landlord so delivers a Landlord’s Separate Schedules of Value Notice for a Phase, Tenant shall work diligently with the Contractor to prepare separate Contracts and schedules of value for the IA Qualifying Improvements and the Non IA Qualifying Improvements and shall deliver the same to Landlord promptly following the completion thereof. At Tenant’s request, Landlord will cooperate with Tenant, as necessary, in working with the Contractor to prepare such separate Contracts and schedules of value. In addition, at Landlord’s request, Tenant shall consult with Landlord regarding the classification of Improvements as IA Qualifying Improvements or Non IA Qualifying Improvements.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369" w:name="page370"/>
    <w:bookmarkEnd w:id="369"/>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4.2.1 </w:t>
      </w:r>
      <w:r>
        <w:rPr>
          <w:rFonts w:ascii="Arial" w:cs="Arial" w:eastAsia="Arial" w:hAnsi="Arial"/>
          <w:sz w:val="16"/>
          <w:szCs w:val="16"/>
          <w:b w:val="1"/>
          <w:bCs w:val="1"/>
          <w:u w:val="single" w:color="auto"/>
          <w:color w:val="auto"/>
        </w:rPr>
        <w:t>Construction Contract; Cost Budget</w:t>
      </w:r>
      <w:r>
        <w:rPr>
          <w:rFonts w:ascii="Arial" w:cs="Arial" w:eastAsia="Arial" w:hAnsi="Arial"/>
          <w:sz w:val="16"/>
          <w:szCs w:val="16"/>
          <w:color w:val="auto"/>
        </w:rPr>
        <w:t>. Prior to Tenant’s execution of the construction contract and general conditions with Contractor (the “</w:t>
      </w:r>
      <w:r>
        <w:rPr>
          <w:rFonts w:ascii="Arial" w:cs="Arial" w:eastAsia="Arial" w:hAnsi="Arial"/>
          <w:sz w:val="16"/>
          <w:szCs w:val="16"/>
          <w:b w:val="1"/>
          <w:bCs w:val="1"/>
          <w:color w:val="auto"/>
        </w:rPr>
        <w:t>Contract</w:t>
      </w:r>
      <w:r>
        <w:rPr>
          <w:rFonts w:ascii="Arial" w:cs="Arial" w:eastAsia="Arial" w:hAnsi="Arial"/>
          <w:sz w:val="16"/>
          <w:szCs w:val="16"/>
          <w:color w:val="auto"/>
        </w:rPr>
        <w:t xml:space="preserve">”), Tenant shall submit the Contract (including Contractor’s proposal and all exhibits and back-up documentation associated with such Contract) to Landlord for its approval, which approval shall not be unreasonably withheld or delayed. Prior to the commencement of the construction of the Improvements for a particular Phase, Tenant shall provide Landlord with a detailed breakdown, by trade, of the anticipated costs to be incurred or which have been incurred, as set forth more particularly in </w:t>
      </w:r>
      <w:r>
        <w:rPr>
          <w:rFonts w:ascii="Arial" w:cs="Arial" w:eastAsia="Arial" w:hAnsi="Arial"/>
          <w:sz w:val="16"/>
          <w:szCs w:val="16"/>
          <w:u w:val="single" w:color="auto"/>
          <w:color w:val="auto"/>
        </w:rPr>
        <w:t>Sections 2.2.1.1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2.2.1.10</w:t>
      </w:r>
      <w:r>
        <w:rPr>
          <w:rFonts w:ascii="Arial" w:cs="Arial" w:eastAsia="Arial" w:hAnsi="Arial"/>
          <w:sz w:val="16"/>
          <w:szCs w:val="16"/>
          <w:color w:val="auto"/>
        </w:rPr>
        <w:t>, above, in connection with the design and construction of such Improvements to be performed by or at the direction of Tenant or the Contractor (the “</w:t>
      </w:r>
      <w:r>
        <w:rPr>
          <w:rFonts w:ascii="Arial" w:cs="Arial" w:eastAsia="Arial" w:hAnsi="Arial"/>
          <w:sz w:val="16"/>
          <w:szCs w:val="16"/>
          <w:b w:val="1"/>
          <w:bCs w:val="1"/>
          <w:color w:val="auto"/>
        </w:rPr>
        <w:t>Anticipated Costs</w:t>
      </w:r>
      <w:r>
        <w:rPr>
          <w:rFonts w:ascii="Arial" w:cs="Arial" w:eastAsia="Arial" w:hAnsi="Arial"/>
          <w:sz w:val="16"/>
          <w:szCs w:val="16"/>
          <w:color w:val="auto"/>
        </w:rPr>
        <w:t>”). Prior to the commencement of construction of such Improvements, Tenant shall identify the amount equal to the difference between the amount of the Anticipated Costs and the amount of the Improvement Allowance applicable to such Phase (less any portion thereof already disbursed by Landlord, or in the process of being disbursed by Landlord, on or before the commencement of construction of the Improvements). In the event that the Anticipated Costs are greater than the amount of the Improvement Allowance applicable to such Phase (the “</w:t>
      </w:r>
      <w:r>
        <w:rPr>
          <w:rFonts w:ascii="Arial" w:cs="Arial" w:eastAsia="Arial" w:hAnsi="Arial"/>
          <w:sz w:val="16"/>
          <w:szCs w:val="16"/>
          <w:b w:val="1"/>
          <w:bCs w:val="1"/>
          <w:color w:val="auto"/>
        </w:rPr>
        <w:t>Anticipated Over-Allowance Amount</w:t>
      </w:r>
      <w:r>
        <w:rPr>
          <w:rFonts w:ascii="Arial" w:cs="Arial" w:eastAsia="Arial" w:hAnsi="Arial"/>
          <w:sz w:val="16"/>
          <w:szCs w:val="16"/>
          <w:color w:val="auto"/>
        </w:rPr>
        <w:t>”), then, Tenant shall pay a percentage of each amount requested by the Contractor or otherwise to be disbursed under this Work Letter, which percentage (the “</w:t>
      </w:r>
      <w:r>
        <w:rPr>
          <w:rFonts w:ascii="Arial" w:cs="Arial" w:eastAsia="Arial" w:hAnsi="Arial"/>
          <w:sz w:val="16"/>
          <w:szCs w:val="16"/>
          <w:b w:val="1"/>
          <w:bCs w:val="1"/>
          <w:color w:val="auto"/>
        </w:rPr>
        <w:t>Percentage</w:t>
      </w:r>
      <w:r>
        <w:rPr>
          <w:rFonts w:ascii="Arial" w:cs="Arial" w:eastAsia="Arial" w:hAnsi="Arial"/>
          <w:sz w:val="16"/>
          <w:szCs w:val="16"/>
          <w:color w:val="auto"/>
        </w:rPr>
        <w:t>”) shall be equal to the Anticipated Over-Allowance Amount divided by the amount of the Anticipated Costs (after deducting from the Anticipated Costs any amounts expended in connection with the preparation of the Construction Drawings, and the cost of all other Improvement Allowance Items incurred prior to the commencement of construction of the Improvements), and such payments by Tenant (the “</w:t>
      </w:r>
      <w:r>
        <w:rPr>
          <w:rFonts w:ascii="Arial" w:cs="Arial" w:eastAsia="Arial" w:hAnsi="Arial"/>
          <w:sz w:val="16"/>
          <w:szCs w:val="16"/>
          <w:b w:val="1"/>
          <w:bCs w:val="1"/>
          <w:color w:val="auto"/>
        </w:rPr>
        <w:t>Over-Allowance Payments</w:t>
      </w:r>
      <w:r>
        <w:rPr>
          <w:rFonts w:ascii="Arial" w:cs="Arial" w:eastAsia="Arial" w:hAnsi="Arial"/>
          <w:sz w:val="16"/>
          <w:szCs w:val="16"/>
          <w:color w:val="auto"/>
        </w:rPr>
        <w:t>”) shall be a condition to Landlord’s obligation to pay any amounts from the Improvement Allowance (the “</w:t>
      </w:r>
      <w:r>
        <w:rPr>
          <w:rFonts w:ascii="Arial" w:cs="Arial" w:eastAsia="Arial" w:hAnsi="Arial"/>
          <w:sz w:val="16"/>
          <w:szCs w:val="16"/>
          <w:b w:val="1"/>
          <w:bCs w:val="1"/>
          <w:color w:val="auto"/>
        </w:rPr>
        <w:t>Improvement Allowance Payments</w:t>
      </w:r>
      <w:r>
        <w:rPr>
          <w:rFonts w:ascii="Arial" w:cs="Arial" w:eastAsia="Arial" w:hAnsi="Arial"/>
          <w:sz w:val="16"/>
          <w:szCs w:val="16"/>
          <w:color w:val="auto"/>
        </w:rPr>
        <w:t xml:space="preserve">”). After Tenant’s initial determination of the Anticipated Costs, Tenant shall advise Landlord from time to time as such Anticipated Costs are further refined or determined or the costs relating to the design and construction of the Improvements otherwise change and the Anticipated Over-Allowance Amount, and the Over-Allowance Payments shall be adjusted such that the Improvement Allowance Payments by Landlord and the Over-Allowance Payments by Tenant shall accurately reflect the then-current amount of Anticipated Costs. In connection with any Over-Allowance Payments made by Tenant pursuant to this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Tenant shall provide Landlord with the documents described in </w:t>
      </w:r>
      <w:r>
        <w:rPr>
          <w:rFonts w:ascii="Arial" w:cs="Arial" w:eastAsia="Arial" w:hAnsi="Arial"/>
          <w:sz w:val="16"/>
          <w:szCs w:val="16"/>
          <w:u w:val="single" w:color="auto"/>
          <w:color w:val="auto"/>
        </w:rPr>
        <w:t>Sections 2.2.2.1 (i),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(iii)</w:t>
      </w:r>
      <w:r>
        <w:rPr>
          <w:rFonts w:ascii="Arial" w:cs="Arial" w:eastAsia="Arial" w:hAnsi="Arial"/>
          <w:sz w:val="16"/>
          <w:szCs w:val="16"/>
          <w:color w:val="auto"/>
        </w:rPr>
        <w:t xml:space="preserve"> of this Work Letter, above, for Landlord’s approval, prior to Tenant paying such costs. Notwithstanding anything set forth in this Work Letter to the contrary, but subject to the last sentence of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above, construction of the Improvements shall not commence until (a) Landlord has approved the Contract, and (b) Tenant has procured and delivered to Landlord a copy of all Permits for the applicable Improvements.</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1484"/>
        <w:spacing w:after="0" w:line="266" w:lineRule="auto"/>
        <w:rPr>
          <w:sz w:val="20"/>
          <w:szCs w:val="20"/>
          <w:color w:val="auto"/>
        </w:rPr>
      </w:pPr>
      <w:r>
        <w:rPr>
          <w:rFonts w:ascii="Arial" w:cs="Arial" w:eastAsia="Arial" w:hAnsi="Arial"/>
          <w:sz w:val="18"/>
          <w:szCs w:val="18"/>
          <w:color w:val="auto"/>
        </w:rPr>
        <w:t xml:space="preserve">4.2.2.1 </w:t>
      </w:r>
      <w:r>
        <w:rPr>
          <w:rFonts w:ascii="Arial" w:cs="Arial" w:eastAsia="Arial" w:hAnsi="Arial"/>
          <w:sz w:val="18"/>
          <w:szCs w:val="18"/>
          <w:b w:val="1"/>
          <w:bCs w:val="1"/>
          <w:u w:val="single" w:color="auto"/>
          <w:color w:val="auto"/>
        </w:rPr>
        <w:t>Landlord’s General Conditions for Tenant’s Agents and Improvement Work</w:t>
      </w:r>
      <w:r>
        <w:rPr>
          <w:rFonts w:ascii="Arial" w:cs="Arial" w:eastAsia="Arial" w:hAnsi="Arial"/>
          <w:sz w:val="18"/>
          <w:szCs w:val="18"/>
          <w:color w:val="auto"/>
        </w:rPr>
        <w:t>. Tenant’s and Tenant’s Agent’s construction of the Improvements shall comply with the following: (i) the Improvements shall be constructed in material accordance with the Approved Working Drawings, subject to minor field adjustments and approved Tenant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70" w:name="page371"/>
    <w:bookmarkEnd w:id="37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(ii) Landlord’s reasonable rules and regulations for the construction of improvements in the Project, including as pertains to the use of freight, loading dock and service elevators and the storage of construction materials, (iii) Landlord shall reasonably cooperate (and shall cause its respective contractors, subcontractors and agents to cooperate) with Tenant on a commercially reasonable basis in order that the work being performed by Tenant may be completed without material interference by the other party. In connection with the foregoing, Tenant’s Agents shall submit schedules of all work relating to the Improvements to Landlord. Tenant shall pay a logistical coordination fee (the “</w:t>
      </w:r>
      <w:r>
        <w:rPr>
          <w:rFonts w:ascii="Arial" w:cs="Arial" w:eastAsia="Arial" w:hAnsi="Arial"/>
          <w:sz w:val="17"/>
          <w:szCs w:val="17"/>
          <w:b w:val="1"/>
          <w:bCs w:val="1"/>
          <w:color w:val="auto"/>
        </w:rPr>
        <w:t>Coordination Fee</w:t>
      </w:r>
      <w:r>
        <w:rPr>
          <w:rFonts w:ascii="Arial" w:cs="Arial" w:eastAsia="Arial" w:hAnsi="Arial"/>
          <w:sz w:val="17"/>
          <w:szCs w:val="17"/>
          <w:color w:val="auto"/>
        </w:rPr>
        <w:t>”) to Landlord in an amount equal to Seventy-Five Cents ($0.75) per rentable square foot of the Premises, which Coordination Fee shall be for services relating to the coordination of the construction of the Improvements, such Coordination Fee to be disbursed as part of each disbursement of the Improvement Allowance on a proportionate basis (i.e., based on the proportion the Coordination Fee bears to the total Improvement Allowance).</w:t>
      </w:r>
    </w:p>
    <w:p>
      <w:pPr>
        <w:spacing w:after="0" w:line="67" w:lineRule="exact"/>
        <w:rPr>
          <w:sz w:val="20"/>
          <w:szCs w:val="20"/>
          <w:color w:val="auto"/>
        </w:rPr>
      </w:pPr>
    </w:p>
    <w:p>
      <w:pPr>
        <w:ind w:right="60" w:firstLine="1484"/>
        <w:spacing w:after="0" w:line="256" w:lineRule="auto"/>
        <w:rPr>
          <w:sz w:val="20"/>
          <w:szCs w:val="20"/>
          <w:color w:val="auto"/>
        </w:rPr>
      </w:pPr>
      <w:r>
        <w:rPr>
          <w:rFonts w:ascii="Arial" w:cs="Arial" w:eastAsia="Arial" w:hAnsi="Arial"/>
          <w:sz w:val="18"/>
          <w:szCs w:val="18"/>
          <w:color w:val="auto"/>
        </w:rPr>
        <w:t xml:space="preserve">4.2.2.2 </w:t>
      </w: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 Tenant’s indemnity of Landlord and Landlord’s indemnity of Tenant, as set forth in this Lease shall also apply with respect to any and all costs, losses, damages, injuries and liabilities related in any way to any act or omission of Tenant or Tenant’s Agents, or anyone directly or indirectly employed by any of them, or in connection with Tenant’s or Landlord’s, as the case may be, non-payment of any amount arising out of the Improvements and/or Tenant’s or Landlord’s, as the case may be, disapproval of all or any portion of any request for payment. The foregoing indemnity shall not apply to claims caused by the negligence or willful misconduct of the other party, its member partners, shareholders, officers, directors, agents, employees, and/or contractors, or other party’s violation of this Lease.</w:t>
      </w:r>
    </w:p>
    <w:p>
      <w:pPr>
        <w:spacing w:after="0" w:line="80" w:lineRule="exact"/>
        <w:rPr>
          <w:sz w:val="20"/>
          <w:szCs w:val="20"/>
          <w:color w:val="auto"/>
        </w:rPr>
      </w:pPr>
    </w:p>
    <w:p>
      <w:pPr>
        <w:ind w:firstLine="1484"/>
        <w:spacing w:after="0" w:line="271" w:lineRule="auto"/>
        <w:rPr>
          <w:sz w:val="20"/>
          <w:szCs w:val="20"/>
          <w:color w:val="auto"/>
        </w:rPr>
      </w:pPr>
      <w:r>
        <w:rPr>
          <w:rFonts w:ascii="Arial" w:cs="Arial" w:eastAsia="Arial" w:hAnsi="Arial"/>
          <w:sz w:val="17"/>
          <w:szCs w:val="17"/>
          <w:color w:val="auto"/>
        </w:rPr>
        <w:t xml:space="preserve">4.2.2.3 </w:t>
      </w:r>
      <w:r>
        <w:rPr>
          <w:rFonts w:ascii="Arial" w:cs="Arial" w:eastAsia="Arial" w:hAnsi="Arial"/>
          <w:sz w:val="17"/>
          <w:szCs w:val="17"/>
          <w:b w:val="1"/>
          <w:bCs w:val="1"/>
          <w:u w:val="single" w:color="auto"/>
          <w:color w:val="auto"/>
        </w:rPr>
        <w:t>Requirements of Tenant’s Agents</w:t>
      </w:r>
      <w:r>
        <w:rPr>
          <w:rFonts w:ascii="Arial" w:cs="Arial" w:eastAsia="Arial" w:hAnsi="Arial"/>
          <w:sz w:val="17"/>
          <w:szCs w:val="17"/>
          <w:color w:val="auto"/>
        </w:rPr>
        <w:t>. Contractor (on behalf of itself and Tenant’s Agents) shall guarantee to Tenant and for the benefit of Landlord that the Improvements shall be free from any defects in workmanship and materials for a period of not less than one (1) year from the date of completion thereof. Contractor shall be responsible for the replacement or repair, without additional charge, of all work done or furnished in accordance with the Contract that shall become defective within one (1) year after the completion of the Improvements. The correction of such work shall include, without additional charge, all additional expenses and damages incurred in connection with such removal or replacement of all or any part of the Improvements, and/or the Buildings and/or Common Areas that may be damaged or disturbed thereby. Such warranty shall be contained in the Contract and shall be written such that it shall inure to the benefit of both Landlord and Tenant, as their respective interests may appear, and can be directly enforced by either. To the extent reasonably necessary, Tenant covenants to give to Landlord any assignment or other assurances which may be necessary to effect such right of direct enforcement.</w:t>
      </w:r>
    </w:p>
    <w:p>
      <w:pPr>
        <w:spacing w:after="0" w:line="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4.2.2.4 </w:t>
      </w:r>
      <w:r>
        <w:rPr>
          <w:rFonts w:ascii="Arial" w:cs="Arial" w:eastAsia="Arial" w:hAnsi="Arial"/>
          <w:sz w:val="18"/>
          <w:szCs w:val="18"/>
          <w:b w:val="1"/>
          <w:bCs w:val="1"/>
          <w:u w:val="single" w:color="auto"/>
          <w:color w:val="auto"/>
        </w:rPr>
        <w:t>Insurance Requirements</w:t>
      </w:r>
      <w:r>
        <w:rPr>
          <w:rFonts w:ascii="Arial" w:cs="Arial" w:eastAsia="Arial" w:hAnsi="Arial"/>
          <w:sz w:val="18"/>
          <w:szCs w:val="18"/>
          <w:color w:val="auto"/>
        </w:rPr>
        <w:t>.</w:t>
      </w:r>
    </w:p>
    <w:p>
      <w:pPr>
        <w:spacing w:after="0" w:line="117" w:lineRule="exact"/>
        <w:rPr>
          <w:sz w:val="20"/>
          <w:szCs w:val="20"/>
          <w:color w:val="auto"/>
        </w:rPr>
      </w:pPr>
    </w:p>
    <w:p>
      <w:pPr>
        <w:ind w:right="40" w:firstLine="1940"/>
        <w:spacing w:after="0" w:line="303" w:lineRule="auto"/>
        <w:rPr>
          <w:sz w:val="20"/>
          <w:szCs w:val="20"/>
          <w:color w:val="auto"/>
        </w:rPr>
      </w:pPr>
      <w:r>
        <w:rPr>
          <w:rFonts w:ascii="Arial" w:cs="Arial" w:eastAsia="Arial" w:hAnsi="Arial"/>
          <w:sz w:val="16"/>
          <w:szCs w:val="16"/>
          <w:color w:val="auto"/>
        </w:rPr>
        <w:t xml:space="preserve">4.2.2.4.1 </w:t>
      </w:r>
      <w:r>
        <w:rPr>
          <w:rFonts w:ascii="Arial" w:cs="Arial" w:eastAsia="Arial" w:hAnsi="Arial"/>
          <w:sz w:val="16"/>
          <w:szCs w:val="16"/>
          <w:b w:val="1"/>
          <w:bCs w:val="1"/>
          <w:u w:val="single" w:color="auto"/>
          <w:color w:val="auto"/>
        </w:rPr>
        <w:t>General Coverages</w:t>
      </w:r>
      <w:r>
        <w:rPr>
          <w:rFonts w:ascii="Arial" w:cs="Arial" w:eastAsia="Arial" w:hAnsi="Arial"/>
          <w:sz w:val="16"/>
          <w:szCs w:val="16"/>
          <w:color w:val="auto"/>
        </w:rPr>
        <w:t>. All of Tenant’s Agents shall carry worker’s compensation insurance covering all of their respective employees, and shall also carry public liability insurance, including property damage, all with limits, in form and with companies as are required to be carried by Tenant as set forth in this Lease (provided that the limits of liability to be carried by Tenant’s Agents and Contractor shall be in amounts reasonably required by Landlord, which shall be reasonably commensurate with the levels of coverage required by owners of Comparable Buildings).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371" w:name="page372"/>
    <w:bookmarkEnd w:id="371"/>
    <w:p>
      <w:pPr>
        <w:ind w:right="60" w:firstLine="19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4.2.2.4.2 </w:t>
      </w:r>
      <w:r>
        <w:rPr>
          <w:rFonts w:ascii="Arial" w:cs="Arial" w:eastAsia="Arial" w:hAnsi="Arial"/>
          <w:sz w:val="17"/>
          <w:szCs w:val="17"/>
          <w:b w:val="1"/>
          <w:bCs w:val="1"/>
          <w:u w:val="single" w:color="auto"/>
          <w:color w:val="auto"/>
        </w:rPr>
        <w:t>Special Coverages</w:t>
      </w:r>
      <w:r>
        <w:rPr>
          <w:rFonts w:ascii="Arial" w:cs="Arial" w:eastAsia="Arial" w:hAnsi="Arial"/>
          <w:sz w:val="17"/>
          <w:szCs w:val="17"/>
          <w:color w:val="auto"/>
        </w:rPr>
        <w:t>. During construction of the Improvements, Tenant shall carry “Builder’s All Risk” insurance in an amount reasonably approved by Landlord (but in no event greater than 100% of the completed insurable value of the Improvements) covering the construction of the Improvements (at Tenant’s option, Tenant shall cause Contractor to carry such Builder’s All Risk insurance), and such other insurance as Landlord may reasonably require, it being understood and agreed that the Improvements shall be insured by Tenant pursuant to this Lease immediately upon completion thereof. Such insurance shall be in amounts and shall include such customary extended coverage endorsements as may be reasonably required by Landlord and are reasonably commensurate with the levels and types of coverage required by owners of Comparable Buildings, and shall be in form and with companies as are required to be carried by Tenant as set forth in this Lease.</w:t>
      </w:r>
    </w:p>
    <w:p>
      <w:pPr>
        <w:spacing w:after="0" w:line="64" w:lineRule="exact"/>
        <w:rPr>
          <w:sz w:val="20"/>
          <w:szCs w:val="20"/>
          <w:color w:val="auto"/>
        </w:rPr>
      </w:pPr>
    </w:p>
    <w:p>
      <w:pPr>
        <w:ind w:firstLine="1940"/>
        <w:spacing w:after="0" w:line="288" w:lineRule="auto"/>
        <w:rPr>
          <w:sz w:val="20"/>
          <w:szCs w:val="20"/>
          <w:color w:val="auto"/>
        </w:rPr>
      </w:pPr>
      <w:r>
        <w:rPr>
          <w:rFonts w:ascii="Arial" w:cs="Arial" w:eastAsia="Arial" w:hAnsi="Arial"/>
          <w:sz w:val="16"/>
          <w:szCs w:val="16"/>
          <w:color w:val="auto"/>
        </w:rPr>
        <w:t xml:space="preserve">4.2.2.4.3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Certificates for all insurance carried pursuant to this </w:t>
      </w:r>
      <w:r>
        <w:rPr>
          <w:rFonts w:ascii="Arial" w:cs="Arial" w:eastAsia="Arial" w:hAnsi="Arial"/>
          <w:sz w:val="16"/>
          <w:szCs w:val="16"/>
          <w:u w:val="single" w:color="auto"/>
          <w:color w:val="auto"/>
        </w:rPr>
        <w:t>Section 4.2.2.4</w:t>
      </w:r>
      <w:r>
        <w:rPr>
          <w:rFonts w:ascii="Arial" w:cs="Arial" w:eastAsia="Arial" w:hAnsi="Arial"/>
          <w:sz w:val="16"/>
          <w:szCs w:val="16"/>
          <w:color w:val="auto"/>
        </w:rPr>
        <w:t xml:space="preserve"> shall be delivered to Landlord before the commencement of construction of the Improvements and before the Contractor’s equipment is moved onto the site. Tenant shall immediately notify Landlord in the event any policy of insurance carried by Tenant is cancelled or the coverage materially changed. Tenant’s Contractor and subcontractors shall maintain all of the foregoing insurance coverage in force until the Improvements are fully completed and accepted by Landlord, except for any Products and Completed Operation Coverage insurance required by Landlord, which is to be maintained for ten (10) years following completion of the work and acceptance by Landlord and Tenant, where applicable. All policies carried under this </w:t>
      </w:r>
      <w:r>
        <w:rPr>
          <w:rFonts w:ascii="Arial" w:cs="Arial" w:eastAsia="Arial" w:hAnsi="Arial"/>
          <w:sz w:val="16"/>
          <w:szCs w:val="16"/>
          <w:u w:val="single" w:color="auto"/>
          <w:color w:val="auto"/>
        </w:rPr>
        <w:t>Section 4.2.2.4</w:t>
      </w:r>
      <w:r>
        <w:rPr>
          <w:rFonts w:ascii="Arial" w:cs="Arial" w:eastAsia="Arial" w:hAnsi="Arial"/>
          <w:sz w:val="16"/>
          <w:szCs w:val="16"/>
          <w:color w:val="auto"/>
        </w:rPr>
        <w:t xml:space="preserve"> (other than Workers’ Compensation coverage) shall insure Landlord and Tenant, as their interests may appear. All insurance, except Workers’ Compensation, maintained by Tenant’s Agents shall preclude subrogation claims by the insurer against anyone insured thereunder, as evidenced by an endorsement or policy excerpt. Such insurance shall provide that it is primary insurance with respect to the Improvements and that any other insurance maintained by owner is excess and noncontributing with the insurance required hereunder. The requirements for the foregoing insurance shall not derogate from the provisions for indemnification of Landlord by Tenant and Tenant by Landlord under the Lease or of this Work Letter and each party’s rights with respect to the waiver of subrogation.</w:t>
      </w:r>
    </w:p>
    <w:p>
      <w:pPr>
        <w:spacing w:after="0" w:line="56"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u w:val="single" w:color="auto"/>
          <w:color w:val="auto"/>
        </w:rPr>
        <w:t>Governmental Compliance</w:t>
      </w:r>
      <w:r>
        <w:rPr>
          <w:rFonts w:ascii="Arial" w:cs="Arial" w:eastAsia="Arial" w:hAnsi="Arial"/>
          <w:sz w:val="18"/>
          <w:szCs w:val="18"/>
          <w:color w:val="auto"/>
        </w:rPr>
        <w:t>. The Improvements shall comply in all respects with the following: (i) the Code and other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72" w:lineRule="exact"/>
        <w:rPr>
          <w:sz w:val="20"/>
          <w:szCs w:val="20"/>
          <w:color w:val="auto"/>
        </w:rPr>
      </w:pPr>
    </w:p>
    <w:p>
      <w:pPr>
        <w:ind w:right="320" w:firstLine="913"/>
        <w:spacing w:after="0" w:line="281"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b w:val="1"/>
          <w:bCs w:val="1"/>
          <w:u w:val="single" w:color="auto"/>
          <w:color w:val="auto"/>
        </w:rPr>
        <w:t>Inspection by Landlord</w:t>
      </w:r>
      <w:r>
        <w:rPr>
          <w:rFonts w:ascii="Arial" w:cs="Arial" w:eastAsia="Arial" w:hAnsi="Arial"/>
          <w:sz w:val="17"/>
          <w:szCs w:val="17"/>
          <w:color w:val="auto"/>
        </w:rPr>
        <w:t>. Landlord shall have the right to inspect the Improvements at all reasonable times, provided however, that Landlord shall not unreasonably interfere with the construction of the Improvements and Landlord’s failure to inspect the Improvements shall in no event constitute a waiver of any of Landlord’s rights hereunder nor shall Landlord’s inspection of the Improvements constitute Landlord’s approval of the same. Should Landlord reasonably disapprove any portion of the Improvements, Landlord shall, as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9" w:right="239" w:bottom="1440" w:gutter="0" w:footer="0" w:header="0"/>
        </w:sectPr>
      </w:pPr>
    </w:p>
    <w:bookmarkStart w:id="372" w:name="page373"/>
    <w:bookmarkEnd w:id="372"/>
    <w:p>
      <w:pPr>
        <w:ind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soon as reasonably possible, notify Tenant in writing of such disapproval and shall specify the items disapproved and the reasons therefor. Any defects or deviations in, and/or disapproval by Landlord of, the Improvements shall be rectified by Tenant at no expense to Landlord, provided however, that in the event Landlord reasonably determines that a defect or deviation exists or disapproves of any matter in connection with any portion of the Improvements and such defect, deviation or matter would adversely affect the Building Systems, the Building Structure or the exterior appearance of any Building or any other tenant’s use of such other tenant’s leased premises, and Tenant fails to commence and thereafter diligently carry out the correction of such item within five</w:t>
      </w:r>
    </w:p>
    <w:p>
      <w:pPr>
        <w:spacing w:after="0" w:line="2" w:lineRule="exact"/>
        <w:rPr>
          <w:sz w:val="20"/>
          <w:szCs w:val="20"/>
          <w:color w:val="auto"/>
        </w:rPr>
      </w:pPr>
    </w:p>
    <w:p>
      <w:pPr>
        <w:ind w:right="120" w:firstLine="8"/>
        <w:spacing w:after="0" w:line="295" w:lineRule="auto"/>
        <w:tabs>
          <w:tab w:leader="none" w:pos="25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business days of written notice from Landlord, then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Improvements until such time as the defect, deviation and/or matter is corrected to Landlord’s reasonable satisfaction. Landlord shall perform any such correction in a diligent and timely manner so as to minimize any delay in the construction of the Improvements.</w:t>
      </w:r>
    </w:p>
    <w:p>
      <w:pPr>
        <w:spacing w:after="0" w:line="49"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Meetings</w:t>
      </w:r>
      <w:r>
        <w:rPr>
          <w:rFonts w:ascii="Arial" w:cs="Arial" w:eastAsia="Arial" w:hAnsi="Arial"/>
          <w:sz w:val="18"/>
          <w:szCs w:val="18"/>
          <w:color w:val="auto"/>
        </w:rPr>
        <w:t>. Tenant shall hold regular meetings (not less than weekly following commencement of construction of the Improvements) with the Architect and the Contractor regarding the progress of the preparation of Construction Documents and the construction of the Improvements, which meetings shall be held on-site or at another mutually agreeable location in the City of San Francisco, and Landlord and/or its agents shall receive prior notice of, and shall have the right to attend, all such meetings. In addition, minutes shall be taken at all such meetings, a copy of which minutes shall be promptly delivered to Landlord. During the construction of the Improvements, one such meeting each month shall include the review of Contractor’s current request for payment.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Notice of Completion; Record Set of As-Built Drawings; Close-Out Package</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87"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b w:val="1"/>
          <w:bCs w:val="1"/>
          <w:u w:val="single" w:color="auto"/>
          <w:color w:val="auto"/>
        </w:rPr>
        <w:t>Notice of Completion</w:t>
      </w:r>
      <w:r>
        <w:rPr>
          <w:rFonts w:ascii="Arial" w:cs="Arial" w:eastAsia="Arial" w:hAnsi="Arial"/>
          <w:sz w:val="16"/>
          <w:szCs w:val="16"/>
          <w:color w:val="auto"/>
        </w:rPr>
        <w:t xml:space="preserve">. Within fifteen (15) days after Substantial Completion of the Improvements in a Phase, Tenant shall cause a Notice of Completion to be recorded in the office of the Recorder of the county in which the Project is located in accordance with Section 8182 of the Civil Code of the State of California or any successor statute, and shall furnish a copy thereof to Landlord upon such recordation. In the event Tenant fails to so record the Notice of Completion as required pursuant to this </w:t>
      </w:r>
      <w:r>
        <w:rPr>
          <w:rFonts w:ascii="Arial" w:cs="Arial" w:eastAsia="Arial" w:hAnsi="Arial"/>
          <w:sz w:val="16"/>
          <w:szCs w:val="16"/>
          <w:u w:val="single" w:color="auto"/>
          <w:color w:val="auto"/>
        </w:rPr>
        <w:t>Section 4.3</w:t>
      </w:r>
      <w:r>
        <w:rPr>
          <w:rFonts w:ascii="Arial" w:cs="Arial" w:eastAsia="Arial" w:hAnsi="Arial"/>
          <w:sz w:val="16"/>
          <w:szCs w:val="16"/>
          <w:color w:val="auto"/>
        </w:rPr>
        <w:t>, then such failure shall not, in and of itself, constitute a default hereunder but Tenant shall</w:t>
      </w:r>
    </w:p>
    <w:p>
      <w:pPr>
        <w:spacing w:after="0" w:line="3" w:lineRule="exact"/>
        <w:rPr>
          <w:sz w:val="20"/>
          <w:szCs w:val="20"/>
          <w:color w:val="auto"/>
        </w:rPr>
      </w:pPr>
    </w:p>
    <w:p>
      <w:pPr>
        <w:ind w:firstLine="8"/>
        <w:spacing w:after="0" w:line="295" w:lineRule="auto"/>
        <w:tabs>
          <w:tab w:leader="none" w:pos="24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indemnify, defend, protect and hold harmless Landlord and the Landlord Parties from any and all loss, cost, damage, expense and liability (including, without limitation, court costs and reasonable attorneys’ fees) in connection with such failure by Tenant to so record the Notice of Completion as required hereunder, and (b) not be entitled to receive the Final Retention pursuant to this Work Letter until such time as the lien period for Tenant’s Agents has expired. If Tenant fails to do so, Landlord may execute and file the same on behalf of Tenant as Tenant’s agent for such purpose, at Tenant’s sole cost and expense.</w:t>
      </w:r>
    </w:p>
    <w:p>
      <w:pPr>
        <w:spacing w:after="0" w:line="49"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b w:val="1"/>
          <w:bCs w:val="1"/>
          <w:u w:val="single" w:color="auto"/>
          <w:color w:val="auto"/>
        </w:rPr>
        <w:t>Record Set of As-Built Drawings</w:t>
      </w:r>
      <w:r>
        <w:rPr>
          <w:rFonts w:ascii="Arial" w:cs="Arial" w:eastAsia="Arial" w:hAnsi="Arial"/>
          <w:sz w:val="18"/>
          <w:szCs w:val="18"/>
          <w:color w:val="auto"/>
        </w:rPr>
        <w:t>. At the conclusion of construction, Tenant shall cause the Architect and Contractor (A) to update the Approved Working Drawings as necessary to reflect all changes made to the Approved Working Drawings during the course of construction, and (B) to certify to the best of their knowledge that the “record-set” of as-built drawings (the “</w:t>
      </w:r>
      <w:r>
        <w:rPr>
          <w:rFonts w:ascii="Arial" w:cs="Arial" w:eastAsia="Arial" w:hAnsi="Arial"/>
          <w:sz w:val="18"/>
          <w:szCs w:val="18"/>
          <w:b w:val="1"/>
          <w:bCs w:val="1"/>
          <w:color w:val="auto"/>
        </w:rPr>
        <w:t>Record Set</w:t>
      </w:r>
      <w:r>
        <w:rPr>
          <w:rFonts w:ascii="Arial" w:cs="Arial" w:eastAsia="Arial" w:hAnsi="Arial"/>
          <w:sz w:val="18"/>
          <w:szCs w:val="18"/>
          <w:color w:val="auto"/>
        </w:rPr>
        <w:t>”) is true and correct and Tenant shall deliver (or cause to be delivered) to Landlord two (2) electronic copies (in .pdf and CAD format) of such Record Set within ninety (90) days following issuance of a CofO for the Premises.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73" w:name="page374"/>
    <w:bookmarkEnd w:id="373"/>
    <w:p>
      <w:pPr>
        <w:ind w:right="120" w:firstLine="913"/>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4.3.3 </w:t>
      </w:r>
      <w:r>
        <w:rPr>
          <w:rFonts w:ascii="Arial" w:cs="Arial" w:eastAsia="Arial" w:hAnsi="Arial"/>
          <w:sz w:val="18"/>
          <w:szCs w:val="18"/>
          <w:b w:val="1"/>
          <w:bCs w:val="1"/>
          <w:u w:val="single" w:color="auto"/>
          <w:color w:val="auto"/>
        </w:rPr>
        <w:t>Close-Out Package</w:t>
      </w:r>
      <w:r>
        <w:rPr>
          <w:rFonts w:ascii="Arial" w:cs="Arial" w:eastAsia="Arial" w:hAnsi="Arial"/>
          <w:sz w:val="18"/>
          <w:szCs w:val="18"/>
          <w:color w:val="auto"/>
        </w:rPr>
        <w:t xml:space="preserve">. No later than one hundred twenty (120) days following the conclusion of construction, Tenant shall deliver to Landlord two (2) hard copies and one (1) electronic copy of all closed Permits, all warranties, guaranties, and operating manuals and information relating to the improvements, equipment, and systems in the Premises, and any other items reasonably requested by Landlord, including, if available, a CofO for the Premises (collectively, along with the recorded Notice of Completion described in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above and the Record Set described in </w:t>
      </w: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above, the “</w:t>
      </w:r>
      <w:r>
        <w:rPr>
          <w:rFonts w:ascii="Arial" w:cs="Arial" w:eastAsia="Arial" w:hAnsi="Arial"/>
          <w:sz w:val="18"/>
          <w:szCs w:val="18"/>
          <w:b w:val="1"/>
          <w:bCs w:val="1"/>
          <w:color w:val="auto"/>
        </w:rPr>
        <w:t>Close-Out Package</w:t>
      </w:r>
      <w:r>
        <w:rPr>
          <w:rFonts w:ascii="Arial" w:cs="Arial" w:eastAsia="Arial" w:hAnsi="Arial"/>
          <w:sz w:val="18"/>
          <w:szCs w:val="18"/>
          <w:color w:val="auto"/>
        </w:rPr>
        <w: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SECTION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DELAYS OF LEASE COMMENCEMENT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Lease Commencement Date Delays</w:t>
      </w:r>
      <w:r>
        <w:rPr>
          <w:rFonts w:ascii="Arial" w:cs="Arial" w:eastAsia="Arial" w:hAnsi="Arial"/>
          <w:sz w:val="16"/>
          <w:szCs w:val="16"/>
          <w:color w:val="auto"/>
        </w:rPr>
        <w:t xml:space="preserve">. Each Lease Commencement Date shall occur as provided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Lease, provided that the six</w:t>
      </w:r>
    </w:p>
    <w:p>
      <w:pPr>
        <w:spacing w:after="0" w:line="50" w:lineRule="exact"/>
        <w:rPr>
          <w:sz w:val="20"/>
          <w:szCs w:val="20"/>
          <w:color w:val="auto"/>
        </w:rPr>
      </w:pPr>
    </w:p>
    <w:p>
      <w:pPr>
        <w:ind w:firstLine="8"/>
        <w:spacing w:after="0" w:line="284" w:lineRule="auto"/>
        <w:tabs>
          <w:tab w:leader="none" w:pos="25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month period referenced in clause (i) of Section 3.2.1 of the Summary, and clause (ii)(a) of Sections 3.2.2 and 3.2.3 of the Summary shall be extended by one (1) day for each day of “Lease Commencement Date Delay,” but only to the extent such Lease Commencement Date Delay causes the Substantial Completion of the Improvements within the applicable Phase to occur after the applicable date referenced in clause (ii) of Section 3.2.1 of the Summary and clause (ii)(b) of Sections 3.2.2 and 3.2.3 of the Summary. As used herein, the term “</w:t>
      </w:r>
      <w:r>
        <w:rPr>
          <w:rFonts w:ascii="Arial" w:cs="Arial" w:eastAsia="Arial" w:hAnsi="Arial"/>
          <w:sz w:val="16"/>
          <w:szCs w:val="16"/>
          <w:b w:val="1"/>
          <w:bCs w:val="1"/>
          <w:color w:val="auto"/>
        </w:rPr>
        <w:t>Lease Commencement Date Delay</w:t>
      </w:r>
      <w:r>
        <w:rPr>
          <w:rFonts w:ascii="Arial" w:cs="Arial" w:eastAsia="Arial" w:hAnsi="Arial"/>
          <w:sz w:val="16"/>
          <w:szCs w:val="16"/>
          <w:color w:val="auto"/>
        </w:rPr>
        <w:t xml:space="preserve">” shall mean only a “Force Majeure Delay” or a “Landlord Caused Delay,” as those terms are defined below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this Work Letter which relates to the construction of Improvements within the applicable Phase. As used herein, the term “</w:t>
      </w:r>
      <w:r>
        <w:rPr>
          <w:rFonts w:ascii="Arial" w:cs="Arial" w:eastAsia="Arial" w:hAnsi="Arial"/>
          <w:sz w:val="16"/>
          <w:szCs w:val="16"/>
          <w:b w:val="1"/>
          <w:bCs w:val="1"/>
          <w:color w:val="auto"/>
        </w:rPr>
        <w:t>Force Majeure Delay</w:t>
      </w:r>
      <w:r>
        <w:rPr>
          <w:rFonts w:ascii="Arial" w:cs="Arial" w:eastAsia="Arial" w:hAnsi="Arial"/>
          <w:sz w:val="16"/>
          <w:szCs w:val="16"/>
          <w:color w:val="auto"/>
        </w:rPr>
        <w:t>” shall mean only an actual delay resulting from strikes, fire, wind, damage or destruction to the Buildings or Project, explosion, casualty, flood, hurricane, tornado, the elements, acts of God or the public enemy, sabotage, war, terrorist acts, invasion, insurrection, rebellion, civil unrest, riots, or earthquakes. As used in this Work Letter, “</w:t>
      </w:r>
      <w:r>
        <w:rPr>
          <w:rFonts w:ascii="Arial" w:cs="Arial" w:eastAsia="Arial" w:hAnsi="Arial"/>
          <w:sz w:val="16"/>
          <w:szCs w:val="16"/>
          <w:b w:val="1"/>
          <w:bCs w:val="1"/>
          <w:color w:val="auto"/>
        </w:rPr>
        <w:t>Landlord Caused Delay</w:t>
      </w:r>
      <w:r>
        <w:rPr>
          <w:rFonts w:ascii="Arial" w:cs="Arial" w:eastAsia="Arial" w:hAnsi="Arial"/>
          <w:sz w:val="16"/>
          <w:szCs w:val="16"/>
          <w:color w:val="auto"/>
        </w:rPr>
        <w:t>” shall mean actual delays to the extent resulting from the following acts or omissions of Landlord or Landlord’s agents, employees or contractors: (i) the failure of Landlord to timely approve or disapprove any Construction Drawings pertaining to the applicable Phase; or (ii) interference (when judged in accordance with industry custom and practice) by Landlord, its agents or Landlord Parties (except as otherwise allowed under this Work Letter) with the Substantial Completion of the Improvements within the applicable Phase and which objectively preclude or delay the construction of improvements in the applicable Building by any person, which interference relates to access by Tenant, or Tenant’s Agents to the applicable Building; or (iii) delays due to the acts or failures to act of Landlord or Landlord Parties with respect to payment of the Improvement Allowance (except as otherwise allowed under this Work Letter) but Tenant shall have a right to suspend its design and construction of its Improvements if Landlord fails to reimburse Tenant all or any part of the Improvement Allowance when due, provided that Landlord’s failure to reimburse Tenant all or any part of the Improvement Allowance when due shall not constitute a Landlord Caused Delay if Tenant elects to exercise its offset right set forth in Section 2.4 above with respect to such portion of the Improvement Allowance.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0" w:right="299" w:bottom="1440" w:gutter="0" w:footer="0" w:header="0"/>
        </w:sectPr>
      </w:pPr>
    </w:p>
    <w:bookmarkStart w:id="374" w:name="page375"/>
    <w:bookmarkEnd w:id="374"/>
    <w:p>
      <w:pPr>
        <w:ind w:right="6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7"/>
          <w:szCs w:val="17"/>
          <w:b w:val="1"/>
          <w:bCs w:val="1"/>
          <w:u w:val="single" w:color="auto"/>
          <w:color w:val="auto"/>
        </w:rPr>
        <w:t>Determination of Lease Commencement Date Delay</w:t>
      </w:r>
      <w:r>
        <w:rPr>
          <w:rFonts w:ascii="Arial" w:cs="Arial" w:eastAsia="Arial" w:hAnsi="Arial"/>
          <w:sz w:val="17"/>
          <w:szCs w:val="17"/>
          <w:color w:val="auto"/>
        </w:rPr>
        <w:t xml:space="preserve">. If Tenant contends that a Lease Commencement Date Delay has occurred, Tenant shall notify Landlord in writing of the event which constitutes such Lease Commencement Date Delay. Such notice may be via electronic mail to Landlord’s construction representative described below, provided that if Tenant notifies Landlord’s construction representative via electronic mail, then Tenant must also deliver Notice to Landlord’s other notice addresses required under the Lease within one (1) business day after delivery of such electronic mail. Tenant will additionally use reasonable efforts to mitigate the effects of any Lease Commencement Date Delay through the re-sequencing or re-scheduling of work, if feasible, but this sentence will not be deemed to require Tenant to incur overtime or after-hours costs unless Landlord agrees in writing to bear such costs. If such actions, inaction or circumstance described in the Notice set forth in (i) above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Work Letter (the “</w:t>
      </w:r>
      <w:r>
        <w:rPr>
          <w:rFonts w:ascii="Arial" w:cs="Arial" w:eastAsia="Arial" w:hAnsi="Arial"/>
          <w:sz w:val="17"/>
          <w:szCs w:val="17"/>
          <w:b w:val="1"/>
          <w:bCs w:val="1"/>
          <w:color w:val="auto"/>
        </w:rPr>
        <w:t>Delay Notice</w:t>
      </w:r>
      <w:r>
        <w:rPr>
          <w:rFonts w:ascii="Arial" w:cs="Arial" w:eastAsia="Arial" w:hAnsi="Arial"/>
          <w:sz w:val="17"/>
          <w:szCs w:val="17"/>
          <w:color w:val="auto"/>
        </w:rPr>
        <w:t>”) are not cured by Landlord within one (1) business day of Landlord’s receipt of the Delay Notice and if such action, inaction or circumstance otherwise qualify as a Lease Commencement Date Delay, then a Lease Commencement Date Delay shall be deemed to have occurred commencing as of the date of Landlord’s receipt of the Delay Notice and ending as of the date such delay ends.</w:t>
      </w:r>
    </w:p>
    <w:p>
      <w:pPr>
        <w:spacing w:after="0" w:line="70"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Definition of Substantial Completion of the Improvements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w:t>
      </w:r>
      <w:r>
        <w:rPr>
          <w:rFonts w:ascii="Arial" w:cs="Arial" w:eastAsia="Arial" w:hAnsi="Arial"/>
          <w:sz w:val="18"/>
          <w:szCs w:val="18"/>
          <w:b w:val="1"/>
          <w:bCs w:val="1"/>
          <w:color w:val="auto"/>
        </w:rPr>
        <w:t>Substantial Completion of the Improvements</w:t>
      </w:r>
      <w:r>
        <w:rPr>
          <w:rFonts w:ascii="Arial" w:cs="Arial" w:eastAsia="Arial" w:hAnsi="Arial"/>
          <w:sz w:val="18"/>
          <w:szCs w:val="18"/>
          <w:color w:val="auto"/>
        </w:rPr>
        <w:t>” shall mean completion of construction of the Improvements in the applicable Phase pursuant to the Approved Working Drawings, with the exception of any punch list items.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right="180" w:firstLine="456"/>
        <w:spacing w:after="0" w:line="31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Tenant’s Representatives</w:t>
      </w:r>
      <w:r>
        <w:rPr>
          <w:rFonts w:ascii="Arial" w:cs="Arial" w:eastAsia="Arial" w:hAnsi="Arial"/>
          <w:sz w:val="17"/>
          <w:szCs w:val="17"/>
          <w:color w:val="auto"/>
        </w:rPr>
        <w:t>. Tenant has designated Lisa Soutter and Theo Skinner as its sole representatives with respect to the matters set forth in this Work Letter, who each shall have full authority and responsibility to act on behalf of the Tenant as required in this Work Letter.</w:t>
      </w:r>
    </w:p>
    <w:p>
      <w:pPr>
        <w:spacing w:after="0" w:line="30"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Landlord’s Representatives</w:t>
      </w:r>
      <w:r>
        <w:rPr>
          <w:rFonts w:ascii="Arial" w:cs="Arial" w:eastAsia="Arial" w:hAnsi="Arial"/>
          <w:sz w:val="18"/>
          <w:szCs w:val="18"/>
          <w:color w:val="auto"/>
        </w:rPr>
        <w:t>. Landlord has designated Jonas Vass and Rich Ambidge as its sole representatives with respect to the matters set forth in this Work Letter, who, until further notice to Tenant, shall have full authority and responsibility to act on behalf of the Landlord as required in this Work Letter.</w:t>
      </w:r>
    </w:p>
    <w:p>
      <w:pPr>
        <w:spacing w:after="0" w:line="68"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Time of the Essence in This Work Letter</w:t>
      </w:r>
      <w:r>
        <w:rPr>
          <w:rFonts w:ascii="Arial" w:cs="Arial" w:eastAsia="Arial" w:hAnsi="Arial"/>
          <w:sz w:val="18"/>
          <w:szCs w:val="18"/>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68"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 All subcontractors, laborers, materialmen, and suppliers retained directly by Tenant shall all be union labor in compliance with the Mission Bay Requirements.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375" w:name="page376"/>
    <w:bookmarkEnd w:id="375"/>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6"/>
          <w:szCs w:val="16"/>
          <w:b w:val="1"/>
          <w:bCs w:val="1"/>
          <w:u w:val="single" w:color="auto"/>
          <w:color w:val="auto"/>
        </w:rPr>
        <w:t>No Miscellaneous Charges</w:t>
      </w:r>
      <w:r>
        <w:rPr>
          <w:rFonts w:ascii="Arial" w:cs="Arial" w:eastAsia="Arial" w:hAnsi="Arial"/>
          <w:sz w:val="16"/>
          <w:szCs w:val="16"/>
          <w:color w:val="auto"/>
        </w:rPr>
        <w:t>. Prior to the applicable Lease Commencement Date, during the construction of the Improvements, and subject to compliance with Landlord’s reasonable and customary construction rules and regulations applicable to the Project (as the same are in effect on the date of this Lease), and if and to the extent reasonably available, Tenant may use the following items, free of charge, during such times as are reasonably necessary to Tenant’s construction schedule, furniture and equipment delivery and relocation activities, on a nonexclusive basis, and in a manner and to the extent reasonably necessary to perform the Improvements: hoists, freight elevators, loading docks, utilities, and toilets; provided, however, Tenant acknowledges that there may be an after-hours charge to reimburse Landlord for its actual costs with respect to the use of the Project’s hoist, freight elevator and/or loading docks during hours other than normal construction hours, but only to the extent that such use requires Landlord to engage elevator operations or security personnel. Notwithstanding the foregoing, if Tenant or Contractor or other agents require any of the foregoing in connection with any use reasonably unrelated to Tenant’s construction and/or installation of the Improvements, Tenant shall pay the applicable cost of such service. In no event shall Tenant store construction materials or other property at or in the elevators or loading docks of the Project.</w:t>
      </w:r>
    </w:p>
    <w:p>
      <w:pPr>
        <w:spacing w:after="0" w:line="5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u w:val="single" w:color="auto"/>
          <w:color w:val="auto"/>
        </w:rPr>
        <w:t>Tenant’s Lease Default</w:t>
      </w:r>
      <w:r>
        <w:rPr>
          <w:rFonts w:ascii="Arial" w:cs="Arial" w:eastAsia="Arial" w:hAnsi="Arial"/>
          <w:sz w:val="17"/>
          <w:szCs w:val="17"/>
          <w:color w:val="auto"/>
        </w:rPr>
        <w:t>. Notwithstanding any provision to the contrary contained in this Lease, if a Default as described in this Lease or this Work Letter has occurred at any time on or before the substantial completion of the Improvements, then (i) in addition to all other rights and remedies granted to Landlord pursuant to the Lease, Landlord shall have the right to withhold payment of all or any portion of the Improvement Allowance and/or Landlord may cause Contractor to cease the construction of the Improvements (in which case, Tenant shall be responsible for any delay in the substantial completion of the Improvements caused by such work stoppage), and (ii) all other obligations of Landlord under the terms of this Work Letter shall be forgiven until such time as such default is cured pursuant to the terms of this Lease (in which case, Tenant shall be responsible for any delay in the substantial completion of the Improvements caused by such inaction by Landlord). Notwithstanding the foregoing, if a default by Tenant is cured, forgiven or waived, Landlord’s suspended obligations shall be fully reinstated and resumed, effective immediately.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69" w:right="27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 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BASE BUILDING PLANS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6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G-000</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Cover Sheet</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 CD’s</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G-001</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Volume 1 Sheet Index</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G-002</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Volume 2 Sheet Index</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G-003</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Volume 3 Sheet Index</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G-004</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Volume 4 Sheet Index</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G-008</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SFDBI FORM AB-004 - PRIORITY PERMIT PROCESSING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G-009</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SFDBI FORM AB-005</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G-010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Abbreviations - General Notes and Building Summary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G-011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CBC 2013 Site Accessibility Diagrams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G-012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CBC 2013 Site Accessibility Diagrams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G-013</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CBC 2013 Building Accessibility Diagrams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G-014</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CBC 2013 Toilet Room Accessibility Diagrams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G-015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CBC 2013 Elevator/Stair Accessibility Diagrams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G-016</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CBC 2013 Regulatory Sign Accessibility Diagrams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G-017</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FINAL SMOKE CONTROL REPORT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G-018</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FINAL SMOKE CONTROL REPORT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G-019</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FINAL SMOKE CONTROL REPORT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G-019B</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FINAL SMOKE CONTROL REPORT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#1008</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3/31/2016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G-019C</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Smoke Control Special Inspection Program (AB-47)</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G-109D</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w w:val="99"/>
              </w:rPr>
              <w:t>Smoke Control Special Inspection Program, Special Inspection Form</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G-020</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FINAL SMOKE CONTROL REPORT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G-021</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Pre-Application Meeting Minutes (Pages 1-8)</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G-022</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Pre-Application Meeting Minutes (Pages 9-12)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G-023</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Leed Documents - General Notes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G-024</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Leed Documents - Checklist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G-024A</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Specification Section 013560 &amp; 017429 - For AHJ Reference Only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G-024B</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Specification Section 017429 &amp; 019100 - For AHJ Reference Only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G-024C</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Specification Section 019100, 220000 - For AHJ Reference Only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G-024D</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Specification Section 220000 - For AHJ Reference Only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G-024E</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Specification Section 220000 - For AHJ Reference Only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G-024F</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Storm Water Pollution Prevention Plan SWPPP - Excerpt for AHJ</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Reference Only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G-024G</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Storm Water Pollution Prevention Plan SWPPP - Excerpt for AHJ</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Reference Only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G-024H</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Storm Water Pollution Prevention Plan SWPPP - Excerpt for AHJ</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Reference Only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G-024J</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LEED Energy Report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G-024K</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LEED Energy Report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G-024L</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Noise Study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G-024M</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OITC Test Reports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G-024N</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Storage and Recycle Area</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Well Responsibility Matrix - Core &amp; Shell</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G-026</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FIRE WATER FLOW CALCULATIONS, SITE MITIGATION PLAN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G-028</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GEOTECHNICAL REVIEW LETTER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G-030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ACCESS ROAD EASEMENT AGREEMENT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G-031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ACCESS ROAD EASEMENT AGREEMENT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G-033</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GARAGE OPEN AREA CALCULATIONS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G-33B</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Garage Open Area Calculations -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8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Current</w:t>
            </w:r>
          </w:p>
        </w:tc>
      </w:tr>
      <w:tr>
        <w:trPr>
          <w:trHeight w:val="176"/>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G-33C</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Garage Open Area Calculations - Elevations</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CB #1026</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1/6/2017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G-33D</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Garage Open Area - Calculation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G-034</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Vapor Intrusion Mitigation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#1007</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G-035</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Vapor Intrusion Mitigation System Details and Notes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#1007</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3/21/2016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G-036</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Vapor Intrusion Mitigation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5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1/8/2016</w:t>
            </w:r>
          </w:p>
        </w:tc>
        <w:tc>
          <w:tcPr>
            <w:tcW w:w="220" w:type="dxa"/>
            <w:vAlign w:val="bottom"/>
            <w:shd w:val="clear" w:color="auto" w:fill="CCEEFF"/>
          </w:tcPr>
          <w:p>
            <w:pPr>
              <w:spacing w:after="0"/>
              <w:rPr>
                <w:sz w:val="18"/>
                <w:szCs w:val="18"/>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G-037</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VAPOR INTRUSION MITIGATION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G-040</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TITLE 24 - NRCC PRF-01-E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G-041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TITLE 24 - NRCC PRF-01-E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G-042</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TITLE 24 - NRCC PRF-01-E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G-043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TITLE 24 - NRCC PRF-01-E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G-044</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TITLE 24 - NRCC PRF-01-E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G-045</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TITLE 24 - NRCC PRF-01-E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G-046</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TITLE 24 - NRCC PLB-01-E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G-047</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TITLE 24 - NRCC LTI-01-E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G-048</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TITLE 24 - NRCC-LTI-01-E, NRCC-LTI-02-E, NRCC-LTI-03-E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G-049</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TITLE-24 - NRCC-LTI-03-E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G-058</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TITLE-24 NRCC-CXR FORMS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G-059</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TITLE-24 NRCC-CXR FORMS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G-060</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EDGE OF SLAB FIRESTOPPING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G-061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EDGE OF SLAB FIRESTOPPING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G-062</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EDGE OF SLAB FIRESTOPPING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G-063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EDGE OF SLAB FIRESTOPPING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G-064</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EDGE OF SLAB FIRESTOPPING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G-065</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EDGE OF SLAB FIRESTOPPING DETAILS, RAINSCREEN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G-066</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Intumescent Coatings, AB-009 Declaration of Use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G-070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EXTERIOR NOISE STUDY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G-081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01, Level P1 &amp; P2 - Smoke Barrier and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G-082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Level P3 &amp; P4 - Smoke Barrier and Smoke Zone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G-083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02, Level P5 &amp; P6 - Smoke Barrier and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G-084</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Level P7 &amp; P8 - Smoke Barrier and Smoke Zone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G-085</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03, Level P9 &amp; P10 - Smoke Barrier and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G-086</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04 - Smoke Barrier and Smoke Zone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G-087</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05 - Smoke Barrier and Smoke Zone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G-088</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06 - Smoke Barrier and Smoke Zone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G-089</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07 - Smoke Barrier and Smoke Zone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G-090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09-12 Typical - Smoke Barrier and Smoke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G-100</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Site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G-0240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Light Polution Reduction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1/6/2017</w:t>
            </w: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G-0241</w:t>
            </w:r>
          </w:p>
        </w:tc>
        <w:tc>
          <w:tcPr>
            <w:tcW w:w="564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Storm Water Pollution Prevention Plan SWPPP – Excerpt for AHJ</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Reference Only, LEED Energy Report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C-000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Boundary Topographic Survey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Telamon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C-001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Boundary Topographic Survey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Telamon</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C-100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CIVIL NOTES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C-101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EXISTING CONDITIONS AND DEMOLITION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C-200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HORIZONTAL CONTROL PLAN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#1033</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8/1/2017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C-300</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GRADING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#1033</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C-400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UTILITY PLAN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#1051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9/6/2017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C-500</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Stormwater Control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C-600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Construction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#1017</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10/26/2016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C-601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Construction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#1017</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C-602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Construction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C-700</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Erosion Control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#1017</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C-701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Erosion Control Notes and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GRADING BLOWUP</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T2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GRADING BLOWUP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3/3/2017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GRADING BLOWUP</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3/3/2017</w:t>
            </w:r>
          </w:p>
        </w:tc>
      </w:tr>
      <w:tr>
        <w:trPr>
          <w:trHeight w:val="230"/>
        </w:trPr>
        <w:tc>
          <w:tcPr>
            <w:tcW w:w="860" w:type="dxa"/>
            <w:vAlign w:val="bottom"/>
            <w:gridSpan w:val="2"/>
          </w:tcPr>
          <w:p>
            <w:pPr>
              <w:spacing w:after="0"/>
              <w:rPr>
                <w:sz w:val="20"/>
                <w:szCs w:val="20"/>
                <w:color w:val="auto"/>
              </w:rPr>
            </w:pPr>
            <w:r>
              <w:rPr>
                <w:rFonts w:ascii="Arial" w:cs="Arial" w:eastAsia="Arial" w:hAnsi="Arial"/>
                <w:sz w:val="18"/>
                <w:szCs w:val="18"/>
                <w:color w:val="auto"/>
              </w:rPr>
              <w:t>T4</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GRADING BLOWUP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3/3/2017</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2" w:right="23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6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T5</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GRADING BLOWUP</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BKF</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CB #1030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T6</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T7</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T8</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T9</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T10</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T11</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T12</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T13</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GRADING BLOWUP</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L-000</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Landscape Notes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L-100</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Landscape Site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L-201</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Hardscape Plan Floor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L-204</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Hardscape Plan Floor 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L-205</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Hardscape Plan Floor 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L-207</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Hardscape Plan Floor 7</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#1035</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L-211</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HARDSCAPE LAYOUT PLAN ENLARGEMENTS FLOOR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L-217</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HARDSCAPE LAYOUT PLAN ENLARGEMENTS FLOOR 7</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L-221</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PAVER PATTERN ENLARGEMENT FLOOR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L-500</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Hardscape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L-501</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Hardscape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L-502</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Wood Feature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#1035</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L-503</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Roof Deck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#1035</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L-504</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Bioretention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12/15/2016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L-601</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Irrigation Coordination Plan - Ground Floor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L-604</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Irrigation Coordination Plan - 4th Floor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L-605</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Irrigation Coordination Plan - 5th Floor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L-607</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Irrigation Coordination Plan - 7th Floor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L-610</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Irrigation Legend and Notes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L-611</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Irrigation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L-800</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Planting Notes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L-801</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Planting Plan - Floor 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L-804</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Planting Plan - Floor 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#1028</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12/15/2016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L-805</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Planting Plan - Floor 5</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L-807</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Planting Plan - Floor 7</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L-811</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PLANTING PLAN ENLARGEMENT FLOOR 1-EAST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L-812</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PLANTING PLAN ENLARGEMENT FLOOR 1-WEST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A-007</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General Notes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A-009</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Calculation Tables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A-010</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Level P0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A-011</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Floor 01, Level P1 &amp; P2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A-011-5</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Level P3 &amp; P4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A-012</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Floor 02, Level P5 &amp; P6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A-012-5</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Level P7 &amp; P8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A-013</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Floor 03, Level P9 &amp; P10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A-014</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Floor 04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A-015</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Floor 05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A-016</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Floor 06</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A-017</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Floor 07</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A-018</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Floor 08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A-019</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Floor 09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A-020</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Floor 10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A-021</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Floor 11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A-022</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Floor 12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A-023</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Life Safety Plan - Roof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A-024</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Plan - Penthouse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A-030</w:t>
            </w:r>
          </w:p>
        </w:tc>
        <w:tc>
          <w:tcPr>
            <w:tcW w:w="5620" w:type="dxa"/>
            <w:vAlign w:val="bottom"/>
            <w:gridSpan w:val="3"/>
          </w:tcPr>
          <w:p>
            <w:pPr>
              <w:ind w:left="260"/>
              <w:spacing w:after="0"/>
              <w:rPr>
                <w:sz w:val="20"/>
                <w:szCs w:val="20"/>
                <w:color w:val="auto"/>
              </w:rPr>
            </w:pPr>
            <w:r>
              <w:rPr>
                <w:rFonts w:ascii="Arial" w:cs="Arial" w:eastAsia="Arial" w:hAnsi="Arial"/>
                <w:sz w:val="18"/>
                <w:szCs w:val="18"/>
                <w:color w:val="auto"/>
              </w:rPr>
              <w:t>Accessibility Plan -Level P0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A-031</w:t>
            </w:r>
          </w:p>
        </w:tc>
        <w:tc>
          <w:tcPr>
            <w:tcW w:w="56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ACCESSIBILITY PLAN - FLOOR 01, LEVEL P1 &amp; P2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2" w:right="2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18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A-031.5</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ACCESSIBILITY PLAN - LEVEL P3 &amp; P4</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 CD’s</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A-032</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ACCESSIBILITY PLAN - FLOOR 02, LEVEL P5 &amp; P6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A-032.5</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ACCESSIBILITY PLAN - LEVEL P7 &amp; P8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A-033</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ACCESSIBILITY PLAN - FLOOR 03, LEVEL P9 &amp; P10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A-034</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ACCESSIBILITY PLAN - FLOOR 04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A-035</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ACCESSIBILITY PLAN - FLOOR 05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A-036</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ACCESSIBILITY PLAN - FLOOR 06</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A-037</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ACCESSIBILITY PLAN - FLOOR 07</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A-038</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ACCESSIBILITY PLAN - FLOOR 08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A-039</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ACCESSIBILITY PLAN - FLOOR 09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A-040</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ACCESSIBILITY PLAN - FLOOR 10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A-041</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ACCESSIBILITY PLAN - FLOOR 11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A-042</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ACCESSIBILITY PLAN - FLOOR 12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A-100</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Composite Plan - Level P0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A-100-1</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Level P0 Sector 02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A-101</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Composite Plan - Floor 01, Level P1 &amp; P2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A-101-1</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01, Level P1 &amp; P2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5/15/2017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A-101-2</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01, Level P1 &amp; P2 Sector 02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A-101-3</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01, Level P1 &amp; P2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A-101-4</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01, Level P1 &amp; P2 Sector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A-101-5</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Plan - Level P3 &amp; P4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A-101-7</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Level P3 &amp; P4 Sector 02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A-101-8</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Level P3 &amp; P4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A-102</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Composite Plan - Floor 02, Level P5 &amp; P6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A-102-1</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02, Level P5 &amp; P6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5/15/2017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A-102-2</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02, Level P5 &amp; P6 Sector 02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A-102-3</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02, Level P5 &amp; P6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A-102-5</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Composite Plan - Level P7 &amp; P8</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A-102-7</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Level P7 &amp; P8 Sector 02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A-102-8</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Level P7 &amp; P8 Sector 03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A-103</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Plan - Floor 03, Level P9 &amp; P10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A-103-1</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03, Level P9 &amp; P10 Sector 01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A-103-2</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03, Level P9 &amp; P10 Sector 02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A-103-3</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03, Level P9 &amp; P10 Sector 03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A-103-4</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03, Level P9 &amp; P10 Sector 04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A-104</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Composite Plan - Floor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A-104-1</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04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A-104-2</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04 Sector 02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A-104-3</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04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A-104-4</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04 Sector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A-104-5</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Enlarged Roof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A-105</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Composite Plan - Floor 05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A-105-1</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05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A-105-1-1</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Roof Plan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A-105-2</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05 Sector 02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A-105-3</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05 Sector 03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A-105-4</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05 Sector 04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A-106</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Composite Plan - Floor 06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A-106-1</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06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A-106-2</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06 Sector 02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A-106-3</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06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A-106-4</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06 Sector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A-107</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Floor 07</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A-107-1</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Floor Plan - Floor 07 Sector 01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A-107-2</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07 Sector 02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CB #1018.3R1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A-107-2.1</w:t>
            </w: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Roof Plan - Floor 07 Sector 02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1/17/2017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A-107-2.2</w:t>
            </w:r>
          </w:p>
        </w:tc>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Enlarged Penthouse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2/8/2017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2" w:right="23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18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A-107-</w:t>
            </w: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3</w:t>
            </w:r>
          </w:p>
        </w:tc>
        <w:tc>
          <w:tcPr>
            <w:tcW w:w="18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Floor Plan - Floor 07 Sector 03</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CB #1026</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A-107-4</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Floor Plan - Floor 07 Sector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A-107-4.1</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Roof Plan - Floor 07 Sector 04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A-107-4.2</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Penthouse Plan - Floor 07 Sector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A-108</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Plan - Floor 08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A-108-1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Floor Plan - Floor 08 Sector 01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A-108-3</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08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A-109</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Floor 09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A-109-1</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09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A-109-3</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Floor Plan - Floor 09 Sector 03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A-110</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Floor 10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A-110-1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Floor Plan - Floor 10 Sector 01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A-110-3</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10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A-111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Plan - Floor 11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A-111-1</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11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A-111-3</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Floor Plan - Floor 11 Sector 03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A-112</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Plan - Floor 12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A-112-1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Floor Plan - Floor 12 Sector 01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A-112-3</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Floor Plan - Floor 12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A-113</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Plan - Floor 13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#1043</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4/10/2017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A-113-1</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Enlarged Roof Plan - Roof Sector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#1043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4/10/2017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A-113-1-1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Enlarged Penthouse Plan - Roof Sector 01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#1043</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4/10/2017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A-113-3</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Enlarged Roof Plan - Roof Sector 03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A-113-3-1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Enlarged Penthouse Plan - Roof Sector 03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A-120</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Level P0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A-121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Floor 1, Level P1 &amp;P2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A-121.5</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Level P3 &amp; P4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A-122</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Floor 2, Level P5&amp;P6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A-122.5</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Level P7&amp;P8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A-123</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Floor 3, Level P9&amp;P10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#1040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1/0/1900</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A-124</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Floor 04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A-125</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Floor 05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A-126</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Floor 06</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A-127</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Floor 07</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A-128</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Floor 08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A-129</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Floor 09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A-130</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Floor 10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A-131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Floor 11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A-132</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Composite Reflected Ceiling Plan - Floor 12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A-133</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Composite Reflected Ceiling Plan - Penthouse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#1034</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A-200</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Site Elevations - East/West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A-210</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Sector 01 - Exterior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#1002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A-211</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Sector 02 - Exterior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6/24/2016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A-212</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Sector 03 - Exterior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#1009R1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5/17/2016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A-213</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Sector 04 - Exterior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A-214</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Fenestration Legend for AHJ Reference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A-220</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PENTHOUSES EXTERIOR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A-221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PENTHOUSES EXTERIOR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#1043</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1/0/1900</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A-222</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PENTHOUSES EXTERIOR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A-301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Building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A-302</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Building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A-303</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Building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A-304</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Building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A-401</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Stair 1 - Enlarged Plans and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A-402</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Stair 2 - Enlarged Plans and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A-403</w:t>
            </w:r>
          </w:p>
        </w:tc>
        <w:tc>
          <w:tcPr>
            <w:tcW w:w="5540" w:type="dxa"/>
            <w:vAlign w:val="bottom"/>
            <w:gridSpan w:val="3"/>
          </w:tcPr>
          <w:p>
            <w:pPr>
              <w:ind w:left="180"/>
              <w:spacing w:after="0"/>
              <w:rPr>
                <w:sz w:val="20"/>
                <w:szCs w:val="20"/>
                <w:color w:val="auto"/>
              </w:rPr>
            </w:pPr>
            <w:r>
              <w:rPr>
                <w:rFonts w:ascii="Arial" w:cs="Arial" w:eastAsia="Arial" w:hAnsi="Arial"/>
                <w:sz w:val="18"/>
                <w:szCs w:val="18"/>
                <w:color w:val="auto"/>
              </w:rPr>
              <w:t>Stair 3 - Enlarged Plans and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A-404</w:t>
            </w:r>
          </w:p>
        </w:tc>
        <w:tc>
          <w:tcPr>
            <w:tcW w:w="5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Stair 4 - Enlarged Plans and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2" w:right="23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Doc</w:t>
            </w:r>
          </w:p>
        </w:tc>
        <w:tc>
          <w:tcPr>
            <w:tcW w:w="62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5"/>
                <w:szCs w:val="15"/>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A-405</w:t>
            </w:r>
          </w:p>
        </w:tc>
        <w:tc>
          <w:tcPr>
            <w:tcW w:w="62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Stair 5 - Enlarged Plans and Sections</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CB #1026</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A-406</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Stair 6 - Enlarged Plans and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A-407</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Stair 7 - Enlarged Plans and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A-410</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A-411</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A-412</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A-413</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A-414</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A-415</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A-416</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A-417</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A-418</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A-419</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2 Level 1 Lobby - Enlarged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A-420</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Plans and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A-421</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A-422</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A-423</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Mechanical Shaft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A-441</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A-442</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A-443</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A-444</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A-445</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A-446</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A-447</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A-448</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A-449</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A-450</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VERTICAL CORES - ENLARGED REFLECTED CEILING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A-453</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Sector 2 Lobby - Enlarged RCP</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A-454</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4 Lobby - Enlarged RCP</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A-455</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LOBBY - ENLARGED REFLECTED CEILING PLAN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A-456</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EXTERIOR - ENLARGED REFLECTED CEILING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A-457</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EXTERIOR - ENLARGED REFLECTED CEILING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A-462</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INTERIOR ELEVATIONS - SHUTTLE ELEVATOR LOBBY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A-463</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Interior Elevations - Sector 2 Lobby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A-464</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Interior Elevations - Sector 4 Lobby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A-465</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Sector 2 and 4 Lobby Renderings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A-471</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INTERIOR ELEVATIONS - RESTROOM, SHOWERS AND LOCKE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A-472</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w w:val="99"/>
              </w:rPr>
              <w:t>INTERIOR ELEVATIONS - RESTROOM, SHOWERS AND LOCKE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A-473</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INTERIOR ELEVATIONS - RESTROOM</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A-481</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LOADING DOCK ELEVATIONS/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A-500</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01 - WALL SECTIONS AND AX0N0METRICS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A-501</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SECTOR 01 - WALL SECTIONS AND AX0N0METRICS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A-502</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01 - WALL SECTIONS AND AXONOMETRICS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A-503</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SECTOR 01 - WALL SECTIONS AND AXONOMETRICS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A-504</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01 - WALL SECTIONS AND AXONOMETRICS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A-505</w:t>
            </w:r>
          </w:p>
        </w:tc>
        <w:tc>
          <w:tcPr>
            <w:tcW w:w="5980" w:type="dxa"/>
            <w:vAlign w:val="bottom"/>
            <w:gridSpan w:val="3"/>
          </w:tcPr>
          <w:p>
            <w:pPr>
              <w:ind w:left="620"/>
              <w:spacing w:after="0"/>
              <w:rPr>
                <w:sz w:val="20"/>
                <w:szCs w:val="20"/>
                <w:color w:val="auto"/>
              </w:rPr>
            </w:pPr>
            <w:r>
              <w:rPr>
                <w:rFonts w:ascii="Arial" w:cs="Arial" w:eastAsia="Arial" w:hAnsi="Arial"/>
                <w:sz w:val="18"/>
                <w:szCs w:val="18"/>
                <w:color w:val="auto"/>
              </w:rPr>
              <w:t>SECTOR 02 - WALL SECTIONS AND AXONOMETRICS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A-506</w:t>
            </w:r>
          </w:p>
        </w:tc>
        <w:tc>
          <w:tcPr>
            <w:tcW w:w="5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02 - WALL SECTIONS AND AXONOMETRICS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2" w:right="2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Doc</w:t>
            </w:r>
          </w:p>
        </w:tc>
        <w:tc>
          <w:tcPr>
            <w:tcW w:w="62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A-507</w:t>
            </w:r>
          </w:p>
        </w:tc>
        <w:tc>
          <w:tcPr>
            <w:tcW w:w="62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SECTOR 02 - WALL SECTIONS AND AXONOMETRICS</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 CD’s</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A-508</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03 - WALL SECTIONS AND AXONOMETRICS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A-509</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03 - WALL SECTIONS AND AXONOMETRICS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A-510</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03 - WALL SECTIONS AND AXONOMETRICS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A-511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03 - WALL SECTIONS AND AXONOMETRICS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A-512</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03 - WALL SECTIONS AND AXONOMETRICS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A-513</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04 - WALL SECTIONS AND AXONOMETRICS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A-514</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04 - WALL SECTIONS AND AXONOMETRICS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A-521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WALL SECTIONS - GARAGE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9/15/2016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A-522</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WALL SECTIONS - GARAGE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A-601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Partition Types A, B &amp; C</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A-602</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Partition Types D, E &amp; 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A-603</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Partition Types G, H &amp; J</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A-604</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Partition Types K, L &amp; M</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A-605</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Partition Types N, P &amp; Q</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A-610</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Partition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A-611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FINISH SCHEDULES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A-612</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FINISH SCHEDULES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A-613</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RESTROOM FINISH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A-614</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RESTROOM FINISH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A-615</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2 LOBBY - FINISH PLAN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A-616</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4 Lobby - Finish Plan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CB #1022R1</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A-621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DOOR SCHEDULES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CB #1022R1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A-617</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1 Lobby - Floor Finish Plan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5/18/2017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A-622</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DOOR SCHEDULES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5/15/2017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A-623</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DOOR SCHEDULES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#1045</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5/15/2017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A-631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DOOR LEGEND AND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A-700</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01 - PARTIAL BUILDING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A-701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01 - PARTIAL BUILDING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A-702</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02 - PARTIAL BUILDING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A-703</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02 - PARTIAL BUILDING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A-704</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03 - PARTIAL BUILDING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A-705</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03 - PARTIAL BUILDING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A-706</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03 + 04-PARTIAL BUILDING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A-710</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01 - WEST CANOPY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A-711</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01 - WEST CANOPY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A-715</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02 AND 03 - PARKING CANOPY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A-716</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02 AND 03 - PARKING CANOPY SECTIONS &amp; DETAIL</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A-717</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02 - ENLARGED PARTIAL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A-718</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ENLARGED PARTIAL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A-720</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01 - ENLARGED PARTIAL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A-721</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01 - ENLARGED PARTIAL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A-722</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02 - ENLARGED PARTIAL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A-723</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02 - ENLARGED PARTIAL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A-724</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03 - ENLARGED PARTIAL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A-725</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SECTOR 03 - ENLARGED PARTIAL PLANS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A-726</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SECTOR 04 - ENLARGED PARTIAL PLANS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A-730</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A-731</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A-732</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A-733</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A-734</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A-735</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2/17/2016</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A-736</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A-737</w:t>
            </w:r>
          </w:p>
        </w:tc>
        <w:tc>
          <w:tcPr>
            <w:tcW w:w="6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A-738</w:t>
            </w:r>
          </w:p>
        </w:tc>
        <w:tc>
          <w:tcPr>
            <w:tcW w:w="6100" w:type="dxa"/>
            <w:vAlign w:val="bottom"/>
            <w:gridSpan w:val="3"/>
          </w:tcPr>
          <w:p>
            <w:pPr>
              <w:ind w:left="62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#1011</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7/12/2016</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2" w:right="2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6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A-739</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EXTERIOR PLAN DETAILS</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CB #1009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4/29/2016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A-740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A-741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PLAN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A-750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A-751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A-752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A-753</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2/23/2016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A-754</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A-755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A-756</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A-757</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A-758</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2/23/2016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A-759</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2/23/2016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A-760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A-761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A-761A</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 - ALT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A-762</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A-762A</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 - ALT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A-763</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A-763A</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 - ALT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#1032.1</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4/5/2017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A-764</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A-764A</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 - ALT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A-765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A-765A</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 - ALT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A-770</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A-771</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A-772</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A-772B</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#1036</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2/20/2017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A-773</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A-774</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A-775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A-776</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A-777</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2/23/2016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A-778</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A-779</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A-780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#1018.3</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A-781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A-782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#1035</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A-783</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A-784</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2/23/2016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A-785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A-786</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#1035</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A-787</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A-788</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#1018</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A-789</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#1018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A-790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A-791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A-792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A-793</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A-794</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A-795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2/23/2016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A-796</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A-797</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A-800</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A-801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EXTERIOR SECTION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A-802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ROOF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A-805</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BELOW GRADE WATERPROOFING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2" w:right="239"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0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5"/>
                <w:szCs w:val="15"/>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A-806</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BELOW GRADE WATERPROOFING DETAILS</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CB #1003</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2/23/2016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A-811</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PARKING GARAGE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A-812</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PARKING GARAGE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A-813</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PARKING GARAGE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A-814</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EMERGENCY GENERATOR ENCLOSURE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A-815</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PG&amp;E Gas Meter Enclosure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#1019</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3/2/2017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A-816</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GENERATOR ENCLOSURE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A-817</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GENERATOR ENCLOSURE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A-818</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PG&amp;E GAS METER ENCLOSURE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A-819</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PG&amp;E ELEVATIONS FOR REFERENCE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#1019</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3/2/2017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A-820</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PARKING GARAGE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A-821</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PARKING GARAGE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A-830</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A-831</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CB #1038R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4/14/2017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A-832</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A-833</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A-834</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A-835</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#1049</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A-836</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A-837</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INTERIOR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A-838</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CEILING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CB #1022R1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A-900</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3D REPRESENTATIONS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A-901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3D REPRESENTATIONS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A-902</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SECTOR 02 PERSPECTIVES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AG-100</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LEVEL P0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AG-101</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FLOOR 01, LEVEL P1 &amp; P2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AG-101.5</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LEVEL P3 &amp; P4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AG-102</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FLOOR 02, LEVEL P5&amp; P6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AG-102.5</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LEVEL P7 &amp; P8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AG-103</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FLOOR 03, LEVEL P9 &amp; P10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AG-104</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FLOOR 04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AG-105</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FLOOR 05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AG-106</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FLOOR 06</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AG-107</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FLOOR 07</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AG-108</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FLOOR 08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AG-109</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FLOOR 09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AG-110</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FLOOR 10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AG-111</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FLOOR 11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AG-112</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SIGNAGE - FLOOR 12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AG-113</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SIGNAGE - ROOF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AS-010</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Level P0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6/24/2016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AS-010.1</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BELOW P0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AS-011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Floor 01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#1023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10/19/2016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AS-011-5</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Level P3 &amp; P4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#1013R1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8/24/2016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AS-012</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Floor 02, P5 &amp; P6</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AS-12-5</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Level P7 &amp; P8</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CB #1013R1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8/24/2016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AS-13</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Floor 03, P9 &amp; P10</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CB #1018.2R1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AS-14</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Floor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CB #1018.2R1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12/7/2016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AS-15</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Floor 05</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AS-16</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Floor 06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AS-17</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Floor 07</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AS-017.1</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SECTOR 02 FLOOR 07 ROOF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#1018.3</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AS-017.2</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SECTOR 04 FLOOR 07 ROOF</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AS-18</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Floor 08</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AS-19</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Floor 09</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AS-20</w:t>
            </w: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Slab Plan Floor 10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AS-21</w:t>
            </w:r>
          </w:p>
        </w:tc>
        <w:tc>
          <w:tcPr>
            <w:tcW w:w="5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Slab Plan Floor 11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2" w:right="23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6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5"/>
                <w:szCs w:val="15"/>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Doc Update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5"/>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AS-22</w:t>
            </w: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Slab Plan Floor 12</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CB #1018.4</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AS-23</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Slab Plan Floor 13</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#1043</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4/10/2017</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AS-024</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SLAB PLAN MECHANICAL PENTHOUSE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AS-101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SLAB PLAN SECTOR 2 LOBBY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S-001-1</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General Notes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PLAN AND ELEVATION OF SHORING WALL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CB #1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1/11/2016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S-001-2</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General Notes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S-001-3</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General Notes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S-001-4</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Loading Diagrams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1/17/2017</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S-002-1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Typical Concrete Details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S2.1</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SECTIONS AND DETAILS OF SHORING WALL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CB #1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1/11/2016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S-002-2</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Typical Concrete Details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S-002-3</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Typical Concrete Details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4/19/2016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S-003-1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Typical CMU Details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S-004-1</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Typical Post-Tensioned Concrete Details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S-004-2</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Typical Post-Tensioned Concrete Details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S-005-1</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Typical Steel Details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#1004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4/19/2016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S-005-2</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Typical Steel Details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#1004</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4/19/2016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S-005-3</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Sypical Steel Details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S-006-1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Typical Metal Deck Details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 CD’s</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S-100</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Composite Plan - Level P0</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S-100-1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Level P0 Sector 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S-100-2</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Level P0, Sector 2</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#1012</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S-101-N</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Composite Plan - Floor 01, Level P1 &amp; P2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#1030</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S-101-N-1</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01, LEVEL P1 &amp; P2 SECTOR 1</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S-101-N-2</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FLOOR 01, LEVEL P1 &amp; P2 SECTOR 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#1032</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3/17/2017</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S-101-N-2-PT</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01-LEVEL P1 &amp; P2 SECTOR 2-PT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S-101-N-3</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Floor 01, Level P1 &amp; P2, Sector 3</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S-101-N-4</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01, Level P1 &amp; P2, Sector 4</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#1012</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S-101-S</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Composite Plan - Level P3 &amp; P4</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S-101.S.1</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LEVEL P3 &amp; P4 SECTOR 1</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S-101.S.1-PT</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LEVEL P3 &amp; P4 SECTOR 1-PT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S-101.S.2</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S-101.S.2 FLOOR PLAN - LEVEL P3 &amp; P4 SECTOR 2</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#1012</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S-101.S.2-PT</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LEVEL P3 &amp; P4 SECTOR 2-PT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#1012</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6/24/2016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S-101.S.3</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LEVEL P3 &amp; P4 SECTOR 3</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S-101.S.3-PT</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LEVEL P3 &amp; P4 SECTOR 3-PT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S-102</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Composite Plan - Floor 02, Level P5 &amp; P6</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S-102.1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FLOOR 02, LEVEL P5 &amp; P6 SECTOR 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#1018.4</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S-102.1-PT</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02, LEVEL P5 &amp; P6 SECTOR 1-PT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S-102.2</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FLOOR 02, LEVEL P5 &amp; P6 SECTOR 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S-102.2-PT</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02, LEVEL P5 &amp; P6 SECTOR 2-PT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S-102.3</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FLOOR 02, LEVEL P5 &amp; P6 SECTOR 3</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S-102.3-PT</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02, LEVEL P5 &amp; P6 SECTOR 3-PT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S-102-5</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Composite Plan - Level P7 &amp; P8</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S-102.6</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LEVEL P7 &amp; P8 SECTOR 1</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S-102.6-PT</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LEVEL P7 &amp; P8 SECTOR 1-PT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S-102.7</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LEVEL P7 &amp; P8 SECTOR 2</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#1012</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S-102.7-PT</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LEVEL P7 &amp; P8 SECTOR 2-PT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#1012</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6/24/2016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S-102.8</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LEVEL P7 &amp; P8 SECTOR 3</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S-102.8-PT</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 LEVEL P7 &amp; P8 SECTOR 3-PT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S-103</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Composite Plan - Floor 03, Level P9 &amp; P10</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S-103.1</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-FLOOR 03, LEVEL P9 &amp; P10 SECTOR 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#1018.4</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S-103.1-PT</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03, LEVEL P9 &amp; P10 SECTOR 1-PT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S-103.2</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-FLOOR 03, LEVEL P9 &amp; P10 SECTOR 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CB #1018.2R1</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12/7/2016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S-103.2-PT</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03, LEVEL P9 &amp; P10 SECTOR 2-PT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#1012</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6/24/2016</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S-103.3</w:t>
            </w:r>
          </w:p>
        </w:tc>
        <w:tc>
          <w:tcPr>
            <w:tcW w:w="5420" w:type="dxa"/>
            <w:vAlign w:val="bottom"/>
            <w:gridSpan w:val="3"/>
          </w:tcPr>
          <w:p>
            <w:pPr>
              <w:ind w:left="60"/>
              <w:spacing w:after="0"/>
              <w:rPr>
                <w:sz w:val="20"/>
                <w:szCs w:val="20"/>
                <w:color w:val="auto"/>
              </w:rPr>
            </w:pPr>
            <w:r>
              <w:rPr>
                <w:rFonts w:ascii="Arial" w:cs="Arial" w:eastAsia="Arial" w:hAnsi="Arial"/>
                <w:sz w:val="18"/>
                <w:szCs w:val="18"/>
                <w:color w:val="auto"/>
              </w:rPr>
              <w:t>FLOOR PLAN -FLOOR 03, LEVEL P9 &amp; P10 SECTOR 3</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S-103.3-PT</w:t>
            </w:r>
          </w:p>
        </w:tc>
        <w:tc>
          <w:tcPr>
            <w:tcW w:w="54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FLOOR PLAN - FLOOR 03, LEVEL P9 &amp; P10 SECTOR 3-PT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Nishkian Menninger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CB #1018.1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2" w:right="2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8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S-103.4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FLOOR PLAN -FLOOR 03, LEVEL P9 &amp; P10 SECTOR 4</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Nishkian Menninger</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CB #1012</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6/24/2016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S-104</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Composite Plan - Floor 04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S-104.1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04 SECTOR 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S-104.2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04 SECTOR 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CB #1018.2R1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12/7/2016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S-104.3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04 SECTOR 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S-104.4</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04 SECTOR 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S-105</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Composite Plan - Floor 05</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S-105.1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05 SECTOR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S-105.2</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05 SECTOR 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CB #1018.2R1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S-105.3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05 SECTOR 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S-105.4</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05 SECTOR 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S-106</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Composite Plan - Floor 06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S-106.1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06 SECTOR 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S-106.2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06 SECTOR 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CB #1018.2R1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12/7/2016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S-106.3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06 SECTOR 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S-106.4</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06 SECTOR 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S-107</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Composite Plan - Floor 07</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S-107.1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07 SECTOR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S-107.2</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07 SECTOR 2</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S-107.3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07 SECTOR 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S-107.4</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07 SECTOR 4</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S-108</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Composite Plan - Floor 08</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#1035</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S-108.1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08 SECTOR 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S-108.2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08 SECTOR 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#1035</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S-108.3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08 SECTOR 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S-108.4</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08 SECTOR 4</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S-109</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Composite Plan - Floor 09</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S-109.1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09 SECTOR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S-109.3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09 SECTOR 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S-110</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Composite Plan - Floor 10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S-110.1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10 SECTOR 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S-110.3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10 SECTOR 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S-111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Composite Plan - Floor 11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S-111.1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11 SECTOR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S-111.3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S-111.3 FLOOR PLAN - FLOOR 11 SECTOR 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Composite Plan - Floor 12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S-112.1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FLOOR 12 SECTOR 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S-112.3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FLOOR 12 SECTOR 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S-113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Composite Plan - Roof</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#1043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4/11/2017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S-113.1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ROOF SECTOR 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#1043</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4/11/2017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S-113.3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ROOF SECTOR 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S-114</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Composite Plan - Penthouse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S-114.1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FLOOR PLAN - PENTHOUSE SECTOR 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#1046</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S-114.3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FLOOR PLAN - PENTHOUSE SECTOR 3</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#1046</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6/2/2017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S-301-1</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Building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S-301-2</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Building Sections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S-301-3</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Building Sections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S-302-1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Shear Wall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S-302-2</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Shear Wall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S-302-3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Shear Wall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S-302-4</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Shear Wall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S-302-5</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Shear Wall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S-302-6</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Shear Wall Elevations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S-303-1</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Shearwall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S-303-2</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Shearwall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S-303-3</w:t>
            </w:r>
          </w:p>
        </w:tc>
        <w:tc>
          <w:tcPr>
            <w:tcW w:w="5640" w:type="dxa"/>
            <w:vAlign w:val="bottom"/>
            <w:gridSpan w:val="3"/>
          </w:tcPr>
          <w:p>
            <w:pPr>
              <w:ind w:left="280"/>
              <w:spacing w:after="0"/>
              <w:rPr>
                <w:sz w:val="20"/>
                <w:szCs w:val="20"/>
                <w:color w:val="auto"/>
              </w:rPr>
            </w:pPr>
            <w:r>
              <w:rPr>
                <w:rFonts w:ascii="Arial" w:cs="Arial" w:eastAsia="Arial" w:hAnsi="Arial"/>
                <w:sz w:val="18"/>
                <w:szCs w:val="18"/>
                <w:color w:val="auto"/>
              </w:rPr>
              <w:t>Shearwall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4/19/2016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S-303-4</w:t>
            </w:r>
          </w:p>
        </w:tc>
        <w:tc>
          <w:tcPr>
            <w:tcW w:w="5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Shearwall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2" w:right="2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160" w:type="dxa"/>
            <w:vAlign w:val="bottom"/>
          </w:tcPr>
          <w:p>
            <w:pPr>
              <w:spacing w:after="0"/>
              <w:rPr>
                <w:sz w:val="14"/>
                <w:szCs w:val="14"/>
                <w:color w:val="auto"/>
              </w:rPr>
            </w:pPr>
          </w:p>
        </w:tc>
        <w:tc>
          <w:tcPr>
            <w:tcW w:w="5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Update</w:t>
            </w:r>
          </w:p>
        </w:tc>
        <w:tc>
          <w:tcPr>
            <w:tcW w:w="1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S-303-5</w:t>
            </w:r>
          </w:p>
        </w:tc>
        <w:tc>
          <w:tcPr>
            <w:tcW w:w="16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Shearwall Details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Nishkian Menninger</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CB #1012</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6/24/2016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S-304-1</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Moment Frame Elevations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4/19/2016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S-305-1</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Moment Frame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S-401-1</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Pile Foundation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6/24/2016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S-401-2</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Pile Foundation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S-402-1</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Foundation Sections and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S-402-2</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Foundation Sections and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S-402.3</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Foundation Sections and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3/17/2017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S-403-1</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Concrete Non-Frame Column Schedule and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10/14/2016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S-403-2</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Concrete Non-Frame Column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#1012</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6/24/2016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S-404-1</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Basement Wall Schedule and Detials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S-501-1</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Concrete Two-Way Slab Schedule &amp;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CB #1018.2R1</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12/7/2016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S-502-1</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Concrete PT Slab Schedule &amp;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S-503-1</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Concrete Beam Schedule &amp;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#1018.3</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S-504-1</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Concrete PT Beam Schedule &amp;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S-504-2</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Concrete PT Beam Schedule &amp;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S-601-1</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Concrete Sections and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#1004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4/19/2016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S-601-2</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Concrete Sections and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#1018.3</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S-601-3</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Concrete Sections and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S-601-4</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Concrete Sections and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#1018.1R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10/28/2016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S-601-5</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Concrete Sections and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#1018.3</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S-701-1</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Steel Sections &amp;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S-701-1A</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Steel Sections &amp;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CB #1018.4</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S-701-2</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Steel Sections &amp;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#1035</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2/8/2017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S-701-3</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Steel Sections and Details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#1018</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9/19/2016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S-801.1</w:t>
            </w: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EMERGENCY GENERATOR ENCLOSURE DETAILS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CB #1030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S-801.2</w:t>
            </w:r>
          </w:p>
        </w:tc>
        <w:tc>
          <w:tcPr>
            <w:tcW w:w="55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PG&amp;E GAS METER ENCLOSURE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Nishkian Menninger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CB #1019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3/2/2017</w:t>
            </w: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TN-701</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STRUCTURED CABLING SINGLE LINE DIAGRAM</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TN-702</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CONDUIT RISER DIAGRAM</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TN-703</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EMERGENCY TELEPHONE ET SINGLE LINE DIAGRAM</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CB #1025R1</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TN-704</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EMERGENCY TELEPHONE CONDUIT RISERS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TN-901</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FIRESTOPPING DETAILS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TN-902</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INTERIOR FASTENING DETAILS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TN-903</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DEVICE DETAILS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TN-904</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RACK R2 DETAILS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TN-905</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RACK R15 DETAILS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TN-906</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TWO-HOUR FIRE-RESISTIIVE CONDUIT AND CABLE DETAILS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TY-701</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Electronic Security Systems Single Line Diagram</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CB #1025R1</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TY-702</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ELECTRONIC SECURITY CONDUIT RISER DIAGRAM</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TY-901</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Electronic Security System Details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TY-902</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ELECTRONIC SECURITY SYSTEMS IP CAMERA DETAILS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TNY-001</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9"/>
              </w:rPr>
              <w:t>GENERAL NOTES, LEGEND, ABBREVIATIONS, PBOX &amp; JBOX 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TNY-002</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SYMBOL SCHEDULE</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CB #1025</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2/15/2017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TNY-100</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COMPOSITE PLAN - LEVEL P0</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TNY-100.1</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TELECOM &amp; ESS DEVICE FLOOR PLAN - LEVEL P0 SECTOR 02</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CB #1045</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5/15/2017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TNY-101</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8"/>
              </w:rPr>
              <w:t>TELECOM &amp; ESS DEVICE COMPOSITE PLAN - FLOOR 01, LEVE</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TNY-101.1</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 - FLOOR 01, LEVEL P1</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CB #1025R1</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TNY-101.2</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 - FLOOR 01, LEVEL P1</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CB #1025R1</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TNY-101.3</w:t>
            </w:r>
          </w:p>
        </w:tc>
        <w:tc>
          <w:tcPr>
            <w:tcW w:w="55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TELECOM &amp; ESS DEVICE FLOOR PLAN - 01, LEVEL P1 &amp; P2 SE</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CB #1045</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5/15/2017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TNY-101.4</w:t>
            </w:r>
          </w:p>
        </w:tc>
        <w:tc>
          <w:tcPr>
            <w:tcW w:w="55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9"/>
              </w:rPr>
              <w:t>TELECOM &amp; ESS DEVICE FLOOR PLAN - 01, LEVEL P1 &amp; P2 SE</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CB #1045</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89"/>
              </w:rPr>
              <w:t>5/15/2017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62"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8" w:name="page389"/>
    <w:bookmarkEnd w:id="388"/>
    <w:p>
      <w:pPr>
        <w:jc w:val="center"/>
        <w:ind w:right="-20"/>
        <w:spacing w:after="0"/>
        <w:rPr>
          <w:sz w:val="20"/>
          <w:szCs w:val="20"/>
          <w:color w:val="auto"/>
        </w:rPr>
      </w:pPr>
      <w:r>
        <w:rPr>
          <w:rFonts w:ascii="Arial" w:cs="Arial" w:eastAsia="Arial" w:hAnsi="Arial"/>
          <w:sz w:val="17"/>
          <w:szCs w:val="17"/>
          <w:color w:val="auto"/>
        </w:rPr>
        <w:t>SCHEDULE 1 TO</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125" w:right="1440"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14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Update</w:t>
            </w: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195"/>
        </w:trPr>
        <w:tc>
          <w:tcPr>
            <w:tcW w:w="1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TNY-101.5</w:t>
            </w:r>
          </w:p>
        </w:tc>
        <w:tc>
          <w:tcPr>
            <w:tcW w:w="140" w:type="dxa"/>
            <w:vAlign w:val="bottom"/>
            <w:shd w:val="clear" w:color="auto" w:fill="CCEEFF"/>
          </w:tcPr>
          <w:p>
            <w:pPr>
              <w:spacing w:after="0"/>
              <w:rPr>
                <w:sz w:val="16"/>
                <w:szCs w:val="16"/>
                <w:color w:val="auto"/>
              </w:rPr>
            </w:pPr>
          </w:p>
        </w:tc>
        <w:tc>
          <w:tcPr>
            <w:tcW w:w="5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TELECOM &amp; ESS DEVICE COMPOSITE PLAN - LEVEL P3 &amp; P4</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Smith, Fause and</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100% CD’s</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TNY-101.7</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LEVEL P3 &amp; P4 SECT</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TNY-101.8</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LEVEL P3 &amp; P4 SECT</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#1045</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5/15/2017</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TNY-101.U</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UNDERGROUND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TNY-102</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COMPOSITE PLAN - FLOOR 02, LEVE</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TNY-102.1</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02, LEVEL P5</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TNY-102.2</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02, LEVEL P5</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TNY-102.3</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02, LEVEL P5</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#1045</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5/15/2017</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TNY-102.5</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COMPOSITE PLAN - LEVEL P7 &amp; P8</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TNY-102.7</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LEVEL P7 &amp; P8 SECT</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TNY-102.8</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LEVEL P7 &amp; P8 SECT</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TNY-103</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COMPOSITE PLAN - FLOOR 03, LEVE</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TNY-103.1</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03, LEVEL P9</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#1045</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5/15/2017</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TNY-103.2</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03, LEVEL P9</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TNY-103.3</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03, LEVEL P9</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TNY-103.4</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03, LEVEL P9</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TNY-104</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COMPOSITE PLAN - FLOOR 04</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TNY-104.1</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04 SECTOR 01</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TNY-104.2</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04 SECTOR 02</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TNY-104.3</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04 SECTOR 03</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TNY-104.4</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04 SECTOR 04</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TNY-105</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COMPOSITE PLAN - FLOOR 05</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TNY-105.1</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05 SECTOR 01</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TNY-105.2</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05 SECTOR 02</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TNY-105.3</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05 SECTOR 03</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TNY-105.4</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05 SECTOR 04</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TNY-106</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COMPOSITE PLAN - FLOOR 06</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TNY-106.1</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06 SECTOR 01</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TNY-106.2</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06 SECTOR 02</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TNY-106.3</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FLOOR PLAN - FLOOR 06 SECTOR 03</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TNY-106.4</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06 SECTOR 04</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TNY-107</w:t>
            </w:r>
          </w:p>
        </w:tc>
        <w:tc>
          <w:tcPr>
            <w:tcW w:w="562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TELECOM &amp; ESS DEVICE COMPOSITE PLAN - FLOOR 07</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TNY-107.1</w:t>
            </w:r>
          </w:p>
        </w:tc>
        <w:tc>
          <w:tcPr>
            <w:tcW w:w="562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TELECOM &amp; ESS DEVICE FLOOR PLAN - FLOOR 07 SECTOR 01</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2" w:right="239" w:bottom="612"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16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Update</w:t>
            </w: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195"/>
        </w:trPr>
        <w:tc>
          <w:tcPr>
            <w:tcW w:w="9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TNY-107.2</w:t>
            </w:r>
          </w:p>
        </w:tc>
        <w:tc>
          <w:tcPr>
            <w:tcW w:w="160" w:type="dxa"/>
            <w:vAlign w:val="bottom"/>
            <w:shd w:val="clear" w:color="auto" w:fill="CCEEFF"/>
          </w:tcPr>
          <w:p>
            <w:pPr>
              <w:spacing w:after="0"/>
              <w:rPr>
                <w:sz w:val="16"/>
                <w:szCs w:val="16"/>
                <w:color w:val="auto"/>
              </w:rPr>
            </w:pPr>
          </w:p>
        </w:tc>
        <w:tc>
          <w:tcPr>
            <w:tcW w:w="5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TELECOM &amp; ESS DEVICE FLOOR PLAN - FLOOR 07 SECTOR 02</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Smith, Fause and</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CB #1045</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5/15/2017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TNY-107.3</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 - FLOOR 07 SECTOR 03</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TNY-107.4</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 - FLOOR 07 SECTOR 04</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TNY-108</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COMPOSITE PLAN - FLOOR 08</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TNY-108.1</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 - FLOOR 08-12 SECTO</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R 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TNY-108.3</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 - FLOOR 08-12 SECTO</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R 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TNY-109</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COMPOSITE PLAN - FLOOR 09</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TNY-109.1</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 - FLOOR 09 SECTOR 01</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TNY-109.3</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 - FLOOR 09 SECTOR 03</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TNY-110</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COMPOSITE PLAN - FLOOR 10</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TNY-110.1</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PLAN-FLOOR 10 SECTOR 01</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TNY-110.3</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PLAN-FLOOR 10 SECTOR 03</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TNY-111</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COMPOSITE PLAN - FLOOR 11</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TNY-111.1</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PLAN-FLOOR 11 SECTOR 01</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TNY-111.3</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PLAN-FLOOR 11 SECTOR 03</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TNY-112</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COMPOSITE PLAN - FLOOR 12</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TNY-112.1</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 - FLOOR 12 SECTOR 01</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TNY-112.3</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 - FLOOR 12 SECTOR 03</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TNY-113</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COMPOSITE PLAN - FLOOR 13</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TNY-113.1</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TELECOM &amp; ESS DEVICE FLOOR PLAN-FLOOR 13 SECTOR 01</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TNY-113.3</w:t>
            </w:r>
          </w:p>
        </w:tc>
        <w:tc>
          <w:tcPr>
            <w:tcW w:w="5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TELECOM &amp; ESS DEVICE FLOOR PLAN-FLOOR 13 SECTOR 03</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TNY-401</w:t>
            </w:r>
          </w:p>
        </w:tc>
        <w:tc>
          <w:tcPr>
            <w:tcW w:w="56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MPOE &amp; IT ROOMS ENLARGED PLANS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Smith, Fause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CB #1025R1</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2/27/2017</w:t>
            </w:r>
          </w:p>
        </w:tc>
      </w:tr>
      <w:tr>
        <w:trPr>
          <w:trHeight w:val="230"/>
        </w:trPr>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McDonald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M-000</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SYMBOLS, ABBREVIATIONS, GENERAL NOTES &amp; DRAWING I</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M-001</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EQUIPMENT SCHEDULES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M-002</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EQUIPMENT SCHEDULES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M-003</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EQUIPMENT SCHEDULES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M-004</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EQUIPMENT SCHEDULES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M-005</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EQUIPMENT SCHEDULES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M-100</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COMPOSITE PLAN - LEVEL 0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M-100.2</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FLOOR PLAN - LEVEL 0 SECTOR 2 -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M-101</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COMPOSITE PLAN - FLOOR 01 -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M-101.1</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FLOOR PLAN-FLOOR 01, SECTOR 1 -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M-101.2</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FLOOR PLAN-FLOOR 01, SECTOR 2 -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M-101.3</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FLOOR PLAN-FLOOR 01, SECTOR 3 -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M-101.4</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FLOOR PLAN-FLOOR 01, SECTOR 4 -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M-101.5</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COMPOSITE PLAN - LEVEL P3 &amp; P4 -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M-101.8</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FLOOR PLAN - LEVEL P3 &amp; P4 SECTOR 3 -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M-102</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COMPOSITE PLAN - FLOOR 02 -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M-102.1</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FLOOR PLAN - FLOOR 02, SECTOR 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M-102.2</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FLOOR PLAN - FLOOR 02, SECTOR 2 -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M-102.3</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FLOOR PLAN - FLOOR 02, SECTOR 3 -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M-102.5</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COMPOSITE PLAN - LEVEL P7-P8 -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M-102.8</w:t>
            </w:r>
          </w:p>
        </w:tc>
        <w:tc>
          <w:tcPr>
            <w:tcW w:w="5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SECTOR 3 - LEVEL P7-P8 -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2" w:right="239" w:bottom="828"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60" w:type="dxa"/>
            <w:vAlign w:val="bottom"/>
          </w:tcPr>
          <w:p>
            <w:pPr>
              <w:spacing w:after="0"/>
              <w:rPr>
                <w:sz w:val="14"/>
                <w:szCs w:val="1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Doc Update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M-103</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COMPOSITE PLAN - FLOOR 03 - MECHANICAL</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Marelich Mechanical</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CB #1040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M-103.1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03, SECTOR 1 -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M-103.2</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03, SECTOR 2 -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M-103.3</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03, SECTOR 3 -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M-103.4</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03, SECTOR 4 -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M-104</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COMPOSITE PLAN - FLOOR 04 -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M-104.1</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04, SECTOR 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M-104.2</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04, SECTOR 2 -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M-104.3</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04, SECTOR 3 -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M-104.4</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04, SECTOR 4 -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M-105</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COMPOSITE PLAN - FLOOR 05 -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M-105.1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05, SECTOR 1 -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M-105.2</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05, SECTOR 2 -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M-105.3</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05, SECTOR 3 -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M-105.4</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05, SECTOR 4 -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M-106</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COMPOSITE PLAN - FLOOR 06 -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M-106.1</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06, SECTOR 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M-106.2</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06, SECTOR 2 -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M-106.3</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06, SECTOR 3 -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M-106.4</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06, SECTOR 4 -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M-107</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COMPOSITE PLAN - FLOOR 07 -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M-107.1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07, SECTOR 1 -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M-107.2</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07, SECTOR 2 -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M-107.3</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07, SECTOR 3 -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M-107.4</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07, SECTOR 4 -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M-108</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COMPOSITE PLAN - FLOOR 08 -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M-108.1</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08, SECTOR 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M-108.3</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08, SECTOR 3 -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M-109</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COMPOSITE PLAN - FLOOR 09 -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M-109.1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 - FLOOR 09, SECTOR 1 -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M-109.3</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 - FLOOR 09, SECTOR 3 -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M-110</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COMPOSITE PLAN - FLOOR 10-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M-110.1</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PLAN-FLOOR 10, SECTOR 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M-110.3</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PLAN-FLOOR 10, SECTOR 3 -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M-111</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COMPOSITE PLAN - FLOOR 11 -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M-111.1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PLAN-FLOOR 11, SECTOR 1 -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M-111.3</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PLAN-FLOOR 11, SECTOR 3 -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M-112</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COMPOSITE PLAN - FLOOR 12-MECHANICAL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M-112.1</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FLOOR PLAN-FLOOR 12, SECTOR 1 -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M-112.3</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FLOOR PLAN-FLOOR 12, SECTOR 3 -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M-113</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COMPOSITE ROOF PLAN - SECTOR 1 &amp; SECTOR 3 - MECHANI</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M-113.1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ROOF PLAN SECTOR 1 - MECHANICAL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M-113.3</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ROOF PLAN SECTOR 3 - MECHANICAL</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M-301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M-302</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M-303</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M-304</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M-305</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M-306</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M-307</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M-308</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M-309</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M-310</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MECHANICAL CORES - ENLARGED PLANS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M-311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MECHANICAL ROOM - ENLARGED PLAN - SECTOR 01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M-312</w:t>
            </w:r>
          </w:p>
        </w:tc>
        <w:tc>
          <w:tcPr>
            <w:tcW w:w="5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MECHANICAL ROOM - ENLARGED PLAN - SECTOR 3</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M-401</w:t>
            </w:r>
          </w:p>
        </w:tc>
        <w:tc>
          <w:tcPr>
            <w:tcW w:w="5840" w:type="dxa"/>
            <w:vAlign w:val="bottom"/>
            <w:gridSpan w:val="3"/>
          </w:tcPr>
          <w:p>
            <w:pPr>
              <w:ind w:left="260"/>
              <w:spacing w:after="0"/>
              <w:rPr>
                <w:sz w:val="20"/>
                <w:szCs w:val="20"/>
                <w:color w:val="auto"/>
              </w:rPr>
            </w:pPr>
            <w:r>
              <w:rPr>
                <w:rFonts w:ascii="Arial" w:cs="Arial" w:eastAsia="Arial" w:hAnsi="Arial"/>
                <w:sz w:val="18"/>
                <w:szCs w:val="18"/>
                <w:color w:val="auto"/>
              </w:rPr>
              <w:t>SECTIONS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100% CD’s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1/8/2016</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2" w:right="2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6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Update</w:t>
            </w:r>
          </w:p>
        </w:tc>
        <w:tc>
          <w:tcPr>
            <w:tcW w:w="1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M-401.1</w:t>
            </w:r>
          </w:p>
        </w:tc>
        <w:tc>
          <w:tcPr>
            <w:tcW w:w="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Sections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Marelich Mechanical</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CB #1040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M-401.2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SECTIONS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M-402</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SECTIONS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M-501</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CHILLED WATER &amp; CONDENSER WATER PIPING DIAGRAMS -</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M-501.1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CHILLED WATER PIPING DIAGRAM - SECTOR 1 AND SECTOR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M-501.2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CONDENSOR WATER PIPING DIAGRAM - SECTOR 1 AND SEC</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M-502</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CLOSED-CIRCUIT CONDENSER WATER PIPING DIAGRAM - SE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M-503</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HEATING HOT WATER PIPING DIAGRAM - SECTOR 1 &amp; SECT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M-504</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HEATING HOT WATER PIPING RISER DIAGRAM - SECTOR 1 &amp;</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M-505</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CHILLED WATER &amp; CONDENSER WATER PIPING DIAGRAMS -</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M-505.1</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CHILLED WATER PIPING DIAGRAM - SECTOR 3 AND SECTOR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M-505.2</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CONDENSOR WATER PIPING DIAGRAM - SECTOR 3 AND SEC</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M-506</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CLOSED-CIRCUIT CONDENSER WATER PIPING DIAGRAM - SE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M-507</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HEATING HOT WATER PIPING DIAGRAM - SECTOR 3 &amp; SECT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M-508</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HEATING HOT WATER PIPING RISER DIAGRAM - SECTOR 3 &amp;</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M-701</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STAIR PRESSURIZATION DIAGRAMS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M-702</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STAIR PRESSURIZATION DIAGRAMS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M-703</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SMOKE EXHAUST AIR FLOW DIAGRAMS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M-704</w:t>
            </w:r>
          </w:p>
        </w:tc>
        <w:tc>
          <w:tcPr>
            <w:tcW w:w="5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LIFE SAFETY SMOKE CONTROL MATRIX</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4/4/2017</w:t>
            </w: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M-801</w:t>
            </w: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LAB EXHAUST FAN STACK SUPPORT DETAILS - SECTOR 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Marelich Mechanical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6/30/2017</w:t>
            </w: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E-0.1</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LEGEND AND NOTES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E-0.2</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SCHEDULES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E-0.3</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PANEL SCHEDULES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#1041</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E-0.4</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PANEL SCHEDULES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E-1.0</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SITE LIGHTING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E-1.1</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1- PARKING FOOT CANDLE PLOT</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E-2.0</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UNDERGROUND RACEWAYS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E-3.0</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PO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E-3.1</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LEVEL 1 LIGHITNG AND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E-3.1P</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P3 &amp; P4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E-3.2</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LEVEL 2 LIGHTING AND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E-3.2P</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P7 &amp; P8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E-3.3</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LEVEL 3 LIGHTING AND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E-3.4</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4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E-3.5</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LEVEL 5 LIGHTING AND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E-3.6</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6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E-3.7</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ROOF TERRACES LIGHTING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E-3.8</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8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E-3.9</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LEVEL 9 LIGHTING AND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E-3.10</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10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E-3.11</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LEVEL 11 LIGHTING AND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E-3.12</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LEVEL 12 LIGHTING AND POWER PLAN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E-3.13</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ROOF LIGHTING AND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E-4.1</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DETAILS - PRIMARY SWITCHGEAR &amp; SUBSTATIONS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E-4.2</w:t>
            </w:r>
          </w:p>
        </w:tc>
        <w:tc>
          <w:tcPr>
            <w:tcW w:w="57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DETAILS - LEVEL 1 LIGHTING &amp; POWER PLAN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80" w:type="dxa"/>
            <w:vAlign w:val="bottom"/>
            <w:gridSpan w:val="2"/>
          </w:tcPr>
          <w:p>
            <w:pPr>
              <w:spacing w:after="0" w:line="201" w:lineRule="exact"/>
              <w:rPr>
                <w:sz w:val="20"/>
                <w:szCs w:val="20"/>
                <w:color w:val="auto"/>
              </w:rPr>
            </w:pPr>
            <w:r>
              <w:rPr>
                <w:rFonts w:ascii="Arial" w:cs="Arial" w:eastAsia="Arial" w:hAnsi="Arial"/>
                <w:sz w:val="18"/>
                <w:szCs w:val="18"/>
                <w:color w:val="auto"/>
              </w:rPr>
              <w:t>E-4.3</w:t>
            </w:r>
          </w:p>
        </w:tc>
        <w:tc>
          <w:tcPr>
            <w:tcW w:w="57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DETAILS - CORE LAYOUTS SECTORS 1, 2, 3, 4</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#1042</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VHK</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ectPr>
          <w:pgSz w:w="11900" w:h="16838" w:orient="portrait"/>
          <w:cols w:equalWidth="0" w:num="1">
            <w:col w:w="11420"/>
          </w:cols>
          <w:pgMar w:left="240" w:top="262" w:right="239" w:bottom="0" w:gutter="0" w:footer="0" w:header="0"/>
        </w:sectPr>
      </w:pPr>
    </w:p>
    <w:bookmarkStart w:id="393" w:name="page394"/>
    <w:bookmarkEnd w:id="393"/>
    <w:p>
      <w:pPr>
        <w:jc w:val="center"/>
        <w:ind w:right="-20"/>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125" w:right="1440"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20" w:type="dxa"/>
            <w:vAlign w:val="bottom"/>
          </w:tcPr>
          <w:p>
            <w:pPr>
              <w:spacing w:after="0"/>
              <w:rPr>
                <w:sz w:val="14"/>
                <w:szCs w:val="14"/>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5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Doc Update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Doc Date</w:t>
            </w:r>
          </w:p>
        </w:tc>
      </w:tr>
      <w:tr>
        <w:trPr>
          <w:trHeight w:val="195"/>
        </w:trPr>
        <w:tc>
          <w:tcPr>
            <w:tcW w:w="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E4.4</w:t>
            </w: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DETAILS - ROOF PLAN SECTOR 1</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Morrow Meadows and</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CB #1042</w:t>
            </w: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E4.5</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DETAILS - ROOF PLAN SECTOR 3</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100% CD’s</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E4.5A</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DETAILS - ROOF PLAN SECTOR 3 LIGHTING PLAN</w:t>
            </w:r>
          </w:p>
        </w:tc>
        <w:tc>
          <w:tcPr>
            <w:tcW w:w="18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E4.5B</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DETAILS - ROOF PLAN SECTOR 3 POWER PLANT</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E-4.6</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DETAILS - STAIRS 1 - 6 LIGHTING PLAN</w:t>
            </w:r>
          </w:p>
        </w:tc>
        <w:tc>
          <w:tcPr>
            <w:tcW w:w="18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E4.7</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DETAILS - 7TH FLOOR CORE PLAN</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E-4.8</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DETAILS - TYPICAL CORE LAYOUT</w:t>
            </w:r>
          </w:p>
        </w:tc>
        <w:tc>
          <w:tcPr>
            <w:tcW w:w="18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E-4.9</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DETAILS - GENERATOR AND ELECTRICAL ROOMS</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E-4.10</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DETAILS - TYPICAL FORE LAYOUT</w:t>
            </w:r>
          </w:p>
        </w:tc>
        <w:tc>
          <w:tcPr>
            <w:tcW w:w="18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E-5.1</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NORMAL POWER ONE LINE DIAGRAM</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100% CD’s</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E-5.2</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EMERGENCY POWER ONE LINE DIAGRAM</w:t>
            </w:r>
          </w:p>
        </w:tc>
        <w:tc>
          <w:tcPr>
            <w:tcW w:w="18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100% CD’s</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E-5.3</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TELECOMMUNICATION RISER DIAGRAM</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100% CD’s</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E-5.4</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GROUND RISER DIAGRAM</w:t>
            </w:r>
          </w:p>
        </w:tc>
        <w:tc>
          <w:tcPr>
            <w:tcW w:w="18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100% CD’s</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VHK</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P-001</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LEGEND, SCHEDULES AND NOTES</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P-100.2</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LEVEL P0 SECTOR 02</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P-101</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COMPOSITE PLAN - FLOOR 01, LEVEL PI &amp; P2</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P-101.1</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FLOOR 01, LEVEL PI &amp; P2 SECTOR 01</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P-101.2</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FLOOR 01, LEVEL PI &amp; P2 SECTOR 02</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P-101.3</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FLOOR 01, LEVEL PI &amp;P2 SECTOR 03</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P-101.4</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FLOOR 01, LEVEL PI &amp; P2 SECTOR 04</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P-101.5</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P-101.5 PLUMBING FLOOR PLAN - LEVEL P3 &amp; P4</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P-101.7</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LEVEL P3 &amp; P4 SECTOR 02</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P-101.8</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LEVEL P3 &amp; P4 SECTOR 03</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P-101U</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COMPOSITE PLAN - FLOOR 01, LEVEL PI &amp; P2 UN</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P-101U.1</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FLOOR 01, LEVEL PI &amp; P2 SECTOR 01 UND</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P-101U.2</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FLOOR 01, LEVEL PI &amp; P2 SECTOR 02 UND</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P-101U.3</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FLOOR 01, LEVEL PI &amp; P2 SECTOR 03 UND</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P-101U.4</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FLOOR 01, LEVEL PI &amp; P2 SECTOR 04 UND</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P-102</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P-102 PLUMBING FLOOR PLAN - LEVEL 02</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P-102.1</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FLOOR 02, LEVEL P5 &amp; P6 SECTOR 01</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P-102.2</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FLOOR 02, LEVEL P5 &amp; P6 SECTOR 02</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P-102.3</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FLOOR 02, LEVEL P5 &amp; P6 SECTOR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P-102.5</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P-102.5 PLUMBING FLOOR PLAN - LEVEL P7 &amp; PB</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P-102.7</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PLUMBING PLAN - LEVEL P7 &amp; P8 SECTOR 02</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P-102.8</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LEVEL P7 &amp; P8 SECTOR 03</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02"/>
        </w:trPr>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P-103</w:t>
            </w:r>
          </w:p>
        </w:tc>
        <w:tc>
          <w:tcPr>
            <w:tcW w:w="58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P-103 PLUMBING FLOOR PLAN - LEVEL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P-103.1</w:t>
            </w:r>
          </w:p>
        </w:tc>
        <w:tc>
          <w:tcPr>
            <w:tcW w:w="58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PLUMBING PLAN - FLOOR 03, LEVEL P9&amp;P10 SECTOR 01</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5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62"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5" w:name="page396"/>
    <w:bookmarkEnd w:id="395"/>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P-103.2</w:t>
            </w:r>
          </w:p>
        </w:tc>
        <w:tc>
          <w:tcPr>
            <w:tcW w:w="5520" w:type="dxa"/>
            <w:vAlign w:val="bottom"/>
          </w:tcPr>
          <w:p>
            <w:pPr>
              <w:ind w:left="280"/>
              <w:spacing w:after="0"/>
              <w:rPr>
                <w:sz w:val="20"/>
                <w:szCs w:val="20"/>
                <w:color w:val="auto"/>
              </w:rPr>
            </w:pPr>
            <w:r>
              <w:rPr>
                <w:rFonts w:ascii="Arial" w:cs="Arial" w:eastAsia="Arial" w:hAnsi="Arial"/>
                <w:sz w:val="18"/>
                <w:szCs w:val="18"/>
                <w:color w:val="auto"/>
              </w:rPr>
              <w:t>PLUMBING PLAN - FLOOR 03, LEVEL P9&amp;P10 SECTOR 02</w:t>
            </w: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P-103.3</w:t>
            </w:r>
          </w:p>
        </w:tc>
        <w:tc>
          <w:tcPr>
            <w:tcW w:w="5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01, LEVEL PI &amp; P2 SECTOR 03</w:t>
            </w:r>
          </w:p>
        </w:tc>
        <w:tc>
          <w:tcPr>
            <w:tcW w:w="21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P-103.4</w:t>
            </w:r>
          </w:p>
        </w:tc>
        <w:tc>
          <w:tcPr>
            <w:tcW w:w="5520" w:type="dxa"/>
            <w:vAlign w:val="bottom"/>
          </w:tcPr>
          <w:p>
            <w:pPr>
              <w:ind w:left="280"/>
              <w:spacing w:after="0" w:line="201" w:lineRule="exact"/>
              <w:rPr>
                <w:sz w:val="20"/>
                <w:szCs w:val="20"/>
                <w:color w:val="auto"/>
              </w:rPr>
            </w:pPr>
            <w:r>
              <w:rPr>
                <w:rFonts w:ascii="Arial" w:cs="Arial" w:eastAsia="Arial" w:hAnsi="Arial"/>
                <w:sz w:val="18"/>
                <w:szCs w:val="18"/>
                <w:color w:val="auto"/>
              </w:rPr>
              <w:t>PLUMBING PLAN - FLOOR 03, LEVEL P9 &amp; P10 SECTOR 04</w:t>
            </w:r>
          </w:p>
        </w:tc>
        <w:tc>
          <w:tcPr>
            <w:tcW w:w="21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P-104</w:t>
            </w:r>
          </w:p>
        </w:tc>
        <w:tc>
          <w:tcPr>
            <w:tcW w:w="5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P-104 PLUMBING FLOOR PLAN - LEVEL 04</w:t>
            </w:r>
          </w:p>
        </w:tc>
        <w:tc>
          <w:tcPr>
            <w:tcW w:w="21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P-104.1</w:t>
            </w:r>
          </w:p>
        </w:tc>
        <w:tc>
          <w:tcPr>
            <w:tcW w:w="5520" w:type="dxa"/>
            <w:vAlign w:val="bottom"/>
          </w:tcPr>
          <w:p>
            <w:pPr>
              <w:ind w:left="280"/>
              <w:spacing w:after="0" w:line="201" w:lineRule="exact"/>
              <w:rPr>
                <w:sz w:val="20"/>
                <w:szCs w:val="20"/>
                <w:color w:val="auto"/>
              </w:rPr>
            </w:pPr>
            <w:r>
              <w:rPr>
                <w:rFonts w:ascii="Arial" w:cs="Arial" w:eastAsia="Arial" w:hAnsi="Arial"/>
                <w:sz w:val="18"/>
                <w:szCs w:val="18"/>
                <w:color w:val="auto"/>
              </w:rPr>
              <w:t>PLUMBING PLAN - FLOOR 04 SECTOR 01</w:t>
            </w:r>
          </w:p>
        </w:tc>
        <w:tc>
          <w:tcPr>
            <w:tcW w:w="21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P-104.2</w:t>
            </w:r>
          </w:p>
        </w:tc>
        <w:tc>
          <w:tcPr>
            <w:tcW w:w="5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04 SECTOR 02</w:t>
            </w:r>
          </w:p>
        </w:tc>
        <w:tc>
          <w:tcPr>
            <w:tcW w:w="21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P-104.3</w:t>
            </w:r>
          </w:p>
        </w:tc>
        <w:tc>
          <w:tcPr>
            <w:tcW w:w="5520" w:type="dxa"/>
            <w:vAlign w:val="bottom"/>
          </w:tcPr>
          <w:p>
            <w:pPr>
              <w:ind w:left="280"/>
              <w:spacing w:after="0" w:line="201" w:lineRule="exact"/>
              <w:rPr>
                <w:sz w:val="20"/>
                <w:szCs w:val="20"/>
                <w:color w:val="auto"/>
              </w:rPr>
            </w:pPr>
            <w:r>
              <w:rPr>
                <w:rFonts w:ascii="Arial" w:cs="Arial" w:eastAsia="Arial" w:hAnsi="Arial"/>
                <w:sz w:val="18"/>
                <w:szCs w:val="18"/>
                <w:color w:val="auto"/>
              </w:rPr>
              <w:t>PLUMBING PLAN - FLOOR 04 SECTOR 03</w:t>
            </w:r>
          </w:p>
        </w:tc>
        <w:tc>
          <w:tcPr>
            <w:tcW w:w="21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P-104.4</w:t>
            </w:r>
          </w:p>
        </w:tc>
        <w:tc>
          <w:tcPr>
            <w:tcW w:w="5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04 SECTOR 04</w:t>
            </w:r>
          </w:p>
        </w:tc>
        <w:tc>
          <w:tcPr>
            <w:tcW w:w="21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P-105</w:t>
            </w:r>
          </w:p>
        </w:tc>
        <w:tc>
          <w:tcPr>
            <w:tcW w:w="5520" w:type="dxa"/>
            <w:vAlign w:val="bottom"/>
          </w:tcPr>
          <w:p>
            <w:pPr>
              <w:ind w:left="280"/>
              <w:spacing w:after="0" w:line="201" w:lineRule="exact"/>
              <w:rPr>
                <w:sz w:val="20"/>
                <w:szCs w:val="20"/>
                <w:color w:val="auto"/>
              </w:rPr>
            </w:pPr>
            <w:r>
              <w:rPr>
                <w:rFonts w:ascii="Arial" w:cs="Arial" w:eastAsia="Arial" w:hAnsi="Arial"/>
                <w:sz w:val="18"/>
                <w:szCs w:val="18"/>
                <w:color w:val="auto"/>
              </w:rPr>
              <w:t>P-105 PLUMBING FLOOR PLAN - LEVEL 05</w:t>
            </w:r>
          </w:p>
        </w:tc>
        <w:tc>
          <w:tcPr>
            <w:tcW w:w="21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P-105.1</w:t>
            </w:r>
          </w:p>
        </w:tc>
        <w:tc>
          <w:tcPr>
            <w:tcW w:w="5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05 SECTOR 01</w:t>
            </w:r>
          </w:p>
        </w:tc>
        <w:tc>
          <w:tcPr>
            <w:tcW w:w="21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P-105.2</w:t>
            </w:r>
          </w:p>
        </w:tc>
        <w:tc>
          <w:tcPr>
            <w:tcW w:w="5520" w:type="dxa"/>
            <w:vAlign w:val="bottom"/>
          </w:tcPr>
          <w:p>
            <w:pPr>
              <w:ind w:left="280"/>
              <w:spacing w:after="0" w:line="201" w:lineRule="exact"/>
              <w:rPr>
                <w:sz w:val="20"/>
                <w:szCs w:val="20"/>
                <w:color w:val="auto"/>
              </w:rPr>
            </w:pPr>
            <w:r>
              <w:rPr>
                <w:rFonts w:ascii="Arial" w:cs="Arial" w:eastAsia="Arial" w:hAnsi="Arial"/>
                <w:sz w:val="18"/>
                <w:szCs w:val="18"/>
                <w:color w:val="auto"/>
              </w:rPr>
              <w:t>PLUMBING PLAN - FLOOR 05 SECTOR 02</w:t>
            </w:r>
          </w:p>
        </w:tc>
        <w:tc>
          <w:tcPr>
            <w:tcW w:w="21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P-105.3</w:t>
            </w:r>
          </w:p>
        </w:tc>
        <w:tc>
          <w:tcPr>
            <w:tcW w:w="5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05 SECTOR 03</w:t>
            </w:r>
          </w:p>
        </w:tc>
        <w:tc>
          <w:tcPr>
            <w:tcW w:w="21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P-105.4</w:t>
            </w:r>
          </w:p>
        </w:tc>
        <w:tc>
          <w:tcPr>
            <w:tcW w:w="5520" w:type="dxa"/>
            <w:vAlign w:val="bottom"/>
          </w:tcPr>
          <w:p>
            <w:pPr>
              <w:ind w:left="280"/>
              <w:spacing w:after="0" w:line="201" w:lineRule="exact"/>
              <w:rPr>
                <w:sz w:val="20"/>
                <w:szCs w:val="20"/>
                <w:color w:val="auto"/>
              </w:rPr>
            </w:pPr>
            <w:r>
              <w:rPr>
                <w:rFonts w:ascii="Arial" w:cs="Arial" w:eastAsia="Arial" w:hAnsi="Arial"/>
                <w:sz w:val="18"/>
                <w:szCs w:val="18"/>
                <w:color w:val="auto"/>
              </w:rPr>
              <w:t>PLUMBING PLAN - FLOOR 05 SECTOR 04</w:t>
            </w:r>
          </w:p>
        </w:tc>
        <w:tc>
          <w:tcPr>
            <w:tcW w:w="21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02"/>
        </w:trPr>
        <w:tc>
          <w:tcPr>
            <w:tcW w:w="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P-106</w:t>
            </w:r>
          </w:p>
        </w:tc>
        <w:tc>
          <w:tcPr>
            <w:tcW w:w="5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P-106 PLUMBING FLOOR PLAN - LEVEL 06</w:t>
            </w:r>
          </w:p>
        </w:tc>
        <w:tc>
          <w:tcPr>
            <w:tcW w:w="21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P-106.1</w:t>
            </w:r>
          </w:p>
        </w:tc>
        <w:tc>
          <w:tcPr>
            <w:tcW w:w="5520" w:type="dxa"/>
            <w:vAlign w:val="bottom"/>
          </w:tcPr>
          <w:p>
            <w:pPr>
              <w:ind w:left="280"/>
              <w:spacing w:after="0" w:line="201" w:lineRule="exact"/>
              <w:rPr>
                <w:sz w:val="20"/>
                <w:szCs w:val="20"/>
                <w:color w:val="auto"/>
              </w:rPr>
            </w:pPr>
            <w:r>
              <w:rPr>
                <w:rFonts w:ascii="Arial" w:cs="Arial" w:eastAsia="Arial" w:hAnsi="Arial"/>
                <w:sz w:val="18"/>
                <w:szCs w:val="18"/>
                <w:color w:val="auto"/>
              </w:rPr>
              <w:t>PLUMBING PLAN - FLOOR 06 SECTOR 01</w:t>
            </w:r>
          </w:p>
        </w:tc>
        <w:tc>
          <w:tcPr>
            <w:tcW w:w="21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0"/>
              </w:rPr>
              <w:t>Pribuss Engineering</w:t>
            </w:r>
          </w:p>
        </w:tc>
        <w:tc>
          <w:tcPr>
            <w:tcW w:w="1380" w:type="dxa"/>
            <w:vAlign w:val="bottom"/>
          </w:tcPr>
          <w:p>
            <w:pPr>
              <w:ind w:left="240"/>
              <w:spacing w:after="0" w:line="201" w:lineRule="exact"/>
              <w:rPr>
                <w:sz w:val="20"/>
                <w:szCs w:val="20"/>
                <w:color w:val="auto"/>
              </w:rPr>
            </w:pPr>
            <w:r>
              <w:rPr>
                <w:rFonts w:ascii="Arial" w:cs="Arial" w:eastAsia="Arial" w:hAnsi="Arial"/>
                <w:sz w:val="18"/>
                <w:szCs w:val="18"/>
                <w:color w:val="auto"/>
              </w:rPr>
              <w:t>CB #1040</w:t>
            </w:r>
          </w:p>
        </w:tc>
        <w:tc>
          <w:tcPr>
            <w:tcW w:w="15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4/4/2017</w:t>
            </w:r>
          </w:p>
        </w:tc>
      </w:tr>
      <w:tr>
        <w:trPr>
          <w:trHeight w:val="230"/>
        </w:trPr>
        <w:tc>
          <w:tcPr>
            <w:tcW w:w="86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160" w:type="dxa"/>
            <w:vAlign w:val="bottom"/>
          </w:tcPr>
          <w:p>
            <w:pPr>
              <w:jc w:val="center"/>
              <w:ind w:left="130"/>
              <w:spacing w:after="0"/>
              <w:rPr>
                <w:sz w:val="20"/>
                <w:szCs w:val="20"/>
                <w:color w:val="auto"/>
              </w:rPr>
            </w:pPr>
            <w:r>
              <w:rPr>
                <w:rFonts w:ascii="Arial" w:cs="Arial" w:eastAsia="Arial" w:hAnsi="Arial"/>
                <w:sz w:val="18"/>
                <w:szCs w:val="18"/>
                <w:color w:val="auto"/>
                <w:w w:val="90"/>
              </w:rPr>
              <w:t>and PDC, Inc.</w:t>
            </w: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8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195"/>
        </w:trPr>
        <w:tc>
          <w:tcPr>
            <w:tcW w:w="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79"/>
              </w:rPr>
              <w:t>P-106.2</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PLUMBING PLAN - FLOOR 06 SECTOR 02</w:t>
            </w:r>
          </w:p>
        </w:tc>
        <w:tc>
          <w:tcPr>
            <w:tcW w:w="1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Pribuss Engineering</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CB #1040</w:t>
            </w:r>
          </w:p>
        </w:tc>
        <w:tc>
          <w:tcPr>
            <w:tcW w:w="1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P-106.3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06 SECTOR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P-106.4</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06 SECTOR 04</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#1020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12/9/2016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P-107</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P-107 PLUMBING FLOOR PLAN - LEVEL 07</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P-107.1</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07 SECTOR 01</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P-107.2</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07 SECTOR 02</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P-107.3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07 SECTOR 03</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P-107.4</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07 SECTOR 04</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#1020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12/9/2016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P-108</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P-108 PLUMBING FLOOR PLAN - LEVEL 08</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P-108.1</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08 SECTOR 01</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P-108.3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08 SECTOR 03</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P-109</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P-109 PLUMBING FLOOR PLAN - LEVEL 09</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P-109.1</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09 SECTOR 01</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P-109.3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09 SECTOR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P-110</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P-110 PLUMBING FLOOR PLAN- LEVEL 10</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P-110.1</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10 SECTOR 01</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P-110.3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10 SECTOR 03</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P-111</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P-111 PLUMBING FLOOR PLAN - LEVEL 11</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P-111.1</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11 SECTOR 01</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P-111.3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11 SECTOR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P-112</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P-112 PLUMBING FLOOR PLAN- LEVEL 12</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P-112.1</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PLAN - FLOOR 12 SECTOR 01</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P-112.3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PLAN - FLOOR 12 SECTOR 03</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P-113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P-113 PLUMBING FLOOR PLAN - LEVEL ROOF</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P-113.1</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ROOF PLAN - SECTOR 01</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P-113.3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ROOFPLAN - SECTOR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P-301</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DETAILS</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P-411</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CORE 1 - ENLARGED PLANS FLOOR 01</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P-412</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CORE 1 AND 2 - ENLARGED PLANS FLOOR 01 AN</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P-413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CORE 1 - 4 ENLARGED PLANS FLOOR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P-414</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CORE 1 &amp; 3 ENLARGED PLANS FLOOR 04 AND PL</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P-415</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CORE 1 &amp; 3, ENLARGED PLANS FLOORS 05 - 12</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P-501</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RISER DIAGRAMS - WASTE &amp; VENT SECTORS 01,</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P-502</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RISER DIAGRAMS - WASTE &amp; VENT SECTORS 03,</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P-503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RISER DIAGRAMS - HOT &amp; COLD WATER SECTOR</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P-504</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PLUMBING RISER DIAGRAMS-HOT AND COLD WATER SECTO</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P-505</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PLUMBING RISER DIAGRAMS - RECLAIMED WATER SECTORS</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Pribuss Engineering</w:t>
            </w:r>
          </w:p>
        </w:tc>
        <w:tc>
          <w:tcPr>
            <w:tcW w:w="13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CB #1040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and PDC,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62"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7" w:name="page398"/>
    <w:bookmarkEnd w:id="397"/>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P-506</w:t>
            </w:r>
          </w:p>
        </w:tc>
        <w:tc>
          <w:tcPr>
            <w:tcW w:w="5440" w:type="dxa"/>
            <w:vAlign w:val="bottom"/>
          </w:tcPr>
          <w:p>
            <w:pPr>
              <w:ind w:left="60"/>
              <w:spacing w:after="0"/>
              <w:rPr>
                <w:sz w:val="20"/>
                <w:szCs w:val="20"/>
                <w:color w:val="auto"/>
              </w:rPr>
            </w:pPr>
            <w:r>
              <w:rPr>
                <w:rFonts w:ascii="Arial" w:cs="Arial" w:eastAsia="Arial" w:hAnsi="Arial"/>
                <w:sz w:val="18"/>
                <w:szCs w:val="18"/>
                <w:color w:val="auto"/>
                <w:w w:val="99"/>
              </w:rPr>
              <w:t>PLUMBING RISER DIAGRAMS - RECLAIMED WATER SECTORS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Pribuss Engineering</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2"/>
              </w:rPr>
              <w:t>CB #1040</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4/4/2017</w:t>
            </w:r>
          </w:p>
        </w:tc>
      </w:tr>
      <w:tr>
        <w:trPr>
          <w:trHeight w:val="230"/>
        </w:trPr>
        <w:tc>
          <w:tcPr>
            <w:tcW w:w="10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and PDC, Inc.</w:t>
            </w: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02"/>
        </w:trPr>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P-507</w:t>
            </w:r>
          </w:p>
        </w:tc>
        <w:tc>
          <w:tcPr>
            <w:tcW w:w="54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NATURAL GAS RISER DIAGRAMS</w:t>
            </w:r>
          </w:p>
        </w:tc>
        <w:tc>
          <w:tcPr>
            <w:tcW w:w="1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Pribuss Engineering</w:t>
            </w:r>
          </w:p>
        </w:tc>
        <w:tc>
          <w:tcPr>
            <w:tcW w:w="14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2"/>
              </w:rPr>
              <w:t>CB #1040</w:t>
            </w:r>
          </w:p>
        </w:tc>
        <w:tc>
          <w:tcPr>
            <w:tcW w:w="1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4/4/2017</w:t>
            </w:r>
          </w:p>
        </w:tc>
      </w:tr>
      <w:tr>
        <w:trPr>
          <w:trHeight w:val="230"/>
        </w:trPr>
        <w:tc>
          <w:tcPr>
            <w:tcW w:w="1080" w:type="dxa"/>
            <w:vAlign w:val="bottom"/>
            <w:shd w:val="clear" w:color="auto" w:fill="CCEEFF"/>
          </w:tcPr>
          <w:p>
            <w:pPr>
              <w:spacing w:after="0"/>
              <w:rPr>
                <w:sz w:val="20"/>
                <w:szCs w:val="20"/>
                <w:color w:val="auto"/>
              </w:rPr>
            </w:pPr>
          </w:p>
        </w:tc>
        <w:tc>
          <w:tcPr>
            <w:tcW w:w="544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and PDC, Inc.</w:t>
            </w:r>
          </w:p>
        </w:tc>
        <w:tc>
          <w:tcPr>
            <w:tcW w:w="14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Rendering 1</w:t>
            </w:r>
          </w:p>
        </w:tc>
        <w:tc>
          <w:tcPr>
            <w:tcW w:w="5440" w:type="dxa"/>
            <w:vAlign w:val="bottom"/>
          </w:tcPr>
          <w:p>
            <w:pPr>
              <w:ind w:left="60"/>
              <w:spacing w:after="0"/>
              <w:rPr>
                <w:sz w:val="20"/>
                <w:szCs w:val="20"/>
                <w:color w:val="auto"/>
              </w:rPr>
            </w:pPr>
            <w:r>
              <w:rPr>
                <w:rFonts w:ascii="Arial" w:cs="Arial" w:eastAsia="Arial" w:hAnsi="Arial"/>
                <w:sz w:val="18"/>
                <w:szCs w:val="18"/>
                <w:color w:val="auto"/>
              </w:rPr>
              <w:t>Elevator Finishes</w:t>
            </w:r>
          </w:p>
        </w:tc>
        <w:tc>
          <w:tcPr>
            <w:tcW w:w="188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2"/>
              </w:rPr>
              <w:t>CB #1031</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3/29/2017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Rendering 2</w:t>
            </w: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Rendering 2</w:t>
            </w:r>
          </w:p>
        </w:tc>
        <w:tc>
          <w:tcPr>
            <w:tcW w:w="18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CB #1031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3/29/2017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SK. 109A-R1</w:t>
            </w:r>
          </w:p>
        </w:tc>
        <w:tc>
          <w:tcPr>
            <w:tcW w:w="5440" w:type="dxa"/>
            <w:vAlign w:val="bottom"/>
          </w:tcPr>
          <w:p>
            <w:pPr>
              <w:ind w:left="60"/>
              <w:spacing w:after="0"/>
              <w:rPr>
                <w:sz w:val="20"/>
                <w:szCs w:val="20"/>
                <w:color w:val="auto"/>
              </w:rPr>
            </w:pPr>
            <w:r>
              <w:rPr>
                <w:rFonts w:ascii="Arial" w:cs="Arial" w:eastAsia="Arial" w:hAnsi="Arial"/>
                <w:sz w:val="18"/>
                <w:szCs w:val="18"/>
                <w:color w:val="auto"/>
              </w:rPr>
              <w:t>Elevator Plans</w:t>
            </w:r>
          </w:p>
        </w:tc>
        <w:tc>
          <w:tcPr>
            <w:tcW w:w="188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2"/>
              </w:rPr>
              <w:t>CB #1031</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3/29/2017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SK.109BR1</w:t>
            </w: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Elevator Interior Elevations</w:t>
            </w:r>
          </w:p>
        </w:tc>
        <w:tc>
          <w:tcPr>
            <w:tcW w:w="18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CB #1031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3/29/2017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BAS-101</w:t>
            </w:r>
          </w:p>
        </w:tc>
        <w:tc>
          <w:tcPr>
            <w:tcW w:w="5440" w:type="dxa"/>
            <w:vAlign w:val="bottom"/>
          </w:tcPr>
          <w:p>
            <w:pPr>
              <w:ind w:left="60"/>
              <w:spacing w:after="0"/>
              <w:rPr>
                <w:sz w:val="20"/>
                <w:szCs w:val="20"/>
                <w:color w:val="auto"/>
              </w:rPr>
            </w:pPr>
            <w:r>
              <w:rPr>
                <w:rFonts w:ascii="Arial" w:cs="Arial" w:eastAsia="Arial" w:hAnsi="Arial"/>
                <w:sz w:val="18"/>
                <w:szCs w:val="18"/>
                <w:color w:val="auto"/>
              </w:rPr>
              <w:t>CONTROLS DIAGRAMS</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Taylor Engineering</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2"/>
              </w:rPr>
              <w:t>CB #1024</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2/20/2017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BAS-102</w:t>
            </w: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DIAGRAMS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Taylor Engineering</w:t>
            </w:r>
          </w:p>
        </w:tc>
        <w:tc>
          <w:tcPr>
            <w:tcW w:w="14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CB #1024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2/20/2017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BAS-103</w:t>
            </w:r>
          </w:p>
        </w:tc>
        <w:tc>
          <w:tcPr>
            <w:tcW w:w="5440" w:type="dxa"/>
            <w:vAlign w:val="bottom"/>
          </w:tcPr>
          <w:p>
            <w:pPr>
              <w:ind w:left="60"/>
              <w:spacing w:after="0"/>
              <w:rPr>
                <w:sz w:val="20"/>
                <w:szCs w:val="20"/>
                <w:color w:val="auto"/>
              </w:rPr>
            </w:pPr>
            <w:r>
              <w:rPr>
                <w:rFonts w:ascii="Arial" w:cs="Arial" w:eastAsia="Arial" w:hAnsi="Arial"/>
                <w:sz w:val="18"/>
                <w:szCs w:val="18"/>
                <w:color w:val="auto"/>
              </w:rPr>
              <w:t>CONTROL DIAGRAMS</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Taylor Engineering</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2"/>
              </w:rPr>
              <w:t>CB #1024</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2/20/2017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00 0101</w:t>
            </w: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Title Page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4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CB #1049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00 0110</w:t>
            </w:r>
          </w:p>
        </w:tc>
        <w:tc>
          <w:tcPr>
            <w:tcW w:w="5440" w:type="dxa"/>
            <w:vAlign w:val="bottom"/>
          </w:tcPr>
          <w:p>
            <w:pPr>
              <w:ind w:left="60"/>
              <w:spacing w:after="0"/>
              <w:rPr>
                <w:sz w:val="20"/>
                <w:szCs w:val="20"/>
                <w:color w:val="auto"/>
              </w:rPr>
            </w:pPr>
            <w:r>
              <w:rPr>
                <w:rFonts w:ascii="Arial" w:cs="Arial" w:eastAsia="Arial" w:hAnsi="Arial"/>
                <w:sz w:val="18"/>
                <w:szCs w:val="18"/>
                <w:color w:val="auto"/>
              </w:rPr>
              <w:t>Table of Contents</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Flad / RCH</w:t>
            </w: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2"/>
              </w:rPr>
              <w:t>CB #1049</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00 0120</w:t>
            </w:r>
          </w:p>
        </w:tc>
        <w:tc>
          <w:tcPr>
            <w:tcW w:w="5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Project Directory</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4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100% CD’s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01 1000</w:t>
            </w:r>
          </w:p>
        </w:tc>
        <w:tc>
          <w:tcPr>
            <w:tcW w:w="5440" w:type="dxa"/>
            <w:vAlign w:val="bottom"/>
          </w:tcPr>
          <w:p>
            <w:pPr>
              <w:ind w:left="60"/>
              <w:spacing w:after="0"/>
              <w:rPr>
                <w:sz w:val="20"/>
                <w:szCs w:val="20"/>
                <w:color w:val="auto"/>
              </w:rPr>
            </w:pPr>
            <w:r>
              <w:rPr>
                <w:rFonts w:ascii="Arial" w:cs="Arial" w:eastAsia="Arial" w:hAnsi="Arial"/>
                <w:sz w:val="18"/>
                <w:szCs w:val="18"/>
                <w:color w:val="auto"/>
              </w:rPr>
              <w:t>Summary of Work</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Flad / RCH</w:t>
            </w: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3"/>
              </w:rPr>
              <w:t>100% CD’s</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1/8/2016</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8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01 2300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Alternates</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 CD’s</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01 2500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Substitution Procedures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01 2600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Contract Modification Procedure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01 2613</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Requests for Interpretation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01 2900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Payment Procedures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01 3100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Project Management and Coordination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01 3233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Photographic Documentation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01 3300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Submittal Procedures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01 3325</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Delegated Design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01 3560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Sustainable Design Requirements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01 3561</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WELL Building Design Requirements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01 4000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Quality Requirements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01 4100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Regulatory Requirements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01 4200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References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01 4339</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Mockups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01 4510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Façade Mockup Testing and Quality Assurance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CB # 1009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4/29/2016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01 4520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Concrete Moisture Testing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01 4529</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Testing Laboratory Services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01 5000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Temporary Facilities and Controls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01 6000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Product Requirements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01 7123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Field Engineering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01 7300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Execution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01 7329</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Cutting and Patching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01 7419</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Construction Waste Management and Disposal</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01 7423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Final Cleaning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01 7700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Closeout Procedures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01 7836</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Warranties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01 7839</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Project Record Documents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01 9100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General Commissioning Requirements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03 1000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Concrete Formwork</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03 2000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Concrete Reinforcement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03 3000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Cast-In-Place Concrete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03 3001</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Cast-In-Place Concrete - Civil</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03 3300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Architectural Concrete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03 3450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Concrete Finishing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03 3650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Concrete Post-Tensioning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03 3713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Shotcrete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03 4500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Precast Architectural Concrete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03 4513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Faced Architectural Precast Concrete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03 4830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Precast Concrete Parking Bumpers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03 4900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Glass-Fiber Reinforced Concrete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03 5415</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Portland Cement Underlayment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03 5600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Concrete Fill for Metal Pan Stairs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04 2000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Concrete Unit Masonry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04 2113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Anchored Brick Veneer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05 1200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Structural Steel</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05 3000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Metal Decking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05 4100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Structural Metal Stud Framing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05 5000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Metal Fabrications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05 5100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Metal Stairs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05 5220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Vehicle Guardrail Strand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05 7000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Decorative Metal</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CB # 1022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5/18/2017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06 1053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Miscellaneous Rough Carpentry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CB # 1019</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06 1643</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Gypsum Sheathing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06 2013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Exterior Finish Carpentry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06 4100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Architectural Wood Casework</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5/18/2017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06 4200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Wood Paneling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5/18/2017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2" w:right="2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06 6420</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Reinforced Plastic Wall Paneling</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 CD’s</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07 1355</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Below-Grade Waterproofing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07 1416</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Cold Fluid Applied Waterproofing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07 1418</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Fluid-Applied Tank Waterproofing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07 1616</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Crystalline Waterproofing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07 1821</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Waterproof Floor Coating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07 1916</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Silone Water Repellent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07 2020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Light Weight Insulating Concrete Roof Insulation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07 2100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Thermal Board and Blanket Insulation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07 2616</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Below-Grade Vapor Retarder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07 2623.19</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Fluid Applied Gas Barrier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07 2726</w:t>
            </w:r>
          </w:p>
        </w:tc>
        <w:tc>
          <w:tcPr>
            <w:tcW w:w="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strike w:val="1"/>
                <w:w w:val="99"/>
              </w:rPr>
              <w:t>Fluid Applied</w:t>
            </w:r>
          </w:p>
        </w:tc>
        <w:tc>
          <w:tcPr>
            <w:tcW w:w="4420" w:type="dxa"/>
            <w:vAlign w:val="bottom"/>
            <w:gridSpan w:val="2"/>
          </w:tcPr>
          <w:p>
            <w:pPr>
              <w:spacing w:after="0"/>
              <w:rPr>
                <w:sz w:val="20"/>
                <w:szCs w:val="20"/>
                <w:color w:val="auto"/>
              </w:rPr>
            </w:pPr>
            <w:r>
              <w:rPr>
                <w:rFonts w:ascii="Arial" w:cs="Arial" w:eastAsia="Arial" w:hAnsi="Arial"/>
                <w:sz w:val="18"/>
                <w:szCs w:val="18"/>
                <w:color w:val="auto"/>
              </w:rPr>
              <w:t>Self-Adhered Membrane Air Barriers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3/14/2017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07 4213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Metal Wall Panels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07 5200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Modified Bituminous Membrane Roofing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07 6113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Sheet Metal Roofing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07 6200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Sheet Metal Flashing and Trim</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07 6500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Flexible Flashing and Underlayment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07 7618</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Pedestal Roof Pavers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07 8116</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Cementitious Fireproofing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07 8400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Firestopping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07 9200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Joint Sealants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07 9513</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Expansion Joint Cover Assemblies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08 1113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Hollow Metal Doors and Frames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08 1400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Wood Doors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08 1713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Integrated Door Opening Assemblies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08 3100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Access Doors and Panels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08 3323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Overhead Coiling Doors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08 3326</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Overhead Coiling Grilles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08 3473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Sound Control Opening Assemblies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08 4213</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Aluminum Framed Entrances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08 4226</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All-Glass Entrances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08 4233</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Revolving Doors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008 4330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Interior Storefront and All Glass Entrances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5/18/2017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08 4313</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Aluminum Framed Storefronts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08 4413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Glazed Aluminum Curtain Walls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08 7100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Door Hardware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CB # 1044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5/4/2017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08 7113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Automatic Door Operators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08 8000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Glazing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08 9110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Metal Wall Louvers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09 2116</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Gypsum Board Shaft-Wall Assemblies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09 2216</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Non-Structural Metal Framing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09 2400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Portland Cement Plastering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09 2900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Gypsum Board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#1022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5/18/2017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09 3000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Tiling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#1049</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8/4/2017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09 6120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Concrete Floor Sealer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09 6428</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Prefinished Wood Strip Flooring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09 7513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Stone Wall Facing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09 8200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Acoustic Insulation and Sealants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09 9000</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Painting and Coating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CB # 1044</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09 9125</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Pavement Markings in Garage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09 9623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Graffiti-Resistant Coating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10 1400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Signage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#1022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5/18/2017</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10 2113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Metal Toilet Compartments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10 2612</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Wall and Corner Guards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10 2813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Toilet Accessories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10 4400</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Fire Protection Specialties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10 5113</w:t>
            </w:r>
          </w:p>
        </w:tc>
        <w:tc>
          <w:tcPr>
            <w:tcW w:w="56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Metal Lockers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2" w:right="23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8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10 5123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Plastic-Laminate-Clad Lockers</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CB # 1038 R</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10 8214</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Mechanical Equipment Screens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3/3/2017</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11 1140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Electric Charging Stations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11 1200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Parking Control Equipment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11 1300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Loading Dock Equipment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11 1630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Lock Boxes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11 2423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Maintenance System</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11 8226</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Waste Compactor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12 3623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Plastic Laminate Countertops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#1038R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4/13/2017</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12 3640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Stone Countertops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12 4813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Entrance Floor Mats and Frames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12 9300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Site Furniture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12 9313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Bicycle Racks and Lockers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14 2100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Electric Traction Elevators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21 0000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Water Based Fire Suppression</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Taylor Engineering</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22 0000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Plumbing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PDC</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23 0000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Heating Ventilating &amp; Air Conditioning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Taylor Engineering</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25 0000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Building Automation Systems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Taylor Engineering</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#1037</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2/27/2017</w:t>
            </w: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26 0010</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Basic Electrical Requirements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26 0060</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Power system Study</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26 0500</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Joint Trench and Appurtenances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26 0513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Medium-Voltage Cables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26 0519</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Building Wire and Cable</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26 0526</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Grounding and Bonding</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26 0529</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Electrical Hangers and Supports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26 0531</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Conduit</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26 0533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Boxes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26 0553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Electrical Identification</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26 0943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Network Addressable Lighting Control</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26 1116</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Secondary Unit Substations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26 1313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Medium-Voltage Primary Switchgear</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26 2213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Dry Type Transformers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26 2413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Switchboards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26 2416</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Panelboards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26 2500</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Busway</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26 2726</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Wiring Devices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26 2733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Electrical Power Sub-Metering</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26 2816</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Overcurrent Protective Devices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26 2819</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Disconnect Switches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26 2900</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Motor Controls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26 3213</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Packaged Engine Generator System</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26 3623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Transfer Switches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26 5100</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Building Lighting</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26 6113</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Fire Alarm System</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26 6226</w:t>
            </w: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Area of Refuge Communication System</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860" w:type="dxa"/>
            <w:vAlign w:val="bottom"/>
            <w:gridSpan w:val="2"/>
          </w:tcPr>
          <w:p>
            <w:pPr>
              <w:spacing w:after="0" w:line="201" w:lineRule="exact"/>
              <w:rPr>
                <w:sz w:val="20"/>
                <w:szCs w:val="20"/>
                <w:color w:val="auto"/>
              </w:rPr>
            </w:pPr>
            <w:r>
              <w:rPr>
                <w:rFonts w:ascii="Arial" w:cs="Arial" w:eastAsia="Arial" w:hAnsi="Arial"/>
                <w:sz w:val="18"/>
                <w:szCs w:val="18"/>
                <w:color w:val="auto"/>
              </w:rPr>
              <w:t>26 6316</w:t>
            </w: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Distributed Antenna System (DAS)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Morrow Meadows and</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VHK, Inc.</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62" w:right="2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01" w:name="page402"/>
    <w:bookmarkEnd w:id="401"/>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27 0500</w:t>
            </w:r>
          </w:p>
        </w:tc>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Work Results for Communications</w:t>
            </w:r>
          </w:p>
        </w:tc>
        <w:tc>
          <w:tcPr>
            <w:tcW w:w="19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27 0526</w:t>
            </w:r>
          </w:p>
        </w:tc>
        <w:tc>
          <w:tcPr>
            <w:tcW w:w="5420" w:type="dxa"/>
            <w:vAlign w:val="bottom"/>
          </w:tcPr>
          <w:p>
            <w:pPr>
              <w:ind w:left="280"/>
              <w:spacing w:after="0"/>
              <w:rPr>
                <w:sz w:val="20"/>
                <w:szCs w:val="20"/>
                <w:color w:val="auto"/>
              </w:rPr>
            </w:pPr>
            <w:r>
              <w:rPr>
                <w:rFonts w:ascii="Arial" w:cs="Arial" w:eastAsia="Arial" w:hAnsi="Arial"/>
                <w:sz w:val="18"/>
                <w:szCs w:val="18"/>
                <w:color w:val="auto"/>
              </w:rPr>
              <w:t>Grounding and Bonding for Communications Systems</w:t>
            </w:r>
          </w:p>
        </w:tc>
        <w:tc>
          <w:tcPr>
            <w:tcW w:w="1980" w:type="dxa"/>
            <w:vAlign w:val="bottom"/>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27 0529</w:t>
            </w:r>
          </w:p>
        </w:tc>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Hangers and Supports for Communications</w:t>
            </w:r>
          </w:p>
        </w:tc>
        <w:tc>
          <w:tcPr>
            <w:tcW w:w="19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27 0533</w:t>
            </w:r>
          </w:p>
        </w:tc>
        <w:tc>
          <w:tcPr>
            <w:tcW w:w="5420" w:type="dxa"/>
            <w:vAlign w:val="bottom"/>
          </w:tcPr>
          <w:p>
            <w:pPr>
              <w:ind w:left="280"/>
              <w:spacing w:after="0"/>
              <w:rPr>
                <w:sz w:val="20"/>
                <w:szCs w:val="20"/>
                <w:color w:val="auto"/>
              </w:rPr>
            </w:pPr>
            <w:r>
              <w:rPr>
                <w:rFonts w:ascii="Arial" w:cs="Arial" w:eastAsia="Arial" w:hAnsi="Arial"/>
                <w:sz w:val="18"/>
                <w:szCs w:val="18"/>
                <w:color w:val="auto"/>
              </w:rPr>
              <w:t>Conduits and Backboxes for Communications</w:t>
            </w:r>
          </w:p>
        </w:tc>
        <w:tc>
          <w:tcPr>
            <w:tcW w:w="1980" w:type="dxa"/>
            <w:vAlign w:val="bottom"/>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27 0536</w:t>
            </w:r>
          </w:p>
        </w:tc>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Cable Trays for Communications Systems</w:t>
            </w:r>
          </w:p>
        </w:tc>
        <w:tc>
          <w:tcPr>
            <w:tcW w:w="19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27 0543</w:t>
            </w:r>
          </w:p>
        </w:tc>
        <w:tc>
          <w:tcPr>
            <w:tcW w:w="5420" w:type="dxa"/>
            <w:vAlign w:val="bottom"/>
          </w:tcPr>
          <w:p>
            <w:pPr>
              <w:ind w:left="280"/>
              <w:spacing w:after="0"/>
              <w:rPr>
                <w:sz w:val="20"/>
                <w:szCs w:val="20"/>
                <w:color w:val="auto"/>
              </w:rPr>
            </w:pPr>
            <w:r>
              <w:rPr>
                <w:rFonts w:ascii="Arial" w:cs="Arial" w:eastAsia="Arial" w:hAnsi="Arial"/>
                <w:sz w:val="18"/>
                <w:szCs w:val="18"/>
                <w:color w:val="auto"/>
              </w:rPr>
              <w:t>Underground Ducts and Raceways for Communications Syst</w:t>
            </w:r>
          </w:p>
        </w:tc>
        <w:tc>
          <w:tcPr>
            <w:tcW w:w="1980" w:type="dxa"/>
            <w:vAlign w:val="bottom"/>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27 0548</w:t>
            </w:r>
          </w:p>
        </w:tc>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Noise and Vibration for Communications Systems</w:t>
            </w:r>
          </w:p>
        </w:tc>
        <w:tc>
          <w:tcPr>
            <w:tcW w:w="19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27 0553</w:t>
            </w:r>
          </w:p>
        </w:tc>
        <w:tc>
          <w:tcPr>
            <w:tcW w:w="5420" w:type="dxa"/>
            <w:vAlign w:val="bottom"/>
          </w:tcPr>
          <w:p>
            <w:pPr>
              <w:ind w:left="280"/>
              <w:spacing w:after="0"/>
              <w:rPr>
                <w:sz w:val="20"/>
                <w:szCs w:val="20"/>
                <w:color w:val="auto"/>
              </w:rPr>
            </w:pPr>
            <w:r>
              <w:rPr>
                <w:rFonts w:ascii="Arial" w:cs="Arial" w:eastAsia="Arial" w:hAnsi="Arial"/>
                <w:sz w:val="18"/>
                <w:szCs w:val="18"/>
                <w:color w:val="auto"/>
              </w:rPr>
              <w:t>Identification for Communications Systems</w:t>
            </w:r>
          </w:p>
        </w:tc>
        <w:tc>
          <w:tcPr>
            <w:tcW w:w="1980" w:type="dxa"/>
            <w:vAlign w:val="bottom"/>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27 1000</w:t>
            </w:r>
          </w:p>
        </w:tc>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Structured Cabling Basic Materials &amp; Methods</w:t>
            </w:r>
          </w:p>
        </w:tc>
        <w:tc>
          <w:tcPr>
            <w:tcW w:w="19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27 1116</w:t>
            </w:r>
          </w:p>
        </w:tc>
        <w:tc>
          <w:tcPr>
            <w:tcW w:w="5420" w:type="dxa"/>
            <w:vAlign w:val="bottom"/>
          </w:tcPr>
          <w:p>
            <w:pPr>
              <w:ind w:left="280"/>
              <w:spacing w:after="0"/>
              <w:rPr>
                <w:sz w:val="20"/>
                <w:szCs w:val="20"/>
                <w:color w:val="auto"/>
              </w:rPr>
            </w:pPr>
            <w:r>
              <w:rPr>
                <w:rFonts w:ascii="Arial" w:cs="Arial" w:eastAsia="Arial" w:hAnsi="Arial"/>
                <w:sz w:val="18"/>
                <w:szCs w:val="18"/>
                <w:color w:val="auto"/>
              </w:rPr>
              <w:t>Communications Cabinets Racks Frames and Enclosures</w:t>
            </w:r>
          </w:p>
        </w:tc>
        <w:tc>
          <w:tcPr>
            <w:tcW w:w="1980" w:type="dxa"/>
            <w:vAlign w:val="bottom"/>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1/8/2016</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27 1119</w:t>
            </w:r>
          </w:p>
        </w:tc>
        <w:tc>
          <w:tcPr>
            <w:tcW w:w="5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Communications Termination Blocks and Patch Panels</w:t>
            </w:r>
          </w:p>
        </w:tc>
        <w:tc>
          <w:tcPr>
            <w:tcW w:w="19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Flad / RCH</w:t>
            </w:r>
          </w:p>
        </w:tc>
        <w:tc>
          <w:tcPr>
            <w:tcW w:w="1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CD’s</w:t>
            </w: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1/8/2016</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Doc</w:t>
            </w:r>
          </w:p>
        </w:tc>
        <w:tc>
          <w:tcPr>
            <w:tcW w:w="280" w:type="dxa"/>
            <w:vAlign w:val="bottom"/>
          </w:tcPr>
          <w:p>
            <w:pPr>
              <w:spacing w:after="0"/>
              <w:rPr>
                <w:sz w:val="14"/>
                <w:szCs w:val="14"/>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Doc</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r>
      <w:tr>
        <w:trPr>
          <w:trHeight w:val="176"/>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5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Name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Doc Update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Doc Date</w:t>
            </w:r>
          </w:p>
        </w:tc>
      </w:tr>
      <w:tr>
        <w:trPr>
          <w:trHeight w:val="210"/>
        </w:trPr>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6"/>
              </w:rPr>
              <w:t>27 1123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Communications Cable Management</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Flad / RCH</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 CD’s</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27 1300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Communications Indoor Cabling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27 1500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Communications Horizontal Cabling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27 3226</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Ring-Down Emergency Telephones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28 0500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Common Work Results for Electronic Safety and Security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28 0513</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Conductors and Cables for Electronic Safety and Security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28 0526</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Grounding and Bonding for Electronic Safety and Security</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28 0528</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Pathways for Electronic Safety and Security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28 1300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Access Control</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28 2300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Video Surveillance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31 2000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Earth Moving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31 2317</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Trenching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31 6216</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Driven Steel Piling</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32 1316</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Landscape Concrete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Merrill-Morris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32 1400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Unit Pavers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Merrill-Morris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32 1613</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Concrete Curbs and Gutters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32 3113</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Chain Link Fences and Gates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32 4000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Site Carpentry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Merrill-Morris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32 8400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Irrigation</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Merrill-Morris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32 9000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Planting</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Merrill-Morris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33 0516</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Utility Structures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33 1000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Water Utilities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33 3000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Sanitary Sewerage Utilities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33 4000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Storm Drainage Utilities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33 4600</w:t>
            </w: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Landscape Drainage</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860" w:type="dxa"/>
            <w:vAlign w:val="bottom"/>
            <w:gridSpan w:val="2"/>
          </w:tcPr>
          <w:p>
            <w:pPr>
              <w:spacing w:after="0"/>
              <w:rPr>
                <w:sz w:val="20"/>
                <w:szCs w:val="20"/>
                <w:color w:val="auto"/>
              </w:rPr>
            </w:pPr>
            <w:r>
              <w:rPr>
                <w:rFonts w:ascii="Arial" w:cs="Arial" w:eastAsia="Arial" w:hAnsi="Arial"/>
                <w:sz w:val="18"/>
                <w:szCs w:val="18"/>
                <w:color w:val="auto"/>
              </w:rPr>
              <w:t>33 5100</w:t>
            </w: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Natural Gas Distribution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BKF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02"/>
        </w:trPr>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Preliminary Geotechnical Investigation</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Langan Treadwell</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Rollo</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02"/>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76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Stone Column Summary Letter</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Langan Treadwell</w:t>
            </w:r>
          </w:p>
        </w:tc>
        <w:tc>
          <w:tcPr>
            <w:tcW w:w="13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Rollo</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2"/>
        </w:trPr>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76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Ground Improvement Plans</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Langan Treadwell</w:t>
            </w:r>
          </w:p>
        </w:tc>
        <w:tc>
          <w:tcPr>
            <w:tcW w:w="13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Rollo</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Electrical Basis of Design</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Flad Architects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CB #1037</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2/27/2017</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MECHANICAL BASIS OF DESIGN</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Flad Architects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#1037</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2/27/2017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M5.1 HCW AND CW PIPING</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Flad Architects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HVAC Equipment Coordination Table</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Flad Architects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CB #1037</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2/27/2017</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LEED Project Checklist</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LEED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WELL Action List</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Flad Architects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Acoustic and Vibration Basis of Design Report May 13, 2015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Papadimos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Exterior Noise Study Summary Report May 13, 2015</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Papadimos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Site Vibration Study Summary Report July 31, 2015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Papadimos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Commissioning Process Timeline (Fundamental + Enhanced)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EBS</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Enhanced Commissioning Deliverables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EBS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NOT USED</w:t>
            </w:r>
          </w:p>
        </w:tc>
        <w:tc>
          <w:tcPr>
            <w:tcW w:w="1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Exterior Building Maintenance - Schematic Design Façade A</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SRS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Wind Engineering - Wind Report</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CPP</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Energy Modeling</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Ambient Energy</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r>
        <w:trPr>
          <w:trHeight w:val="216"/>
        </w:trPr>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Glass Types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Flad / RCH</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1/8/2016</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280"/>
              <w:spacing w:after="0"/>
              <w:rPr>
                <w:sz w:val="20"/>
                <w:szCs w:val="20"/>
                <w:color w:val="auto"/>
              </w:rPr>
            </w:pPr>
            <w:r>
              <w:rPr>
                <w:rFonts w:ascii="Arial" w:cs="Arial" w:eastAsia="Arial" w:hAnsi="Arial"/>
                <w:sz w:val="18"/>
                <w:szCs w:val="18"/>
                <w:color w:val="auto"/>
              </w:rPr>
              <w:t>Plumbing Basis of Design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Taylor Engineering</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100% CD’s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1/8/2016</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2" w:right="23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SCHEDULE 2 TO EXHIBIT B</w:t>
            </w:r>
          </w:p>
        </w:tc>
        <w:tc>
          <w:tcPr>
            <w:tcW w:w="4420" w:type="dxa"/>
            <w:vAlign w:val="bottom"/>
            <w:gridSpan w:val="2"/>
          </w:tcPr>
          <w:p>
            <w:pPr>
              <w:spacing w:after="0"/>
              <w:rPr>
                <w:sz w:val="17"/>
                <w:szCs w:val="17"/>
                <w:color w:val="auto"/>
              </w:rPr>
            </w:pPr>
          </w:p>
        </w:tc>
      </w:tr>
      <w:tr>
        <w:trPr>
          <w:trHeight w:val="412"/>
        </w:trPr>
        <w:tc>
          <w:tcPr>
            <w:tcW w:w="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00" w:type="dxa"/>
            <w:vAlign w:val="bottom"/>
            <w:gridSpan w:val="4"/>
          </w:tcPr>
          <w:p>
            <w:pPr>
              <w:jc w:val="center"/>
              <w:ind w:right="4340"/>
              <w:spacing w:after="0"/>
              <w:rPr>
                <w:sz w:val="20"/>
                <w:szCs w:val="20"/>
                <w:color w:val="auto"/>
              </w:rPr>
            </w:pPr>
            <w:r>
              <w:rPr>
                <w:rFonts w:ascii="Arial" w:cs="Arial" w:eastAsia="Arial" w:hAnsi="Arial"/>
                <w:sz w:val="18"/>
                <w:szCs w:val="18"/>
                <w:b w:val="1"/>
                <w:bCs w:val="1"/>
                <w:color w:val="auto"/>
              </w:rPr>
              <w:t>BASE BUILDING DEFINITION</w:t>
            </w:r>
          </w:p>
        </w:tc>
      </w:tr>
      <w:tr>
        <w:trPr>
          <w:trHeight w:val="480"/>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SITEWORK</w:t>
            </w:r>
          </w:p>
        </w:tc>
        <w:tc>
          <w:tcPr>
            <w:tcW w:w="1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r>
        <w:trPr>
          <w:trHeight w:val="337"/>
        </w:trPr>
        <w:tc>
          <w:tcPr>
            <w:tcW w:w="3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440" w:type="dxa"/>
            <w:vAlign w:val="bottom"/>
          </w:tcPr>
          <w:p>
            <w:pPr>
              <w:ind w:left="100"/>
              <w:spacing w:after="0"/>
              <w:rPr>
                <w:sz w:val="20"/>
                <w:szCs w:val="20"/>
                <w:color w:val="auto"/>
              </w:rPr>
            </w:pPr>
            <w:r>
              <w:rPr>
                <w:rFonts w:ascii="Arial" w:cs="Arial" w:eastAsia="Arial" w:hAnsi="Arial"/>
                <w:sz w:val="18"/>
                <w:szCs w:val="18"/>
                <w:color w:val="auto"/>
              </w:rPr>
              <w:t>Landscaping and Hardscape</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89"/>
              </w:rPr>
              <w:t>Complete landscape and hardscape development is provided as a part of the Base Building development, as indicated</w:t>
            </w:r>
          </w:p>
        </w:tc>
      </w:tr>
      <w:tr>
        <w:trPr>
          <w:trHeight w:val="230"/>
        </w:trPr>
        <w:tc>
          <w:tcPr>
            <w:tcW w:w="300" w:type="dxa"/>
            <w:vAlign w:val="bottom"/>
          </w:tcPr>
          <w:p>
            <w:pPr>
              <w:spacing w:after="0"/>
              <w:rPr>
                <w:sz w:val="20"/>
                <w:szCs w:val="20"/>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(Paving)</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on Base Building Plans.</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40" w:type="dxa"/>
            <w:vAlign w:val="bottom"/>
          </w:tcPr>
          <w:p>
            <w:pPr>
              <w:ind w:left="100"/>
              <w:spacing w:after="0"/>
              <w:rPr>
                <w:sz w:val="20"/>
                <w:szCs w:val="20"/>
                <w:color w:val="auto"/>
              </w:rPr>
            </w:pPr>
            <w:r>
              <w:rPr>
                <w:rFonts w:ascii="Arial" w:cs="Arial" w:eastAsia="Arial" w:hAnsi="Arial"/>
                <w:sz w:val="18"/>
                <w:szCs w:val="18"/>
                <w:color w:val="auto"/>
              </w:rPr>
              <w:t>Fixed Site Furniture</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2"/>
              </w:rPr>
              <w:t>Fixed site furniture including fixed benches, waste receptacles, etc. are provided as indicated on the Base Building</w:t>
            </w:r>
          </w:p>
        </w:tc>
      </w:tr>
      <w:tr>
        <w:trPr>
          <w:trHeight w:val="230"/>
        </w:trPr>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Plans.</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440" w:type="dxa"/>
            <w:vAlign w:val="bottom"/>
          </w:tcPr>
          <w:p>
            <w:pPr>
              <w:ind w:left="100"/>
              <w:spacing w:after="0"/>
              <w:rPr>
                <w:sz w:val="20"/>
                <w:szCs w:val="20"/>
                <w:color w:val="auto"/>
              </w:rPr>
            </w:pPr>
            <w:r>
              <w:rPr>
                <w:rFonts w:ascii="Arial" w:cs="Arial" w:eastAsia="Arial" w:hAnsi="Arial"/>
                <w:sz w:val="18"/>
                <w:szCs w:val="18"/>
                <w:color w:val="auto"/>
              </w:rPr>
              <w:t>Exterior Bicycle Racks</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Bicycle racks as required by Code.</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40" w:type="dxa"/>
            <w:vAlign w:val="bottom"/>
          </w:tcPr>
          <w:p>
            <w:pPr>
              <w:ind w:left="100"/>
              <w:spacing w:after="0"/>
              <w:rPr>
                <w:sz w:val="20"/>
                <w:szCs w:val="20"/>
                <w:color w:val="auto"/>
              </w:rPr>
            </w:pPr>
            <w:r>
              <w:rPr>
                <w:rFonts w:ascii="Arial" w:cs="Arial" w:eastAsia="Arial" w:hAnsi="Arial"/>
                <w:sz w:val="18"/>
                <w:szCs w:val="18"/>
                <w:color w:val="auto"/>
              </w:rPr>
              <w:t>Secure Bicycle Parking</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2"/>
              </w:rPr>
              <w:t>A secured bicycle parking area within the Parking Facilities, providing for storage of a total of at least 200 bicycles.</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5</w:t>
            </w:r>
          </w:p>
        </w:tc>
        <w:tc>
          <w:tcPr>
            <w:tcW w:w="2440" w:type="dxa"/>
            <w:vAlign w:val="bottom"/>
          </w:tcPr>
          <w:p>
            <w:pPr>
              <w:ind w:left="100"/>
              <w:spacing w:after="0"/>
              <w:rPr>
                <w:sz w:val="20"/>
                <w:szCs w:val="20"/>
                <w:color w:val="auto"/>
              </w:rPr>
            </w:pPr>
            <w:r>
              <w:rPr>
                <w:rFonts w:ascii="Arial" w:cs="Arial" w:eastAsia="Arial" w:hAnsi="Arial"/>
                <w:sz w:val="18"/>
                <w:szCs w:val="18"/>
                <w:color w:val="auto"/>
              </w:rPr>
              <w:t>Tenant Parking</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A total of 667 available parking spaces for the Project are provided in the Parking Facilities.</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2440" w:type="dxa"/>
            <w:vAlign w:val="bottom"/>
          </w:tcPr>
          <w:p>
            <w:pPr>
              <w:ind w:left="100"/>
              <w:spacing w:after="0"/>
              <w:rPr>
                <w:sz w:val="20"/>
                <w:szCs w:val="20"/>
                <w:color w:val="auto"/>
              </w:rPr>
            </w:pPr>
            <w:r>
              <w:rPr>
                <w:rFonts w:ascii="Arial" w:cs="Arial" w:eastAsia="Arial" w:hAnsi="Arial"/>
                <w:sz w:val="18"/>
                <w:szCs w:val="18"/>
                <w:color w:val="auto"/>
              </w:rPr>
              <w:t>Parking Controls</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2"/>
              </w:rPr>
              <w:t>The Project was designed primarily for use in a managed parking scenario. The Project does provide pathways for</w:t>
            </w:r>
          </w:p>
        </w:tc>
      </w:tr>
      <w:tr>
        <w:trPr>
          <w:trHeight w:val="230"/>
        </w:trPr>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9"/>
              </w:rPr>
              <w:t>card readers, and card reader pedestal. Automatic barrier gates are provided as part of the Base Building.</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2440" w:type="dxa"/>
            <w:vAlign w:val="bottom"/>
          </w:tcPr>
          <w:p>
            <w:pPr>
              <w:ind w:left="100"/>
              <w:spacing w:after="0"/>
              <w:rPr>
                <w:sz w:val="20"/>
                <w:szCs w:val="20"/>
                <w:color w:val="auto"/>
              </w:rPr>
            </w:pPr>
            <w:r>
              <w:rPr>
                <w:rFonts w:ascii="Arial" w:cs="Arial" w:eastAsia="Arial" w:hAnsi="Arial"/>
                <w:sz w:val="18"/>
                <w:szCs w:val="18"/>
                <w:color w:val="auto"/>
                <w:w w:val="96"/>
              </w:rPr>
              <w:t>Electric Car Charging Stations</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Ten (10) dual head electric vehicle charging stations in the Parking Facilities, for general tenant use.</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2440" w:type="dxa"/>
            <w:vAlign w:val="bottom"/>
          </w:tcPr>
          <w:p>
            <w:pPr>
              <w:ind w:left="100"/>
              <w:spacing w:after="0"/>
              <w:rPr>
                <w:sz w:val="20"/>
                <w:szCs w:val="20"/>
                <w:color w:val="auto"/>
              </w:rPr>
            </w:pPr>
            <w:r>
              <w:rPr>
                <w:rFonts w:ascii="Arial" w:cs="Arial" w:eastAsia="Arial" w:hAnsi="Arial"/>
                <w:sz w:val="18"/>
                <w:szCs w:val="18"/>
                <w:color w:val="auto"/>
              </w:rPr>
              <w:t>Emergency Generator (site)</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6"/>
              </w:rPr>
              <w:t>One (1) life safety 2MW emergency generator, The following pathways have been provided from each primary</w:t>
            </w:r>
          </w:p>
        </w:tc>
      </w:tr>
      <w:tr>
        <w:trPr>
          <w:trHeight w:val="216"/>
        </w:trPr>
        <w:tc>
          <w:tcPr>
            <w:tcW w:w="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7"/>
              </w:rPr>
              <w:t>electrical room to each generator location: (4) 4” conduit and (2) 1” conduits. Space for the automatic transfer</w:t>
            </w:r>
          </w:p>
        </w:tc>
      </w:tr>
      <w:tr>
        <w:trPr>
          <w:trHeight w:val="230"/>
        </w:trPr>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switches has been provided.</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9</w:t>
            </w:r>
          </w:p>
        </w:tc>
        <w:tc>
          <w:tcPr>
            <w:tcW w:w="2440" w:type="dxa"/>
            <w:vAlign w:val="bottom"/>
          </w:tcPr>
          <w:p>
            <w:pPr>
              <w:ind w:left="100"/>
              <w:spacing w:after="0"/>
              <w:rPr>
                <w:sz w:val="20"/>
                <w:szCs w:val="20"/>
                <w:color w:val="auto"/>
              </w:rPr>
            </w:pPr>
            <w:r>
              <w:rPr>
                <w:rFonts w:ascii="Arial" w:cs="Arial" w:eastAsia="Arial" w:hAnsi="Arial"/>
                <w:sz w:val="18"/>
                <w:szCs w:val="18"/>
                <w:color w:val="auto"/>
              </w:rPr>
              <w:t>Exterior Utility Yard</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5"/>
              </w:rPr>
              <w:t>Limited area is available for exterior utility services other than those specifically mentioned in this Base Building</w:t>
            </w:r>
          </w:p>
        </w:tc>
      </w:tr>
      <w:tr>
        <w:trPr>
          <w:trHeight w:val="230"/>
        </w:trPr>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Definition. Space is dedicated at the roof mechanical areas for some additional utility services.</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440" w:type="dxa"/>
            <w:vAlign w:val="bottom"/>
          </w:tcPr>
          <w:p>
            <w:pPr>
              <w:ind w:left="100"/>
              <w:spacing w:after="0"/>
              <w:rPr>
                <w:sz w:val="20"/>
                <w:szCs w:val="20"/>
                <w:color w:val="auto"/>
              </w:rPr>
            </w:pPr>
            <w:r>
              <w:rPr>
                <w:rFonts w:ascii="Arial" w:cs="Arial" w:eastAsia="Arial" w:hAnsi="Arial"/>
                <w:sz w:val="18"/>
                <w:szCs w:val="18"/>
                <w:color w:val="auto"/>
              </w:rPr>
              <w:t>Loading Docks</w:t>
            </w: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w w:val="93"/>
              </w:rPr>
              <w:t>North Complex includes a two-bay loading dock with dock lifts. South Complex includes a single-bay loading dock</w:t>
            </w:r>
          </w:p>
        </w:tc>
      </w:tr>
      <w:tr>
        <w:trPr>
          <w:trHeight w:val="230"/>
        </w:trPr>
        <w:tc>
          <w:tcPr>
            <w:tcW w:w="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0" w:type="dxa"/>
            <w:vAlign w:val="bottom"/>
            <w:gridSpan w:val="5"/>
          </w:tcPr>
          <w:p>
            <w:pPr>
              <w:ind w:left="160"/>
              <w:spacing w:after="0"/>
              <w:rPr>
                <w:sz w:val="20"/>
                <w:szCs w:val="20"/>
                <w:color w:val="auto"/>
              </w:rPr>
            </w:pPr>
            <w:r>
              <w:rPr>
                <w:rFonts w:ascii="Arial" w:cs="Arial" w:eastAsia="Arial" w:hAnsi="Arial"/>
                <w:sz w:val="18"/>
                <w:szCs w:val="18"/>
                <w:color w:val="auto"/>
              </w:rPr>
              <w:t>and a dock lift. Refer to the Base Building Plans for configuration of associated staging areas.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56" w:right="31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w w:val="99"/>
              </w:rPr>
              <w:t>11</w:t>
            </w:r>
          </w:p>
        </w:tc>
        <w:tc>
          <w:tcPr>
            <w:tcW w:w="2160" w:type="dxa"/>
            <w:vAlign w:val="bottom"/>
          </w:tcPr>
          <w:p>
            <w:pPr>
              <w:ind w:left="60"/>
              <w:spacing w:after="0"/>
              <w:rPr>
                <w:sz w:val="20"/>
                <w:szCs w:val="20"/>
                <w:color w:val="auto"/>
              </w:rPr>
            </w:pPr>
            <w:r>
              <w:rPr>
                <w:rFonts w:ascii="Arial" w:cs="Arial" w:eastAsia="Arial" w:hAnsi="Arial"/>
                <w:sz w:val="18"/>
                <w:szCs w:val="18"/>
                <w:color w:val="auto"/>
              </w:rPr>
              <w:t>Trash Enclosure</w:t>
            </w:r>
          </w:p>
        </w:tc>
        <w:tc>
          <w:tcPr>
            <w:tcW w:w="8840" w:type="dxa"/>
            <w:vAlign w:val="bottom"/>
          </w:tcPr>
          <w:p>
            <w:pPr>
              <w:ind w:left="280"/>
              <w:spacing w:after="0"/>
              <w:rPr>
                <w:sz w:val="20"/>
                <w:szCs w:val="20"/>
                <w:color w:val="auto"/>
              </w:rPr>
            </w:pPr>
            <w:r>
              <w:rPr>
                <w:rFonts w:ascii="Arial" w:cs="Arial" w:eastAsia="Arial" w:hAnsi="Arial"/>
                <w:sz w:val="18"/>
                <w:szCs w:val="18"/>
                <w:color w:val="auto"/>
              </w:rPr>
              <w:t>Stationary compactors will be provided to serve the North Complex and the South Complex.</w:t>
            </w:r>
          </w:p>
        </w:tc>
      </w:tr>
      <w:tr>
        <w:trPr>
          <w:trHeight w:val="58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BUILDING STRUCTURE</w:t>
            </w:r>
          </w:p>
        </w:tc>
        <w:tc>
          <w:tcPr>
            <w:tcW w:w="8840" w:type="dxa"/>
            <w:vAlign w:val="bottom"/>
          </w:tcPr>
          <w:p>
            <w:pPr>
              <w:spacing w:after="0"/>
              <w:rPr>
                <w:sz w:val="24"/>
                <w:szCs w:val="24"/>
                <w:color w:val="auto"/>
              </w:rPr>
            </w:pPr>
          </w:p>
        </w:tc>
      </w:tr>
      <w:tr>
        <w:trPr>
          <w:trHeight w:val="351"/>
        </w:trPr>
        <w:tc>
          <w:tcPr>
            <w:tcW w:w="220" w:type="dxa"/>
            <w:vAlign w:val="bottom"/>
          </w:tcPr>
          <w:p>
            <w:pPr>
              <w:spacing w:after="0"/>
              <w:rPr>
                <w:sz w:val="20"/>
                <w:szCs w:val="20"/>
                <w:color w:val="auto"/>
              </w:rPr>
            </w:pPr>
            <w:r>
              <w:rPr>
                <w:rFonts w:ascii="Arial" w:cs="Arial" w:eastAsia="Arial" w:hAnsi="Arial"/>
                <w:sz w:val="18"/>
                <w:szCs w:val="18"/>
                <w:b w:val="1"/>
                <w:bCs w:val="1"/>
                <w:color w:val="auto"/>
              </w:rPr>
              <w:t>1</w:t>
            </w:r>
          </w:p>
        </w:tc>
        <w:tc>
          <w:tcPr>
            <w:tcW w:w="2160" w:type="dxa"/>
            <w:vAlign w:val="bottom"/>
          </w:tcPr>
          <w:p>
            <w:pPr>
              <w:ind w:left="60"/>
              <w:spacing w:after="0"/>
              <w:rPr>
                <w:sz w:val="20"/>
                <w:szCs w:val="20"/>
                <w:color w:val="auto"/>
              </w:rPr>
            </w:pPr>
            <w:r>
              <w:rPr>
                <w:rFonts w:ascii="Arial" w:cs="Arial" w:eastAsia="Arial" w:hAnsi="Arial"/>
                <w:sz w:val="18"/>
                <w:szCs w:val="18"/>
                <w:color w:val="auto"/>
              </w:rPr>
              <w:t>Foundation System</w:t>
            </w:r>
          </w:p>
        </w:tc>
        <w:tc>
          <w:tcPr>
            <w:tcW w:w="8840" w:type="dxa"/>
            <w:vAlign w:val="bottom"/>
          </w:tcPr>
          <w:p>
            <w:pPr>
              <w:ind w:left="280"/>
              <w:spacing w:after="0"/>
              <w:rPr>
                <w:sz w:val="20"/>
                <w:szCs w:val="20"/>
                <w:color w:val="auto"/>
              </w:rPr>
            </w:pPr>
            <w:r>
              <w:rPr>
                <w:rFonts w:ascii="Arial" w:cs="Arial" w:eastAsia="Arial" w:hAnsi="Arial"/>
                <w:sz w:val="18"/>
                <w:szCs w:val="18"/>
                <w:color w:val="auto"/>
                <w:w w:val="89"/>
              </w:rPr>
              <w:t>Deep foundation system consisting of steel-reinforced concrete auger-cast piles, pile caps, and horizontal grade beams.</w:t>
            </w:r>
          </w:p>
        </w:tc>
      </w:tr>
      <w:tr>
        <w:trPr>
          <w:trHeight w:val="324"/>
        </w:trPr>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2160" w:type="dxa"/>
            <w:vAlign w:val="bottom"/>
          </w:tcPr>
          <w:p>
            <w:pPr>
              <w:ind w:left="60"/>
              <w:spacing w:after="0"/>
              <w:rPr>
                <w:sz w:val="20"/>
                <w:szCs w:val="20"/>
                <w:color w:val="auto"/>
              </w:rPr>
            </w:pPr>
            <w:r>
              <w:rPr>
                <w:rFonts w:ascii="Arial" w:cs="Arial" w:eastAsia="Arial" w:hAnsi="Arial"/>
                <w:sz w:val="18"/>
                <w:szCs w:val="18"/>
                <w:color w:val="auto"/>
              </w:rPr>
              <w:t>First Floor Slab</w:t>
            </w:r>
          </w:p>
        </w:tc>
        <w:tc>
          <w:tcPr>
            <w:tcW w:w="8840" w:type="dxa"/>
            <w:vAlign w:val="bottom"/>
          </w:tcPr>
          <w:p>
            <w:pPr>
              <w:ind w:left="280"/>
              <w:spacing w:after="0"/>
              <w:rPr>
                <w:sz w:val="20"/>
                <w:szCs w:val="20"/>
                <w:color w:val="auto"/>
              </w:rPr>
            </w:pPr>
            <w:r>
              <w:rPr>
                <w:rFonts w:ascii="Arial" w:cs="Arial" w:eastAsia="Arial" w:hAnsi="Arial"/>
                <w:sz w:val="18"/>
                <w:szCs w:val="18"/>
                <w:color w:val="auto"/>
              </w:rPr>
              <w:t>Pile supported concrete cast-in place structural slab-on-grade with mild steel reinforcing.</w:t>
            </w:r>
          </w:p>
        </w:tc>
      </w:tr>
      <w:tr>
        <w:trPr>
          <w:trHeight w:val="310"/>
        </w:trPr>
        <w:tc>
          <w:tcPr>
            <w:tcW w:w="220" w:type="dxa"/>
            <w:vAlign w:val="bottom"/>
          </w:tcPr>
          <w:p>
            <w:pPr>
              <w:spacing w:after="0"/>
              <w:rPr>
                <w:sz w:val="20"/>
                <w:szCs w:val="20"/>
                <w:color w:val="auto"/>
              </w:rPr>
            </w:pPr>
            <w:r>
              <w:rPr>
                <w:rFonts w:ascii="Arial" w:cs="Arial" w:eastAsia="Arial" w:hAnsi="Arial"/>
                <w:sz w:val="18"/>
                <w:szCs w:val="18"/>
                <w:b w:val="1"/>
                <w:bCs w:val="1"/>
                <w:color w:val="auto"/>
              </w:rPr>
              <w:t>3</w:t>
            </w:r>
          </w:p>
        </w:tc>
        <w:tc>
          <w:tcPr>
            <w:tcW w:w="2160" w:type="dxa"/>
            <w:vAlign w:val="bottom"/>
          </w:tcPr>
          <w:p>
            <w:pPr>
              <w:ind w:left="60"/>
              <w:spacing w:after="0"/>
              <w:rPr>
                <w:sz w:val="20"/>
                <w:szCs w:val="20"/>
                <w:color w:val="auto"/>
              </w:rPr>
            </w:pPr>
            <w:r>
              <w:rPr>
                <w:rFonts w:ascii="Arial" w:cs="Arial" w:eastAsia="Arial" w:hAnsi="Arial"/>
                <w:sz w:val="18"/>
                <w:szCs w:val="18"/>
                <w:color w:val="auto"/>
              </w:rPr>
              <w:t>Superstructure</w:t>
            </w:r>
          </w:p>
        </w:tc>
        <w:tc>
          <w:tcPr>
            <w:tcW w:w="8840" w:type="dxa"/>
            <w:vAlign w:val="bottom"/>
          </w:tcPr>
          <w:p>
            <w:pPr>
              <w:ind w:left="280"/>
              <w:spacing w:after="0"/>
              <w:rPr>
                <w:sz w:val="20"/>
                <w:szCs w:val="20"/>
                <w:color w:val="auto"/>
              </w:rPr>
            </w:pPr>
            <w:r>
              <w:rPr>
                <w:rFonts w:ascii="Arial" w:cs="Arial" w:eastAsia="Arial" w:hAnsi="Arial"/>
                <w:sz w:val="18"/>
                <w:szCs w:val="18"/>
                <w:color w:val="auto"/>
                <w:w w:val="93"/>
              </w:rPr>
              <w:t>Cast-in place concrete flat slab construction, with mild steel reinforcing and concrete columns at office floors. Post-</w:t>
            </w:r>
          </w:p>
        </w:tc>
      </w:tr>
      <w:tr>
        <w:trPr>
          <w:trHeight w:val="216"/>
        </w:trPr>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840" w:type="dxa"/>
            <w:vAlign w:val="bottom"/>
          </w:tcPr>
          <w:p>
            <w:pPr>
              <w:ind w:left="280"/>
              <w:spacing w:after="0"/>
              <w:rPr>
                <w:sz w:val="20"/>
                <w:szCs w:val="20"/>
                <w:color w:val="auto"/>
              </w:rPr>
            </w:pPr>
            <w:r>
              <w:rPr>
                <w:rFonts w:ascii="Arial" w:cs="Arial" w:eastAsia="Arial" w:hAnsi="Arial"/>
                <w:sz w:val="18"/>
                <w:szCs w:val="18"/>
                <w:color w:val="auto"/>
                <w:w w:val="94"/>
              </w:rPr>
              <w:t>tensioned concrete flat slab construction at parking levels. Refer to the structural plans for location of any dropped</w:t>
            </w:r>
          </w:p>
        </w:tc>
      </w:tr>
      <w:tr>
        <w:trPr>
          <w:trHeight w:val="230"/>
        </w:trPr>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840" w:type="dxa"/>
            <w:vAlign w:val="bottom"/>
          </w:tcPr>
          <w:p>
            <w:pPr>
              <w:ind w:left="280"/>
              <w:spacing w:after="0"/>
              <w:rPr>
                <w:sz w:val="20"/>
                <w:szCs w:val="20"/>
                <w:color w:val="auto"/>
              </w:rPr>
            </w:pPr>
            <w:r>
              <w:rPr>
                <w:rFonts w:ascii="Arial" w:cs="Arial" w:eastAsia="Arial" w:hAnsi="Arial"/>
                <w:sz w:val="18"/>
                <w:szCs w:val="18"/>
                <w:color w:val="auto"/>
              </w:rPr>
              <w:t>beams/drop caps within the floor plates.</w:t>
            </w:r>
          </w:p>
        </w:tc>
      </w:tr>
      <w:tr>
        <w:trPr>
          <w:trHeight w:val="324"/>
        </w:trPr>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2160" w:type="dxa"/>
            <w:vAlign w:val="bottom"/>
          </w:tcPr>
          <w:p>
            <w:pPr>
              <w:ind w:left="60"/>
              <w:spacing w:after="0"/>
              <w:rPr>
                <w:sz w:val="20"/>
                <w:szCs w:val="20"/>
                <w:color w:val="auto"/>
              </w:rPr>
            </w:pPr>
            <w:r>
              <w:rPr>
                <w:rFonts w:ascii="Arial" w:cs="Arial" w:eastAsia="Arial" w:hAnsi="Arial"/>
                <w:sz w:val="18"/>
                <w:szCs w:val="18"/>
                <w:color w:val="auto"/>
              </w:rPr>
              <w:t>Lateral/Seismic System</w:t>
            </w:r>
          </w:p>
        </w:tc>
        <w:tc>
          <w:tcPr>
            <w:tcW w:w="8840" w:type="dxa"/>
            <w:vAlign w:val="bottom"/>
          </w:tcPr>
          <w:p>
            <w:pPr>
              <w:ind w:left="280"/>
              <w:spacing w:after="0"/>
              <w:rPr>
                <w:sz w:val="20"/>
                <w:szCs w:val="20"/>
                <w:color w:val="auto"/>
              </w:rPr>
            </w:pPr>
            <w:r>
              <w:rPr>
                <w:rFonts w:ascii="Arial" w:cs="Arial" w:eastAsia="Arial" w:hAnsi="Arial"/>
                <w:sz w:val="18"/>
                <w:szCs w:val="18"/>
                <w:color w:val="auto"/>
              </w:rPr>
              <w:t>Combination concrete shear wall and moment frame system.</w:t>
            </w:r>
          </w:p>
        </w:tc>
      </w:tr>
      <w:tr>
        <w:trPr>
          <w:trHeight w:val="324"/>
        </w:trPr>
        <w:tc>
          <w:tcPr>
            <w:tcW w:w="220" w:type="dxa"/>
            <w:vAlign w:val="bottom"/>
          </w:tcPr>
          <w:p>
            <w:pPr>
              <w:spacing w:after="0"/>
              <w:rPr>
                <w:sz w:val="20"/>
                <w:szCs w:val="20"/>
                <w:color w:val="auto"/>
              </w:rPr>
            </w:pPr>
            <w:r>
              <w:rPr>
                <w:rFonts w:ascii="Arial" w:cs="Arial" w:eastAsia="Arial" w:hAnsi="Arial"/>
                <w:sz w:val="18"/>
                <w:szCs w:val="18"/>
                <w:b w:val="1"/>
                <w:bCs w:val="1"/>
                <w:color w:val="auto"/>
              </w:rPr>
              <w:t>5</w:t>
            </w:r>
          </w:p>
        </w:tc>
        <w:tc>
          <w:tcPr>
            <w:tcW w:w="2160" w:type="dxa"/>
            <w:vAlign w:val="bottom"/>
          </w:tcPr>
          <w:p>
            <w:pPr>
              <w:ind w:left="60"/>
              <w:spacing w:after="0"/>
              <w:rPr>
                <w:sz w:val="20"/>
                <w:szCs w:val="20"/>
                <w:color w:val="auto"/>
              </w:rPr>
            </w:pPr>
            <w:r>
              <w:rPr>
                <w:rFonts w:ascii="Arial" w:cs="Arial" w:eastAsia="Arial" w:hAnsi="Arial"/>
                <w:sz w:val="18"/>
                <w:szCs w:val="18"/>
                <w:color w:val="auto"/>
              </w:rPr>
              <w:t>Floor-to-Floor Heights</w:t>
            </w:r>
          </w:p>
        </w:tc>
        <w:tc>
          <w:tcPr>
            <w:tcW w:w="8840" w:type="dxa"/>
            <w:vAlign w:val="bottom"/>
          </w:tcPr>
          <w:p>
            <w:pPr>
              <w:ind w:left="280"/>
              <w:spacing w:after="0"/>
              <w:rPr>
                <w:sz w:val="20"/>
                <w:szCs w:val="20"/>
                <w:color w:val="auto"/>
              </w:rPr>
            </w:pPr>
            <w:r>
              <w:rPr>
                <w:rFonts w:ascii="Arial" w:cs="Arial" w:eastAsia="Arial" w:hAnsi="Arial"/>
                <w:sz w:val="18"/>
                <w:szCs w:val="18"/>
                <w:color w:val="auto"/>
              </w:rPr>
              <w:t>North Complex:</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2480" w:type="dxa"/>
            <w:vAlign w:val="bottom"/>
          </w:tcPr>
          <w:p>
            <w:pPr>
              <w:spacing w:after="0"/>
              <w:rPr>
                <w:sz w:val="17"/>
                <w:szCs w:val="17"/>
                <w:color w:val="auto"/>
              </w:rPr>
            </w:pPr>
          </w:p>
        </w:tc>
        <w:tc>
          <w:tcPr>
            <w:tcW w:w="3660" w:type="dxa"/>
            <w:vAlign w:val="bottom"/>
          </w:tcPr>
          <w:p>
            <w:pPr>
              <w:ind w:left="2580"/>
              <w:spacing w:after="0" w:line="201" w:lineRule="exact"/>
              <w:rPr>
                <w:sz w:val="20"/>
                <w:szCs w:val="20"/>
                <w:color w:val="auto"/>
              </w:rPr>
            </w:pPr>
            <w:r>
              <w:rPr>
                <w:rFonts w:ascii="Arial" w:cs="Arial" w:eastAsia="Arial" w:hAnsi="Arial"/>
                <w:sz w:val="18"/>
                <w:szCs w:val="18"/>
                <w:color w:val="auto"/>
              </w:rPr>
              <w:t>Level 1:</w:t>
            </w:r>
          </w:p>
        </w:tc>
        <w:tc>
          <w:tcPr>
            <w:tcW w:w="720" w:type="dxa"/>
            <w:vAlign w:val="bottom"/>
          </w:tcPr>
          <w:p>
            <w:pPr>
              <w:ind w:left="160"/>
              <w:spacing w:after="0" w:line="201"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660" w:type="dxa"/>
            <w:vAlign w:val="bottom"/>
          </w:tcPr>
          <w:p>
            <w:pPr>
              <w:ind w:left="2580"/>
              <w:spacing w:after="0"/>
              <w:rPr>
                <w:sz w:val="20"/>
                <w:szCs w:val="20"/>
                <w:color w:val="auto"/>
              </w:rPr>
            </w:pPr>
            <w:r>
              <w:rPr>
                <w:rFonts w:ascii="Arial" w:cs="Arial" w:eastAsia="Arial" w:hAnsi="Arial"/>
                <w:sz w:val="18"/>
                <w:szCs w:val="18"/>
                <w:color w:val="auto"/>
              </w:rPr>
              <w:t>Levels 2-6:</w:t>
            </w:r>
          </w:p>
        </w:tc>
        <w:tc>
          <w:tcPr>
            <w:tcW w:w="720" w:type="dxa"/>
            <w:vAlign w:val="bottom"/>
          </w:tcPr>
          <w:p>
            <w:pPr>
              <w:ind w:left="160"/>
              <w:spacing w:after="0"/>
              <w:rPr>
                <w:sz w:val="20"/>
                <w:szCs w:val="20"/>
                <w:color w:val="auto"/>
              </w:rPr>
            </w:pPr>
            <w:r>
              <w:rPr>
                <w:rFonts w:ascii="Arial" w:cs="Arial" w:eastAsia="Arial" w:hAnsi="Arial"/>
                <w:sz w:val="18"/>
                <w:szCs w:val="18"/>
                <w:color w:val="auto"/>
                <w:w w:val="96"/>
              </w:rPr>
              <w:t>14’-10”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660" w:type="dxa"/>
            <w:vAlign w:val="bottom"/>
          </w:tcPr>
          <w:p>
            <w:pPr>
              <w:ind w:left="2580"/>
              <w:spacing w:after="0"/>
              <w:rPr>
                <w:sz w:val="20"/>
                <w:szCs w:val="20"/>
                <w:color w:val="auto"/>
              </w:rPr>
            </w:pPr>
            <w:r>
              <w:rPr>
                <w:rFonts w:ascii="Arial" w:cs="Arial" w:eastAsia="Arial" w:hAnsi="Arial"/>
                <w:sz w:val="18"/>
                <w:szCs w:val="18"/>
                <w:color w:val="auto"/>
              </w:rPr>
              <w:t>Levels 7-12:</w:t>
            </w:r>
          </w:p>
        </w:tc>
        <w:tc>
          <w:tcPr>
            <w:tcW w:w="720" w:type="dxa"/>
            <w:vAlign w:val="bottom"/>
          </w:tcPr>
          <w:p>
            <w:pPr>
              <w:ind w:lef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South Tower:</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660" w:type="dxa"/>
            <w:vAlign w:val="bottom"/>
          </w:tcPr>
          <w:p>
            <w:pPr>
              <w:ind w:left="2580"/>
              <w:spacing w:after="0"/>
              <w:rPr>
                <w:sz w:val="20"/>
                <w:szCs w:val="20"/>
                <w:color w:val="auto"/>
              </w:rPr>
            </w:pPr>
            <w:r>
              <w:rPr>
                <w:rFonts w:ascii="Arial" w:cs="Arial" w:eastAsia="Arial" w:hAnsi="Arial"/>
                <w:sz w:val="18"/>
                <w:szCs w:val="18"/>
                <w:color w:val="auto"/>
              </w:rPr>
              <w:t>Levels 3-4:</w:t>
            </w:r>
          </w:p>
        </w:tc>
        <w:tc>
          <w:tcPr>
            <w:tcW w:w="720" w:type="dxa"/>
            <w:vAlign w:val="bottom"/>
          </w:tcPr>
          <w:p>
            <w:pPr>
              <w:ind w:left="160"/>
              <w:spacing w:after="0"/>
              <w:rPr>
                <w:sz w:val="20"/>
                <w:szCs w:val="20"/>
                <w:color w:val="auto"/>
              </w:rPr>
            </w:pPr>
            <w:r>
              <w:rPr>
                <w:rFonts w:ascii="Arial" w:cs="Arial" w:eastAsia="Arial" w:hAnsi="Arial"/>
                <w:sz w:val="18"/>
                <w:szCs w:val="18"/>
                <w:color w:val="auto"/>
                <w:w w:val="96"/>
              </w:rPr>
              <w:t>14’-10”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660" w:type="dxa"/>
            <w:vAlign w:val="bottom"/>
          </w:tcPr>
          <w:p>
            <w:pPr>
              <w:ind w:left="2580"/>
              <w:spacing w:after="0"/>
              <w:rPr>
                <w:sz w:val="20"/>
                <w:szCs w:val="20"/>
                <w:color w:val="auto"/>
              </w:rPr>
            </w:pPr>
            <w:r>
              <w:rPr>
                <w:rFonts w:ascii="Arial" w:cs="Arial" w:eastAsia="Arial" w:hAnsi="Arial"/>
                <w:sz w:val="18"/>
                <w:szCs w:val="18"/>
                <w:color w:val="auto"/>
              </w:rPr>
              <w:t>Levels 7-12:</w:t>
            </w:r>
          </w:p>
        </w:tc>
        <w:tc>
          <w:tcPr>
            <w:tcW w:w="720" w:type="dxa"/>
            <w:vAlign w:val="bottom"/>
          </w:tcPr>
          <w:p>
            <w:pPr>
              <w:ind w:lef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South Building:</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660" w:type="dxa"/>
            <w:vAlign w:val="bottom"/>
          </w:tcPr>
          <w:p>
            <w:pPr>
              <w:ind w:left="2580"/>
              <w:spacing w:after="0"/>
              <w:rPr>
                <w:sz w:val="20"/>
                <w:szCs w:val="20"/>
                <w:color w:val="auto"/>
              </w:rPr>
            </w:pPr>
            <w:r>
              <w:rPr>
                <w:rFonts w:ascii="Arial" w:cs="Arial" w:eastAsia="Arial" w:hAnsi="Arial"/>
                <w:sz w:val="18"/>
                <w:szCs w:val="18"/>
                <w:color w:val="auto"/>
              </w:rPr>
              <w:t>Level 1:</w:t>
            </w:r>
          </w:p>
        </w:tc>
        <w:tc>
          <w:tcPr>
            <w:tcW w:w="720" w:type="dxa"/>
            <w:vAlign w:val="bottom"/>
          </w:tcPr>
          <w:p>
            <w:pPr>
              <w:ind w:lef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Typical Live Load Capacity</w:t>
            </w:r>
          </w:p>
        </w:tc>
        <w:tc>
          <w:tcPr>
            <w:tcW w:w="3660" w:type="dxa"/>
            <w:vAlign w:val="bottom"/>
          </w:tcPr>
          <w:p>
            <w:pPr>
              <w:ind w:left="2580"/>
              <w:spacing w:after="0"/>
              <w:rPr>
                <w:sz w:val="20"/>
                <w:szCs w:val="20"/>
                <w:color w:val="auto"/>
              </w:rPr>
            </w:pPr>
            <w:r>
              <w:rPr>
                <w:rFonts w:ascii="Arial" w:cs="Arial" w:eastAsia="Arial" w:hAnsi="Arial"/>
                <w:sz w:val="18"/>
                <w:szCs w:val="18"/>
                <w:color w:val="auto"/>
              </w:rPr>
              <w:t>Levels 2-6:</w:t>
            </w:r>
          </w:p>
        </w:tc>
        <w:tc>
          <w:tcPr>
            <w:tcW w:w="720" w:type="dxa"/>
            <w:vAlign w:val="bottom"/>
          </w:tcPr>
          <w:p>
            <w:pPr>
              <w:ind w:left="160"/>
              <w:spacing w:after="0"/>
              <w:rPr>
                <w:sz w:val="20"/>
                <w:szCs w:val="20"/>
                <w:color w:val="auto"/>
              </w:rPr>
            </w:pPr>
            <w:r>
              <w:rPr>
                <w:rFonts w:ascii="Arial" w:cs="Arial" w:eastAsia="Arial" w:hAnsi="Arial"/>
                <w:sz w:val="18"/>
                <w:szCs w:val="18"/>
                <w:color w:val="auto"/>
                <w:w w:val="96"/>
              </w:rPr>
              <w:t>14’-10”</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Levels 1-6:</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060"/>
        <w:spacing w:after="0"/>
        <w:rPr>
          <w:sz w:val="20"/>
          <w:szCs w:val="20"/>
          <w:color w:val="auto"/>
        </w:rPr>
      </w:pPr>
      <w:r>
        <w:rPr>
          <w:rFonts w:ascii="Arial" w:cs="Arial" w:eastAsia="Arial" w:hAnsi="Arial"/>
          <w:sz w:val="18"/>
          <w:szCs w:val="18"/>
          <w:color w:val="auto"/>
        </w:rPr>
        <w:t>150 PSF non-reducible for slab</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100 PSF reducible for columns/foundation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Levels 7-12:</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125 PSF non-reducible for slab</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100 PSF reducible for columns/foundation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0" w:right="43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2400" w:type="dxa"/>
            <w:vAlign w:val="bottom"/>
          </w:tcPr>
          <w:p>
            <w:pPr>
              <w:ind w:left="100"/>
              <w:spacing w:after="0"/>
              <w:rPr>
                <w:sz w:val="20"/>
                <w:szCs w:val="20"/>
                <w:color w:val="auto"/>
              </w:rPr>
            </w:pPr>
            <w:r>
              <w:rPr>
                <w:rFonts w:ascii="Arial" w:cs="Arial" w:eastAsia="Arial" w:hAnsi="Arial"/>
                <w:sz w:val="18"/>
                <w:szCs w:val="18"/>
                <w:color w:val="auto"/>
              </w:rPr>
              <w:t>Vibration Design Criteria</w:t>
            </w:r>
          </w:p>
        </w:tc>
        <w:tc>
          <w:tcPr>
            <w:tcW w:w="8620" w:type="dxa"/>
            <w:vAlign w:val="bottom"/>
          </w:tcPr>
          <w:p>
            <w:pPr>
              <w:ind w:left="200"/>
              <w:spacing w:after="0"/>
              <w:rPr>
                <w:sz w:val="20"/>
                <w:szCs w:val="20"/>
                <w:color w:val="auto"/>
              </w:rPr>
            </w:pPr>
            <w:r>
              <w:rPr>
                <w:rFonts w:ascii="Arial" w:cs="Arial" w:eastAsia="Arial" w:hAnsi="Arial"/>
                <w:sz w:val="18"/>
                <w:szCs w:val="18"/>
                <w:color w:val="auto"/>
              </w:rPr>
              <w:t>Design criteria: 4700 micro-inch/sec for 11” thick office concrete slabs.</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2400" w:type="dxa"/>
            <w:vAlign w:val="bottom"/>
          </w:tcPr>
          <w:p>
            <w:pPr>
              <w:ind w:left="100"/>
              <w:spacing w:after="0"/>
              <w:rPr>
                <w:sz w:val="20"/>
                <w:szCs w:val="20"/>
                <w:color w:val="auto"/>
              </w:rPr>
            </w:pPr>
            <w:r>
              <w:rPr>
                <w:rFonts w:ascii="Arial" w:cs="Arial" w:eastAsia="Arial" w:hAnsi="Arial"/>
                <w:sz w:val="18"/>
                <w:szCs w:val="18"/>
                <w:color w:val="auto"/>
              </w:rPr>
              <w:t>General Roof Load Capacity</w:t>
            </w:r>
          </w:p>
        </w:tc>
        <w:tc>
          <w:tcPr>
            <w:tcW w:w="8620" w:type="dxa"/>
            <w:vAlign w:val="bottom"/>
          </w:tcPr>
          <w:p>
            <w:pPr>
              <w:ind w:left="200"/>
              <w:spacing w:after="0"/>
              <w:rPr>
                <w:sz w:val="20"/>
                <w:szCs w:val="20"/>
                <w:color w:val="auto"/>
              </w:rPr>
            </w:pPr>
            <w:r>
              <w:rPr>
                <w:rFonts w:ascii="Arial" w:cs="Arial" w:eastAsia="Arial" w:hAnsi="Arial"/>
                <w:sz w:val="18"/>
                <w:szCs w:val="18"/>
                <w:color w:val="auto"/>
              </w:rPr>
              <w:t>Non-mechanical roof area: Live load = 20 PSF reducible.</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9</w:t>
            </w:r>
          </w:p>
        </w:tc>
        <w:tc>
          <w:tcPr>
            <w:tcW w:w="2400" w:type="dxa"/>
            <w:vAlign w:val="bottom"/>
          </w:tcPr>
          <w:p>
            <w:pPr>
              <w:ind w:left="100"/>
              <w:spacing w:after="0"/>
              <w:rPr>
                <w:sz w:val="20"/>
                <w:szCs w:val="20"/>
                <w:color w:val="auto"/>
              </w:rPr>
            </w:pPr>
            <w:r>
              <w:rPr>
                <w:rFonts w:ascii="Arial" w:cs="Arial" w:eastAsia="Arial" w:hAnsi="Arial"/>
                <w:sz w:val="18"/>
                <w:szCs w:val="18"/>
                <w:color w:val="auto"/>
                <w:w w:val="99"/>
              </w:rPr>
              <w:t>Mechanical Capacity at Roof</w:t>
            </w:r>
          </w:p>
        </w:tc>
        <w:tc>
          <w:tcPr>
            <w:tcW w:w="8620" w:type="dxa"/>
            <w:vAlign w:val="bottom"/>
          </w:tcPr>
          <w:p>
            <w:pPr>
              <w:ind w:left="200"/>
              <w:spacing w:after="0"/>
              <w:rPr>
                <w:sz w:val="20"/>
                <w:szCs w:val="20"/>
                <w:color w:val="auto"/>
              </w:rPr>
            </w:pPr>
            <w:r>
              <w:rPr>
                <w:rFonts w:ascii="Arial" w:cs="Arial" w:eastAsia="Arial" w:hAnsi="Arial"/>
                <w:sz w:val="18"/>
                <w:szCs w:val="18"/>
                <w:color w:val="auto"/>
              </w:rPr>
              <w:t>150 PSF.</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2400" w:type="dxa"/>
            <w:vAlign w:val="bottom"/>
          </w:tcPr>
          <w:p>
            <w:pPr>
              <w:ind w:left="100"/>
              <w:spacing w:after="0"/>
              <w:rPr>
                <w:sz w:val="20"/>
                <w:szCs w:val="20"/>
                <w:color w:val="auto"/>
              </w:rPr>
            </w:pPr>
            <w:r>
              <w:rPr>
                <w:rFonts w:ascii="Arial" w:cs="Arial" w:eastAsia="Arial" w:hAnsi="Arial"/>
                <w:sz w:val="18"/>
                <w:szCs w:val="18"/>
                <w:color w:val="auto"/>
              </w:rPr>
              <w:t>Slab Edge Fire-safing</w:t>
            </w:r>
          </w:p>
        </w:tc>
        <w:tc>
          <w:tcPr>
            <w:tcW w:w="8620" w:type="dxa"/>
            <w:vAlign w:val="bottom"/>
          </w:tcPr>
          <w:p>
            <w:pPr>
              <w:ind w:left="200"/>
              <w:spacing w:after="0"/>
              <w:rPr>
                <w:sz w:val="20"/>
                <w:szCs w:val="20"/>
                <w:color w:val="auto"/>
              </w:rPr>
            </w:pPr>
            <w:r>
              <w:rPr>
                <w:rFonts w:ascii="Arial" w:cs="Arial" w:eastAsia="Arial" w:hAnsi="Arial"/>
                <w:sz w:val="18"/>
                <w:szCs w:val="18"/>
                <w:color w:val="auto"/>
                <w:w w:val="90"/>
              </w:rPr>
              <w:t>Slab edge fire-safing to meet the requirements of the floor slab fire ratings is provided as a part of the Base Building.</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400" w:type="dxa"/>
            <w:vAlign w:val="bottom"/>
          </w:tcPr>
          <w:p>
            <w:pPr>
              <w:ind w:left="100"/>
              <w:spacing w:after="0"/>
              <w:rPr>
                <w:sz w:val="20"/>
                <w:szCs w:val="20"/>
                <w:color w:val="auto"/>
              </w:rPr>
            </w:pPr>
            <w:r>
              <w:rPr>
                <w:rFonts w:ascii="Arial" w:cs="Arial" w:eastAsia="Arial" w:hAnsi="Arial"/>
                <w:sz w:val="18"/>
                <w:szCs w:val="18"/>
                <w:color w:val="auto"/>
              </w:rPr>
              <w:t>Fireproofing</w:t>
            </w:r>
          </w:p>
        </w:tc>
        <w:tc>
          <w:tcPr>
            <w:tcW w:w="8620" w:type="dxa"/>
            <w:vAlign w:val="bottom"/>
          </w:tcPr>
          <w:p>
            <w:pPr>
              <w:ind w:left="200"/>
              <w:spacing w:after="0"/>
              <w:rPr>
                <w:sz w:val="20"/>
                <w:szCs w:val="20"/>
                <w:color w:val="auto"/>
              </w:rPr>
            </w:pPr>
            <w:r>
              <w:rPr>
                <w:rFonts w:ascii="Arial" w:cs="Arial" w:eastAsia="Arial" w:hAnsi="Arial"/>
                <w:sz w:val="18"/>
                <w:szCs w:val="18"/>
                <w:color w:val="auto"/>
                <w:w w:val="95"/>
              </w:rPr>
              <w:t>Fire protection is integral with structural concrete slab, column and wall system. No additional structural system</w:t>
            </w:r>
          </w:p>
        </w:tc>
      </w:tr>
      <w:tr>
        <w:trPr>
          <w:trHeight w:val="230"/>
        </w:trPr>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fireproofing is required.</w:t>
            </w:r>
          </w:p>
        </w:tc>
      </w:tr>
      <w:tr>
        <w:trPr>
          <w:trHeight w:val="581"/>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BUILDING EXTERIOR</w:t>
            </w:r>
          </w:p>
        </w:tc>
        <w:tc>
          <w:tcPr>
            <w:tcW w:w="8620" w:type="dxa"/>
            <w:vAlign w:val="bottom"/>
          </w:tcPr>
          <w:p>
            <w:pPr>
              <w:spacing w:after="0"/>
              <w:rPr>
                <w:sz w:val="24"/>
                <w:szCs w:val="24"/>
                <w:color w:val="auto"/>
              </w:rPr>
            </w:pPr>
          </w:p>
        </w:tc>
      </w:tr>
      <w:tr>
        <w:trPr>
          <w:trHeight w:val="351"/>
        </w:trPr>
        <w:tc>
          <w:tcPr>
            <w:tcW w:w="3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400" w:type="dxa"/>
            <w:vAlign w:val="bottom"/>
          </w:tcPr>
          <w:p>
            <w:pPr>
              <w:ind w:left="100"/>
              <w:spacing w:after="0"/>
              <w:rPr>
                <w:sz w:val="20"/>
                <w:szCs w:val="20"/>
                <w:color w:val="auto"/>
              </w:rPr>
            </w:pPr>
            <w:r>
              <w:rPr>
                <w:rFonts w:ascii="Arial" w:cs="Arial" w:eastAsia="Arial" w:hAnsi="Arial"/>
                <w:sz w:val="18"/>
                <w:szCs w:val="18"/>
                <w:color w:val="auto"/>
              </w:rPr>
              <w:t>Building Skin System</w:t>
            </w:r>
          </w:p>
        </w:tc>
        <w:tc>
          <w:tcPr>
            <w:tcW w:w="8620" w:type="dxa"/>
            <w:vAlign w:val="bottom"/>
          </w:tcPr>
          <w:p>
            <w:pPr>
              <w:ind w:left="200"/>
              <w:spacing w:after="0"/>
              <w:rPr>
                <w:sz w:val="20"/>
                <w:szCs w:val="20"/>
                <w:color w:val="auto"/>
              </w:rPr>
            </w:pPr>
            <w:r>
              <w:rPr>
                <w:rFonts w:ascii="Arial" w:cs="Arial" w:eastAsia="Arial" w:hAnsi="Arial"/>
                <w:sz w:val="18"/>
                <w:szCs w:val="18"/>
                <w:color w:val="auto"/>
              </w:rPr>
              <w:t>Exterior building skin materials consisting primarily of:</w:t>
            </w:r>
          </w:p>
        </w:tc>
      </w:tr>
      <w:tr>
        <w:trPr>
          <w:trHeight w:val="324"/>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1. Glass Fiber Reinforced Concrete (GFRC) panels</w:t>
            </w:r>
          </w:p>
        </w:tc>
      </w:tr>
      <w:tr>
        <w:trPr>
          <w:trHeight w:val="324"/>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2. Non load-bearing glazed aluminum curtainwall</w:t>
            </w:r>
          </w:p>
        </w:tc>
      </w:tr>
      <w:tr>
        <w:trPr>
          <w:trHeight w:val="324"/>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3. Brick faced precast concrete panel system</w:t>
            </w:r>
          </w:p>
        </w:tc>
      </w:tr>
      <w:tr>
        <w:trPr>
          <w:trHeight w:val="324"/>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4. Perforated aluminum wall panels</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00" w:type="dxa"/>
            <w:vAlign w:val="bottom"/>
          </w:tcPr>
          <w:p>
            <w:pPr>
              <w:ind w:left="100"/>
              <w:spacing w:after="0"/>
              <w:rPr>
                <w:sz w:val="20"/>
                <w:szCs w:val="20"/>
                <w:color w:val="auto"/>
              </w:rPr>
            </w:pPr>
            <w:r>
              <w:rPr>
                <w:rFonts w:ascii="Arial" w:cs="Arial" w:eastAsia="Arial" w:hAnsi="Arial"/>
                <w:sz w:val="18"/>
                <w:szCs w:val="18"/>
                <w:color w:val="auto"/>
              </w:rPr>
              <w:t>Window Treatment</w:t>
            </w:r>
          </w:p>
        </w:tc>
        <w:tc>
          <w:tcPr>
            <w:tcW w:w="8620" w:type="dxa"/>
            <w:vAlign w:val="bottom"/>
          </w:tcPr>
          <w:p>
            <w:pPr>
              <w:ind w:left="200"/>
              <w:spacing w:after="0"/>
              <w:rPr>
                <w:sz w:val="20"/>
                <w:szCs w:val="20"/>
                <w:color w:val="auto"/>
              </w:rPr>
            </w:pPr>
            <w:r>
              <w:rPr>
                <w:rFonts w:ascii="Arial" w:cs="Arial" w:eastAsia="Arial" w:hAnsi="Arial"/>
                <w:sz w:val="18"/>
                <w:szCs w:val="18"/>
                <w:color w:val="auto"/>
                <w:w w:val="91"/>
              </w:rPr>
              <w:t>All interior window treatments are Tenant furnished and installed as a part of the construction of the Improvements.</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400" w:type="dxa"/>
            <w:vAlign w:val="bottom"/>
          </w:tcPr>
          <w:p>
            <w:pPr>
              <w:ind w:left="100"/>
              <w:spacing w:after="0"/>
              <w:rPr>
                <w:sz w:val="20"/>
                <w:szCs w:val="20"/>
                <w:color w:val="auto"/>
              </w:rPr>
            </w:pPr>
            <w:r>
              <w:rPr>
                <w:rFonts w:ascii="Arial" w:cs="Arial" w:eastAsia="Arial" w:hAnsi="Arial"/>
                <w:sz w:val="18"/>
                <w:szCs w:val="18"/>
                <w:color w:val="auto"/>
              </w:rPr>
              <w:t>Window Washing System</w:t>
            </w:r>
          </w:p>
        </w:tc>
        <w:tc>
          <w:tcPr>
            <w:tcW w:w="8620" w:type="dxa"/>
            <w:vAlign w:val="bottom"/>
          </w:tcPr>
          <w:p>
            <w:pPr>
              <w:ind w:left="200"/>
              <w:spacing w:after="0"/>
              <w:rPr>
                <w:sz w:val="20"/>
                <w:szCs w:val="20"/>
                <w:color w:val="auto"/>
              </w:rPr>
            </w:pPr>
            <w:r>
              <w:rPr>
                <w:rFonts w:ascii="Arial" w:cs="Arial" w:eastAsia="Arial" w:hAnsi="Arial"/>
                <w:sz w:val="18"/>
                <w:szCs w:val="18"/>
                <w:color w:val="auto"/>
                <w:w w:val="90"/>
              </w:rPr>
              <w:t>Full exterior building maintenance access system provided as a part of the Base Building. This system includes davit</w:t>
            </w:r>
          </w:p>
        </w:tc>
      </w:tr>
      <w:tr>
        <w:trPr>
          <w:trHeight w:val="230"/>
        </w:trPr>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bases and davit arms, monorails and other elements necessary for full access to all building skin areas.</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00" w:type="dxa"/>
            <w:vAlign w:val="bottom"/>
          </w:tcPr>
          <w:p>
            <w:pPr>
              <w:ind w:left="100"/>
              <w:spacing w:after="0"/>
              <w:rPr>
                <w:sz w:val="20"/>
                <w:szCs w:val="20"/>
                <w:color w:val="auto"/>
              </w:rPr>
            </w:pPr>
            <w:r>
              <w:rPr>
                <w:rFonts w:ascii="Arial" w:cs="Arial" w:eastAsia="Arial" w:hAnsi="Arial"/>
                <w:sz w:val="18"/>
                <w:szCs w:val="18"/>
                <w:color w:val="auto"/>
              </w:rPr>
              <w:t>Roofing Membrane</w:t>
            </w:r>
          </w:p>
        </w:tc>
        <w:tc>
          <w:tcPr>
            <w:tcW w:w="8620" w:type="dxa"/>
            <w:vAlign w:val="bottom"/>
          </w:tcPr>
          <w:p>
            <w:pPr>
              <w:ind w:left="200"/>
              <w:spacing w:after="0"/>
              <w:rPr>
                <w:sz w:val="20"/>
                <w:szCs w:val="20"/>
                <w:color w:val="auto"/>
              </w:rPr>
            </w:pPr>
            <w:r>
              <w:rPr>
                <w:rFonts w:ascii="Arial" w:cs="Arial" w:eastAsia="Arial" w:hAnsi="Arial"/>
                <w:sz w:val="18"/>
                <w:szCs w:val="18"/>
                <w:color w:val="auto"/>
                <w:w w:val="91"/>
              </w:rPr>
              <w:t>Modified bituminous membrane roofing with granular surface, metal roofing, decorative stone or ballast as indicated</w:t>
            </w:r>
          </w:p>
        </w:tc>
      </w:tr>
      <w:tr>
        <w:trPr>
          <w:trHeight w:val="230"/>
        </w:trPr>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on Base Building Plans.</w:t>
            </w:r>
          </w:p>
        </w:tc>
      </w:tr>
      <w:tr>
        <w:trPr>
          <w:trHeight w:val="310"/>
        </w:trPr>
        <w:tc>
          <w:tcPr>
            <w:tcW w:w="300" w:type="dxa"/>
            <w:vAlign w:val="bottom"/>
          </w:tcPr>
          <w:p>
            <w:pPr>
              <w:spacing w:after="0"/>
              <w:rPr>
                <w:sz w:val="20"/>
                <w:szCs w:val="20"/>
                <w:color w:val="auto"/>
              </w:rPr>
            </w:pPr>
            <w:r>
              <w:rPr>
                <w:rFonts w:ascii="Arial" w:cs="Arial" w:eastAsia="Arial" w:hAnsi="Arial"/>
                <w:sz w:val="18"/>
                <w:szCs w:val="18"/>
                <w:b w:val="1"/>
                <w:bCs w:val="1"/>
                <w:color w:val="auto"/>
              </w:rPr>
              <w:t>5</w:t>
            </w:r>
          </w:p>
        </w:tc>
        <w:tc>
          <w:tcPr>
            <w:tcW w:w="2400" w:type="dxa"/>
            <w:vAlign w:val="bottom"/>
          </w:tcPr>
          <w:p>
            <w:pPr>
              <w:ind w:left="100"/>
              <w:spacing w:after="0"/>
              <w:rPr>
                <w:sz w:val="20"/>
                <w:szCs w:val="20"/>
                <w:color w:val="auto"/>
              </w:rPr>
            </w:pPr>
            <w:r>
              <w:rPr>
                <w:rFonts w:ascii="Arial" w:cs="Arial" w:eastAsia="Arial" w:hAnsi="Arial"/>
                <w:sz w:val="18"/>
                <w:szCs w:val="18"/>
                <w:color w:val="auto"/>
              </w:rPr>
              <w:t>Walkway Pads</w:t>
            </w:r>
          </w:p>
        </w:tc>
        <w:tc>
          <w:tcPr>
            <w:tcW w:w="8620" w:type="dxa"/>
            <w:vAlign w:val="bottom"/>
          </w:tcPr>
          <w:p>
            <w:pPr>
              <w:ind w:left="200"/>
              <w:spacing w:after="0"/>
              <w:rPr>
                <w:sz w:val="20"/>
                <w:szCs w:val="20"/>
                <w:color w:val="auto"/>
              </w:rPr>
            </w:pPr>
            <w:r>
              <w:rPr>
                <w:rFonts w:ascii="Arial" w:cs="Arial" w:eastAsia="Arial" w:hAnsi="Arial"/>
                <w:sz w:val="18"/>
                <w:szCs w:val="18"/>
                <w:color w:val="auto"/>
                <w:w w:val="94"/>
              </w:rPr>
              <w:t>Walkway pads are provided at primary roof access areas and along building perimeter for exterior maintenance</w:t>
            </w:r>
          </w:p>
        </w:tc>
      </w:tr>
      <w:tr>
        <w:trPr>
          <w:trHeight w:val="230"/>
        </w:trPr>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equipment access.</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2400" w:type="dxa"/>
            <w:vAlign w:val="bottom"/>
          </w:tcPr>
          <w:p>
            <w:pPr>
              <w:ind w:left="100"/>
              <w:spacing w:after="0"/>
              <w:rPr>
                <w:sz w:val="20"/>
                <w:szCs w:val="20"/>
                <w:color w:val="auto"/>
              </w:rPr>
            </w:pPr>
            <w:r>
              <w:rPr>
                <w:rFonts w:ascii="Arial" w:cs="Arial" w:eastAsia="Arial" w:hAnsi="Arial"/>
                <w:sz w:val="18"/>
                <w:szCs w:val="18"/>
                <w:color w:val="auto"/>
              </w:rPr>
              <w:t>Roof Penthouse</w:t>
            </w:r>
          </w:p>
        </w:tc>
        <w:tc>
          <w:tcPr>
            <w:tcW w:w="8620" w:type="dxa"/>
            <w:vAlign w:val="bottom"/>
          </w:tcPr>
          <w:p>
            <w:pPr>
              <w:ind w:left="200"/>
              <w:spacing w:after="0"/>
              <w:rPr>
                <w:sz w:val="20"/>
                <w:szCs w:val="20"/>
                <w:color w:val="auto"/>
              </w:rPr>
            </w:pPr>
            <w:r>
              <w:rPr>
                <w:rFonts w:ascii="Arial" w:cs="Arial" w:eastAsia="Arial" w:hAnsi="Arial"/>
                <w:sz w:val="18"/>
                <w:szCs w:val="18"/>
                <w:color w:val="auto"/>
              </w:rPr>
              <w:t>Enclosed roof penthouse space is provided to accommodate Base Building equipment.</w:t>
            </w:r>
          </w:p>
        </w:tc>
      </w:tr>
      <w:tr>
        <w:trPr>
          <w:trHeight w:val="350"/>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20" w:type="dxa"/>
            <w:vAlign w:val="bottom"/>
          </w:tcPr>
          <w:p>
            <w:pPr>
              <w:jc w:val="center"/>
              <w:ind w:right="2490"/>
              <w:spacing w:after="0"/>
              <w:rPr>
                <w:sz w:val="20"/>
                <w:szCs w:val="20"/>
                <w:color w:val="auto"/>
              </w:rPr>
            </w:pPr>
            <w:r>
              <w:rPr>
                <w:rFonts w:ascii="Arial" w:cs="Arial" w:eastAsia="Arial" w:hAnsi="Arial"/>
                <w:sz w:val="18"/>
                <w:szCs w:val="18"/>
                <w:color w:val="auto"/>
                <w:w w:val="95"/>
              </w:rPr>
              <w:t>SCHEDULE 2 TO</w:t>
            </w:r>
          </w:p>
        </w:tc>
      </w:tr>
      <w:tr>
        <w:trPr>
          <w:trHeight w:val="216"/>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620" w:type="dxa"/>
            <w:vAlign w:val="bottom"/>
          </w:tcPr>
          <w:p>
            <w:pPr>
              <w:jc w:val="center"/>
              <w:ind w:right="2490"/>
              <w:spacing w:after="0"/>
              <w:rPr>
                <w:sz w:val="20"/>
                <w:szCs w:val="20"/>
                <w:color w:val="auto"/>
              </w:rPr>
            </w:pPr>
            <w:r>
              <w:rPr>
                <w:rFonts w:ascii="Arial" w:cs="Arial" w:eastAsia="Arial" w:hAnsi="Arial"/>
                <w:sz w:val="18"/>
                <w:szCs w:val="18"/>
                <w:color w:val="auto"/>
              </w:rPr>
              <w:t>EXHIBIT B</w:t>
            </w:r>
          </w:p>
        </w:tc>
      </w:tr>
      <w:tr>
        <w:trPr>
          <w:trHeight w:val="230"/>
        </w:trPr>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620" w:type="dxa"/>
            <w:vAlign w:val="bottom"/>
          </w:tcPr>
          <w:p>
            <w:pPr>
              <w:jc w:val="center"/>
              <w:ind w:right="2510"/>
              <w:spacing w:after="0"/>
              <w:rPr>
                <w:sz w:val="20"/>
                <w:szCs w:val="20"/>
                <w:color w:val="auto"/>
              </w:rPr>
            </w:pPr>
            <w:r>
              <w:rPr>
                <w:rFonts w:ascii="Arial" w:cs="Arial" w:eastAsia="Arial" w:hAnsi="Arial"/>
                <w:sz w:val="18"/>
                <w:szCs w:val="18"/>
                <w:color w:val="auto"/>
                <w:w w:val="99"/>
              </w:rPr>
              <w:t>-3-</w:t>
            </w:r>
          </w:p>
        </w:tc>
      </w:tr>
    </w:tbl>
    <w:p>
      <w:pPr>
        <w:jc w:val="center"/>
        <w:ind w:right="2510"/>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06" w:name="page407"/>
    <w:bookmarkEnd w:id="406"/>
    <w:tbl>
      <w:tblPr>
        <w:tblLayout w:type="fixed"/>
        <w:tblInd w:w="0" w:type="dxa"/>
        <w:tblCellMar>
          <w:top w:w="0" w:type="dxa"/>
          <w:left w:w="0" w:type="dxa"/>
          <w:bottom w:w="0" w:type="dxa"/>
          <w:right w:w="0" w:type="dxa"/>
        </w:tblCellMar>
      </w:tblP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ELEVATORS</w:t>
            </w:r>
          </w:p>
        </w:tc>
        <w:tc>
          <w:tcPr>
            <w:tcW w:w="8700" w:type="dxa"/>
            <w:vAlign w:val="bottom"/>
          </w:tcPr>
          <w:p>
            <w:pPr>
              <w:spacing w:after="0"/>
              <w:rPr>
                <w:sz w:val="20"/>
                <w:szCs w:val="20"/>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460" w:type="dxa"/>
            <w:vAlign w:val="bottom"/>
          </w:tcPr>
          <w:p>
            <w:pPr>
              <w:ind w:left="100"/>
              <w:spacing w:after="0"/>
              <w:rPr>
                <w:sz w:val="20"/>
                <w:szCs w:val="20"/>
                <w:color w:val="auto"/>
              </w:rPr>
            </w:pPr>
            <w:r>
              <w:rPr>
                <w:rFonts w:ascii="Arial" w:cs="Arial" w:eastAsia="Arial" w:hAnsi="Arial"/>
                <w:sz w:val="18"/>
                <w:szCs w:val="18"/>
                <w:color w:val="auto"/>
              </w:rPr>
              <w:t>North Complex Elevators</w:t>
            </w:r>
          </w:p>
        </w:tc>
        <w:tc>
          <w:tcPr>
            <w:tcW w:w="8700" w:type="dxa"/>
            <w:vAlign w:val="bottom"/>
          </w:tcPr>
          <w:p>
            <w:pPr>
              <w:ind w:left="140"/>
              <w:spacing w:after="0"/>
              <w:rPr>
                <w:sz w:val="20"/>
                <w:szCs w:val="20"/>
                <w:color w:val="auto"/>
              </w:rPr>
            </w:pPr>
            <w:r>
              <w:rPr>
                <w:rFonts w:ascii="Arial" w:cs="Arial" w:eastAsia="Arial" w:hAnsi="Arial"/>
                <w:sz w:val="18"/>
                <w:szCs w:val="18"/>
                <w:color w:val="auto"/>
              </w:rPr>
              <w:t>The following have been provided:</w:t>
            </w: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(5) passenger elevators; 3,500 lbs., 500 fpm</w:t>
            </w: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(1) passenger/freight elevator; 4,500 lbs., 350 fpm</w:t>
            </w: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(1) freight elevator; 4,500 lbs., 350 fpm</w:t>
            </w:r>
          </w:p>
        </w:tc>
      </w:tr>
      <w:tr>
        <w:trPr>
          <w:trHeight w:val="324"/>
        </w:trPr>
        <w:tc>
          <w:tcPr>
            <w:tcW w:w="20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60" w:type="dxa"/>
            <w:vAlign w:val="bottom"/>
          </w:tcPr>
          <w:p>
            <w:pPr>
              <w:ind w:left="100"/>
              <w:spacing w:after="0"/>
              <w:rPr>
                <w:sz w:val="20"/>
                <w:szCs w:val="20"/>
                <w:color w:val="auto"/>
              </w:rPr>
            </w:pPr>
            <w:r>
              <w:rPr>
                <w:rFonts w:ascii="Arial" w:cs="Arial" w:eastAsia="Arial" w:hAnsi="Arial"/>
                <w:sz w:val="18"/>
                <w:szCs w:val="18"/>
                <w:color w:val="auto"/>
              </w:rPr>
              <w:t>South Complex Elevators</w:t>
            </w:r>
          </w:p>
        </w:tc>
        <w:tc>
          <w:tcPr>
            <w:tcW w:w="8700" w:type="dxa"/>
            <w:vAlign w:val="bottom"/>
          </w:tcPr>
          <w:p>
            <w:pPr>
              <w:ind w:left="140"/>
              <w:spacing w:after="0"/>
              <w:rPr>
                <w:sz w:val="20"/>
                <w:szCs w:val="20"/>
                <w:color w:val="auto"/>
              </w:rPr>
            </w:pPr>
            <w:r>
              <w:rPr>
                <w:rFonts w:ascii="Arial" w:cs="Arial" w:eastAsia="Arial" w:hAnsi="Arial"/>
                <w:sz w:val="18"/>
                <w:szCs w:val="18"/>
                <w:color w:val="auto"/>
              </w:rPr>
              <w:t>The following have been provided:</w:t>
            </w: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(4) passenger elevators; 3,500 lbs., 500 fpm</w:t>
            </w: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(1) passenger/freight elevator; 4,500 lbs., 350 fpm</w:t>
            </w: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(1) freight elevator; 4,500 lbs., 350 fpm</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460" w:type="dxa"/>
            <w:vAlign w:val="bottom"/>
          </w:tcPr>
          <w:p>
            <w:pPr>
              <w:ind w:left="100"/>
              <w:spacing w:after="0"/>
              <w:rPr>
                <w:sz w:val="20"/>
                <w:szCs w:val="20"/>
                <w:color w:val="auto"/>
              </w:rPr>
            </w:pPr>
            <w:r>
              <w:rPr>
                <w:rFonts w:ascii="Arial" w:cs="Arial" w:eastAsia="Arial" w:hAnsi="Arial"/>
                <w:sz w:val="18"/>
                <w:szCs w:val="18"/>
                <w:color w:val="auto"/>
              </w:rPr>
              <w:t>North Complex Shuttle</w:t>
            </w:r>
          </w:p>
        </w:tc>
        <w:tc>
          <w:tcPr>
            <w:tcW w:w="8700" w:type="dxa"/>
            <w:vAlign w:val="bottom"/>
          </w:tcPr>
          <w:p>
            <w:pPr>
              <w:ind w:left="140"/>
              <w:spacing w:after="0"/>
              <w:rPr>
                <w:sz w:val="20"/>
                <w:szCs w:val="20"/>
                <w:color w:val="auto"/>
              </w:rPr>
            </w:pPr>
            <w:r>
              <w:rPr>
                <w:rFonts w:ascii="Arial" w:cs="Arial" w:eastAsia="Arial" w:hAnsi="Arial"/>
                <w:sz w:val="18"/>
                <w:szCs w:val="18"/>
                <w:color w:val="auto"/>
              </w:rPr>
              <w:t>The following have been provided for internal parking garage access:</w:t>
            </w:r>
          </w:p>
        </w:tc>
      </w:tr>
      <w:tr>
        <w:trPr>
          <w:trHeight w:val="230"/>
        </w:trPr>
        <w:tc>
          <w:tcPr>
            <w:tcW w:w="200" w:type="dxa"/>
            <w:vAlign w:val="bottom"/>
          </w:tcPr>
          <w:p>
            <w:pPr>
              <w:spacing w:after="0"/>
              <w:rPr>
                <w:sz w:val="20"/>
                <w:szCs w:val="20"/>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Elevator</w:t>
            </w:r>
          </w:p>
        </w:tc>
        <w:tc>
          <w:tcPr>
            <w:tcW w:w="8700" w:type="dxa"/>
            <w:vAlign w:val="bottom"/>
          </w:tcPr>
          <w:p>
            <w:pPr>
              <w:spacing w:after="0"/>
              <w:rPr>
                <w:sz w:val="20"/>
                <w:szCs w:val="20"/>
                <w:color w:val="auto"/>
              </w:rPr>
            </w:pP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(1) passenger elevators; 3500 lbs., 350 fpm</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60" w:type="dxa"/>
            <w:vAlign w:val="bottom"/>
          </w:tcPr>
          <w:p>
            <w:pPr>
              <w:ind w:left="100"/>
              <w:spacing w:after="0"/>
              <w:rPr>
                <w:sz w:val="20"/>
                <w:szCs w:val="20"/>
                <w:color w:val="auto"/>
              </w:rPr>
            </w:pPr>
            <w:r>
              <w:rPr>
                <w:rFonts w:ascii="Arial" w:cs="Arial" w:eastAsia="Arial" w:hAnsi="Arial"/>
                <w:sz w:val="18"/>
                <w:szCs w:val="18"/>
                <w:color w:val="auto"/>
              </w:rPr>
              <w:t>South Complex Shuttle</w:t>
            </w:r>
          </w:p>
        </w:tc>
        <w:tc>
          <w:tcPr>
            <w:tcW w:w="8700" w:type="dxa"/>
            <w:vAlign w:val="bottom"/>
          </w:tcPr>
          <w:p>
            <w:pPr>
              <w:ind w:left="140"/>
              <w:spacing w:after="0"/>
              <w:rPr>
                <w:sz w:val="20"/>
                <w:szCs w:val="20"/>
                <w:color w:val="auto"/>
              </w:rPr>
            </w:pPr>
            <w:r>
              <w:rPr>
                <w:rFonts w:ascii="Arial" w:cs="Arial" w:eastAsia="Arial" w:hAnsi="Arial"/>
                <w:sz w:val="18"/>
                <w:szCs w:val="18"/>
                <w:color w:val="auto"/>
              </w:rPr>
              <w:t>The following have been provided for internal parking garage access:</w:t>
            </w:r>
          </w:p>
        </w:tc>
      </w:tr>
      <w:tr>
        <w:trPr>
          <w:trHeight w:val="230"/>
        </w:trPr>
        <w:tc>
          <w:tcPr>
            <w:tcW w:w="200" w:type="dxa"/>
            <w:vAlign w:val="bottom"/>
          </w:tcPr>
          <w:p>
            <w:pPr>
              <w:spacing w:after="0"/>
              <w:rPr>
                <w:sz w:val="20"/>
                <w:szCs w:val="20"/>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Elevator</w:t>
            </w:r>
          </w:p>
        </w:tc>
        <w:tc>
          <w:tcPr>
            <w:tcW w:w="8700" w:type="dxa"/>
            <w:vAlign w:val="bottom"/>
          </w:tcPr>
          <w:p>
            <w:pPr>
              <w:spacing w:after="0"/>
              <w:rPr>
                <w:sz w:val="20"/>
                <w:szCs w:val="20"/>
                <w:color w:val="auto"/>
              </w:rPr>
            </w:pPr>
          </w:p>
        </w:tc>
      </w:tr>
      <w:tr>
        <w:trPr>
          <w:trHeight w:val="324"/>
        </w:trPr>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(1) passenger elevators; 3500 lbs., 350 fpm</w:t>
            </w:r>
          </w:p>
        </w:tc>
      </w:tr>
      <w:tr>
        <w:trPr>
          <w:trHeight w:val="581"/>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COMMON AREAS</w:t>
            </w:r>
          </w:p>
        </w:tc>
        <w:tc>
          <w:tcPr>
            <w:tcW w:w="8700" w:type="dxa"/>
            <w:vAlign w:val="bottom"/>
          </w:tcPr>
          <w:p>
            <w:pPr>
              <w:spacing w:after="0"/>
              <w:rPr>
                <w:sz w:val="24"/>
                <w:szCs w:val="24"/>
                <w:color w:val="auto"/>
              </w:rPr>
            </w:pPr>
          </w:p>
        </w:tc>
      </w:tr>
      <w:tr>
        <w:trPr>
          <w:trHeight w:val="351"/>
        </w:trPr>
        <w:tc>
          <w:tcPr>
            <w:tcW w:w="2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460" w:type="dxa"/>
            <w:vAlign w:val="bottom"/>
          </w:tcPr>
          <w:p>
            <w:pPr>
              <w:ind w:left="100"/>
              <w:spacing w:after="0"/>
              <w:rPr>
                <w:sz w:val="20"/>
                <w:szCs w:val="20"/>
                <w:color w:val="auto"/>
              </w:rPr>
            </w:pPr>
            <w:r>
              <w:rPr>
                <w:rFonts w:ascii="Arial" w:cs="Arial" w:eastAsia="Arial" w:hAnsi="Arial"/>
                <w:sz w:val="18"/>
                <w:szCs w:val="18"/>
                <w:color w:val="auto"/>
              </w:rPr>
              <w:t>Main Lobby – North Complex</w:t>
            </w:r>
          </w:p>
        </w:tc>
        <w:tc>
          <w:tcPr>
            <w:tcW w:w="8700" w:type="dxa"/>
            <w:vAlign w:val="bottom"/>
          </w:tcPr>
          <w:p>
            <w:pPr>
              <w:ind w:left="140"/>
              <w:spacing w:after="0"/>
              <w:rPr>
                <w:sz w:val="20"/>
                <w:szCs w:val="20"/>
                <w:color w:val="auto"/>
              </w:rPr>
            </w:pPr>
            <w:r>
              <w:rPr>
                <w:rFonts w:ascii="Arial" w:cs="Arial" w:eastAsia="Arial" w:hAnsi="Arial"/>
                <w:sz w:val="18"/>
                <w:szCs w:val="18"/>
                <w:color w:val="auto"/>
              </w:rPr>
              <w:t>Finished building lobby &amp; elevator lobby space</w:t>
            </w:r>
          </w:p>
        </w:tc>
      </w:tr>
      <w:tr>
        <w:trPr>
          <w:trHeight w:val="324"/>
        </w:trPr>
        <w:tc>
          <w:tcPr>
            <w:tcW w:w="20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60" w:type="dxa"/>
            <w:vAlign w:val="bottom"/>
          </w:tcPr>
          <w:p>
            <w:pPr>
              <w:ind w:left="100"/>
              <w:spacing w:after="0"/>
              <w:rPr>
                <w:sz w:val="20"/>
                <w:szCs w:val="20"/>
                <w:color w:val="auto"/>
              </w:rPr>
            </w:pPr>
            <w:r>
              <w:rPr>
                <w:rFonts w:ascii="Arial" w:cs="Arial" w:eastAsia="Arial" w:hAnsi="Arial"/>
                <w:sz w:val="18"/>
                <w:szCs w:val="18"/>
                <w:color w:val="auto"/>
                <w:w w:val="99"/>
              </w:rPr>
              <w:t>Main Lobby – South Complex</w:t>
            </w:r>
          </w:p>
        </w:tc>
        <w:tc>
          <w:tcPr>
            <w:tcW w:w="8700" w:type="dxa"/>
            <w:vAlign w:val="bottom"/>
          </w:tcPr>
          <w:p>
            <w:pPr>
              <w:ind w:left="140"/>
              <w:spacing w:after="0"/>
              <w:rPr>
                <w:sz w:val="20"/>
                <w:szCs w:val="20"/>
                <w:color w:val="auto"/>
              </w:rPr>
            </w:pPr>
            <w:r>
              <w:rPr>
                <w:rFonts w:ascii="Arial" w:cs="Arial" w:eastAsia="Arial" w:hAnsi="Arial"/>
                <w:sz w:val="18"/>
                <w:szCs w:val="18"/>
                <w:color w:val="auto"/>
              </w:rPr>
              <w:t>Finished building lobby &amp; elevator lobby space</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460" w:type="dxa"/>
            <w:vAlign w:val="bottom"/>
          </w:tcPr>
          <w:p>
            <w:pPr>
              <w:ind w:left="100"/>
              <w:spacing w:after="0"/>
              <w:rPr>
                <w:sz w:val="20"/>
                <w:szCs w:val="20"/>
                <w:color w:val="auto"/>
              </w:rPr>
            </w:pPr>
            <w:r>
              <w:rPr>
                <w:rFonts w:ascii="Arial" w:cs="Arial" w:eastAsia="Arial" w:hAnsi="Arial"/>
                <w:sz w:val="18"/>
                <w:szCs w:val="18"/>
                <w:color w:val="auto"/>
              </w:rPr>
              <w:t>Toilet Cores</w:t>
            </w:r>
          </w:p>
        </w:tc>
        <w:tc>
          <w:tcPr>
            <w:tcW w:w="8700" w:type="dxa"/>
            <w:vAlign w:val="bottom"/>
          </w:tcPr>
          <w:p>
            <w:pPr>
              <w:ind w:left="140"/>
              <w:spacing w:after="0"/>
              <w:rPr>
                <w:sz w:val="20"/>
                <w:szCs w:val="20"/>
                <w:color w:val="auto"/>
              </w:rPr>
            </w:pPr>
            <w:r>
              <w:rPr>
                <w:rFonts w:ascii="Arial" w:cs="Arial" w:eastAsia="Arial" w:hAnsi="Arial"/>
                <w:sz w:val="18"/>
                <w:szCs w:val="18"/>
                <w:color w:val="auto"/>
              </w:rPr>
              <w:t>Each Complex includes full toilet cores, with finishes that include the following finishes:</w:t>
            </w:r>
          </w:p>
        </w:tc>
      </w:tr>
      <w:tr>
        <w:trPr>
          <w:trHeight w:val="216"/>
        </w:trPr>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Walls: Porcelain Tile</w:t>
            </w:r>
          </w:p>
        </w:tc>
      </w:tr>
      <w:tr>
        <w:trPr>
          <w:trHeight w:val="216"/>
        </w:trPr>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Floors: Porcelain Tile</w:t>
            </w:r>
          </w:p>
        </w:tc>
      </w:tr>
      <w:tr>
        <w:trPr>
          <w:trHeight w:val="216"/>
        </w:trPr>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Ceilings: Painted Gypsum Board</w:t>
            </w:r>
          </w:p>
        </w:tc>
      </w:tr>
      <w:tr>
        <w:trPr>
          <w:trHeight w:val="216"/>
        </w:trPr>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Lighting: LED strip and downlights</w:t>
            </w:r>
          </w:p>
        </w:tc>
      </w:tr>
      <w:tr>
        <w:trPr>
          <w:trHeight w:val="216"/>
        </w:trPr>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Countertops: Solid Surfacing</w:t>
            </w:r>
          </w:p>
        </w:tc>
      </w:tr>
      <w:tr>
        <w:trPr>
          <w:trHeight w:val="230"/>
        </w:trPr>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Accessories: High Pressure Laminate Toilet Partitions, stainless steel toilet accessories</w:t>
            </w:r>
          </w:p>
        </w:tc>
      </w:tr>
      <w:tr>
        <w:trPr>
          <w:trHeight w:val="324"/>
        </w:trPr>
        <w:tc>
          <w:tcPr>
            <w:tcW w:w="20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60" w:type="dxa"/>
            <w:vAlign w:val="bottom"/>
          </w:tcPr>
          <w:p>
            <w:pPr>
              <w:ind w:left="100"/>
              <w:spacing w:after="0"/>
              <w:rPr>
                <w:sz w:val="20"/>
                <w:szCs w:val="20"/>
                <w:color w:val="auto"/>
              </w:rPr>
            </w:pPr>
            <w:r>
              <w:rPr>
                <w:rFonts w:ascii="Arial" w:cs="Arial" w:eastAsia="Arial" w:hAnsi="Arial"/>
                <w:sz w:val="18"/>
                <w:szCs w:val="18"/>
                <w:color w:val="auto"/>
              </w:rPr>
              <w:t>Janitor Closets</w:t>
            </w:r>
          </w:p>
        </w:tc>
        <w:tc>
          <w:tcPr>
            <w:tcW w:w="8700" w:type="dxa"/>
            <w:vAlign w:val="bottom"/>
          </w:tcPr>
          <w:p>
            <w:pPr>
              <w:ind w:left="140"/>
              <w:spacing w:after="0"/>
              <w:rPr>
                <w:sz w:val="20"/>
                <w:szCs w:val="20"/>
                <w:color w:val="auto"/>
              </w:rPr>
            </w:pPr>
            <w:r>
              <w:rPr>
                <w:rFonts w:ascii="Arial" w:cs="Arial" w:eastAsia="Arial" w:hAnsi="Arial"/>
                <w:sz w:val="18"/>
                <w:szCs w:val="18"/>
                <w:color w:val="auto"/>
                <w:w w:val="98"/>
              </w:rPr>
              <w:t>Each Complex is provided with one Janitor Closet per floor furnished with a mop sink, mop rack and shelving.</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5</w:t>
            </w:r>
          </w:p>
        </w:tc>
        <w:tc>
          <w:tcPr>
            <w:tcW w:w="2460" w:type="dxa"/>
            <w:vAlign w:val="bottom"/>
          </w:tcPr>
          <w:p>
            <w:pPr>
              <w:ind w:left="100"/>
              <w:spacing w:after="0"/>
              <w:rPr>
                <w:sz w:val="20"/>
                <w:szCs w:val="20"/>
                <w:color w:val="auto"/>
              </w:rPr>
            </w:pPr>
            <w:r>
              <w:rPr>
                <w:rFonts w:ascii="Arial" w:cs="Arial" w:eastAsia="Arial" w:hAnsi="Arial"/>
                <w:sz w:val="18"/>
                <w:szCs w:val="18"/>
                <w:color w:val="auto"/>
              </w:rPr>
              <w:t>Floor Electrical Rooms</w:t>
            </w:r>
          </w:p>
        </w:tc>
        <w:tc>
          <w:tcPr>
            <w:tcW w:w="8700" w:type="dxa"/>
            <w:vAlign w:val="bottom"/>
          </w:tcPr>
          <w:p>
            <w:pPr>
              <w:ind w:left="140"/>
              <w:spacing w:after="0"/>
              <w:rPr>
                <w:sz w:val="20"/>
                <w:szCs w:val="20"/>
                <w:color w:val="auto"/>
              </w:rPr>
            </w:pPr>
            <w:r>
              <w:rPr>
                <w:rFonts w:ascii="Arial" w:cs="Arial" w:eastAsia="Arial" w:hAnsi="Arial"/>
                <w:sz w:val="18"/>
                <w:szCs w:val="18"/>
                <w:color w:val="auto"/>
                <w:w w:val="94"/>
              </w:rPr>
              <w:t>Each Complex is provided with one Electrical Room per floor that is served by a bus duct from the main Electrical</w:t>
            </w:r>
          </w:p>
        </w:tc>
      </w:tr>
      <w:tr>
        <w:trPr>
          <w:trHeight w:val="230"/>
        </w:trPr>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w w:val="99"/>
              </w:rPr>
              <w:t>Room for the building. Refer to the Electrical section for further description of the electrical service provided.</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6</w:t>
            </w:r>
          </w:p>
        </w:tc>
        <w:tc>
          <w:tcPr>
            <w:tcW w:w="2460" w:type="dxa"/>
            <w:vAlign w:val="bottom"/>
          </w:tcPr>
          <w:p>
            <w:pPr>
              <w:ind w:left="100"/>
              <w:spacing w:after="0"/>
              <w:rPr>
                <w:sz w:val="20"/>
                <w:szCs w:val="20"/>
                <w:color w:val="auto"/>
              </w:rPr>
            </w:pPr>
            <w:r>
              <w:rPr>
                <w:rFonts w:ascii="Arial" w:cs="Arial" w:eastAsia="Arial" w:hAnsi="Arial"/>
                <w:sz w:val="18"/>
                <w:szCs w:val="18"/>
                <w:color w:val="auto"/>
              </w:rPr>
              <w:t>Floor Data (IDF) Rooms</w:t>
            </w:r>
          </w:p>
        </w:tc>
        <w:tc>
          <w:tcPr>
            <w:tcW w:w="8700" w:type="dxa"/>
            <w:vAlign w:val="bottom"/>
          </w:tcPr>
          <w:p>
            <w:pPr>
              <w:ind w:left="140"/>
              <w:spacing w:after="0"/>
              <w:rPr>
                <w:sz w:val="20"/>
                <w:szCs w:val="20"/>
                <w:color w:val="auto"/>
              </w:rPr>
            </w:pPr>
            <w:r>
              <w:rPr>
                <w:rFonts w:ascii="Arial" w:cs="Arial" w:eastAsia="Arial" w:hAnsi="Arial"/>
                <w:sz w:val="18"/>
                <w:szCs w:val="18"/>
                <w:color w:val="auto"/>
                <w:w w:val="92"/>
              </w:rPr>
              <w:t>Each Complex is provided with one IDF room per floor that is served by a raceway from the Main Distribution Frame.</w:t>
            </w:r>
          </w:p>
        </w:tc>
      </w:tr>
      <w:tr>
        <w:trPr>
          <w:trHeight w:val="230"/>
        </w:trPr>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Refer to the data section for further description of the electrical service provided.</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634" w:right="299" w:bottom="1440" w:gutter="0" w:footer="0" w:header="0"/>
        </w:sectPr>
      </w:pPr>
    </w:p>
    <w:bookmarkStart w:id="407" w:name="page408"/>
    <w:bookmarkEnd w:id="407"/>
    <w:p>
      <w:pPr>
        <w:ind w:left="300" w:hanging="292"/>
        <w:spacing w:after="0"/>
        <w:tabs>
          <w:tab w:leader="none" w:pos="30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Stairway Enclosures</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Roof Deck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right="120" w:hanging="292"/>
        <w:spacing w:after="0" w:line="308" w:lineRule="auto"/>
        <w:tabs>
          <w:tab w:leader="none" w:pos="300"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Fire Extinguisher Cabinets at Common/Core Areas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AREAS</w:t>
      </w:r>
    </w:p>
    <w:p>
      <w:pPr>
        <w:spacing w:after="0" w:line="148" w:lineRule="exact"/>
        <w:rPr>
          <w:sz w:val="20"/>
          <w:szCs w:val="20"/>
          <w:color w:val="auto"/>
        </w:rPr>
      </w:pPr>
    </w:p>
    <w:p>
      <w:pPr>
        <w:ind w:left="300" w:hanging="292"/>
        <w:spacing w:after="0"/>
        <w:tabs>
          <w:tab w:leader="none" w:pos="3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Tenant Finishes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right="80" w:hanging="292"/>
        <w:spacing w:after="0" w:line="277" w:lineRule="auto"/>
        <w:tabs>
          <w:tab w:leader="none" w:pos="30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Shaft Enclosures for Building System Risers</w:t>
      </w:r>
    </w:p>
    <w:p>
      <w:pPr>
        <w:spacing w:after="0" w:line="62" w:lineRule="exact"/>
        <w:rPr>
          <w:sz w:val="20"/>
          <w:szCs w:val="20"/>
          <w:color w:val="auto"/>
        </w:rPr>
      </w:pPr>
    </w:p>
    <w:p>
      <w:pPr>
        <w:ind w:left="300" w:right="80" w:hanging="292"/>
        <w:spacing w:after="0" w:line="277" w:lineRule="auto"/>
        <w:tabs>
          <w:tab w:leader="none" w:pos="300"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Shaft Enclosures for Building Risers</w:t>
      </w:r>
    </w:p>
    <w:p>
      <w:pPr>
        <w:spacing w:after="0" w:line="62" w:lineRule="exact"/>
        <w:rPr>
          <w:sz w:val="20"/>
          <w:szCs w:val="20"/>
          <w:color w:val="auto"/>
        </w:rPr>
      </w:pPr>
    </w:p>
    <w:p>
      <w:pPr>
        <w:ind w:left="300" w:right="120" w:hanging="292"/>
        <w:spacing w:after="0" w:line="277" w:lineRule="auto"/>
        <w:tabs>
          <w:tab w:leader="none" w:pos="30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Fire Extinguisher Cabinets at Tenant Areas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PROTECTION</w:t>
      </w:r>
    </w:p>
    <w:p>
      <w:pPr>
        <w:spacing w:after="0" w:line="148" w:lineRule="exact"/>
        <w:rPr>
          <w:sz w:val="20"/>
          <w:szCs w:val="20"/>
          <w:color w:val="auto"/>
        </w:rPr>
      </w:pPr>
    </w:p>
    <w:p>
      <w:pPr>
        <w:ind w:left="300" w:hanging="292"/>
        <w:spacing w:after="0"/>
        <w:tabs>
          <w:tab w:leader="none" w:pos="300"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t>Fire Protection System Design</w:t>
      </w:r>
    </w:p>
    <w:p>
      <w:pPr>
        <w:spacing w:after="0" w:line="46"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8"/>
          <w:szCs w:val="18"/>
          <w:color w:val="auto"/>
        </w:rPr>
        <w:t>– General</w:t>
      </w:r>
    </w:p>
    <w:p>
      <w:pPr>
        <w:spacing w:after="0" w:line="103" w:lineRule="exact"/>
        <w:rPr>
          <w:sz w:val="20"/>
          <w:szCs w:val="20"/>
          <w:color w:val="auto"/>
        </w:rPr>
      </w:pPr>
    </w:p>
    <w:p>
      <w:pPr>
        <w:ind w:left="300" w:right="540" w:hanging="292"/>
        <w:spacing w:after="0" w:line="277" w:lineRule="auto"/>
        <w:tabs>
          <w:tab w:leader="none" w:pos="30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Fire Protection Risers / Standpipes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Each Complex is provided with required exit stairways designed to meet the anticipated Code population for the floor. Stairways are provided with required fire rated walls and doors. Tenant is responsible for ensuring that the floor level population of the Premises will conform to the Code limitations of the stairways.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-528320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Roof Deck more particularly described in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of the Lease and as follows.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a.Floor – Pavers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b.Wall – Metal Panel cladding.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c.Trellis – High pressure laminate cladding</w:t>
      </w:r>
    </w:p>
    <w:p>
      <w:pPr>
        <w:spacing w:after="0" w:line="13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Required fire extinguisher cabinets serving the common core areas are provided as a part of the Base Building construction.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Finishes for the Premises are provided by Tenant. Base Building finishes include insulation face with no interior furring or metal stud framework at exterior walls, and Level 2 drywall finishes at fire rated enclosures. Unrated walls facing tenant areas are unfinished metal studs. Floors are exposed concrete, and exposed ceiling with only code required lighting and fire sprinklers.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Shafts for Building Systems are fully enclosed and fire stopped, with appropriate fire dampers for where ductwork exits the shaft. Finishes are Level 2 drywall at Premises side of the shaft.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Vertical shafts and risers are provided as part of Base Building</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Fire extinguisher cabinets as required to meet the current California Building Code requirements are the responsibility of Tenant.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fire sprinkler system is designed for full building coverage with a rating of L Occupancy</w:t>
      </w:r>
    </w:p>
    <w:p>
      <w:pPr>
        <w:spacing w:after="0" w:line="3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Class 1 automatic wet standpipe will be provided in stairs #1, 2, 3, 4, 5, 6, &amp; 7. All standpipes are equipped with 3” hose valves with pressure reducing valves per San Francisco Fire Department requirements. Stairs 1-6 shall be 6” combination standpipes, stair #7 shall be a 6” Class One standpipe. Roof hydrants shall be provided with (2) 3” hose connections each.</w:t>
      </w:r>
    </w:p>
    <w:p>
      <w:pPr>
        <w:spacing w:after="0" w:line="119" w:lineRule="exact"/>
        <w:rPr>
          <w:sz w:val="20"/>
          <w:szCs w:val="20"/>
          <w:color w:val="auto"/>
        </w:rPr>
      </w:pPr>
    </w:p>
    <w:p>
      <w:pPr>
        <w:jc w:val="center"/>
        <w:ind w:right="2700"/>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2700"/>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27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520" w:space="280"/>
            <w:col w:w="8520"/>
          </w:cols>
          <w:pgMar w:left="240" w:top="273" w:right="339" w:bottom="1440" w:gutter="0" w:footer="0" w:header="0"/>
        </w:sectPr>
      </w:pPr>
    </w:p>
    <w:bookmarkStart w:id="408" w:name="page409"/>
    <w:bookmarkEnd w:id="408"/>
    <w:p>
      <w:pPr>
        <w:ind w:left="300" w:hanging="292"/>
        <w:spacing w:after="0"/>
        <w:tabs>
          <w:tab w:leader="none" w:pos="30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Fire Protection Distribution /</w:t>
      </w:r>
      <w:r>
        <w:rPr>
          <w:rFonts w:ascii="Arial" w:cs="Arial" w:eastAsia="Arial" w:hAnsi="Arial"/>
          <w:sz w:val="16"/>
          <w:szCs w:val="16"/>
          <w:color w:val="auto"/>
        </w:rPr>
        <w:t>The maximum sprinkler demand on the project is L Occupancy with a design density of .2 gallons per minute over 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Sprinkler Heads</w:t>
            </w:r>
          </w:p>
        </w:tc>
        <w:tc>
          <w:tcPr>
            <w:tcW w:w="8720" w:type="dxa"/>
            <w:vAlign w:val="bottom"/>
          </w:tcPr>
          <w:p>
            <w:pPr>
              <w:ind w:left="120"/>
              <w:spacing w:after="0"/>
              <w:rPr>
                <w:sz w:val="20"/>
                <w:szCs w:val="20"/>
                <w:color w:val="auto"/>
              </w:rPr>
            </w:pPr>
            <w:r>
              <w:rPr>
                <w:rFonts w:ascii="Arial" w:cs="Arial" w:eastAsia="Arial" w:hAnsi="Arial"/>
                <w:sz w:val="18"/>
                <w:szCs w:val="18"/>
                <w:color w:val="auto"/>
              </w:rPr>
              <w:t>3000 sq. ft. area.</w:t>
            </w:r>
          </w:p>
        </w:tc>
      </w:tr>
      <w:tr>
        <w:trPr>
          <w:trHeight w:val="295"/>
        </w:trPr>
        <w:tc>
          <w:tcPr>
            <w:tcW w:w="20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80" w:type="dxa"/>
            <w:vAlign w:val="bottom"/>
          </w:tcPr>
          <w:p>
            <w:pPr>
              <w:ind w:left="100"/>
              <w:spacing w:after="0"/>
              <w:rPr>
                <w:sz w:val="20"/>
                <w:szCs w:val="20"/>
                <w:color w:val="auto"/>
              </w:rPr>
            </w:pPr>
            <w:r>
              <w:rPr>
                <w:rFonts w:ascii="Arial" w:cs="Arial" w:eastAsia="Arial" w:hAnsi="Arial"/>
                <w:sz w:val="18"/>
                <w:szCs w:val="18"/>
                <w:color w:val="auto"/>
              </w:rPr>
              <w:t>Fire Department Connection</w:t>
            </w:r>
          </w:p>
        </w:tc>
        <w:tc>
          <w:tcPr>
            <w:tcW w:w="8720" w:type="dxa"/>
            <w:vAlign w:val="bottom"/>
          </w:tcPr>
          <w:p>
            <w:pPr>
              <w:ind w:left="120"/>
              <w:spacing w:after="0"/>
              <w:rPr>
                <w:sz w:val="20"/>
                <w:szCs w:val="20"/>
                <w:color w:val="auto"/>
              </w:rPr>
            </w:pPr>
            <w:r>
              <w:rPr>
                <w:rFonts w:ascii="Arial" w:cs="Arial" w:eastAsia="Arial" w:hAnsi="Arial"/>
                <w:sz w:val="18"/>
                <w:szCs w:val="18"/>
                <w:color w:val="auto"/>
                <w:w w:val="94"/>
              </w:rPr>
              <w:t>FDCs are surface mounted and located on the Building exterior on Owens and 16th Street. The FDCs shall be 6A”</w:t>
            </w:r>
          </w:p>
        </w:tc>
      </w:tr>
      <w:tr>
        <w:trPr>
          <w:trHeight w:val="230"/>
        </w:trPr>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rPr>
              <w:t>supply pipe and consist of (4) 3” snoots 42” above sidewalk grade.</w:t>
            </w:r>
          </w:p>
        </w:tc>
      </w:tr>
      <w:tr>
        <w:trPr>
          <w:trHeight w:val="324"/>
        </w:trPr>
        <w:tc>
          <w:tcPr>
            <w:tcW w:w="200" w:type="dxa"/>
            <w:vAlign w:val="bottom"/>
          </w:tcPr>
          <w:p>
            <w:pPr>
              <w:spacing w:after="0"/>
              <w:rPr>
                <w:sz w:val="20"/>
                <w:szCs w:val="20"/>
                <w:color w:val="auto"/>
              </w:rPr>
            </w:pPr>
            <w:r>
              <w:rPr>
                <w:rFonts w:ascii="Arial" w:cs="Arial" w:eastAsia="Arial" w:hAnsi="Arial"/>
                <w:sz w:val="18"/>
                <w:szCs w:val="18"/>
                <w:b w:val="1"/>
                <w:bCs w:val="1"/>
                <w:color w:val="auto"/>
              </w:rPr>
              <w:t>5</w:t>
            </w:r>
          </w:p>
        </w:tc>
        <w:tc>
          <w:tcPr>
            <w:tcW w:w="2480" w:type="dxa"/>
            <w:vAlign w:val="bottom"/>
          </w:tcPr>
          <w:p>
            <w:pPr>
              <w:ind w:left="100"/>
              <w:spacing w:after="0"/>
              <w:rPr>
                <w:sz w:val="20"/>
                <w:szCs w:val="20"/>
                <w:color w:val="auto"/>
              </w:rPr>
            </w:pPr>
            <w:r>
              <w:rPr>
                <w:rFonts w:ascii="Arial" w:cs="Arial" w:eastAsia="Arial" w:hAnsi="Arial"/>
                <w:sz w:val="18"/>
                <w:szCs w:val="18"/>
                <w:color w:val="auto"/>
              </w:rPr>
              <w:t>Fire Pump</w:t>
            </w:r>
          </w:p>
        </w:tc>
        <w:tc>
          <w:tcPr>
            <w:tcW w:w="8720" w:type="dxa"/>
            <w:vAlign w:val="bottom"/>
          </w:tcPr>
          <w:p>
            <w:pPr>
              <w:ind w:left="120"/>
              <w:spacing w:after="0"/>
              <w:rPr>
                <w:sz w:val="20"/>
                <w:szCs w:val="20"/>
                <w:color w:val="auto"/>
              </w:rPr>
            </w:pPr>
            <w:r>
              <w:rPr>
                <w:rFonts w:ascii="Arial" w:cs="Arial" w:eastAsia="Arial" w:hAnsi="Arial"/>
                <w:sz w:val="18"/>
                <w:szCs w:val="18"/>
                <w:color w:val="auto"/>
                <w:w w:val="93"/>
              </w:rPr>
              <w:t>A vertical turbine pump is located directly above the fire water tank. The Fire water tank has 57,000 gallon capacity.</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6</w:t>
            </w:r>
          </w:p>
        </w:tc>
        <w:tc>
          <w:tcPr>
            <w:tcW w:w="2480" w:type="dxa"/>
            <w:vAlign w:val="bottom"/>
          </w:tcPr>
          <w:p>
            <w:pPr>
              <w:ind w:left="100"/>
              <w:spacing w:after="0"/>
              <w:rPr>
                <w:sz w:val="20"/>
                <w:szCs w:val="20"/>
                <w:color w:val="auto"/>
              </w:rPr>
            </w:pPr>
            <w:r>
              <w:rPr>
                <w:rFonts w:ascii="Arial" w:cs="Arial" w:eastAsia="Arial" w:hAnsi="Arial"/>
                <w:sz w:val="18"/>
                <w:szCs w:val="18"/>
                <w:color w:val="auto"/>
                <w:w w:val="96"/>
              </w:rPr>
              <w:t>Tenant-Required Modifications</w:t>
            </w:r>
          </w:p>
        </w:tc>
        <w:tc>
          <w:tcPr>
            <w:tcW w:w="8720" w:type="dxa"/>
            <w:vAlign w:val="bottom"/>
          </w:tcPr>
          <w:p>
            <w:pPr>
              <w:ind w:left="120"/>
              <w:spacing w:after="0"/>
              <w:rPr>
                <w:sz w:val="20"/>
                <w:szCs w:val="20"/>
                <w:color w:val="auto"/>
              </w:rPr>
            </w:pPr>
            <w:r>
              <w:rPr>
                <w:rFonts w:ascii="Arial" w:cs="Arial" w:eastAsia="Arial" w:hAnsi="Arial"/>
                <w:sz w:val="18"/>
                <w:szCs w:val="18"/>
                <w:color w:val="auto"/>
                <w:w w:val="91"/>
              </w:rPr>
              <w:t>All modifications to the Fire Protection system piping, risers, valves, piping, head locations, etc. that might be required</w:t>
            </w:r>
          </w:p>
        </w:tc>
      </w:tr>
      <w:tr>
        <w:trPr>
          <w:trHeight w:val="230"/>
        </w:trPr>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rPr>
              <w:t>to accommodate Tenant requirements and/or hazard classifications are the responsibility of Tenant.</w:t>
            </w:r>
          </w:p>
        </w:tc>
      </w:tr>
      <w:tr>
        <w:trPr>
          <w:trHeight w:val="324"/>
        </w:trPr>
        <w:tc>
          <w:tcPr>
            <w:tcW w:w="200" w:type="dxa"/>
            <w:vAlign w:val="bottom"/>
          </w:tcPr>
          <w:p>
            <w:pPr>
              <w:spacing w:after="0"/>
              <w:rPr>
                <w:sz w:val="20"/>
                <w:szCs w:val="20"/>
                <w:color w:val="auto"/>
              </w:rPr>
            </w:pPr>
            <w:r>
              <w:rPr>
                <w:rFonts w:ascii="Arial" w:cs="Arial" w:eastAsia="Arial" w:hAnsi="Arial"/>
                <w:sz w:val="18"/>
                <w:szCs w:val="18"/>
                <w:b w:val="1"/>
                <w:bCs w:val="1"/>
                <w:color w:val="auto"/>
              </w:rPr>
              <w:t>7</w:t>
            </w:r>
          </w:p>
        </w:tc>
        <w:tc>
          <w:tcPr>
            <w:tcW w:w="2480" w:type="dxa"/>
            <w:vAlign w:val="bottom"/>
          </w:tcPr>
          <w:p>
            <w:pPr>
              <w:ind w:left="100"/>
              <w:spacing w:after="0"/>
              <w:rPr>
                <w:sz w:val="20"/>
                <w:szCs w:val="20"/>
                <w:color w:val="auto"/>
              </w:rPr>
            </w:pPr>
            <w:r>
              <w:rPr>
                <w:rFonts w:ascii="Arial" w:cs="Arial" w:eastAsia="Arial" w:hAnsi="Arial"/>
                <w:sz w:val="18"/>
                <w:szCs w:val="18"/>
                <w:color w:val="auto"/>
              </w:rPr>
              <w:t>Fire Extinguisher Cabinets</w:t>
            </w:r>
          </w:p>
        </w:tc>
        <w:tc>
          <w:tcPr>
            <w:tcW w:w="8720" w:type="dxa"/>
            <w:vAlign w:val="bottom"/>
          </w:tcPr>
          <w:p>
            <w:pPr>
              <w:ind w:left="120"/>
              <w:spacing w:after="0"/>
              <w:rPr>
                <w:sz w:val="20"/>
                <w:szCs w:val="20"/>
                <w:color w:val="auto"/>
              </w:rPr>
            </w:pPr>
            <w:r>
              <w:rPr>
                <w:rFonts w:ascii="Arial" w:cs="Arial" w:eastAsia="Arial" w:hAnsi="Arial"/>
                <w:sz w:val="18"/>
                <w:szCs w:val="18"/>
                <w:color w:val="auto"/>
              </w:rPr>
              <w:t>Meeting Code requirements for fit-out is the responsibility of Tenant.</w:t>
            </w:r>
          </w:p>
        </w:tc>
      </w:tr>
      <w:tr>
        <w:trPr>
          <w:trHeight w:val="581"/>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PLUMBING</w:t>
            </w:r>
          </w:p>
        </w:tc>
        <w:tc>
          <w:tcPr>
            <w:tcW w:w="8720" w:type="dxa"/>
            <w:vAlign w:val="bottom"/>
          </w:tcPr>
          <w:p>
            <w:pPr>
              <w:spacing w:after="0"/>
              <w:rPr>
                <w:sz w:val="24"/>
                <w:szCs w:val="24"/>
                <w:color w:val="auto"/>
              </w:rPr>
            </w:pPr>
          </w:p>
        </w:tc>
      </w:tr>
      <w:tr>
        <w:trPr>
          <w:trHeight w:val="337"/>
        </w:trPr>
        <w:tc>
          <w:tcPr>
            <w:tcW w:w="200" w:type="dxa"/>
            <w:vAlign w:val="bottom"/>
          </w:tcPr>
          <w:p>
            <w:pPr>
              <w:spacing w:after="0"/>
              <w:rPr>
                <w:sz w:val="20"/>
                <w:szCs w:val="20"/>
                <w:color w:val="auto"/>
              </w:rPr>
            </w:pPr>
            <w:r>
              <w:rPr>
                <w:rFonts w:ascii="Arial" w:cs="Arial" w:eastAsia="Arial" w:hAnsi="Arial"/>
                <w:sz w:val="18"/>
                <w:szCs w:val="18"/>
                <w:b w:val="1"/>
                <w:bCs w:val="1"/>
                <w:color w:val="auto"/>
              </w:rPr>
              <w:t>1</w:t>
            </w:r>
          </w:p>
        </w:tc>
        <w:tc>
          <w:tcPr>
            <w:tcW w:w="2480" w:type="dxa"/>
            <w:vAlign w:val="bottom"/>
          </w:tcPr>
          <w:p>
            <w:pPr>
              <w:ind w:left="100"/>
              <w:spacing w:after="0"/>
              <w:rPr>
                <w:sz w:val="20"/>
                <w:szCs w:val="20"/>
                <w:color w:val="auto"/>
              </w:rPr>
            </w:pPr>
            <w:r>
              <w:rPr>
                <w:rFonts w:ascii="Arial" w:cs="Arial" w:eastAsia="Arial" w:hAnsi="Arial"/>
                <w:sz w:val="18"/>
                <w:szCs w:val="18"/>
                <w:color w:val="auto"/>
              </w:rPr>
              <w:t>Domestic Water System -</w:t>
            </w:r>
          </w:p>
        </w:tc>
        <w:tc>
          <w:tcPr>
            <w:tcW w:w="8720" w:type="dxa"/>
            <w:vAlign w:val="bottom"/>
          </w:tcPr>
          <w:p>
            <w:pPr>
              <w:ind w:left="120"/>
              <w:spacing w:after="0"/>
              <w:rPr>
                <w:sz w:val="20"/>
                <w:szCs w:val="20"/>
                <w:color w:val="auto"/>
              </w:rPr>
            </w:pPr>
            <w:r>
              <w:rPr>
                <w:rFonts w:ascii="Arial" w:cs="Arial" w:eastAsia="Arial" w:hAnsi="Arial"/>
                <w:sz w:val="18"/>
                <w:szCs w:val="18"/>
                <w:color w:val="auto"/>
                <w:w w:val="94"/>
              </w:rPr>
              <w:t>A complete domestic cold water system will be provided for the entire Project serving all core/shell areas and each</w:t>
            </w:r>
          </w:p>
        </w:tc>
      </w:tr>
      <w:tr>
        <w:trPr>
          <w:trHeight w:val="216"/>
        </w:trPr>
        <w:tc>
          <w:tcPr>
            <w:tcW w:w="2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Building</w:t>
            </w:r>
          </w:p>
        </w:tc>
        <w:tc>
          <w:tcPr>
            <w:tcW w:w="8720" w:type="dxa"/>
            <w:vAlign w:val="bottom"/>
          </w:tcPr>
          <w:p>
            <w:pPr>
              <w:ind w:left="120"/>
              <w:spacing w:after="0"/>
              <w:rPr>
                <w:sz w:val="20"/>
                <w:szCs w:val="20"/>
                <w:color w:val="auto"/>
              </w:rPr>
            </w:pPr>
            <w:r>
              <w:rPr>
                <w:rFonts w:ascii="Arial" w:cs="Arial" w:eastAsia="Arial" w:hAnsi="Arial"/>
                <w:sz w:val="18"/>
                <w:szCs w:val="18"/>
                <w:color w:val="auto"/>
                <w:w w:val="89"/>
              </w:rPr>
              <w:t>business, retail and tenant area. Systems account for future tenant rooms within the entire project. Street water pressure</w:t>
            </w:r>
          </w:p>
        </w:tc>
      </w:tr>
      <w:tr>
        <w:trPr>
          <w:trHeight w:val="216"/>
        </w:trPr>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w w:val="93"/>
              </w:rPr>
              <w:t>will serve levels 1. A booster pump will provide water to L7 thru Roof. A PRV off of that pumped line will serve floors</w:t>
            </w:r>
          </w:p>
        </w:tc>
      </w:tr>
      <w:tr>
        <w:trPr>
          <w:trHeight w:val="230"/>
        </w:trPr>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rPr>
              <w:t>2-6 and serve parking levels P0 through P8 level.</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80" w:type="dxa"/>
            <w:vAlign w:val="bottom"/>
          </w:tcPr>
          <w:p>
            <w:pPr>
              <w:ind w:left="100"/>
              <w:spacing w:after="0"/>
              <w:rPr>
                <w:sz w:val="20"/>
                <w:szCs w:val="20"/>
                <w:color w:val="auto"/>
              </w:rPr>
            </w:pPr>
            <w:r>
              <w:rPr>
                <w:rFonts w:ascii="Arial" w:cs="Arial" w:eastAsia="Arial" w:hAnsi="Arial"/>
                <w:sz w:val="18"/>
                <w:szCs w:val="18"/>
                <w:color w:val="auto"/>
              </w:rPr>
              <w:t>Domestic Water System -</w:t>
            </w:r>
          </w:p>
        </w:tc>
        <w:tc>
          <w:tcPr>
            <w:tcW w:w="8720" w:type="dxa"/>
            <w:vAlign w:val="bottom"/>
          </w:tcPr>
          <w:p>
            <w:pPr>
              <w:ind w:left="120"/>
              <w:spacing w:after="0"/>
              <w:rPr>
                <w:sz w:val="20"/>
                <w:szCs w:val="20"/>
                <w:color w:val="auto"/>
              </w:rPr>
            </w:pPr>
            <w:r>
              <w:rPr>
                <w:rFonts w:ascii="Arial" w:cs="Arial" w:eastAsia="Arial" w:hAnsi="Arial"/>
                <w:sz w:val="18"/>
                <w:szCs w:val="18"/>
                <w:color w:val="auto"/>
              </w:rPr>
              <w:t>Domestic water service sub meters at Tenant tie-ins, domestic water distribution within the Premises will be</w:t>
            </w:r>
          </w:p>
        </w:tc>
      </w:tr>
      <w:tr>
        <w:trPr>
          <w:trHeight w:val="230"/>
        </w:trPr>
        <w:tc>
          <w:tcPr>
            <w:tcW w:w="2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Premises</w:t>
            </w:r>
          </w:p>
        </w:tc>
        <w:tc>
          <w:tcPr>
            <w:tcW w:w="8720" w:type="dxa"/>
            <w:vAlign w:val="bottom"/>
          </w:tcPr>
          <w:p>
            <w:pPr>
              <w:ind w:left="120"/>
              <w:spacing w:after="0"/>
              <w:rPr>
                <w:sz w:val="20"/>
                <w:szCs w:val="20"/>
                <w:color w:val="auto"/>
              </w:rPr>
            </w:pPr>
            <w:r>
              <w:rPr>
                <w:rFonts w:ascii="Arial" w:cs="Arial" w:eastAsia="Arial" w:hAnsi="Arial"/>
                <w:sz w:val="18"/>
                <w:szCs w:val="18"/>
                <w:color w:val="auto"/>
              </w:rPr>
              <w:t>constructed by Tenant as part of the Improvements.</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3</w:t>
            </w:r>
          </w:p>
        </w:tc>
        <w:tc>
          <w:tcPr>
            <w:tcW w:w="2480" w:type="dxa"/>
            <w:vAlign w:val="bottom"/>
          </w:tcPr>
          <w:p>
            <w:pPr>
              <w:ind w:left="100"/>
              <w:spacing w:after="0"/>
              <w:rPr>
                <w:sz w:val="20"/>
                <w:szCs w:val="20"/>
                <w:color w:val="auto"/>
              </w:rPr>
            </w:pPr>
            <w:r>
              <w:rPr>
                <w:rFonts w:ascii="Arial" w:cs="Arial" w:eastAsia="Arial" w:hAnsi="Arial"/>
                <w:sz w:val="18"/>
                <w:szCs w:val="18"/>
                <w:color w:val="auto"/>
                <w:w w:val="96"/>
              </w:rPr>
              <w:t>Reclaimed Cold Water System</w:t>
            </w:r>
          </w:p>
        </w:tc>
        <w:tc>
          <w:tcPr>
            <w:tcW w:w="8720" w:type="dxa"/>
            <w:vAlign w:val="bottom"/>
          </w:tcPr>
          <w:p>
            <w:pPr>
              <w:ind w:left="120"/>
              <w:spacing w:after="0"/>
              <w:rPr>
                <w:sz w:val="20"/>
                <w:szCs w:val="20"/>
                <w:color w:val="auto"/>
              </w:rPr>
            </w:pPr>
            <w:r>
              <w:rPr>
                <w:rFonts w:ascii="Arial" w:cs="Arial" w:eastAsia="Arial" w:hAnsi="Arial"/>
                <w:sz w:val="18"/>
                <w:szCs w:val="18"/>
                <w:color w:val="auto"/>
                <w:w w:val="93"/>
              </w:rPr>
              <w:t>A complete reclaimed cold water system will be provided for the entire Project serving all core/shell areas and each</w:t>
            </w:r>
          </w:p>
        </w:tc>
      </w:tr>
      <w:tr>
        <w:trPr>
          <w:trHeight w:val="230"/>
        </w:trPr>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rPr>
              <w:t>business, retail and tenant area.</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80" w:type="dxa"/>
            <w:vAlign w:val="bottom"/>
          </w:tcPr>
          <w:p>
            <w:pPr>
              <w:ind w:left="100"/>
              <w:spacing w:after="0"/>
              <w:rPr>
                <w:sz w:val="20"/>
                <w:szCs w:val="20"/>
                <w:color w:val="auto"/>
              </w:rPr>
            </w:pPr>
            <w:r>
              <w:rPr>
                <w:rFonts w:ascii="Arial" w:cs="Arial" w:eastAsia="Arial" w:hAnsi="Arial"/>
                <w:sz w:val="18"/>
                <w:szCs w:val="18"/>
                <w:color w:val="auto"/>
                <w:w w:val="95"/>
              </w:rPr>
              <w:t>Domestic Water Booster Pump</w:t>
            </w:r>
          </w:p>
        </w:tc>
        <w:tc>
          <w:tcPr>
            <w:tcW w:w="8720" w:type="dxa"/>
            <w:vAlign w:val="bottom"/>
          </w:tcPr>
          <w:p>
            <w:pPr>
              <w:ind w:left="120"/>
              <w:spacing w:after="0"/>
              <w:rPr>
                <w:sz w:val="20"/>
                <w:szCs w:val="20"/>
                <w:color w:val="auto"/>
              </w:rPr>
            </w:pPr>
            <w:r>
              <w:rPr>
                <w:rFonts w:ascii="Arial" w:cs="Arial" w:eastAsia="Arial" w:hAnsi="Arial"/>
                <w:sz w:val="18"/>
                <w:szCs w:val="18"/>
                <w:color w:val="auto"/>
                <w:w w:val="95"/>
              </w:rPr>
              <w:t>The Project will have a Duplex Pressure Booster system rated for with two 10 HP Pumps for 110 GPM. Domestic</w:t>
            </w:r>
          </w:p>
        </w:tc>
      </w:tr>
      <w:tr>
        <w:trPr>
          <w:trHeight w:val="230"/>
        </w:trPr>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rPr>
              <w:t>water pressure booster pump assembly. See item #1.</w:t>
            </w:r>
          </w:p>
        </w:tc>
      </w:tr>
      <w:tr>
        <w:trPr>
          <w:trHeight w:val="324"/>
        </w:trPr>
        <w:tc>
          <w:tcPr>
            <w:tcW w:w="200" w:type="dxa"/>
            <w:vAlign w:val="bottom"/>
          </w:tcPr>
          <w:p>
            <w:pPr>
              <w:spacing w:after="0"/>
              <w:rPr>
                <w:sz w:val="20"/>
                <w:szCs w:val="20"/>
                <w:color w:val="auto"/>
              </w:rPr>
            </w:pPr>
            <w:r>
              <w:rPr>
                <w:rFonts w:ascii="Arial" w:cs="Arial" w:eastAsia="Arial" w:hAnsi="Arial"/>
                <w:sz w:val="18"/>
                <w:szCs w:val="18"/>
                <w:b w:val="1"/>
                <w:bCs w:val="1"/>
                <w:color w:val="auto"/>
              </w:rPr>
              <w:t>5</w:t>
            </w:r>
          </w:p>
        </w:tc>
        <w:tc>
          <w:tcPr>
            <w:tcW w:w="2480" w:type="dxa"/>
            <w:vAlign w:val="bottom"/>
          </w:tcPr>
          <w:p>
            <w:pPr>
              <w:ind w:left="100"/>
              <w:spacing w:after="0"/>
              <w:rPr>
                <w:sz w:val="20"/>
                <w:szCs w:val="20"/>
                <w:color w:val="auto"/>
              </w:rPr>
            </w:pPr>
            <w:r>
              <w:rPr>
                <w:rFonts w:ascii="Arial" w:cs="Arial" w:eastAsia="Arial" w:hAnsi="Arial"/>
                <w:sz w:val="18"/>
                <w:szCs w:val="18"/>
                <w:color w:val="auto"/>
              </w:rPr>
              <w:t>Fire Water System</w:t>
            </w:r>
          </w:p>
        </w:tc>
        <w:tc>
          <w:tcPr>
            <w:tcW w:w="8720" w:type="dxa"/>
            <w:vAlign w:val="bottom"/>
          </w:tcPr>
          <w:p>
            <w:pPr>
              <w:ind w:left="120"/>
              <w:spacing w:after="0"/>
              <w:rPr>
                <w:sz w:val="20"/>
                <w:szCs w:val="20"/>
                <w:color w:val="auto"/>
              </w:rPr>
            </w:pPr>
            <w:r>
              <w:rPr>
                <w:rFonts w:ascii="Arial" w:cs="Arial" w:eastAsia="Arial" w:hAnsi="Arial"/>
                <w:sz w:val="18"/>
                <w:szCs w:val="18"/>
                <w:color w:val="auto"/>
              </w:rPr>
              <w:t>See above.</w:t>
            </w:r>
          </w:p>
        </w:tc>
      </w:tr>
      <w:tr>
        <w:trPr>
          <w:trHeight w:val="310"/>
        </w:trPr>
        <w:tc>
          <w:tcPr>
            <w:tcW w:w="200" w:type="dxa"/>
            <w:vAlign w:val="bottom"/>
          </w:tcPr>
          <w:p>
            <w:pPr>
              <w:spacing w:after="0"/>
              <w:rPr>
                <w:sz w:val="20"/>
                <w:szCs w:val="20"/>
                <w:color w:val="auto"/>
              </w:rPr>
            </w:pPr>
            <w:r>
              <w:rPr>
                <w:rFonts w:ascii="Arial" w:cs="Arial" w:eastAsia="Arial" w:hAnsi="Arial"/>
                <w:sz w:val="18"/>
                <w:szCs w:val="18"/>
                <w:b w:val="1"/>
                <w:bCs w:val="1"/>
                <w:color w:val="auto"/>
              </w:rPr>
              <w:t>6</w:t>
            </w:r>
          </w:p>
        </w:tc>
        <w:tc>
          <w:tcPr>
            <w:tcW w:w="2480" w:type="dxa"/>
            <w:vAlign w:val="bottom"/>
          </w:tcPr>
          <w:p>
            <w:pPr>
              <w:ind w:left="100"/>
              <w:spacing w:after="0"/>
              <w:rPr>
                <w:sz w:val="20"/>
                <w:szCs w:val="20"/>
                <w:color w:val="auto"/>
              </w:rPr>
            </w:pPr>
            <w:r>
              <w:rPr>
                <w:rFonts w:ascii="Arial" w:cs="Arial" w:eastAsia="Arial" w:hAnsi="Arial"/>
                <w:sz w:val="18"/>
                <w:szCs w:val="18"/>
                <w:color w:val="auto"/>
              </w:rPr>
              <w:t>Building Storm System</w:t>
            </w:r>
          </w:p>
        </w:tc>
        <w:tc>
          <w:tcPr>
            <w:tcW w:w="8720" w:type="dxa"/>
            <w:vAlign w:val="bottom"/>
          </w:tcPr>
          <w:p>
            <w:pPr>
              <w:ind w:left="120"/>
              <w:spacing w:after="0"/>
              <w:rPr>
                <w:sz w:val="20"/>
                <w:szCs w:val="20"/>
                <w:color w:val="auto"/>
              </w:rPr>
            </w:pPr>
            <w:r>
              <w:rPr>
                <w:rFonts w:ascii="Arial" w:cs="Arial" w:eastAsia="Arial" w:hAnsi="Arial"/>
                <w:sz w:val="18"/>
                <w:szCs w:val="18"/>
                <w:color w:val="auto"/>
                <w:w w:val="94"/>
              </w:rPr>
              <w:t>A complete storm drain, rainwater leader, and over-floor drain piping will be provided for all project areas. Piping is</w:t>
            </w:r>
          </w:p>
        </w:tc>
      </w:tr>
      <w:tr>
        <w:trPr>
          <w:trHeight w:val="216"/>
        </w:trPr>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w w:val="97"/>
              </w:rPr>
              <w:t>sized per the CPC and City of San Francisco requirements. Piping is routed to terminate at exterior stormwater</w:t>
            </w:r>
          </w:p>
        </w:tc>
      </w:tr>
      <w:tr>
        <w:trPr>
          <w:trHeight w:val="216"/>
        </w:trPr>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w w:val="98"/>
              </w:rPr>
              <w:t>treatment areas. Systems in base project include roof drains, overflow drains, balcony drains, green roof drain</w:t>
            </w:r>
          </w:p>
        </w:tc>
      </w:tr>
      <w:tr>
        <w:trPr>
          <w:trHeight w:val="230"/>
        </w:trPr>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720" w:type="dxa"/>
            <w:vAlign w:val="bottom"/>
          </w:tcPr>
          <w:p>
            <w:pPr>
              <w:ind w:left="120"/>
              <w:spacing w:after="0"/>
              <w:rPr>
                <w:sz w:val="20"/>
                <w:szCs w:val="20"/>
                <w:color w:val="auto"/>
              </w:rPr>
            </w:pPr>
            <w:r>
              <w:rPr>
                <w:rFonts w:ascii="Arial" w:cs="Arial" w:eastAsia="Arial" w:hAnsi="Arial"/>
                <w:sz w:val="18"/>
                <w:szCs w:val="18"/>
                <w:color w:val="auto"/>
                <w:w w:val="99"/>
              </w:rPr>
              <w:t>connections, piping, gratings, acoustical isolation components, valves, fittings, supports and seismic bracing.</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3" w:right="259" w:bottom="1440" w:gutter="0" w:footer="0" w:header="0"/>
        </w:sectPr>
      </w:pPr>
    </w:p>
    <w:bookmarkStart w:id="409" w:name="page410"/>
    <w:bookmarkEnd w:id="409"/>
    <w:p>
      <w:pPr>
        <w:spacing w:after="0"/>
        <w:tabs>
          <w:tab w:leader="none" w:pos="2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color w:val="auto"/>
        </w:rPr>
        <w:t>Building Sanitary Sewer</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System</w:t>
      </w:r>
    </w:p>
    <w:p>
      <w:pPr>
        <w:spacing w:after="0" w:line="20" w:lineRule="exact"/>
        <w:rPr>
          <w:sz w:val="20"/>
          <w:szCs w:val="20"/>
          <w:color w:val="auto"/>
        </w:rPr>
      </w:pPr>
      <w:r>
        <w:rPr>
          <w:sz w:val="20"/>
          <w:szCs w:val="20"/>
          <w:color w:val="auto"/>
        </w:rPr>
        <w:br w:type="column"/>
      </w:r>
    </w:p>
    <w:p>
      <w:pPr>
        <w:ind w:right="560"/>
        <w:spacing w:after="0" w:line="308" w:lineRule="auto"/>
        <w:rPr>
          <w:sz w:val="20"/>
          <w:szCs w:val="20"/>
          <w:color w:val="auto"/>
        </w:rPr>
      </w:pPr>
      <w:r>
        <w:rPr>
          <w:rFonts w:ascii="Arial" w:cs="Arial" w:eastAsia="Arial" w:hAnsi="Arial"/>
          <w:sz w:val="17"/>
          <w:szCs w:val="17"/>
          <w:color w:val="auto"/>
        </w:rPr>
        <w:t>The Project provides a complete sanitary soil, waste, vent and trap primer piping system including piping, fixture rough-ins, fittings supports, acoustical isolation components, seismic bracing and cleanouts.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-403225</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2060" w:space="620"/>
            <w:col w:w="8720"/>
          </w:cols>
          <w:pgMar w:left="240" w:top="270" w:right="259" w:bottom="1440" w:gutter="0" w:footer="0" w:header="0"/>
        </w:sectPr>
      </w:pPr>
    </w:p>
    <w:p>
      <w:pPr>
        <w:ind w:left="300" w:hanging="292"/>
        <w:spacing w:after="0"/>
        <w:tabs>
          <w:tab w:leader="none" w:pos="300"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t>Building Lab Waste System –   Underground Lab waste system is provided and stubbed up 12” above Slab on Grade in several central locations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Arial" w:cs="Arial" w:eastAsia="Arial" w:hAnsi="Arial"/>
                <w:sz w:val="18"/>
                <w:szCs w:val="18"/>
                <w:color w:val="auto"/>
              </w:rPr>
              <w:t>Building</w:t>
            </w:r>
          </w:p>
        </w:tc>
        <w:tc>
          <w:tcPr>
            <w:tcW w:w="8640" w:type="dxa"/>
            <w:vAlign w:val="bottom"/>
            <w:gridSpan w:val="7"/>
          </w:tcPr>
          <w:p>
            <w:pPr>
              <w:spacing w:after="0"/>
              <w:rPr>
                <w:sz w:val="20"/>
                <w:szCs w:val="20"/>
                <w:color w:val="auto"/>
              </w:rPr>
            </w:pPr>
            <w:r>
              <w:rPr>
                <w:rFonts w:ascii="Arial" w:cs="Arial" w:eastAsia="Arial" w:hAnsi="Arial"/>
                <w:sz w:val="18"/>
                <w:szCs w:val="18"/>
                <w:color w:val="auto"/>
                <w:w w:val="92"/>
              </w:rPr>
              <w:t>throughout the Complexes. There are neutralization tanks and sample ports for both Complexes. The South Complex</w:t>
            </w:r>
          </w:p>
        </w:tc>
      </w:tr>
      <w:tr>
        <w:trPr>
          <w:trHeight w:val="230"/>
        </w:trPr>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99"/>
              </w:rPr>
              <w:t>will have vertical piping for lab waste.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color w:val="auto"/>
              </w:rPr>
              <w:t>9</w:t>
            </w:r>
          </w:p>
        </w:tc>
        <w:tc>
          <w:tcPr>
            <w:tcW w:w="2440" w:type="dxa"/>
            <w:vAlign w:val="bottom"/>
          </w:tcPr>
          <w:p>
            <w:pPr>
              <w:ind w:left="60"/>
              <w:spacing w:after="0"/>
              <w:rPr>
                <w:sz w:val="20"/>
                <w:szCs w:val="20"/>
                <w:color w:val="auto"/>
              </w:rPr>
            </w:pPr>
            <w:r>
              <w:rPr>
                <w:rFonts w:ascii="Arial" w:cs="Arial" w:eastAsia="Arial" w:hAnsi="Arial"/>
                <w:sz w:val="18"/>
                <w:szCs w:val="18"/>
                <w:color w:val="auto"/>
                <w:w w:val="98"/>
              </w:rPr>
              <w:t>Sand-Oil Separator at Parking</w:t>
            </w:r>
          </w:p>
        </w:tc>
        <w:tc>
          <w:tcPr>
            <w:tcW w:w="2980" w:type="dxa"/>
            <w:vAlign w:val="bottom"/>
            <w:gridSpan w:val="2"/>
          </w:tcPr>
          <w:p>
            <w:pPr>
              <w:spacing w:after="0"/>
              <w:rPr>
                <w:sz w:val="20"/>
                <w:szCs w:val="20"/>
                <w:color w:val="auto"/>
              </w:rPr>
            </w:pPr>
            <w:r>
              <w:rPr>
                <w:rFonts w:ascii="Arial" w:cs="Arial" w:eastAsia="Arial" w:hAnsi="Arial"/>
                <w:sz w:val="18"/>
                <w:szCs w:val="18"/>
                <w:color w:val="auto"/>
              </w:rPr>
              <w:t>Not required and not provided.</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440" w:type="dxa"/>
            <w:vAlign w:val="bottom"/>
          </w:tcPr>
          <w:p>
            <w:pPr>
              <w:ind w:left="60"/>
              <w:spacing w:after="0"/>
              <w:rPr>
                <w:sz w:val="20"/>
                <w:szCs w:val="20"/>
                <w:color w:val="auto"/>
              </w:rPr>
            </w:pPr>
            <w:r>
              <w:rPr>
                <w:rFonts w:ascii="Arial" w:cs="Arial" w:eastAsia="Arial" w:hAnsi="Arial"/>
                <w:sz w:val="18"/>
                <w:szCs w:val="18"/>
                <w:color w:val="auto"/>
              </w:rPr>
              <w:t>Water Heating</w:t>
            </w:r>
          </w:p>
        </w:tc>
        <w:tc>
          <w:tcPr>
            <w:tcW w:w="6020" w:type="dxa"/>
            <w:vAlign w:val="bottom"/>
            <w:gridSpan w:val="5"/>
          </w:tcPr>
          <w:p>
            <w:pPr>
              <w:spacing w:after="0"/>
              <w:rPr>
                <w:sz w:val="20"/>
                <w:szCs w:val="20"/>
                <w:color w:val="auto"/>
              </w:rPr>
            </w:pPr>
            <w:r>
              <w:rPr>
                <w:rFonts w:ascii="Arial" w:cs="Arial" w:eastAsia="Arial" w:hAnsi="Arial"/>
                <w:sz w:val="18"/>
                <w:szCs w:val="18"/>
                <w:color w:val="auto"/>
                <w:w w:val="96"/>
              </w:rPr>
              <w:t>Gas water heaters for showers and HX domestic water heaters for bathrooms.</w:t>
            </w: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2440" w:type="dxa"/>
            <w:vAlign w:val="bottom"/>
          </w:tcPr>
          <w:p>
            <w:pPr>
              <w:ind w:left="60"/>
              <w:spacing w:after="0"/>
              <w:rPr>
                <w:sz w:val="20"/>
                <w:szCs w:val="20"/>
                <w:color w:val="auto"/>
              </w:rPr>
            </w:pPr>
            <w:r>
              <w:rPr>
                <w:rFonts w:ascii="Arial" w:cs="Arial" w:eastAsia="Arial" w:hAnsi="Arial"/>
                <w:sz w:val="18"/>
                <w:szCs w:val="18"/>
                <w:color w:val="auto"/>
              </w:rPr>
              <w:t>Irrigation System</w:t>
            </w:r>
          </w:p>
        </w:tc>
        <w:tc>
          <w:tcPr>
            <w:tcW w:w="8640" w:type="dxa"/>
            <w:vAlign w:val="bottom"/>
            <w:gridSpan w:val="7"/>
          </w:tcPr>
          <w:p>
            <w:pPr>
              <w:spacing w:after="0"/>
              <w:rPr>
                <w:sz w:val="20"/>
                <w:szCs w:val="20"/>
                <w:color w:val="auto"/>
              </w:rPr>
            </w:pPr>
            <w:r>
              <w:rPr>
                <w:rFonts w:ascii="Arial" w:cs="Arial" w:eastAsia="Arial" w:hAnsi="Arial"/>
                <w:sz w:val="18"/>
                <w:szCs w:val="18"/>
                <w:color w:val="auto"/>
              </w:rPr>
              <w:t>The landscape has an irrigation system connected to the City of San Francisco’s reclaimed water system.</w:t>
            </w:r>
          </w:p>
        </w:tc>
      </w:tr>
      <w:tr>
        <w:trPr>
          <w:trHeight w:val="310"/>
        </w:trPr>
        <w:tc>
          <w:tcPr>
            <w:tcW w:w="2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440" w:type="dxa"/>
            <w:vAlign w:val="bottom"/>
          </w:tcPr>
          <w:p>
            <w:pPr>
              <w:ind w:left="60"/>
              <w:spacing w:after="0"/>
              <w:rPr>
                <w:sz w:val="20"/>
                <w:szCs w:val="20"/>
                <w:color w:val="auto"/>
              </w:rPr>
            </w:pPr>
            <w:r>
              <w:rPr>
                <w:rFonts w:ascii="Arial" w:cs="Arial" w:eastAsia="Arial" w:hAnsi="Arial"/>
                <w:sz w:val="18"/>
                <w:szCs w:val="18"/>
                <w:color w:val="auto"/>
              </w:rPr>
              <w:t>Natural Gas</w:t>
            </w:r>
          </w:p>
        </w:tc>
        <w:tc>
          <w:tcPr>
            <w:tcW w:w="8640" w:type="dxa"/>
            <w:vAlign w:val="bottom"/>
            <w:gridSpan w:val="7"/>
          </w:tcPr>
          <w:p>
            <w:pPr>
              <w:spacing w:after="0"/>
              <w:rPr>
                <w:sz w:val="20"/>
                <w:szCs w:val="20"/>
                <w:color w:val="auto"/>
              </w:rPr>
            </w:pPr>
            <w:r>
              <w:rPr>
                <w:rFonts w:ascii="Arial" w:cs="Arial" w:eastAsia="Arial" w:hAnsi="Arial"/>
                <w:sz w:val="18"/>
                <w:szCs w:val="18"/>
                <w:color w:val="auto"/>
                <w:w w:val="92"/>
              </w:rPr>
              <w:t>A complete natural gas system will be provided for the entire Project. System includes a seismic gas valve assembly,</w:t>
            </w:r>
          </w:p>
        </w:tc>
      </w:tr>
      <w:tr>
        <w:trPr>
          <w:trHeight w:val="216"/>
        </w:trPr>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640" w:type="dxa"/>
            <w:vAlign w:val="bottom"/>
            <w:gridSpan w:val="7"/>
          </w:tcPr>
          <w:p>
            <w:pPr>
              <w:spacing w:after="0"/>
              <w:rPr>
                <w:sz w:val="20"/>
                <w:szCs w:val="20"/>
                <w:color w:val="auto"/>
              </w:rPr>
            </w:pPr>
            <w:r>
              <w:rPr>
                <w:rFonts w:ascii="Arial" w:cs="Arial" w:eastAsia="Arial" w:hAnsi="Arial"/>
                <w:sz w:val="18"/>
                <w:szCs w:val="18"/>
                <w:color w:val="auto"/>
                <w:w w:val="89"/>
              </w:rPr>
              <w:t>shut-off valves, piping, fittings, supports, seismic bracing and all associated devices to serve points of use. Gas pressure</w:t>
            </w:r>
          </w:p>
        </w:tc>
      </w:tr>
      <w:tr>
        <w:trPr>
          <w:trHeight w:val="216"/>
        </w:trPr>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640" w:type="dxa"/>
            <w:vAlign w:val="bottom"/>
            <w:gridSpan w:val="7"/>
          </w:tcPr>
          <w:p>
            <w:pPr>
              <w:spacing w:after="0"/>
              <w:rPr>
                <w:sz w:val="20"/>
                <w:szCs w:val="20"/>
                <w:color w:val="auto"/>
              </w:rPr>
            </w:pPr>
            <w:r>
              <w:rPr>
                <w:rFonts w:ascii="Arial" w:cs="Arial" w:eastAsia="Arial" w:hAnsi="Arial"/>
                <w:sz w:val="18"/>
                <w:szCs w:val="18"/>
                <w:color w:val="auto"/>
                <w:w w:val="90"/>
              </w:rPr>
              <w:t>regulators will be provided by the equipment connections requiring lower pressures and where pressure is reduced from</w:t>
            </w:r>
          </w:p>
        </w:tc>
      </w:tr>
      <w:tr>
        <w:trPr>
          <w:trHeight w:val="216"/>
        </w:trPr>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640" w:type="dxa"/>
            <w:vAlign w:val="bottom"/>
            <w:gridSpan w:val="7"/>
          </w:tcPr>
          <w:p>
            <w:pPr>
              <w:spacing w:after="0"/>
              <w:rPr>
                <w:sz w:val="20"/>
                <w:szCs w:val="20"/>
                <w:color w:val="auto"/>
              </w:rPr>
            </w:pPr>
            <w:r>
              <w:rPr>
                <w:rFonts w:ascii="Arial" w:cs="Arial" w:eastAsia="Arial" w:hAnsi="Arial"/>
                <w:sz w:val="18"/>
                <w:szCs w:val="18"/>
                <w:color w:val="auto"/>
                <w:w w:val="90"/>
              </w:rPr>
              <w:t>higher pressure. BAS pressure relief vents will be provided from each gas pressure regulator if required. BAS gas meter</w:t>
            </w:r>
          </w:p>
        </w:tc>
      </w:tr>
      <w:tr>
        <w:trPr>
          <w:trHeight w:val="230"/>
        </w:trPr>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w w:val="93"/>
              </w:rPr>
              <w:t>will be provided for HVAC boilers. Flow meters will be supplied for BAS systems.</w:t>
            </w: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581"/>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HEATING, VENTILATION AND AIR CONDITIONING</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84"/>
        </w:trPr>
        <w:tc>
          <w:tcPr>
            <w:tcW w:w="240" w:type="dxa"/>
            <w:vAlign w:val="bottom"/>
          </w:tcPr>
          <w:p>
            <w:pPr>
              <w:spacing w:after="0"/>
              <w:rPr>
                <w:sz w:val="20"/>
                <w:szCs w:val="20"/>
                <w:color w:val="auto"/>
              </w:rPr>
            </w:pPr>
            <w:r>
              <w:rPr>
                <w:rFonts w:ascii="Arial" w:cs="Arial" w:eastAsia="Arial" w:hAnsi="Arial"/>
                <w:sz w:val="18"/>
                <w:szCs w:val="18"/>
                <w:b w:val="1"/>
                <w:bCs w:val="1"/>
                <w:color w:val="auto"/>
              </w:rPr>
              <w:t>1</w:t>
            </w:r>
          </w:p>
        </w:tc>
        <w:tc>
          <w:tcPr>
            <w:tcW w:w="2440" w:type="dxa"/>
            <w:vAlign w:val="bottom"/>
          </w:tcPr>
          <w:p>
            <w:pPr>
              <w:ind w:left="60"/>
              <w:spacing w:after="0"/>
              <w:rPr>
                <w:sz w:val="20"/>
                <w:szCs w:val="20"/>
                <w:color w:val="auto"/>
              </w:rPr>
            </w:pPr>
            <w:r>
              <w:rPr>
                <w:rFonts w:ascii="Arial" w:cs="Arial" w:eastAsia="Arial" w:hAnsi="Arial"/>
                <w:sz w:val="18"/>
                <w:szCs w:val="18"/>
                <w:color w:val="auto"/>
              </w:rPr>
              <w:t>Ventilation rates</w:t>
            </w: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Room</w:t>
            </w: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Rate</w:t>
            </w:r>
          </w:p>
        </w:tc>
        <w:tc>
          <w:tcPr>
            <w:tcW w:w="256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Units</w:t>
            </w:r>
          </w:p>
        </w:tc>
        <w:tc>
          <w:tcPr>
            <w:tcW w:w="2300" w:type="dxa"/>
            <w:vAlign w:val="bottom"/>
          </w:tcPr>
          <w:p>
            <w:pPr>
              <w:spacing w:after="0"/>
              <w:rPr>
                <w:sz w:val="24"/>
                <w:szCs w:val="24"/>
                <w:color w:val="auto"/>
              </w:rPr>
            </w:pPr>
          </w:p>
        </w:tc>
      </w:tr>
      <w:tr>
        <w:trPr>
          <w:trHeight w:val="224"/>
        </w:trPr>
        <w:tc>
          <w:tcPr>
            <w:tcW w:w="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0.7</w:t>
            </w:r>
          </w:p>
        </w:tc>
        <w:tc>
          <w:tcPr>
            <w:tcW w:w="256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cfm/ft</w:t>
            </w:r>
            <w:r>
              <w:rPr>
                <w:rFonts w:ascii="Arial" w:cs="Arial" w:eastAsia="Arial" w:hAnsi="Arial"/>
                <w:sz w:val="15"/>
                <w:szCs w:val="15"/>
                <w:color w:val="auto"/>
              </w:rPr>
              <w:t>2</w:t>
            </w:r>
          </w:p>
        </w:tc>
      </w:tr>
      <w:tr>
        <w:trPr>
          <w:trHeight w:val="282"/>
        </w:trPr>
        <w:tc>
          <w:tcPr>
            <w:tcW w:w="24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40" w:type="dxa"/>
            <w:vAlign w:val="bottom"/>
          </w:tcPr>
          <w:p>
            <w:pPr>
              <w:ind w:left="60"/>
              <w:spacing w:after="0"/>
              <w:rPr>
                <w:sz w:val="20"/>
                <w:szCs w:val="20"/>
                <w:color w:val="auto"/>
              </w:rPr>
            </w:pPr>
            <w:r>
              <w:rPr>
                <w:rFonts w:ascii="Arial" w:cs="Arial" w:eastAsia="Arial" w:hAnsi="Arial"/>
                <w:sz w:val="18"/>
                <w:szCs w:val="18"/>
                <w:color w:val="auto"/>
              </w:rPr>
              <w:t>Auxiliary Cooling</w:t>
            </w:r>
          </w:p>
        </w:tc>
        <w:tc>
          <w:tcPr>
            <w:tcW w:w="8640" w:type="dxa"/>
            <w:vAlign w:val="bottom"/>
            <w:gridSpan w:val="7"/>
          </w:tcPr>
          <w:p>
            <w:pPr>
              <w:spacing w:after="0"/>
              <w:rPr>
                <w:sz w:val="20"/>
                <w:szCs w:val="20"/>
                <w:color w:val="auto"/>
              </w:rPr>
            </w:pPr>
            <w:r>
              <w:rPr>
                <w:rFonts w:ascii="Arial" w:cs="Arial" w:eastAsia="Arial" w:hAnsi="Arial"/>
                <w:sz w:val="18"/>
                <w:szCs w:val="18"/>
                <w:color w:val="auto"/>
                <w:w w:val="90"/>
              </w:rPr>
              <w:t>a.Tenant auxiliary condenser water stub-outs are provided on each floor in the North Tower and the South Tower, sized</w:t>
            </w:r>
          </w:p>
        </w:tc>
      </w:tr>
      <w:tr>
        <w:trPr>
          <w:trHeight w:val="216"/>
        </w:trPr>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640" w:type="dxa"/>
            <w:vAlign w:val="bottom"/>
            <w:gridSpan w:val="7"/>
          </w:tcPr>
          <w:p>
            <w:pPr>
              <w:spacing w:after="0"/>
              <w:rPr>
                <w:sz w:val="20"/>
                <w:szCs w:val="20"/>
                <w:color w:val="auto"/>
              </w:rPr>
            </w:pPr>
            <w:r>
              <w:rPr>
                <w:rFonts w:ascii="Arial" w:cs="Arial" w:eastAsia="Arial" w:hAnsi="Arial"/>
                <w:sz w:val="18"/>
                <w:szCs w:val="18"/>
                <w:color w:val="auto"/>
                <w:w w:val="92"/>
              </w:rPr>
              <w:t>for 125 tons of total cooling capacity for each riser, based on 2 gpm/ton, 95ºF to 80ºF (this equates to about 2000 net</w:t>
            </w:r>
          </w:p>
        </w:tc>
      </w:tr>
      <w:tr>
        <w:trPr>
          <w:trHeight w:val="230"/>
        </w:trPr>
        <w:tc>
          <w:tcPr>
            <w:tcW w:w="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ft²/ton).</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107" w:lineRule="exact"/>
        <w:rPr>
          <w:sz w:val="20"/>
          <w:szCs w:val="20"/>
          <w:color w:val="auto"/>
        </w:rPr>
      </w:pPr>
    </w:p>
    <w:p>
      <w:pPr>
        <w:ind w:left="2680"/>
        <w:spacing w:after="0" w:line="264" w:lineRule="auto"/>
        <w:rPr>
          <w:sz w:val="20"/>
          <w:szCs w:val="20"/>
          <w:color w:val="auto"/>
        </w:rPr>
      </w:pPr>
      <w:r>
        <w:rPr>
          <w:rFonts w:ascii="Arial" w:cs="Arial" w:eastAsia="Arial" w:hAnsi="Arial"/>
          <w:sz w:val="18"/>
          <w:szCs w:val="18"/>
          <w:color w:val="auto"/>
        </w:rPr>
        <w:t>b.Where needed in the North Building and South Building, condenser water piping must be extended from the risers located in the North Tower and the South Tower, respectively. Any required booster pumps will be Tenant’s obligation as part of the Improvements.</w:t>
      </w:r>
    </w:p>
    <w:p>
      <w:pPr>
        <w:spacing w:after="0" w:line="8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c.This condenser water may also be used for water-cooled equipment or refrigeration heat rejection.</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type w:val="continuous"/>
        </w:sectPr>
      </w:pPr>
    </w:p>
    <w:bookmarkStart w:id="410" w:name="page411"/>
    <w:bookmarkEnd w:id="410"/>
    <w:p>
      <w:pPr>
        <w:ind w:left="392" w:hanging="392"/>
        <w:spacing w:after="0"/>
        <w:tabs>
          <w:tab w:leader="none" w:pos="392"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Boilers</w:t>
      </w:r>
    </w:p>
    <w:p>
      <w:pPr>
        <w:spacing w:after="0" w:line="200" w:lineRule="exact"/>
        <w:rPr>
          <w:sz w:val="20"/>
          <w:szCs w:val="20"/>
          <w:color w:val="auto"/>
        </w:rPr>
      </w:pPr>
    </w:p>
    <w:p>
      <w:pPr>
        <w:spacing w:after="0" w:line="268" w:lineRule="exact"/>
        <w:rPr>
          <w:sz w:val="20"/>
          <w:szCs w:val="20"/>
          <w:color w:val="auto"/>
        </w:rPr>
      </w:pPr>
    </w:p>
    <w:p>
      <w:pPr>
        <w:ind w:left="392" w:hanging="392"/>
        <w:spacing w:after="0"/>
        <w:tabs>
          <w:tab w:leader="none" w:pos="392"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Centrifugal chillers</w:t>
      </w:r>
    </w:p>
    <w:p>
      <w:pPr>
        <w:spacing w:after="0" w:line="200" w:lineRule="exact"/>
        <w:rPr>
          <w:sz w:val="20"/>
          <w:szCs w:val="20"/>
          <w:color w:val="auto"/>
        </w:rPr>
      </w:pPr>
    </w:p>
    <w:p>
      <w:pPr>
        <w:spacing w:after="0" w:line="268" w:lineRule="exact"/>
        <w:rPr>
          <w:sz w:val="20"/>
          <w:szCs w:val="20"/>
          <w:color w:val="auto"/>
        </w:rPr>
      </w:pPr>
    </w:p>
    <w:p>
      <w:pPr>
        <w:ind w:left="392" w:hanging="392"/>
        <w:spacing w:after="0"/>
        <w:tabs>
          <w:tab w:leader="none" w:pos="392"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Cooling towers</w:t>
      </w:r>
    </w:p>
    <w:p>
      <w:pPr>
        <w:spacing w:after="0" w:line="200" w:lineRule="exact"/>
        <w:rPr>
          <w:sz w:val="20"/>
          <w:szCs w:val="20"/>
          <w:color w:val="auto"/>
        </w:rPr>
      </w:pPr>
    </w:p>
    <w:p>
      <w:pPr>
        <w:spacing w:after="0" w:line="268" w:lineRule="exact"/>
        <w:rPr>
          <w:sz w:val="20"/>
          <w:szCs w:val="20"/>
          <w:color w:val="auto"/>
        </w:rPr>
      </w:pPr>
    </w:p>
    <w:p>
      <w:pPr>
        <w:ind w:left="392" w:hanging="392"/>
        <w:spacing w:after="0" w:line="297" w:lineRule="auto"/>
        <w:tabs>
          <w:tab w:leader="none" w:pos="392" w:val="left"/>
        </w:tabs>
        <w:numPr>
          <w:ilvl w:val="0"/>
          <w:numId w:val="222"/>
        </w:numPr>
        <w:rPr>
          <w:rFonts w:ascii="Arial" w:cs="Arial" w:eastAsia="Arial" w:hAnsi="Arial"/>
          <w:sz w:val="16"/>
          <w:szCs w:val="16"/>
          <w:b w:val="1"/>
          <w:bCs w:val="1"/>
          <w:color w:val="auto"/>
        </w:rPr>
      </w:pPr>
      <w:r>
        <w:rPr>
          <w:rFonts w:ascii="Arial" w:cs="Arial" w:eastAsia="Arial" w:hAnsi="Arial"/>
          <w:sz w:val="16"/>
          <w:szCs w:val="16"/>
          <w:color w:val="auto"/>
        </w:rPr>
        <w:t>Secondary mechanical equipment, including pumps, roof ducting, piping, valves, manifolds, etc. to support Base Building mechanical systems</w:t>
      </w:r>
    </w:p>
    <w:p>
      <w:pPr>
        <w:spacing w:after="0" w:line="50" w:lineRule="exact"/>
        <w:rPr>
          <w:sz w:val="20"/>
          <w:szCs w:val="20"/>
          <w:color w:val="auto"/>
        </w:rPr>
      </w:pPr>
    </w:p>
    <w:p>
      <w:pPr>
        <w:ind w:left="392" w:right="60" w:hanging="392"/>
        <w:spacing w:after="0" w:line="277" w:lineRule="auto"/>
        <w:tabs>
          <w:tab w:leader="none" w:pos="392"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Hot water pipe risers, stubbed in the Premises</w:t>
      </w:r>
    </w:p>
    <w:p>
      <w:pPr>
        <w:spacing w:after="0" w:line="62" w:lineRule="exact"/>
        <w:rPr>
          <w:sz w:val="20"/>
          <w:szCs w:val="20"/>
          <w:color w:val="auto"/>
        </w:rPr>
      </w:pPr>
    </w:p>
    <w:p>
      <w:pPr>
        <w:ind w:left="392" w:right="280" w:hanging="392"/>
        <w:spacing w:after="0" w:line="342" w:lineRule="auto"/>
        <w:tabs>
          <w:tab w:leader="none" w:pos="392" w:val="left"/>
        </w:tabs>
        <w:numPr>
          <w:ilvl w:val="0"/>
          <w:numId w:val="224"/>
        </w:numPr>
        <w:rPr>
          <w:rFonts w:ascii="Arial" w:cs="Arial" w:eastAsia="Arial" w:hAnsi="Arial"/>
          <w:sz w:val="16"/>
          <w:szCs w:val="16"/>
          <w:b w:val="1"/>
          <w:bCs w:val="1"/>
          <w:color w:val="auto"/>
        </w:rPr>
      </w:pPr>
      <w:r>
        <w:rPr>
          <w:rFonts w:ascii="Arial" w:cs="Arial" w:eastAsia="Arial" w:hAnsi="Arial"/>
          <w:sz w:val="16"/>
          <w:szCs w:val="16"/>
          <w:color w:val="auto"/>
        </w:rPr>
        <w:t>Hot water pipe distribution within the Premises</w:t>
      </w:r>
    </w:p>
    <w:p>
      <w:pPr>
        <w:spacing w:after="0" w:line="16" w:lineRule="exact"/>
        <w:rPr>
          <w:sz w:val="20"/>
          <w:szCs w:val="20"/>
          <w:color w:val="auto"/>
        </w:rPr>
      </w:pPr>
    </w:p>
    <w:p>
      <w:pPr>
        <w:ind w:left="392" w:right="560" w:hanging="392"/>
        <w:spacing w:after="0" w:line="277" w:lineRule="auto"/>
        <w:tabs>
          <w:tab w:leader="none" w:pos="392"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Reheat coils within the Premises</w:t>
      </w:r>
    </w:p>
    <w:p>
      <w:pPr>
        <w:spacing w:after="0" w:line="62" w:lineRule="exact"/>
        <w:rPr>
          <w:sz w:val="20"/>
          <w:szCs w:val="20"/>
          <w:color w:val="auto"/>
        </w:rPr>
      </w:pPr>
    </w:p>
    <w:p>
      <w:pPr>
        <w:ind w:left="392" w:hanging="392"/>
        <w:spacing w:after="0"/>
        <w:tabs>
          <w:tab w:leader="none" w:pos="392" w:val="left"/>
        </w:tabs>
        <w:numPr>
          <w:ilvl w:val="0"/>
          <w:numId w:val="226"/>
        </w:numPr>
        <w:rPr>
          <w:rFonts w:ascii="Arial" w:cs="Arial" w:eastAsia="Arial" w:hAnsi="Arial"/>
          <w:sz w:val="16"/>
          <w:szCs w:val="16"/>
          <w:b w:val="1"/>
          <w:bCs w:val="1"/>
          <w:color w:val="auto"/>
        </w:rPr>
      </w:pPr>
      <w:r>
        <w:rPr>
          <w:rFonts w:ascii="Arial" w:cs="Arial" w:eastAsia="Arial" w:hAnsi="Arial"/>
          <w:sz w:val="16"/>
          <w:szCs w:val="16"/>
          <w:color w:val="auto"/>
        </w:rPr>
        <w:t>Reheat coils within core areas</w:t>
      </w:r>
    </w:p>
    <w:p>
      <w:pPr>
        <w:spacing w:after="0" w:line="140" w:lineRule="exact"/>
        <w:rPr>
          <w:rFonts w:ascii="Arial" w:cs="Arial" w:eastAsia="Arial" w:hAnsi="Arial"/>
          <w:sz w:val="16"/>
          <w:szCs w:val="16"/>
          <w:b w:val="1"/>
          <w:bCs w:val="1"/>
          <w:color w:val="auto"/>
        </w:rPr>
      </w:pPr>
    </w:p>
    <w:p>
      <w:pPr>
        <w:ind w:left="392" w:hanging="392"/>
        <w:spacing w:after="0"/>
        <w:tabs>
          <w:tab w:leader="none" w:pos="392"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Vertical supply air duct risers</w:t>
      </w:r>
    </w:p>
    <w:p>
      <w:pPr>
        <w:spacing w:after="0" w:line="128" w:lineRule="exact"/>
        <w:rPr>
          <w:rFonts w:ascii="Arial" w:cs="Arial" w:eastAsia="Arial" w:hAnsi="Arial"/>
          <w:sz w:val="17"/>
          <w:szCs w:val="17"/>
          <w:b w:val="1"/>
          <w:bCs w:val="1"/>
          <w:color w:val="auto"/>
        </w:rPr>
      </w:pPr>
    </w:p>
    <w:p>
      <w:pPr>
        <w:ind w:left="392" w:hanging="392"/>
        <w:spacing w:after="0"/>
        <w:tabs>
          <w:tab w:leader="none" w:pos="392"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Vertical return air duct risers</w:t>
      </w:r>
    </w:p>
    <w:p>
      <w:pPr>
        <w:spacing w:after="0" w:line="128" w:lineRule="exact"/>
        <w:rPr>
          <w:rFonts w:ascii="Arial" w:cs="Arial" w:eastAsia="Arial" w:hAnsi="Arial"/>
          <w:sz w:val="17"/>
          <w:szCs w:val="17"/>
          <w:b w:val="1"/>
          <w:bCs w:val="1"/>
          <w:color w:val="auto"/>
        </w:rPr>
      </w:pPr>
    </w:p>
    <w:p>
      <w:pPr>
        <w:ind w:left="392" w:right="160" w:hanging="392"/>
        <w:spacing w:after="0" w:line="320" w:lineRule="auto"/>
        <w:tabs>
          <w:tab w:leader="none" w:pos="392" w:val="left"/>
        </w:tabs>
        <w:numPr>
          <w:ilvl w:val="0"/>
          <w:numId w:val="226"/>
        </w:numPr>
        <w:rPr>
          <w:rFonts w:ascii="Arial" w:cs="Arial" w:eastAsia="Arial" w:hAnsi="Arial"/>
          <w:sz w:val="15"/>
          <w:szCs w:val="15"/>
          <w:b w:val="1"/>
          <w:bCs w:val="1"/>
          <w:color w:val="auto"/>
        </w:rPr>
      </w:pPr>
      <w:r>
        <w:rPr>
          <w:rFonts w:ascii="Arial" w:cs="Arial" w:eastAsia="Arial" w:hAnsi="Arial"/>
          <w:sz w:val="15"/>
          <w:szCs w:val="15"/>
          <w:color w:val="auto"/>
        </w:rPr>
        <w:t>Supply air duct distribution, VAV terminals, equipment connections, insulation, air terminals, dampers, hangers, etc. within the Premises.</w:t>
      </w:r>
    </w:p>
    <w:p>
      <w:pPr>
        <w:spacing w:after="0" w:line="38" w:lineRule="exact"/>
        <w:rPr>
          <w:rFonts w:ascii="Arial" w:cs="Arial" w:eastAsia="Arial" w:hAnsi="Arial"/>
          <w:sz w:val="15"/>
          <w:szCs w:val="15"/>
          <w:b w:val="1"/>
          <w:bCs w:val="1"/>
          <w:color w:val="auto"/>
        </w:rPr>
      </w:pPr>
    </w:p>
    <w:p>
      <w:pPr>
        <w:ind w:left="392" w:right="160" w:hanging="392"/>
        <w:spacing w:after="0" w:line="320" w:lineRule="auto"/>
        <w:tabs>
          <w:tab w:leader="none" w:pos="392" w:val="left"/>
        </w:tabs>
        <w:numPr>
          <w:ilvl w:val="0"/>
          <w:numId w:val="226"/>
        </w:numPr>
        <w:rPr>
          <w:rFonts w:ascii="Arial" w:cs="Arial" w:eastAsia="Arial" w:hAnsi="Arial"/>
          <w:sz w:val="15"/>
          <w:szCs w:val="15"/>
          <w:b w:val="1"/>
          <w:bCs w:val="1"/>
          <w:color w:val="auto"/>
        </w:rPr>
      </w:pPr>
      <w:r>
        <w:rPr>
          <w:rFonts w:ascii="Arial" w:cs="Arial" w:eastAsia="Arial" w:hAnsi="Arial"/>
          <w:sz w:val="15"/>
          <w:szCs w:val="15"/>
          <w:color w:val="auto"/>
        </w:rPr>
        <w:t>Supply air duct distribution, VAV terminals, equipment connections, insulation, air terminals, dampers, hangers, etc. within core areas.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Four (4) 3300 MBH Boilers for the North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-284480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Four (4) 2600 MBH Boilers for the South Complex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Three (3) 356 ton chillers for the North Complex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Three (3) 282 ton chillers for the South Complex</w:t>
      </w:r>
    </w:p>
    <w:p>
      <w:pPr>
        <w:spacing w:after="0" w:line="131" w:lineRule="exact"/>
        <w:rPr>
          <w:sz w:val="20"/>
          <w:szCs w:val="20"/>
          <w:color w:val="auto"/>
        </w:rPr>
      </w:pPr>
    </w:p>
    <w:p>
      <w:pPr>
        <w:jc w:val="both"/>
        <w:ind w:right="1619"/>
        <w:spacing w:after="0" w:line="405" w:lineRule="auto"/>
        <w:rPr>
          <w:sz w:val="20"/>
          <w:szCs w:val="20"/>
          <w:color w:val="auto"/>
        </w:rPr>
      </w:pPr>
      <w:r>
        <w:rPr>
          <w:rFonts w:ascii="Arial" w:cs="Arial" w:eastAsia="Arial" w:hAnsi="Arial"/>
          <w:sz w:val="18"/>
          <w:szCs w:val="18"/>
          <w:color w:val="auto"/>
        </w:rPr>
        <w:t>Four (4) cooling towers with 771 gpm design flow each for the North Complex Four (4) cooling towers with 611 gpm design flow each for the South Complex Provided as part of the Base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99"/>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169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679"/>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2612" w:space="280"/>
            <w:col w:w="7319"/>
          </w:cols>
          <w:pgMar w:left="248" w:top="382" w:right="1440" w:bottom="1440" w:gutter="0" w:footer="0" w:header="0"/>
        </w:sectPr>
      </w:pPr>
    </w:p>
    <w:bookmarkStart w:id="411" w:name="page412"/>
    <w:bookmarkEnd w:id="411"/>
    <w:p>
      <w:pPr>
        <w:ind w:left="400" w:right="140" w:hanging="392"/>
        <w:spacing w:after="0" w:line="297" w:lineRule="auto"/>
        <w:tabs>
          <w:tab w:leader="none" w:pos="400"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Exhaust air duct distribution, exhaust air valves, equipment connections, insulation, air terminals, dampers, hangers, etc. within the Premises.</w:t>
      </w:r>
    </w:p>
    <w:p>
      <w:pPr>
        <w:spacing w:after="0" w:line="50" w:lineRule="exact"/>
        <w:rPr>
          <w:rFonts w:ascii="Arial" w:cs="Arial" w:eastAsia="Arial" w:hAnsi="Arial"/>
          <w:sz w:val="16"/>
          <w:szCs w:val="16"/>
          <w:b w:val="1"/>
          <w:bCs w:val="1"/>
          <w:color w:val="auto"/>
        </w:rPr>
      </w:pPr>
    </w:p>
    <w:p>
      <w:pPr>
        <w:ind w:left="400" w:right="340" w:hanging="392"/>
        <w:spacing w:after="0" w:line="308" w:lineRule="auto"/>
        <w:tabs>
          <w:tab w:leader="none" w:pos="400"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Restroom exhaust for Base Building restrooms</w:t>
      </w:r>
    </w:p>
    <w:p>
      <w:pPr>
        <w:spacing w:after="0" w:line="38" w:lineRule="exact"/>
        <w:rPr>
          <w:rFonts w:ascii="Arial" w:cs="Arial" w:eastAsia="Arial" w:hAnsi="Arial"/>
          <w:sz w:val="17"/>
          <w:szCs w:val="17"/>
          <w:b w:val="1"/>
          <w:bCs w:val="1"/>
          <w:color w:val="auto"/>
        </w:rPr>
      </w:pPr>
    </w:p>
    <w:p>
      <w:pPr>
        <w:ind w:left="400" w:right="80" w:hanging="392"/>
        <w:spacing w:after="0" w:line="264" w:lineRule="auto"/>
        <w:tabs>
          <w:tab w:leader="none" w:pos="40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Specialty exhaust for Tenant needs, including H Occupancy zones.</w:t>
      </w:r>
    </w:p>
    <w:p>
      <w:pPr>
        <w:spacing w:after="0" w:line="73" w:lineRule="exact"/>
        <w:rPr>
          <w:rFonts w:ascii="Arial" w:cs="Arial" w:eastAsia="Arial" w:hAnsi="Arial"/>
          <w:sz w:val="18"/>
          <w:szCs w:val="18"/>
          <w:b w:val="1"/>
          <w:bCs w:val="1"/>
          <w:color w:val="auto"/>
        </w:rPr>
      </w:pPr>
    </w:p>
    <w:p>
      <w:pPr>
        <w:ind w:left="400" w:right="240" w:hanging="392"/>
        <w:spacing w:after="0" w:line="277" w:lineRule="auto"/>
        <w:tabs>
          <w:tab w:leader="none" w:pos="40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Specialty cooling for Tenant needs.</w:t>
      </w:r>
    </w:p>
    <w:p>
      <w:pPr>
        <w:spacing w:after="0" w:line="62" w:lineRule="exact"/>
        <w:rPr>
          <w:rFonts w:ascii="Arial" w:cs="Arial" w:eastAsia="Arial" w:hAnsi="Arial"/>
          <w:sz w:val="18"/>
          <w:szCs w:val="18"/>
          <w:b w:val="1"/>
          <w:bCs w:val="1"/>
          <w:color w:val="auto"/>
        </w:rPr>
      </w:pPr>
    </w:p>
    <w:p>
      <w:pPr>
        <w:ind w:left="400" w:right="300" w:hanging="392"/>
        <w:spacing w:after="0" w:line="342" w:lineRule="auto"/>
        <w:tabs>
          <w:tab w:leader="none" w:pos="400"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Ventilation system for Base Building Electrical Room.</w:t>
      </w:r>
    </w:p>
    <w:p>
      <w:pPr>
        <w:spacing w:after="0" w:line="15" w:lineRule="exact"/>
        <w:rPr>
          <w:rFonts w:ascii="Arial" w:cs="Arial" w:eastAsia="Arial" w:hAnsi="Arial"/>
          <w:sz w:val="16"/>
          <w:szCs w:val="16"/>
          <w:b w:val="1"/>
          <w:bCs w:val="1"/>
          <w:color w:val="auto"/>
        </w:rPr>
      </w:pPr>
    </w:p>
    <w:p>
      <w:pPr>
        <w:ind w:left="400" w:hanging="392"/>
        <w:spacing w:after="0" w:line="257" w:lineRule="auto"/>
        <w:tabs>
          <w:tab w:leader="none" w:pos="40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Exhaust fan, side wall grille supply, and fire smoke dampers for ventilation of Base Building Electrical Rooms on each floor.</w:t>
      </w:r>
    </w:p>
    <w:p>
      <w:pPr>
        <w:spacing w:after="0" w:line="80" w:lineRule="exact"/>
        <w:rPr>
          <w:rFonts w:ascii="Arial" w:cs="Arial" w:eastAsia="Arial" w:hAnsi="Arial"/>
          <w:sz w:val="18"/>
          <w:szCs w:val="18"/>
          <w:b w:val="1"/>
          <w:bCs w:val="1"/>
          <w:color w:val="auto"/>
        </w:rPr>
      </w:pPr>
    </w:p>
    <w:p>
      <w:pPr>
        <w:ind w:left="400" w:hanging="392"/>
        <w:spacing w:after="0"/>
        <w:tabs>
          <w:tab w:leader="none" w:pos="40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Ventilation of IDF Rooms.</w:t>
      </w:r>
    </w:p>
    <w:p>
      <w:pPr>
        <w:spacing w:after="0" w:line="117" w:lineRule="exact"/>
        <w:rPr>
          <w:rFonts w:ascii="Arial" w:cs="Arial" w:eastAsia="Arial" w:hAnsi="Arial"/>
          <w:sz w:val="18"/>
          <w:szCs w:val="18"/>
          <w:b w:val="1"/>
          <w:bCs w:val="1"/>
          <w:color w:val="auto"/>
        </w:rPr>
      </w:pPr>
    </w:p>
    <w:p>
      <w:pPr>
        <w:ind w:left="400" w:right="100" w:hanging="392"/>
        <w:spacing w:after="0" w:line="286" w:lineRule="auto"/>
        <w:tabs>
          <w:tab w:leader="none" w:pos="400"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Building Management System (BMS) for core area and Landlord infrastructure.</w:t>
      </w:r>
    </w:p>
    <w:p>
      <w:pPr>
        <w:spacing w:after="0" w:line="57" w:lineRule="exact"/>
        <w:rPr>
          <w:rFonts w:ascii="Arial" w:cs="Arial" w:eastAsia="Arial" w:hAnsi="Arial"/>
          <w:sz w:val="17"/>
          <w:szCs w:val="17"/>
          <w:b w:val="1"/>
          <w:bCs w:val="1"/>
          <w:color w:val="auto"/>
        </w:rPr>
      </w:pPr>
    </w:p>
    <w:p>
      <w:pPr>
        <w:ind w:left="400" w:right="260" w:hanging="392"/>
        <w:spacing w:after="0" w:line="302" w:lineRule="auto"/>
        <w:tabs>
          <w:tab w:leader="none" w:pos="400"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BMS (compatible with Landlord’s system) within Tenant Premises monitoring Tenant infrastructure.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-284480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 It is Tenant’s responsibility for supplemental ventilation.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as part of the Base Building.</w:t>
      </w:r>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expansion of the Base Building BMS would Tenant’s responsibility, as part of the construction of the Improvements.</w:t>
      </w:r>
    </w:p>
    <w:p>
      <w:pPr>
        <w:spacing w:after="0" w:line="648" w:lineRule="exact"/>
        <w:rPr>
          <w:sz w:val="20"/>
          <w:szCs w:val="20"/>
          <w:color w:val="auto"/>
        </w:rPr>
      </w:pPr>
    </w:p>
    <w:p>
      <w:pPr>
        <w:sectPr>
          <w:pgSz w:w="11900" w:h="16838" w:orient="portrait"/>
          <w:cols w:equalWidth="0" w:num="2">
            <w:col w:w="2680" w:space="220"/>
            <w:col w:w="8080"/>
          </w:cols>
          <w:pgMar w:left="240" w:top="382" w:right="67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w:t>
      </w:r>
    </w:p>
    <w:p>
      <w:pPr>
        <w:spacing w:after="0" w:line="144" w:lineRule="exact"/>
        <w:rPr>
          <w:sz w:val="20"/>
          <w:szCs w:val="20"/>
          <w:color w:val="auto"/>
        </w:rPr>
      </w:pPr>
    </w:p>
    <w:p>
      <w:pPr>
        <w:spacing w:after="0"/>
        <w:tabs>
          <w:tab w:leader="none" w:pos="380" w:val="left"/>
          <w:tab w:leader="none" w:pos="28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Site campus distribution</w:t>
      </w:r>
      <w:r>
        <w:rPr>
          <w:sz w:val="20"/>
          <w:szCs w:val="20"/>
          <w:color w:val="auto"/>
        </w:rPr>
        <w:tab/>
      </w:r>
      <w:r>
        <w:rPr>
          <w:rFonts w:ascii="Arial" w:cs="Arial" w:eastAsia="Arial" w:hAnsi="Arial"/>
          <w:sz w:val="16"/>
          <w:szCs w:val="16"/>
          <w:color w:val="auto"/>
        </w:rPr>
        <w:t>Site campus service, metering and distribution at medium-voltage (12kV), taking advantage of PG&amp;E’s primary</w:t>
      </w:r>
    </w:p>
    <w:p>
      <w:pPr>
        <w:spacing w:after="0" w:line="27" w:lineRule="exact"/>
        <w:rPr>
          <w:sz w:val="20"/>
          <w:szCs w:val="20"/>
          <w:color w:val="auto"/>
        </w:rPr>
      </w:pPr>
    </w:p>
    <w:p>
      <w:pPr>
        <w:ind w:left="400"/>
        <w:spacing w:after="0"/>
        <w:tabs>
          <w:tab w:leader="none" w:pos="2880" w:val="left"/>
        </w:tabs>
        <w:rPr>
          <w:sz w:val="20"/>
          <w:szCs w:val="20"/>
          <w:color w:val="auto"/>
        </w:rPr>
      </w:pPr>
      <w:r>
        <w:rPr>
          <w:rFonts w:ascii="Arial" w:cs="Arial" w:eastAsia="Arial" w:hAnsi="Arial"/>
          <w:sz w:val="18"/>
          <w:szCs w:val="18"/>
          <w:color w:val="auto"/>
        </w:rPr>
        <w:t>system.</w:t>
      </w:r>
      <w:r>
        <w:rPr>
          <w:sz w:val="20"/>
          <w:szCs w:val="20"/>
          <w:color w:val="auto"/>
        </w:rPr>
        <w:tab/>
      </w:r>
      <w:r>
        <w:rPr>
          <w:rFonts w:ascii="Arial" w:cs="Arial" w:eastAsia="Arial" w:hAnsi="Arial"/>
          <w:sz w:val="18"/>
          <w:szCs w:val="18"/>
          <w:color w:val="auto"/>
        </w:rPr>
        <w:t>service commercial rates.</w:t>
      </w:r>
    </w:p>
    <w:p>
      <w:pPr>
        <w:spacing w:after="0" w:line="103" w:lineRule="exact"/>
        <w:rPr>
          <w:sz w:val="20"/>
          <w:szCs w:val="20"/>
          <w:color w:val="auto"/>
        </w:rPr>
      </w:pPr>
    </w:p>
    <w:p>
      <w:pPr>
        <w:ind w:left="400" w:hanging="392"/>
        <w:spacing w:after="0"/>
        <w:tabs>
          <w:tab w:leader="none" w:pos="40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Base Building substation(s).</w:t>
      </w:r>
      <w:r>
        <w:rPr>
          <w:rFonts w:ascii="Arial" w:cs="Arial" w:eastAsia="Arial" w:hAnsi="Arial"/>
          <w:sz w:val="16"/>
          <w:szCs w:val="16"/>
          <w:color w:val="auto"/>
        </w:rPr>
        <w:t>Four (4) 5000 amp 277/480V secondary substations served from primary switchgear for the two Complexes.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240" w:top="382" w:right="679" w:bottom="1440" w:gutter="0" w:footer="0" w:header="0"/>
          <w:type w:val="continuous"/>
        </w:sectPr>
      </w:pPr>
    </w:p>
    <w:bookmarkStart w:id="412" w:name="page413"/>
    <w:bookmarkEnd w:id="412"/>
    <w:p>
      <w:pPr>
        <w:ind w:left="400" w:hanging="392"/>
        <w:spacing w:after="0"/>
        <w:tabs>
          <w:tab w:leader="none" w:pos="400" w:val="left"/>
        </w:tabs>
        <w:numPr>
          <w:ilvl w:val="0"/>
          <w:numId w:val="229"/>
        </w:numPr>
        <w:rPr>
          <w:rFonts w:ascii="Arial" w:cs="Arial" w:eastAsia="Arial" w:hAnsi="Arial"/>
          <w:sz w:val="16"/>
          <w:szCs w:val="16"/>
          <w:b w:val="1"/>
          <w:bCs w:val="1"/>
          <w:color w:val="auto"/>
        </w:rPr>
      </w:pPr>
      <w:r>
        <w:rPr>
          <w:rFonts w:ascii="Arial" w:cs="Arial" w:eastAsia="Arial" w:hAnsi="Arial"/>
          <w:sz w:val="16"/>
          <w:szCs w:val="16"/>
          <w:color w:val="auto"/>
        </w:rPr>
        <w:t>Standard power bus duct risers.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0" w:hanging="392"/>
        <w:spacing w:after="0"/>
        <w:tabs>
          <w:tab w:leader="none" w:pos="40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Standby power generator</w:t>
      </w:r>
    </w:p>
    <w:p>
      <w:pPr>
        <w:spacing w:after="0" w:line="333" w:lineRule="exact"/>
        <w:rPr>
          <w:sz w:val="20"/>
          <w:szCs w:val="20"/>
          <w:color w:val="auto"/>
        </w:rPr>
      </w:pPr>
    </w:p>
    <w:p>
      <w:pPr>
        <w:ind w:left="400" w:hanging="392"/>
        <w:spacing w:after="0"/>
        <w:tabs>
          <w:tab w:leader="none" w:pos="400" w:val="left"/>
        </w:tabs>
        <w:numPr>
          <w:ilvl w:val="0"/>
          <w:numId w:val="231"/>
        </w:numPr>
        <w:rPr>
          <w:rFonts w:ascii="Arial" w:cs="Arial" w:eastAsia="Arial" w:hAnsi="Arial"/>
          <w:sz w:val="16"/>
          <w:szCs w:val="16"/>
          <w:b w:val="1"/>
          <w:bCs w:val="1"/>
          <w:color w:val="auto"/>
        </w:rPr>
      </w:pPr>
      <w:r>
        <w:rPr>
          <w:rFonts w:ascii="Arial" w:cs="Arial" w:eastAsia="Arial" w:hAnsi="Arial"/>
          <w:sz w:val="16"/>
          <w:szCs w:val="16"/>
          <w:color w:val="auto"/>
        </w:rPr>
        <w:t>Tenant Floor Emergency power</w:t>
      </w:r>
    </w:p>
    <w:p>
      <w:pPr>
        <w:spacing w:after="0" w:line="140" w:lineRule="exact"/>
        <w:rPr>
          <w:sz w:val="20"/>
          <w:szCs w:val="20"/>
          <w:color w:val="auto"/>
        </w:rPr>
      </w:pPr>
    </w:p>
    <w:p>
      <w:pPr>
        <w:ind w:left="400" w:right="160" w:hanging="392"/>
        <w:spacing w:after="0" w:line="277" w:lineRule="auto"/>
        <w:tabs>
          <w:tab w:leader="none" w:pos="40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Automatic transfer switch for Tenant load.</w:t>
      </w:r>
    </w:p>
    <w:p>
      <w:pPr>
        <w:spacing w:after="0" w:line="62" w:lineRule="exact"/>
        <w:rPr>
          <w:sz w:val="20"/>
          <w:szCs w:val="20"/>
          <w:color w:val="auto"/>
        </w:rPr>
      </w:pPr>
    </w:p>
    <w:p>
      <w:pPr>
        <w:ind w:left="400" w:right="320" w:hanging="392"/>
        <w:spacing w:after="0" w:line="342" w:lineRule="auto"/>
        <w:tabs>
          <w:tab w:leader="none" w:pos="400" w:val="left"/>
        </w:tabs>
        <w:numPr>
          <w:ilvl w:val="0"/>
          <w:numId w:val="233"/>
        </w:numPr>
        <w:rPr>
          <w:rFonts w:ascii="Arial" w:cs="Arial" w:eastAsia="Arial" w:hAnsi="Arial"/>
          <w:sz w:val="16"/>
          <w:szCs w:val="16"/>
          <w:b w:val="1"/>
          <w:bCs w:val="1"/>
          <w:color w:val="auto"/>
        </w:rPr>
      </w:pPr>
      <w:r>
        <w:rPr>
          <w:rFonts w:ascii="Arial" w:cs="Arial" w:eastAsia="Arial" w:hAnsi="Arial"/>
          <w:sz w:val="16"/>
          <w:szCs w:val="16"/>
          <w:color w:val="auto"/>
        </w:rPr>
        <w:t>Standby power distribution within the Premises</w:t>
      </w:r>
    </w:p>
    <w:p>
      <w:pPr>
        <w:spacing w:after="0" w:line="16" w:lineRule="exact"/>
        <w:rPr>
          <w:sz w:val="20"/>
          <w:szCs w:val="20"/>
          <w:color w:val="auto"/>
        </w:rPr>
      </w:pPr>
    </w:p>
    <w:p>
      <w:pPr>
        <w:ind w:left="400" w:right="260" w:hanging="392"/>
        <w:spacing w:after="0" w:line="342" w:lineRule="auto"/>
        <w:tabs>
          <w:tab w:leader="none" w:pos="400" w:val="left"/>
        </w:tabs>
        <w:numPr>
          <w:ilvl w:val="0"/>
          <w:numId w:val="234"/>
        </w:numPr>
        <w:rPr>
          <w:rFonts w:ascii="Arial" w:cs="Arial" w:eastAsia="Arial" w:hAnsi="Arial"/>
          <w:sz w:val="16"/>
          <w:szCs w:val="16"/>
          <w:b w:val="1"/>
          <w:bCs w:val="1"/>
          <w:color w:val="auto"/>
        </w:rPr>
      </w:pPr>
      <w:r>
        <w:rPr>
          <w:rFonts w:ascii="Arial" w:cs="Arial" w:eastAsia="Arial" w:hAnsi="Arial"/>
          <w:sz w:val="16"/>
          <w:szCs w:val="16"/>
          <w:color w:val="auto"/>
        </w:rPr>
        <w:t>Uninterrupted power supply (UPS) for Tenant systems</w:t>
      </w:r>
    </w:p>
    <w:p>
      <w:pPr>
        <w:spacing w:after="0" w:line="16" w:lineRule="exact"/>
        <w:rPr>
          <w:sz w:val="20"/>
          <w:szCs w:val="20"/>
          <w:color w:val="auto"/>
        </w:rPr>
      </w:pPr>
    </w:p>
    <w:p>
      <w:pPr>
        <w:ind w:left="400" w:right="380" w:hanging="392"/>
        <w:spacing w:after="0" w:line="342" w:lineRule="auto"/>
        <w:tabs>
          <w:tab w:leader="none" w:pos="400"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Lighting and power distribution for core areas.</w:t>
      </w:r>
    </w:p>
    <w:p>
      <w:pPr>
        <w:spacing w:after="0" w:line="16" w:lineRule="exact"/>
        <w:rPr>
          <w:sz w:val="20"/>
          <w:szCs w:val="20"/>
          <w:color w:val="auto"/>
        </w:rPr>
      </w:pPr>
    </w:p>
    <w:p>
      <w:pPr>
        <w:ind w:left="400" w:right="240" w:hanging="392"/>
        <w:spacing w:after="0" w:line="342" w:lineRule="auto"/>
        <w:tabs>
          <w:tab w:leader="none" w:pos="400"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Lighting and power distribution for the Premises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99" w:lineRule="exact"/>
        <w:rPr>
          <w:rFonts w:ascii="Arial" w:cs="Arial" w:eastAsia="Arial" w:hAnsi="Arial"/>
          <w:sz w:val="16"/>
          <w:szCs w:val="16"/>
          <w:b w:val="1"/>
          <w:bCs w:val="1"/>
          <w:color w:val="auto"/>
        </w:rPr>
      </w:pPr>
    </w:p>
    <w:p>
      <w:pPr>
        <w:ind w:left="400" w:right="340" w:hanging="392"/>
        <w:spacing w:after="0" w:line="277" w:lineRule="auto"/>
        <w:tabs>
          <w:tab w:leader="none" w:pos="40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Electrical sub-metering for Tenant power</w:t>
      </w:r>
    </w:p>
    <w:p>
      <w:pPr>
        <w:spacing w:after="0" w:line="62" w:lineRule="exact"/>
        <w:rPr>
          <w:rFonts w:ascii="Arial" w:cs="Arial" w:eastAsia="Arial" w:hAnsi="Arial"/>
          <w:sz w:val="18"/>
          <w:szCs w:val="18"/>
          <w:b w:val="1"/>
          <w:bCs w:val="1"/>
          <w:color w:val="auto"/>
        </w:rPr>
      </w:pPr>
    </w:p>
    <w:p>
      <w:pPr>
        <w:ind w:left="400" w:right="240" w:hanging="392"/>
        <w:spacing w:after="0" w:line="286" w:lineRule="auto"/>
        <w:tabs>
          <w:tab w:leader="none" w:pos="400" w:val="left"/>
        </w:tabs>
        <w:numPr>
          <w:ilvl w:val="0"/>
          <w:numId w:val="236"/>
        </w:numPr>
        <w:rPr>
          <w:rFonts w:ascii="Arial" w:cs="Arial" w:eastAsia="Arial" w:hAnsi="Arial"/>
          <w:sz w:val="17"/>
          <w:szCs w:val="17"/>
          <w:b w:val="1"/>
          <w:bCs w:val="1"/>
          <w:color w:val="auto"/>
        </w:rPr>
      </w:pPr>
      <w:r>
        <w:rPr>
          <w:rFonts w:ascii="Arial" w:cs="Arial" w:eastAsia="Arial" w:hAnsi="Arial"/>
          <w:sz w:val="17"/>
          <w:szCs w:val="17"/>
          <w:color w:val="auto"/>
        </w:rPr>
        <w:t>Base Building common area life safety emergency lighting/signage system</w:t>
      </w:r>
    </w:p>
    <w:p>
      <w:pPr>
        <w:spacing w:after="0" w:line="57" w:lineRule="exact"/>
        <w:rPr>
          <w:rFonts w:ascii="Arial" w:cs="Arial" w:eastAsia="Arial" w:hAnsi="Arial"/>
          <w:sz w:val="17"/>
          <w:szCs w:val="17"/>
          <w:b w:val="1"/>
          <w:bCs w:val="1"/>
          <w:color w:val="auto"/>
        </w:rPr>
      </w:pPr>
    </w:p>
    <w:p>
      <w:pPr>
        <w:jc w:val="both"/>
        <w:ind w:left="400" w:right="280" w:hanging="392"/>
        <w:spacing w:after="0" w:line="264" w:lineRule="auto"/>
        <w:tabs>
          <w:tab w:leader="none" w:pos="40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Tenant Premises life safety emergency lighting/signage system.</w:t>
      </w:r>
    </w:p>
    <w:p>
      <w:pPr>
        <w:spacing w:after="0" w:line="73" w:lineRule="exact"/>
        <w:rPr>
          <w:rFonts w:ascii="Arial" w:cs="Arial" w:eastAsia="Arial" w:hAnsi="Arial"/>
          <w:sz w:val="18"/>
          <w:szCs w:val="18"/>
          <w:b w:val="1"/>
          <w:bCs w:val="1"/>
          <w:color w:val="auto"/>
        </w:rPr>
      </w:pPr>
    </w:p>
    <w:p>
      <w:pPr>
        <w:ind w:left="400" w:right="240" w:hanging="392"/>
        <w:spacing w:after="0" w:line="264" w:lineRule="auto"/>
        <w:tabs>
          <w:tab w:leader="none" w:pos="40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Emergency Response Distributed Antenna System (DAS).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w:t>
      </w:r>
    </w:p>
    <w:p>
      <w:pPr>
        <w:spacing w:after="0" w:line="148" w:lineRule="exact"/>
        <w:rPr>
          <w:sz w:val="20"/>
          <w:szCs w:val="20"/>
          <w:color w:val="auto"/>
        </w:rPr>
      </w:pPr>
    </w:p>
    <w:p>
      <w:pPr>
        <w:ind w:left="400" w:hanging="392"/>
        <w:spacing w:after="0"/>
        <w:tabs>
          <w:tab w:leader="none" w:pos="40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Building Data System</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18"/>
          <w:szCs w:val="18"/>
          <w:color w:val="auto"/>
        </w:rPr>
        <w:t>Normal power busway riser in each of the four Buildings delivering the following as power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-284480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11" w:lineRule="exact"/>
        <w:rPr>
          <w:sz w:val="20"/>
          <w:szCs w:val="20"/>
          <w:color w:val="auto"/>
        </w:rPr>
      </w:pPr>
    </w:p>
    <w:p>
      <w:pPr>
        <w:ind w:left="2"/>
        <w:spacing w:after="0"/>
        <w:rPr>
          <w:sz w:val="20"/>
          <w:szCs w:val="20"/>
          <w:color w:val="auto"/>
        </w:rPr>
      </w:pPr>
      <w:r>
        <w:rPr>
          <w:rFonts w:ascii="Arial" w:cs="Arial" w:eastAsia="Arial" w:hAnsi="Arial"/>
          <w:sz w:val="18"/>
          <w:szCs w:val="18"/>
          <w:color w:val="auto"/>
        </w:rPr>
        <w:t>a. Roof central plant mechanical loads</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8"/>
          <w:szCs w:val="18"/>
          <w:color w:val="auto"/>
        </w:rPr>
        <w:t>b. 1.5 watts per square foot lighting loads for each floor level. Per T-24 Requirements</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8"/>
          <w:szCs w:val="18"/>
          <w:color w:val="auto"/>
        </w:rPr>
        <w:t>c. 16.0 watts per square foot plug loads for each floor level</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8"/>
          <w:szCs w:val="18"/>
          <w:color w:val="auto"/>
        </w:rPr>
        <w:t>d. 5 watts per square foot miscellaneous loads for each floor level.</w:t>
      </w:r>
    </w:p>
    <w:p>
      <w:pPr>
        <w:spacing w:after="0" w:line="131" w:lineRule="exact"/>
        <w:rPr>
          <w:sz w:val="20"/>
          <w:szCs w:val="20"/>
          <w:color w:val="auto"/>
        </w:rPr>
      </w:pPr>
    </w:p>
    <w:p>
      <w:pPr>
        <w:ind w:left="2" w:right="580"/>
        <w:spacing w:after="0" w:line="277" w:lineRule="auto"/>
        <w:rPr>
          <w:sz w:val="20"/>
          <w:szCs w:val="20"/>
          <w:color w:val="auto"/>
        </w:rPr>
      </w:pPr>
      <w:r>
        <w:rPr>
          <w:rFonts w:ascii="Arial" w:cs="Arial" w:eastAsia="Arial" w:hAnsi="Arial"/>
          <w:sz w:val="18"/>
          <w:szCs w:val="18"/>
          <w:color w:val="auto"/>
        </w:rPr>
        <w:t>Each Complex has (1)1.5MW/2500kva diesel-driven generator for tenant standby power needs. See above for emergency power generator</w:t>
      </w:r>
    </w:p>
    <w:p>
      <w:pPr>
        <w:spacing w:after="0" w:line="62" w:lineRule="exact"/>
        <w:rPr>
          <w:sz w:val="20"/>
          <w:szCs w:val="20"/>
          <w:color w:val="auto"/>
        </w:rPr>
      </w:pPr>
    </w:p>
    <w:p>
      <w:pPr>
        <w:ind w:left="2" w:right="280"/>
        <w:spacing w:after="0" w:line="402" w:lineRule="auto"/>
        <w:rPr>
          <w:sz w:val="20"/>
          <w:szCs w:val="20"/>
          <w:color w:val="auto"/>
        </w:rPr>
      </w:pPr>
      <w:r>
        <w:rPr>
          <w:rFonts w:ascii="Arial" w:cs="Arial" w:eastAsia="Arial" w:hAnsi="Arial"/>
          <w:sz w:val="18"/>
          <w:szCs w:val="18"/>
          <w:color w:val="auto"/>
        </w:rPr>
        <w:t>Emergency power circuits for emergency egress lighting and life safety systems are provided at each Tenant Floor Landlord will work with Tenant to find appropriate solutions.</w:t>
      </w:r>
    </w:p>
    <w:p>
      <w:pPr>
        <w:spacing w:after="0" w:line="171" w:lineRule="exact"/>
        <w:rPr>
          <w:sz w:val="20"/>
          <w:szCs w:val="20"/>
          <w:color w:val="auto"/>
        </w:rPr>
      </w:pPr>
    </w:p>
    <w:p>
      <w:pPr>
        <w:ind w:left="2" w:right="120"/>
        <w:spacing w:after="0" w:line="342" w:lineRule="auto"/>
        <w:rPr>
          <w:sz w:val="20"/>
          <w:szCs w:val="20"/>
          <w:color w:val="auto"/>
        </w:rPr>
      </w:pPr>
      <w:r>
        <w:rPr>
          <w:rFonts w:ascii="Arial" w:cs="Arial" w:eastAsia="Arial" w:hAnsi="Arial"/>
          <w:sz w:val="16"/>
          <w:szCs w:val="16"/>
          <w:color w:val="auto"/>
        </w:rPr>
        <w:t>Stub-ins and locations for emergency power generators have been provided in the Base Building. The distribution to and through the Tenant space would be Tenant’s responsibility, as part of the construction of the Improvements.</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333" w:lineRule="exact"/>
        <w:rPr>
          <w:sz w:val="20"/>
          <w:szCs w:val="20"/>
          <w:color w:val="auto"/>
        </w:rPr>
      </w:pPr>
    </w:p>
    <w:p>
      <w:pPr>
        <w:ind w:left="2"/>
        <w:spacing w:after="0"/>
        <w:rPr>
          <w:sz w:val="20"/>
          <w:szCs w:val="20"/>
          <w:color w:val="auto"/>
        </w:rPr>
      </w:pPr>
      <w:r>
        <w:rPr>
          <w:rFonts w:ascii="Arial" w:cs="Arial" w:eastAsia="Arial" w:hAnsi="Arial"/>
          <w:sz w:val="18"/>
          <w:szCs w:val="18"/>
          <w:color w:val="auto"/>
        </w:rPr>
        <w:t>Provided as part of the Base Building.</w:t>
      </w:r>
    </w:p>
    <w:p>
      <w:pPr>
        <w:spacing w:after="0" w:line="333" w:lineRule="exact"/>
        <w:rPr>
          <w:sz w:val="20"/>
          <w:szCs w:val="20"/>
          <w:color w:val="auto"/>
        </w:rPr>
      </w:pPr>
    </w:p>
    <w:p>
      <w:pPr>
        <w:ind w:left="2" w:hanging="2"/>
        <w:spacing w:after="0" w:line="264" w:lineRule="auto"/>
        <w:tabs>
          <w:tab w:leader="none" w:pos="18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plug loads, Landlord will include a bus-plug off the bus riser, a feeder to a stepdown transformer, from there, to a 120/208 Volt panel. The panel will not include any circuit breakers, as those will need to be populated once the Tenant plug loads are determined.</w:t>
      </w:r>
    </w:p>
    <w:p>
      <w:pPr>
        <w:spacing w:after="0" w:line="86" w:lineRule="exact"/>
        <w:rPr>
          <w:rFonts w:ascii="Arial" w:cs="Arial" w:eastAsia="Arial" w:hAnsi="Arial"/>
          <w:sz w:val="18"/>
          <w:szCs w:val="18"/>
          <w:color w:val="auto"/>
        </w:rPr>
      </w:pPr>
    </w:p>
    <w:p>
      <w:pPr>
        <w:ind w:left="2" w:right="320" w:hanging="2"/>
        <w:spacing w:after="0" w:line="277" w:lineRule="auto"/>
        <w:tabs>
          <w:tab w:leader="none" w:pos="19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For lighting loads, Landlord to provide bus-plug only off the bus riser, for Tenant to tap into to suit their power needs.</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333" w:lineRule="exact"/>
        <w:rPr>
          <w:sz w:val="20"/>
          <w:szCs w:val="20"/>
          <w:color w:val="auto"/>
        </w:rPr>
      </w:pPr>
    </w:p>
    <w:p>
      <w:pPr>
        <w:ind w:left="2"/>
        <w:spacing w:after="0"/>
        <w:rPr>
          <w:sz w:val="20"/>
          <w:szCs w:val="20"/>
          <w:color w:val="auto"/>
        </w:rPr>
      </w:pPr>
      <w:r>
        <w:rPr>
          <w:rFonts w:ascii="Arial" w:cs="Arial" w:eastAsia="Arial" w:hAnsi="Arial"/>
          <w:sz w:val="18"/>
          <w:szCs w:val="18"/>
          <w:color w:val="auto"/>
        </w:rPr>
        <w:t>Provided as part of the Base Building.</w:t>
      </w:r>
    </w:p>
    <w:p>
      <w:pPr>
        <w:spacing w:after="0" w:line="200" w:lineRule="exact"/>
        <w:rPr>
          <w:sz w:val="20"/>
          <w:szCs w:val="20"/>
          <w:color w:val="auto"/>
        </w:rPr>
      </w:pPr>
    </w:p>
    <w:p>
      <w:pPr>
        <w:spacing w:after="0" w:line="349" w:lineRule="exact"/>
        <w:rPr>
          <w:sz w:val="20"/>
          <w:szCs w:val="20"/>
          <w:color w:val="auto"/>
        </w:rPr>
      </w:pPr>
    </w:p>
    <w:p>
      <w:pPr>
        <w:ind w:left="2"/>
        <w:spacing w:after="0"/>
        <w:rPr>
          <w:sz w:val="20"/>
          <w:szCs w:val="20"/>
          <w:color w:val="auto"/>
        </w:rPr>
      </w:pPr>
      <w:r>
        <w:rPr>
          <w:rFonts w:ascii="Arial" w:cs="Arial" w:eastAsia="Arial" w:hAnsi="Arial"/>
          <w:sz w:val="18"/>
          <w:szCs w:val="18"/>
          <w:color w:val="auto"/>
        </w:rPr>
        <w:t>Tenant’s responsibility, as part of the construction of the Improvements.</w:t>
      </w:r>
    </w:p>
    <w:p>
      <w:pPr>
        <w:spacing w:after="0" w:line="200" w:lineRule="exact"/>
        <w:rPr>
          <w:sz w:val="20"/>
          <w:szCs w:val="20"/>
          <w:color w:val="auto"/>
        </w:rPr>
      </w:pPr>
    </w:p>
    <w:p>
      <w:pPr>
        <w:spacing w:after="0" w:line="349" w:lineRule="exact"/>
        <w:rPr>
          <w:sz w:val="20"/>
          <w:szCs w:val="20"/>
          <w:color w:val="auto"/>
        </w:rPr>
      </w:pPr>
    </w:p>
    <w:p>
      <w:pPr>
        <w:ind w:left="2"/>
        <w:spacing w:after="0"/>
        <w:rPr>
          <w:sz w:val="20"/>
          <w:szCs w:val="20"/>
          <w:color w:val="auto"/>
        </w:rPr>
      </w:pPr>
      <w:r>
        <w:rPr>
          <w:rFonts w:ascii="Arial" w:cs="Arial" w:eastAsia="Arial" w:hAnsi="Arial"/>
          <w:sz w:val="18"/>
          <w:szCs w:val="18"/>
          <w:color w:val="auto"/>
        </w:rPr>
        <w:t>Provided as part of the Base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
        <w:spacing w:after="0"/>
        <w:rPr>
          <w:sz w:val="20"/>
          <w:szCs w:val="20"/>
          <w:color w:val="auto"/>
        </w:rPr>
      </w:pPr>
      <w:r>
        <w:rPr>
          <w:rFonts w:ascii="Arial" w:cs="Arial" w:eastAsia="Arial" w:hAnsi="Arial"/>
          <w:sz w:val="18"/>
          <w:szCs w:val="18"/>
          <w:color w:val="auto"/>
        </w:rPr>
        <w:t>Provided as part of the Base Building.</w:t>
      </w:r>
    </w:p>
    <w:p>
      <w:pPr>
        <w:spacing w:after="0" w:line="158" w:lineRule="exact"/>
        <w:rPr>
          <w:sz w:val="20"/>
          <w:szCs w:val="20"/>
          <w:color w:val="auto"/>
        </w:rPr>
      </w:pPr>
    </w:p>
    <w:p>
      <w:pPr>
        <w:ind w:left="2142"/>
        <w:spacing w:after="0"/>
        <w:rPr>
          <w:sz w:val="20"/>
          <w:szCs w:val="20"/>
          <w:color w:val="auto"/>
        </w:rPr>
      </w:pPr>
      <w:r>
        <w:rPr>
          <w:rFonts w:ascii="Arial" w:cs="Arial" w:eastAsia="Arial" w:hAnsi="Arial"/>
          <w:sz w:val="18"/>
          <w:szCs w:val="18"/>
          <w:color w:val="auto"/>
        </w:rPr>
        <w:t>SCHEDULE 2 TO</w:t>
      </w:r>
    </w:p>
    <w:p>
      <w:pPr>
        <w:spacing w:after="0" w:line="23" w:lineRule="exact"/>
        <w:rPr>
          <w:sz w:val="20"/>
          <w:szCs w:val="20"/>
          <w:color w:val="auto"/>
        </w:rPr>
      </w:pPr>
    </w:p>
    <w:p>
      <w:pPr>
        <w:jc w:val="center"/>
        <w:ind w:right="2878"/>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2878"/>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2680" w:space="218"/>
            <w:col w:w="8502"/>
          </w:cols>
          <w:pgMar w:left="240" w:top="381" w:right="259" w:bottom="1440" w:gutter="0" w:footer="0" w:header="0"/>
        </w:sectPr>
      </w:pPr>
    </w:p>
    <w:bookmarkStart w:id="413" w:name="page414"/>
    <w:bookmarkEnd w:id="413"/>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 TO EXHIBIT B</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DELIVERY CONDITION</w:t>
      </w:r>
    </w:p>
    <w:p>
      <w:pPr>
        <w:spacing w:after="0" w:line="256" w:lineRule="exact"/>
        <w:rPr>
          <w:sz w:val="20"/>
          <w:szCs w:val="20"/>
          <w:color w:val="auto"/>
        </w:rPr>
      </w:pPr>
    </w:p>
    <w:p>
      <w:pPr>
        <w:ind w:left="452" w:hanging="452"/>
        <w:spacing w:after="0"/>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Concrete structure with mild-steel reinforcement on all occupied floors. Reasonably smooth and level concrete slab floor.</w:t>
      </w:r>
    </w:p>
    <w:p>
      <w:pPr>
        <w:spacing w:after="0" w:line="130" w:lineRule="exact"/>
        <w:rPr>
          <w:rFonts w:ascii="Arial" w:cs="Arial" w:eastAsia="Arial" w:hAnsi="Arial"/>
          <w:sz w:val="18"/>
          <w:szCs w:val="18"/>
          <w:color w:val="auto"/>
        </w:rPr>
      </w:pPr>
    </w:p>
    <w:p>
      <w:pPr>
        <w:jc w:val="both"/>
        <w:ind w:left="452" w:right="20" w:hanging="452"/>
        <w:spacing w:after="0" w:line="264" w:lineRule="auto"/>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Interior core and shaft construction in progress. All exposed core doors shall be completed, subject to punchlist items, with painted hollow metal and/or stainless steel frames, finished solid core wood doors or painted hollow metal doors, and hardware. Base Building restrooms shall be complete, subject to punchlist items.</w:t>
      </w:r>
    </w:p>
    <w:p>
      <w:pPr>
        <w:spacing w:after="0" w:line="86"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Temporary, non-occupancy fire sprinkler risers and distribution. Base Building Fire Sprinklers with standpipes in the stairs and risers connected to main fire sprinkler loop on each floor as require per Code for office B Occupancy with capacity for fully sprinklered future tenant improvements (to be installed as part of the Improvements) throughout each Building.</w:t>
      </w:r>
    </w:p>
    <w:p>
      <w:pPr>
        <w:spacing w:after="0" w:line="86"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Tenant sleeves at electrical/data closets. 4” conduit pathways (pathway is a 4” conduit through the floor slab stubbed 6” above and below the floor slab) between each floor’s data distribution closets.</w:t>
      </w:r>
    </w:p>
    <w:p>
      <w:pPr>
        <w:spacing w:after="0" w:line="75" w:lineRule="exact"/>
        <w:rPr>
          <w:rFonts w:ascii="Arial" w:cs="Arial" w:eastAsia="Arial" w:hAnsi="Arial"/>
          <w:sz w:val="18"/>
          <w:szCs w:val="18"/>
          <w:color w:val="auto"/>
        </w:rPr>
      </w:pPr>
    </w:p>
    <w:p>
      <w:pPr>
        <w:ind w:left="452" w:right="480" w:hanging="452"/>
        <w:spacing w:after="0" w:line="277" w:lineRule="auto"/>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Plumbing rough-in (no loops outside of core). Plumbing stub outs for waste, vent and domestic cold water to be provided at each floor for Tenant plumbing distribution.</w:t>
      </w:r>
    </w:p>
    <w:p>
      <w:pPr>
        <w:spacing w:after="0" w:line="75" w:lineRule="exact"/>
        <w:rPr>
          <w:rFonts w:ascii="Arial" w:cs="Arial" w:eastAsia="Arial" w:hAnsi="Arial"/>
          <w:sz w:val="18"/>
          <w:szCs w:val="18"/>
          <w:color w:val="auto"/>
        </w:rPr>
      </w:pPr>
    </w:p>
    <w:p>
      <w:pPr>
        <w:ind w:left="452" w:hanging="452"/>
        <w:spacing w:after="0" w:line="277" w:lineRule="auto"/>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Building stairs. Required Building exit stair enclosures and exit corridors complete, subject to punchlist items, on the inside including all finishes, doors and hardware, lighting, fire sprinkler and fire alarm systems.</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Interior stairwell and exit corridor walls to be exposed concrete or painted drywall with level IV finish.</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Railing to be painted.</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Treads to be exposed concrete.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Floors in broom-swept condition (except for curtainwall units that will be left on floor until the hoists are removed and the hoist bays completed).</w:t>
      </w:r>
    </w:p>
    <w:p>
      <w:pPr>
        <w:spacing w:after="0" w:line="142" w:lineRule="exact"/>
        <w:rPr>
          <w:rFonts w:ascii="Arial" w:cs="Arial" w:eastAsia="Arial" w:hAnsi="Arial"/>
          <w:sz w:val="17"/>
          <w:szCs w:val="17"/>
          <w:color w:val="auto"/>
        </w:rPr>
      </w:pPr>
    </w:p>
    <w:p>
      <w:pPr>
        <w:ind w:left="452" w:right="140" w:hanging="452"/>
        <w:spacing w:after="0" w:line="277" w:lineRule="auto"/>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Temporary or permanent power to support construction activities related to the Improvements. Cutting over from temporary to permanent power to be coordinated with Tenant and Contractor.</w:t>
      </w:r>
    </w:p>
    <w:p>
      <w:pPr>
        <w:spacing w:after="0" w:line="75" w:lineRule="exact"/>
        <w:rPr>
          <w:rFonts w:ascii="Arial" w:cs="Arial" w:eastAsia="Arial" w:hAnsi="Arial"/>
          <w:sz w:val="18"/>
          <w:szCs w:val="18"/>
          <w:color w:val="auto"/>
        </w:rPr>
      </w:pPr>
    </w:p>
    <w:p>
      <w:pPr>
        <w:ind w:left="452" w:right="20" w:hanging="452"/>
        <w:spacing w:after="0" w:line="264" w:lineRule="auto"/>
        <w:tabs>
          <w:tab w:leader="none" w:pos="4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Freight elevator system will be complete, subject to punchlist items, including freight elevator vestibule including, walls, rated doors and hardware, fire sprinkler and fire alarm systems. Wall finish to be exposed concrete or drywall taped and sanded to level IV finish ready for painting or wall covering as part of the Improvements.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SCHEDULE 3 TO</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92"/>
          </w:cols>
          <w:pgMar w:left="248" w:top="269" w:right="259" w:bottom="1440" w:gutter="0" w:footer="0" w:header="0"/>
        </w:sectPr>
      </w:pPr>
    </w:p>
    <w:bookmarkStart w:id="414" w:name="page415"/>
    <w:bookmarkEnd w:id="414"/>
    <w:p>
      <w:pPr>
        <w:ind w:left="452" w:right="40" w:hanging="452"/>
        <w:spacing w:after="0" w:line="273" w:lineRule="auto"/>
        <w:tabs>
          <w:tab w:leader="none" w:pos="452" w:val="left"/>
        </w:tabs>
        <w:numPr>
          <w:ilvl w:val="0"/>
          <w:numId w:val="2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Electrical rooms and distribution panel. Main Electrical room complete (subject to punchlist items), including doors, hardware, HVAC (stubbed out ready to connect to HVAC system to be installed as part of the Improvements), lighting, fire sprinkler and fire alarm systems; interior floor to be sealed concrete; interior walls and penetrations fire taped and exterior walls finished as indicated in Base Building Plans. Floor electrical distribution rooms complete (subject to punchlist items), including doors, hardware, HVAC (stubbed out ready to connect to HVAC system to be installed as part of the Improvements), lighting, fire sprinkler and fire alarm systems; interior floor to be sealed concrete; interior walls to be exposed concrete or fire taped and exterior walls to be exposed concrete or taped and finished as indicated in Base Building Plans.</w:t>
      </w:r>
    </w:p>
    <w:p>
      <w:pPr>
        <w:spacing w:after="0" w:line="83" w:lineRule="exact"/>
        <w:rPr>
          <w:rFonts w:ascii="Arial" w:cs="Arial" w:eastAsia="Arial" w:hAnsi="Arial"/>
          <w:sz w:val="17"/>
          <w:szCs w:val="17"/>
          <w:color w:val="auto"/>
        </w:rPr>
      </w:pPr>
    </w:p>
    <w:p>
      <w:pPr>
        <w:ind w:left="452" w:right="200" w:hanging="452"/>
        <w:spacing w:after="0" w:line="257" w:lineRule="auto"/>
        <w:tabs>
          <w:tab w:leader="none" w:pos="4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Connection points for MEP. Condenser water and heating hot water risers in shafts stubbed to each floor with a valve ready for distribution as part of the Improvements. Vertical duct risers in rated duct shafts (supply and return) with control dampers stubbed out at each floor ready for distribution ductwork as part of the Improvements. Exterior side of duct shafts shall be exposed concrete or drywall taped and sanded to level IV finish ready for painting or wall covering as part of the Improvements. BB HVAC System to be tested/commissioned prior to handover for construction of Improvements.</w:t>
      </w:r>
    </w:p>
    <w:p>
      <w:pPr>
        <w:spacing w:after="0" w:line="93" w:lineRule="exact"/>
        <w:rPr>
          <w:rFonts w:ascii="Arial" w:cs="Arial" w:eastAsia="Arial" w:hAnsi="Arial"/>
          <w:sz w:val="18"/>
          <w:szCs w:val="18"/>
          <w:color w:val="auto"/>
        </w:rPr>
      </w:pPr>
    </w:p>
    <w:p>
      <w:pPr>
        <w:jc w:val="both"/>
        <w:ind w:left="452" w:hanging="452"/>
        <w:spacing w:after="0" w:line="264" w:lineRule="auto"/>
        <w:tabs>
          <w:tab w:leader="none" w:pos="45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Watertight Building envelope (except portions related to exterior hoist access or areas which do not substantially interfere with Tenant’s construction of the Improvements, or as otherwise requested by Tenant and approved by Landlord). All permanent exterior skinning to be substantially completed prior to the Delivery Date. Tenant will have the opportunity to inspect exterior skinning.</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SCHEDULE 3 TO</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74" w:right="279" w:bottom="1440" w:gutter="0" w:footer="0" w:header="0"/>
        </w:sectPr>
      </w:pPr>
    </w:p>
    <w:bookmarkStart w:id="415" w:name="page416"/>
    <w:bookmarkEnd w:id="415"/>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 TO EXHIBIT B</w:t>
      </w:r>
    </w:p>
    <w:p>
      <w:pPr>
        <w:spacing w:after="0" w:line="225"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u w:val="single" w:color="auto"/>
          <w:color w:val="auto"/>
        </w:rPr>
        <w:t>LIST OF TENANT DELIVERABLES</w:t>
      </w:r>
    </w:p>
    <w:p>
      <w:pPr>
        <w:spacing w:after="0" w:line="342" w:lineRule="exact"/>
        <w:rPr>
          <w:sz w:val="20"/>
          <w:szCs w:val="20"/>
          <w:color w:val="auto"/>
        </w:rPr>
      </w:pPr>
    </w:p>
    <w:p>
      <w:pPr>
        <w:ind w:left="392" w:hanging="392"/>
        <w:spacing w:after="0"/>
        <w:tabs>
          <w:tab w:leader="none" w:pos="39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Prior to Start of Construction</w:t>
      </w:r>
    </w:p>
    <w:p>
      <w:pPr>
        <w:spacing w:after="0" w:line="121"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1.1.   Approved Construction Drawings.</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1.2.   Approved Subcontractors List.</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1.3.   Copies of all executed Contracts with Contractor.</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1.4.   Construction Schedule.</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1.5.   Copies of Permits for Improvements, to the extent reasonably available.</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6"/>
          <w:szCs w:val="16"/>
          <w:color w:val="auto"/>
        </w:rPr>
        <w:t>1.6.   Budget of Anticipated Costs, including a schedule of values for all hard construction costs.</w:t>
      </w:r>
    </w:p>
    <w:p>
      <w:pPr>
        <w:spacing w:after="0" w:line="136" w:lineRule="exact"/>
        <w:rPr>
          <w:rFonts w:ascii="Arial" w:cs="Arial" w:eastAsia="Arial" w:hAnsi="Arial"/>
          <w:sz w:val="18"/>
          <w:szCs w:val="18"/>
          <w:b w:val="1"/>
          <w:bCs w:val="1"/>
          <w:color w:val="auto"/>
        </w:rPr>
      </w:pPr>
    </w:p>
    <w:p>
      <w:pPr>
        <w:ind w:left="392" w:hanging="392"/>
        <w:spacing w:after="0"/>
        <w:tabs>
          <w:tab w:leader="none" w:pos="39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Ongoing During Construction</w:t>
      </w:r>
    </w:p>
    <w:p>
      <w:pPr>
        <w:spacing w:after="0" w:line="121"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2.1.   Budget and Construction Schedule Revisions as they occur.</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2.2.   Change Orders as they occur.</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2.3.   Plan revisions as they occur.</w:t>
      </w:r>
    </w:p>
    <w:p>
      <w:pPr>
        <w:spacing w:after="0" w:line="113"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 xml:space="preserve">2.4.   Monthly Applications of Payment with reciprocal releases </w:t>
      </w:r>
      <w:r>
        <w:rPr>
          <w:rFonts w:ascii="Arial" w:cs="Arial" w:eastAsia="Arial" w:hAnsi="Arial"/>
          <w:sz w:val="18"/>
          <w:szCs w:val="18"/>
          <w:b w:val="1"/>
          <w:bCs w:val="1"/>
          <w:color w:val="auto"/>
        </w:rPr>
        <w:t>when received</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2.5.   Monthly Architect’s Field Report or Equivalent.</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2.6.   Monthly 4-week look ahead schedule.</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2.7.   Weekly meeting minutes.</w:t>
      </w:r>
    </w:p>
    <w:p>
      <w:pPr>
        <w:spacing w:after="0" w:line="113"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 xml:space="preserve">2.8.   Permit sign off card </w:t>
      </w:r>
      <w:r>
        <w:rPr>
          <w:rFonts w:ascii="Arial" w:cs="Arial" w:eastAsia="Arial" w:hAnsi="Arial"/>
          <w:sz w:val="18"/>
          <w:szCs w:val="18"/>
          <w:b w:val="1"/>
          <w:bCs w:val="1"/>
          <w:color w:val="auto"/>
        </w:rPr>
        <w:t>when received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 xml:space="preserve">2.9.   Temporary certificate of occupancy/certificate of occupancy </w:t>
      </w:r>
      <w:r>
        <w:rPr>
          <w:rFonts w:ascii="Arial" w:cs="Arial" w:eastAsia="Arial" w:hAnsi="Arial"/>
          <w:sz w:val="18"/>
          <w:szCs w:val="18"/>
          <w:b w:val="1"/>
          <w:bCs w:val="1"/>
          <w:color w:val="auto"/>
        </w:rPr>
        <w:t>when received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392" w:right="5759" w:hanging="392"/>
        <w:spacing w:after="0" w:line="425" w:lineRule="auto"/>
        <w:tabs>
          <w:tab w:leader="none" w:pos="392"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Prior to Release of Any Funds Related to Hard Costs </w:t>
      </w:r>
      <w:r>
        <w:rPr>
          <w:rFonts w:ascii="Arial" w:cs="Arial" w:eastAsia="Arial" w:hAnsi="Arial"/>
          <w:sz w:val="16"/>
          <w:szCs w:val="16"/>
          <w:color w:val="auto"/>
        </w:rPr>
        <w:t>3.1. Final Space Plans approved by both parties.</w:t>
      </w:r>
    </w:p>
    <w:p>
      <w:pPr>
        <w:ind w:left="392"/>
        <w:spacing w:after="0"/>
        <w:rPr>
          <w:rFonts w:ascii="Arial" w:cs="Arial" w:eastAsia="Arial" w:hAnsi="Arial"/>
          <w:sz w:val="16"/>
          <w:szCs w:val="16"/>
          <w:b w:val="1"/>
          <w:bCs w:val="1"/>
          <w:color w:val="auto"/>
        </w:rPr>
      </w:pPr>
      <w:r>
        <w:rPr>
          <w:rFonts w:ascii="Arial" w:cs="Arial" w:eastAsia="Arial" w:hAnsi="Arial"/>
          <w:sz w:val="18"/>
          <w:szCs w:val="18"/>
          <w:color w:val="auto"/>
        </w:rPr>
        <w:t>3.2.   Construction Drawings approved by both parties.</w:t>
      </w:r>
    </w:p>
    <w:p>
      <w:pPr>
        <w:spacing w:after="0" w:line="117" w:lineRule="exact"/>
        <w:rPr>
          <w:rFonts w:ascii="Arial" w:cs="Arial" w:eastAsia="Arial" w:hAnsi="Arial"/>
          <w:sz w:val="16"/>
          <w:szCs w:val="16"/>
          <w:b w:val="1"/>
          <w:bCs w:val="1"/>
          <w:color w:val="auto"/>
        </w:rPr>
      </w:pPr>
    </w:p>
    <w:p>
      <w:pPr>
        <w:ind w:left="392"/>
        <w:spacing w:after="0"/>
        <w:rPr>
          <w:rFonts w:ascii="Arial" w:cs="Arial" w:eastAsia="Arial" w:hAnsi="Arial"/>
          <w:sz w:val="16"/>
          <w:szCs w:val="16"/>
          <w:b w:val="1"/>
          <w:bCs w:val="1"/>
          <w:color w:val="auto"/>
        </w:rPr>
      </w:pPr>
      <w:r>
        <w:rPr>
          <w:rFonts w:ascii="Arial" w:cs="Arial" w:eastAsia="Arial" w:hAnsi="Arial"/>
          <w:sz w:val="18"/>
          <w:szCs w:val="18"/>
          <w:color w:val="auto"/>
        </w:rPr>
        <w:t>3.3.   Project Budget</w:t>
      </w:r>
    </w:p>
    <w:p>
      <w:pPr>
        <w:spacing w:after="0" w:line="117" w:lineRule="exact"/>
        <w:rPr>
          <w:rFonts w:ascii="Arial" w:cs="Arial" w:eastAsia="Arial" w:hAnsi="Arial"/>
          <w:sz w:val="16"/>
          <w:szCs w:val="16"/>
          <w:b w:val="1"/>
          <w:bCs w:val="1"/>
          <w:color w:val="auto"/>
        </w:rPr>
      </w:pPr>
    </w:p>
    <w:p>
      <w:pPr>
        <w:ind w:left="392"/>
        <w:spacing w:after="0"/>
        <w:rPr>
          <w:rFonts w:ascii="Arial" w:cs="Arial" w:eastAsia="Arial" w:hAnsi="Arial"/>
          <w:sz w:val="16"/>
          <w:szCs w:val="16"/>
          <w:b w:val="1"/>
          <w:bCs w:val="1"/>
          <w:color w:val="auto"/>
        </w:rPr>
      </w:pPr>
      <w:r>
        <w:rPr>
          <w:rFonts w:ascii="Arial" w:cs="Arial" w:eastAsia="Arial" w:hAnsi="Arial"/>
          <w:sz w:val="18"/>
          <w:szCs w:val="18"/>
          <w:color w:val="auto"/>
        </w:rPr>
        <w:t>3.4.   Project Schedule.</w:t>
      </w:r>
    </w:p>
    <w:p>
      <w:pPr>
        <w:spacing w:after="0" w:line="113" w:lineRule="exact"/>
        <w:rPr>
          <w:rFonts w:ascii="Arial" w:cs="Arial" w:eastAsia="Arial" w:hAnsi="Arial"/>
          <w:sz w:val="16"/>
          <w:szCs w:val="16"/>
          <w:b w:val="1"/>
          <w:bCs w:val="1"/>
          <w:color w:val="auto"/>
        </w:rPr>
      </w:pPr>
    </w:p>
    <w:p>
      <w:pPr>
        <w:ind w:left="392" w:hanging="392"/>
        <w:spacing w:after="0"/>
        <w:tabs>
          <w:tab w:leader="none" w:pos="39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Prior to Release of Final Payment</w:t>
      </w:r>
    </w:p>
    <w:p>
      <w:pPr>
        <w:spacing w:after="0" w:line="121"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4.1.   Signed off Inspection Card or Equivalent temporary certificate of occupancy.</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4.2.   Architect’s Certificate of Substantial Completion.</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4.3.   Final Contractor Pay Application indicating 100% complete, 90% previously paid.</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4.4.   Physical inspection of the Premises by Landlord inspection team.</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4.5.   Unconditional Releases.</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4.6.   Final As-Builts.</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4.7.   Final Subcontractors List.</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4.8.   Warranties and Guarantees.</w:t>
      </w:r>
    </w:p>
    <w:p>
      <w:pPr>
        <w:spacing w:after="0" w:line="117" w:lineRule="exact"/>
        <w:rPr>
          <w:rFonts w:ascii="Arial" w:cs="Arial" w:eastAsia="Arial" w:hAnsi="Arial"/>
          <w:sz w:val="18"/>
          <w:szCs w:val="18"/>
          <w:b w:val="1"/>
          <w:bCs w:val="1"/>
          <w:color w:val="auto"/>
        </w:rPr>
      </w:pPr>
    </w:p>
    <w:p>
      <w:pPr>
        <w:ind w:left="392"/>
        <w:spacing w:after="0"/>
        <w:rPr>
          <w:rFonts w:ascii="Arial" w:cs="Arial" w:eastAsia="Arial" w:hAnsi="Arial"/>
          <w:sz w:val="18"/>
          <w:szCs w:val="18"/>
          <w:b w:val="1"/>
          <w:bCs w:val="1"/>
          <w:color w:val="auto"/>
        </w:rPr>
      </w:pPr>
      <w:r>
        <w:rPr>
          <w:rFonts w:ascii="Arial" w:cs="Arial" w:eastAsia="Arial" w:hAnsi="Arial"/>
          <w:sz w:val="18"/>
          <w:szCs w:val="18"/>
          <w:color w:val="auto"/>
        </w:rPr>
        <w:t>4.9.   CAD Files.</w:t>
      </w:r>
    </w:p>
    <w:p>
      <w:pPr>
        <w:spacing w:after="0" w:line="158"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SCHEDULE 4 TO</w:t>
      </w:r>
    </w:p>
    <w:p>
      <w:pPr>
        <w:spacing w:after="0" w:line="23"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1"/>
          </w:cols>
          <w:pgMar w:left="248" w:top="270" w:right="1440" w:bottom="1440" w:gutter="0" w:footer="0" w:header="0"/>
        </w:sectPr>
      </w:pPr>
    </w:p>
    <w:bookmarkStart w:id="416" w:name="page417"/>
    <w:bookmarkEnd w:id="41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 TO 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DEPICTION OF SHAFT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160020</wp:posOffset>
            </wp:positionV>
            <wp:extent cx="4467860" cy="46653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467860" cy="466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5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17" w:name="page418"/>
    <w:bookmarkEnd w:id="417"/>
    <w:p>
      <w:pPr>
        <w:ind w:left="44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SCHEDULE_6 TO EXHIBIT B</w:t>
      </w:r>
    </w:p>
    <w:p>
      <w:pPr>
        <w:spacing w:after="0" w:line="11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PURCHASE AGREEMENT EXCERPTS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AND SALE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JOINT ESCROW INSTRUCTIONS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(Mission Bay Block 40)</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PURCHASE AND SALE AGREEMENT AND JOINT ESCROW INSTRUCTIONS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13, 2014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is entered into by and between FOCIL-MB,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 KILROY REALTY, L.P., a Delaware limited partnership (“</w:t>
      </w:r>
      <w:r>
        <w:rPr>
          <w:rFonts w:ascii="Arial" w:cs="Arial" w:eastAsia="Arial" w:hAnsi="Arial"/>
          <w:sz w:val="18"/>
          <w:szCs w:val="18"/>
          <w:u w:val="single" w:color="auto"/>
          <w:color w:val="auto"/>
        </w:rPr>
        <w:t>Buyer</w:t>
      </w:r>
      <w:r>
        <w:rPr>
          <w:rFonts w:ascii="Arial" w:cs="Arial" w:eastAsia="Arial" w:hAnsi="Arial"/>
          <w:sz w:val="18"/>
          <w:szCs w:val="18"/>
          <w:color w:val="auto"/>
        </w:rPr>
        <w:t>”), with respect to the following: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 Seller is the owner of that certain unimproved real property consisting of approximately 3.26 acres (142,094 square feet) located in the City and County of San Francisco (“</w:t>
      </w:r>
      <w:r>
        <w:rPr>
          <w:rFonts w:ascii="Arial" w:cs="Arial" w:eastAsia="Arial" w:hAnsi="Arial"/>
          <w:sz w:val="18"/>
          <w:szCs w:val="18"/>
          <w:u w:val="single" w:color="auto"/>
          <w:color w:val="auto"/>
        </w:rPr>
        <w:t>City</w:t>
      </w:r>
      <w:r>
        <w:rPr>
          <w:rFonts w:ascii="Arial" w:cs="Arial" w:eastAsia="Arial" w:hAnsi="Arial"/>
          <w:sz w:val="18"/>
          <w:szCs w:val="18"/>
          <w:color w:val="auto"/>
        </w:rPr>
        <w:t xml:space="preserve">”), State of California, commonly referred to as Mission Bay Block 40, as more particularly depicted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Land</w:t>
      </w:r>
      <w:r>
        <w:rPr>
          <w:rFonts w:ascii="Arial" w:cs="Arial" w:eastAsia="Arial" w:hAnsi="Arial"/>
          <w:sz w:val="18"/>
          <w:szCs w:val="18"/>
          <w:color w:val="auto"/>
        </w:rPr>
        <w:t>”). The Land, together with all appurtenances thereto and improvements thereon, if any, are, collectively, hereinafter referred to as the “</w:t>
      </w: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pacing w:after="0" w:line="7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B. The Property is a portion of the area in the City generally known as “Mission Bay,” and is located within the Mission Bay South Redevelopment Project Area, and is subject to the Mission Bay South Redevelopment Plan and Design for Development, the Mission Bay South Owner Participation Agreement and other existing Development Entitlements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Seller desires to sell the Property to Buyer, and Buyer desires to purchase the Property from Seller, upon the terms and conditions hereinafter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Seller and Buyer hereby agree that the terms and conditions of this Agreement and the instructions to the Escrow Holder with regard to the Escrow created pursuant hereto are as follows:</w:t>
      </w:r>
    </w:p>
    <w:p>
      <w:pPr>
        <w:spacing w:after="0" w:line="73" w:lineRule="exact"/>
        <w:rPr>
          <w:sz w:val="20"/>
          <w:szCs w:val="20"/>
          <w:color w:val="auto"/>
        </w:rPr>
      </w:pPr>
    </w:p>
    <w:p>
      <w:pPr>
        <w:ind w:left="920" w:right="2420" w:hanging="456"/>
        <w:spacing w:after="0" w:line="375" w:lineRule="auto"/>
        <w:tabs>
          <w:tab w:leader="none" w:pos="643"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Certain Basic Definitions</w:t>
      </w:r>
      <w:r>
        <w:rPr>
          <w:rFonts w:ascii="Arial" w:cs="Arial" w:eastAsia="Arial" w:hAnsi="Arial"/>
          <w:sz w:val="18"/>
          <w:szCs w:val="18"/>
          <w:color w:val="auto"/>
        </w:rPr>
        <w:t>. For purposes of this Agreement, the following terms shall have the following definitions: 1.1 “</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Paragraph 34.1</w:t>
      </w:r>
      <w:r>
        <w:rPr>
          <w:rFonts w:ascii="Arial" w:cs="Arial" w:eastAsia="Arial" w:hAnsi="Arial"/>
          <w:sz w:val="18"/>
          <w:szCs w:val="18"/>
          <w:color w:val="auto"/>
        </w:rPr>
        <w:t xml:space="preserve"> below.</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Access and Indemnity Agreement</w:t>
      </w:r>
      <w:r>
        <w:rPr>
          <w:rFonts w:ascii="Arial" w:cs="Arial" w:eastAsia="Arial" w:hAnsi="Arial"/>
          <w:sz w:val="16"/>
          <w:szCs w:val="16"/>
          <w:color w:val="auto"/>
        </w:rPr>
        <w:t>” means that certain Access and Indemnity Agreement dated April 21, 2014, by and between Buyer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Access Easement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Paragraph 30.3</w:t>
      </w:r>
      <w:r>
        <w:rPr>
          <w:rFonts w:ascii="Arial" w:cs="Arial" w:eastAsia="Arial" w:hAnsi="Arial"/>
          <w:sz w:val="18"/>
          <w:szCs w:val="18"/>
          <w:color w:val="auto"/>
        </w:rPr>
        <w:t xml:space="preserve"> below.</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Affiliate</w:t>
      </w:r>
      <w:r>
        <w:rPr>
          <w:rFonts w:ascii="Arial" w:cs="Arial" w:eastAsia="Arial" w:hAnsi="Arial"/>
          <w:sz w:val="18"/>
          <w:szCs w:val="18"/>
          <w:color w:val="auto"/>
        </w:rPr>
        <w:t>” means (a) an entity that directly or indirectly controls, is controlled by, or is under common control with the person or entity in question, or (b) an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418" w:name="page419"/>
    <w:bookmarkEnd w:id="418"/>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1.26 “</w:t>
      </w:r>
      <w:r>
        <w:rPr>
          <w:rFonts w:ascii="Arial" w:cs="Arial" w:eastAsia="Arial" w:hAnsi="Arial"/>
          <w:sz w:val="18"/>
          <w:szCs w:val="18"/>
          <w:u w:val="single" w:color="auto"/>
          <w:color w:val="auto"/>
        </w:rPr>
        <w:t>Completion of Construction</w:t>
      </w:r>
      <w:r>
        <w:rPr>
          <w:rFonts w:ascii="Arial" w:cs="Arial" w:eastAsia="Arial" w:hAnsi="Arial"/>
          <w:sz w:val="18"/>
          <w:szCs w:val="18"/>
          <w:color w:val="auto"/>
        </w:rPr>
        <w:t>” means (a) the issuance of a temporary certificate of occupancy (or its legal equivalent) for a particular building within the Project by the City Department of Building Inspection and (b) the delivery to Seller and the Redevelopment Agency of an architect’s certificate from Buyer’s architect in the form of Attachment J to the South OPA.</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Construction Delay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Paragraph 25.3.2</w:t>
      </w:r>
      <w:r>
        <w:rPr>
          <w:rFonts w:ascii="Arial" w:cs="Arial" w:eastAsia="Arial" w:hAnsi="Arial"/>
          <w:sz w:val="18"/>
          <w:szCs w:val="18"/>
          <w:color w:val="auto"/>
        </w:rPr>
        <w:t xml:space="preserve"> below.</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274" w:right="659" w:bottom="1440" w:gutter="0" w:footer="0" w:header="0"/>
        </w:sectPr>
      </w:pPr>
    </w:p>
    <w:bookmarkStart w:id="419" w:name="page420"/>
    <w:bookmarkEnd w:id="41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 “</w:t>
      </w:r>
      <w:r>
        <w:rPr>
          <w:rFonts w:ascii="Arial" w:cs="Arial" w:eastAsia="Arial" w:hAnsi="Arial"/>
          <w:sz w:val="18"/>
          <w:szCs w:val="18"/>
          <w:u w:val="single" w:color="auto"/>
          <w:color w:val="auto"/>
        </w:rPr>
        <w:t>First Construction Completion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Paragraph 25.3.1(a)</w:t>
      </w:r>
      <w:r>
        <w:rPr>
          <w:rFonts w:ascii="Arial" w:cs="Arial" w:eastAsia="Arial" w:hAnsi="Arial"/>
          <w:sz w:val="18"/>
          <w:szCs w:val="18"/>
          <w:color w:val="auto"/>
        </w:rPr>
        <w:t xml:space="preserve"> below.</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First Construction Phase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Paragraph 1.91</w:t>
      </w:r>
      <w:r>
        <w:rPr>
          <w:rFonts w:ascii="Arial" w:cs="Arial" w:eastAsia="Arial" w:hAnsi="Arial"/>
          <w:sz w:val="18"/>
          <w:szCs w:val="18"/>
          <w:color w:val="auto"/>
        </w:rPr>
        <w:t xml:space="preserve"> below.</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Gross Square Feet</w:t>
      </w:r>
      <w:r>
        <w:rPr>
          <w:rFonts w:ascii="Arial" w:cs="Arial" w:eastAsia="Arial" w:hAnsi="Arial"/>
          <w:sz w:val="18"/>
          <w:szCs w:val="18"/>
          <w:color w:val="auto"/>
        </w:rPr>
        <w:t>” or “</w:t>
      </w:r>
      <w:r>
        <w:rPr>
          <w:rFonts w:ascii="Arial" w:cs="Arial" w:eastAsia="Arial" w:hAnsi="Arial"/>
          <w:sz w:val="18"/>
          <w:szCs w:val="18"/>
          <w:u w:val="single" w:color="auto"/>
          <w:color w:val="auto"/>
        </w:rPr>
        <w:t>Gross Square Footage</w:t>
      </w:r>
      <w:r>
        <w:rPr>
          <w:rFonts w:ascii="Arial" w:cs="Arial" w:eastAsia="Arial" w:hAnsi="Arial"/>
          <w:sz w:val="18"/>
          <w:szCs w:val="18"/>
          <w:color w:val="auto"/>
        </w:rPr>
        <w:t>” shall mean the amount of square footage designated as “Gross Floor Area” in Section 102.9 of the San Francisco Planning Code for the C-3 Zoning District.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20" w:name="page421"/>
    <w:bookmarkEnd w:id="42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1.91 “</w:t>
      </w:r>
      <w:r>
        <w:rPr>
          <w:rFonts w:ascii="Arial" w:cs="Arial" w:eastAsia="Arial" w:hAnsi="Arial"/>
          <w:sz w:val="16"/>
          <w:szCs w:val="16"/>
          <w:u w:val="single" w:color="auto"/>
          <w:color w:val="auto"/>
        </w:rPr>
        <w:t>Project</w:t>
      </w:r>
      <w:r>
        <w:rPr>
          <w:rFonts w:ascii="Arial" w:cs="Arial" w:eastAsia="Arial" w:hAnsi="Arial"/>
          <w:sz w:val="16"/>
          <w:szCs w:val="16"/>
          <w:color w:val="auto"/>
        </w:rPr>
        <w:t>” means the development to be constructed by Buyer on the Property in accordance with the Development Entitlements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of this Agreement, and as shall be more particularly described in the Project Design Documents, subject to the following limitations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u w:val="single" w:color="auto"/>
          <w:color w:val="auto"/>
        </w:rPr>
        <w:t>Development Limitations</w:t>
      </w:r>
      <w:r>
        <w:rPr>
          <w:rFonts w:ascii="Arial" w:cs="Arial" w:eastAsia="Arial" w:hAnsi="Arial"/>
          <w:sz w:val="16"/>
          <w:szCs w:val="16"/>
          <w:color w:val="auto"/>
        </w:rPr>
        <w:t>”): (i) the Project must be comprised of one or more Class A office/laboratory building(s) (generally, “</w:t>
      </w:r>
      <w:r>
        <w:rPr>
          <w:rFonts w:ascii="Arial" w:cs="Arial" w:eastAsia="Arial" w:hAnsi="Arial"/>
          <w:sz w:val="16"/>
          <w:szCs w:val="16"/>
          <w:u w:val="single" w:color="auto"/>
          <w:color w:val="auto"/>
        </w:rPr>
        <w:t>Buildings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containing not less than an aggregate of 635,000 Gross Square Feet (“</w:t>
      </w:r>
      <w:r>
        <w:rPr>
          <w:rFonts w:ascii="Arial" w:cs="Arial" w:eastAsia="Arial" w:hAnsi="Arial"/>
          <w:sz w:val="16"/>
          <w:szCs w:val="16"/>
          <w:u w:val="single" w:color="auto"/>
          <w:color w:val="auto"/>
        </w:rPr>
        <w:t>Minimum Square Footage</w:t>
      </w:r>
      <w:r>
        <w:rPr>
          <w:rFonts w:ascii="Arial" w:cs="Arial" w:eastAsia="Arial" w:hAnsi="Arial"/>
          <w:sz w:val="16"/>
          <w:szCs w:val="16"/>
          <w:color w:val="auto"/>
        </w:rPr>
        <w:t>”), nor more than an aggregate of 700,000 Gross Square Feet,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inclusive of any retail space (“</w:t>
      </w:r>
      <w:r>
        <w:rPr>
          <w:rFonts w:ascii="Arial" w:cs="Arial" w:eastAsia="Arial" w:hAnsi="Arial"/>
          <w:sz w:val="16"/>
          <w:szCs w:val="16"/>
          <w:u w:val="single" w:color="auto"/>
          <w:color w:val="auto"/>
        </w:rPr>
        <w:t>Maximum Development Entitlement</w:t>
      </w:r>
      <w:r>
        <w:rPr>
          <w:rFonts w:ascii="Arial" w:cs="Arial" w:eastAsia="Arial" w:hAnsi="Arial"/>
          <w:sz w:val="16"/>
          <w:szCs w:val="16"/>
          <w:color w:val="auto"/>
        </w:rPr>
        <w:t>”), (ii) the Project must not contain more than 15,000 Gross Square Feet of retail 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Retail Entitlement</w:t>
      </w:r>
      <w:r>
        <w:rPr>
          <w:rFonts w:ascii="Arial" w:cs="Arial" w:eastAsia="Arial" w:hAnsi="Arial"/>
          <w:sz w:val="16"/>
          <w:szCs w:val="16"/>
          <w:color w:val="auto"/>
        </w:rPr>
        <w:t>”), (iii) the Project must include not more than an aggregate of one (1.0) parking space per one thousand (1,000) Gross Square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Feet of developable floor area in the Project, plus an additional one (1.0) parking space per one thousand (1,000) Gross Square Feet of Life Science Uses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Project (“</w:t>
      </w:r>
      <w:r>
        <w:rPr>
          <w:rFonts w:ascii="Arial" w:cs="Arial" w:eastAsia="Arial" w:hAnsi="Arial"/>
          <w:sz w:val="16"/>
          <w:szCs w:val="16"/>
          <w:u w:val="single" w:color="auto"/>
          <w:color w:val="auto"/>
        </w:rPr>
        <w:t>Additional Life Science Spaces</w:t>
      </w:r>
      <w:r>
        <w:rPr>
          <w:rFonts w:ascii="Arial" w:cs="Arial" w:eastAsia="Arial" w:hAnsi="Arial"/>
          <w:sz w:val="16"/>
          <w:szCs w:val="16"/>
          <w:color w:val="auto"/>
        </w:rPr>
        <w:t>”), provided that the number of Additional Life Science Spaces shall be subject to the prior rights of any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owners of property within the Mission Bay South Redevelopment Project Area, including pursuant to the Life Science Parking Agreement, and shall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exceed the number of Additional Life Science Spaces permitted for the Property pursuant to the Development Entitlements (collectively, the “</w:t>
      </w:r>
      <w:r>
        <w:rPr>
          <w:rFonts w:ascii="Arial" w:cs="Arial" w:eastAsia="Arial" w:hAnsi="Arial"/>
          <w:sz w:val="17"/>
          <w:szCs w:val="17"/>
          <w:u w:val="single" w:color="auto"/>
          <w:color w:val="auto"/>
        </w:rPr>
        <w:t>Maximum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Parking Entitlement</w:t>
      </w:r>
      <w:r>
        <w:rPr>
          <w:rFonts w:ascii="Arial" w:cs="Arial" w:eastAsia="Arial" w:hAnsi="Arial"/>
          <w:sz w:val="16"/>
          <w:szCs w:val="16"/>
          <w:color w:val="auto"/>
        </w:rPr>
        <w:t>”), and (iv) the Project may not contain more than two (2) Towers. This Agreement shall not impose any limit on the height of a Tower,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except as such limits are imposed by the Development Entitlements. Buyer and Seller acknowledge that the Project may be constructed in multiple phases,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provided that the first phase of the Project (“</w:t>
      </w:r>
      <w:r>
        <w:rPr>
          <w:rFonts w:ascii="Arial" w:cs="Arial" w:eastAsia="Arial" w:hAnsi="Arial"/>
          <w:sz w:val="17"/>
          <w:szCs w:val="17"/>
          <w:u w:val="single" w:color="auto"/>
          <w:color w:val="auto"/>
        </w:rPr>
        <w:t>First Construction Phase</w:t>
      </w:r>
      <w:r>
        <w:rPr>
          <w:rFonts w:ascii="Arial" w:cs="Arial" w:eastAsia="Arial" w:hAnsi="Arial"/>
          <w:sz w:val="17"/>
          <w:szCs w:val="17"/>
          <w:color w:val="auto"/>
        </w:rPr>
        <w:t>”) must include a Building containing not less than 270,000 Gross Square Feet.</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1.92 “</w:t>
      </w:r>
      <w:r>
        <w:rPr>
          <w:rFonts w:ascii="Arial" w:cs="Arial" w:eastAsia="Arial" w:hAnsi="Arial"/>
          <w:sz w:val="18"/>
          <w:szCs w:val="18"/>
          <w:u w:val="single" w:color="auto"/>
          <w:color w:val="auto"/>
        </w:rPr>
        <w:t>Project Completion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Paragraph 25.3.1(h)</w:t>
      </w:r>
      <w:r>
        <w:rPr>
          <w:rFonts w:ascii="Arial" w:cs="Arial" w:eastAsia="Arial" w:hAnsi="Arial"/>
          <w:sz w:val="18"/>
          <w:szCs w:val="18"/>
          <w:color w:val="auto"/>
        </w:rPr>
        <w:t xml:space="preserve"> below.</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3" w:right="279" w:bottom="1440" w:gutter="0" w:footer="0" w:header="0"/>
        </w:sectPr>
      </w:pPr>
    </w:p>
    <w:bookmarkStart w:id="421" w:name="page422"/>
    <w:bookmarkEnd w:id="421"/>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1.101 “</w:t>
      </w:r>
      <w:r>
        <w:rPr>
          <w:rFonts w:ascii="Arial" w:cs="Arial" w:eastAsia="Arial" w:hAnsi="Arial"/>
          <w:sz w:val="18"/>
          <w:szCs w:val="18"/>
          <w:u w:val="single" w:color="auto"/>
          <w:color w:val="auto"/>
        </w:rPr>
        <w:t>Required Infrastructure</w:t>
      </w:r>
      <w:r>
        <w:rPr>
          <w:rFonts w:ascii="Arial" w:cs="Arial" w:eastAsia="Arial" w:hAnsi="Arial"/>
          <w:sz w:val="18"/>
          <w:szCs w:val="18"/>
          <w:color w:val="auto"/>
        </w:rPr>
        <w:t xml:space="preserve">” means, subject to modification as described in </w:t>
      </w:r>
      <w:r>
        <w:rPr>
          <w:rFonts w:ascii="Arial" w:cs="Arial" w:eastAsia="Arial" w:hAnsi="Arial"/>
          <w:sz w:val="18"/>
          <w:szCs w:val="18"/>
          <w:u w:val="single" w:color="auto"/>
          <w:color w:val="auto"/>
        </w:rPr>
        <w:t>Paragraph 9.2</w:t>
      </w:r>
      <w:r>
        <w:rPr>
          <w:rFonts w:ascii="Arial" w:cs="Arial" w:eastAsia="Arial" w:hAnsi="Arial"/>
          <w:sz w:val="18"/>
          <w:szCs w:val="18"/>
          <w:color w:val="auto"/>
        </w:rPr>
        <w:t xml:space="preserve"> below, (i) the work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and (ii) such other infrastructure required for Buyer to obtain a certificate of occupancy for the Project, or a particular building of the Project, as applicable, as described in the Public Improvement Agreement. Any changes to the Required Infrastructure shall be subject to Buyer’s prior written approval, which approval shall not be unreasonably withheld, conditioned or delayed; provided, however, that, notwithstanding the foregoing, Buyer’s approval of changes to the Required Infrastructure shall not be required unless the changes shall (a) materially increase the cost or timing of completion of the Project, (b) have a material and adverse effect on the streets or utilities serving the Project, or (c) materially and adversely affect Buyer’s ability to obtain a certificate of occupancy for the Project.</w:t>
      </w:r>
    </w:p>
    <w:p>
      <w:pPr>
        <w:spacing w:after="0" w:line="8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1.102 “</w:t>
      </w:r>
      <w:r>
        <w:rPr>
          <w:rFonts w:ascii="Arial" w:cs="Arial" w:eastAsia="Arial" w:hAnsi="Arial"/>
          <w:sz w:val="18"/>
          <w:szCs w:val="18"/>
          <w:u w:val="single" w:color="auto"/>
          <w:color w:val="auto"/>
        </w:rPr>
        <w:t>Required Infrastructure Deadlines</w:t>
      </w:r>
      <w:r>
        <w:rPr>
          <w:rFonts w:ascii="Arial" w:cs="Arial" w:eastAsia="Arial" w:hAnsi="Arial"/>
          <w:sz w:val="18"/>
          <w:szCs w:val="18"/>
          <w:color w:val="auto"/>
        </w:rPr>
        <w:t xml:space="preserve">” means the deadlines for Seller’s completion of the Required Infrastructure described on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attached 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22" w:name="page423"/>
    <w:bookmarkEnd w:id="422"/>
    <w:p>
      <w:pPr>
        <w:ind w:firstLine="91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1.107 “</w:t>
      </w:r>
      <w:r>
        <w:rPr>
          <w:rFonts w:ascii="Arial" w:cs="Arial" w:eastAsia="Arial" w:hAnsi="Arial"/>
          <w:sz w:val="18"/>
          <w:szCs w:val="18"/>
          <w:u w:val="single" w:color="auto"/>
          <w:color w:val="auto"/>
        </w:rPr>
        <w:t>Seller Infrastructure Delay</w:t>
      </w:r>
      <w:r>
        <w:rPr>
          <w:rFonts w:ascii="Arial" w:cs="Arial" w:eastAsia="Arial" w:hAnsi="Arial"/>
          <w:sz w:val="18"/>
          <w:szCs w:val="18"/>
          <w:color w:val="auto"/>
        </w:rPr>
        <w:t>” means any actual delay in the Commencement of Construction or Completion of Construction of the Project, or any portion thereof (including a building of the Project), including if such delay is caused by delays in Buyer’s receipt of necessary entitlements, permits and/or approvals for the construction of the Project, to the extent such delay is proximately caused by (a) Seller’s interference with Buyer’s entitlements for, permitting of, approvals for, development of, or construction or access to, the Property (or any portion thereof), (b) Seller’s default in the performance of its obligations under this Agreement, including Seller’s failure to complete the Required Infrastructure before the Required Infrastructure Deadline, or (c) any negligence or wrongful act or omission by Seller or any Seller Party; provided, however, that for purposes of computing any Seller Infrastructure Delay under clause (a) above, no period of Seller Infrastructure Delay shall commence until Buyer shall have provided written notice to Seller specifying the facts and circumstances alleged to constitute such Seller interference, and the same shall continue without cure or correction for two (2) business days following such notice.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3" w:right="279" w:bottom="1440" w:gutter="0" w:footer="0" w:header="0"/>
        </w:sectPr>
      </w:pPr>
    </w:p>
    <w:bookmarkStart w:id="423" w:name="page424"/>
    <w:bookmarkEnd w:id="423"/>
    <w:p>
      <w:pPr>
        <w:ind w:right="40" w:firstLine="91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1.122 “</w:t>
      </w:r>
      <w:r>
        <w:rPr>
          <w:rFonts w:ascii="Arial" w:cs="Arial" w:eastAsia="Arial" w:hAnsi="Arial"/>
          <w:sz w:val="17"/>
          <w:szCs w:val="17"/>
          <w:u w:val="single" w:color="auto"/>
          <w:color w:val="auto"/>
        </w:rPr>
        <w:t>Tower</w:t>
      </w:r>
      <w:r>
        <w:rPr>
          <w:rFonts w:ascii="Arial" w:cs="Arial" w:eastAsia="Arial" w:hAnsi="Arial"/>
          <w:sz w:val="17"/>
          <w:szCs w:val="17"/>
          <w:color w:val="auto"/>
        </w:rPr>
        <w:t>” means any building or structure over the “Base Height” (as defined in the Design for Development), which, as of the Effective Date, is ninety (90) feet (as provided in the Design for Development, mechanical equipment and appurtenances necessary to the operation or maintenance of the building or structure itself, including chimneys, ventilators, plumbing vent stacks, cooling towers, water tanks, panels or devices for the collection of solar or wind energy, elevator, stair and mechanical penthouses, skylights, and window washing equipment, together with visual screening for any such features, are exempt from this height restriction so long as they otherwise comply with Design for Development standards).</w:t>
      </w:r>
    </w:p>
    <w:p>
      <w:pPr>
        <w:spacing w:after="0" w:line="64"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1.127 “</w:t>
      </w:r>
      <w:r>
        <w:rPr>
          <w:rFonts w:ascii="Arial" w:cs="Arial" w:eastAsia="Arial" w:hAnsi="Arial"/>
          <w:sz w:val="16"/>
          <w:szCs w:val="16"/>
          <w:u w:val="single" w:color="auto"/>
          <w:color w:val="auto"/>
        </w:rPr>
        <w:t>Unavoidable Delay</w:t>
      </w:r>
      <w:r>
        <w:rPr>
          <w:rFonts w:ascii="Arial" w:cs="Arial" w:eastAsia="Arial" w:hAnsi="Arial"/>
          <w:sz w:val="16"/>
          <w:szCs w:val="16"/>
          <w:color w:val="auto"/>
        </w:rPr>
        <w:t>” means a delay that is caused by strikes or other labor disputes, acts of God, weather (to the extent different from seasonal norms for the San Francisco Bay area), shortage of or inability to obtain labor or materials despite commercially reasonable efforts (financial condition excepted), lawsuits brought by third-party plaintiffs claiming the benefit of the Unavoidable Delay (except to the extent that any such lawsuit arises from the negligence of the person claiming the benefit of the Unavoidable Delay), restrictions imposed or mandated by governmental or quasi-governmental entities in issuing requisite approvals or consents, enemy action, terrorism, civil commotion, fire, flood, earthquake or any other event or condition beyond the reasonable control of the person (excepting financial obligations or financial condition) claiming the benefit of the Unavoidable Delay.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24" w:name="page425"/>
    <w:bookmarkEnd w:id="424"/>
    <w:p>
      <w:pPr>
        <w:ind w:left="740" w:hanging="276"/>
        <w:spacing w:after="0"/>
        <w:tabs>
          <w:tab w:leader="none" w:pos="7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Buyer’s Construction Obligations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Construction Schedule</w:t>
      </w:r>
      <w:r>
        <w:rPr>
          <w:rFonts w:ascii="Arial" w:cs="Arial" w:eastAsia="Arial" w:hAnsi="Arial"/>
          <w:sz w:val="17"/>
          <w:szCs w:val="17"/>
          <w:color w:val="auto"/>
        </w:rPr>
        <w:t xml:space="preserve">. As generally described in </w:t>
      </w:r>
      <w:r>
        <w:rPr>
          <w:rFonts w:ascii="Arial" w:cs="Arial" w:eastAsia="Arial" w:hAnsi="Arial"/>
          <w:sz w:val="17"/>
          <w:szCs w:val="17"/>
          <w:u w:val="single" w:color="auto"/>
          <w:color w:val="auto"/>
        </w:rPr>
        <w:t>Paragraph 24.1</w:t>
      </w:r>
      <w:r>
        <w:rPr>
          <w:rFonts w:ascii="Arial" w:cs="Arial" w:eastAsia="Arial" w:hAnsi="Arial"/>
          <w:sz w:val="17"/>
          <w:szCs w:val="17"/>
          <w:color w:val="auto"/>
        </w:rPr>
        <w:t xml:space="preserve"> above, Buyer recognizes that the Property is part of a larger development known as the “Mission Bay Development Area” and acknowledges that if there is a material delay in the completion of the Project, such a delay will have a material adverse effect on other portions of the Mission Bay Development Area. In order to allocate the burdens of such a material adverse effect, Buyer hereby covenants to complete construction of the Project in accordance with the deadlines set forth in </w:t>
      </w:r>
      <w:r>
        <w:rPr>
          <w:rFonts w:ascii="Arial" w:cs="Arial" w:eastAsia="Arial" w:hAnsi="Arial"/>
          <w:sz w:val="17"/>
          <w:szCs w:val="17"/>
          <w:u w:val="single" w:color="auto"/>
          <w:color w:val="auto"/>
        </w:rPr>
        <w:t>Paragraph 25.2</w:t>
      </w:r>
      <w:r>
        <w:rPr>
          <w:rFonts w:ascii="Arial" w:cs="Arial" w:eastAsia="Arial" w:hAnsi="Arial"/>
          <w:sz w:val="17"/>
          <w:szCs w:val="17"/>
          <w:color w:val="auto"/>
        </w:rPr>
        <w:t xml:space="preserve"> below. If, after the Close of Escrow, Buyer fails or is unable to comply with such construction schedule, Buyer shall, subject to the provisions of </w:t>
      </w:r>
      <w:r>
        <w:rPr>
          <w:rFonts w:ascii="Arial" w:cs="Arial" w:eastAsia="Arial" w:hAnsi="Arial"/>
          <w:sz w:val="17"/>
          <w:szCs w:val="17"/>
          <w:u w:val="single" w:color="auto"/>
          <w:color w:val="auto"/>
        </w:rPr>
        <w:t>Paragraph 25.2</w:t>
      </w:r>
      <w:r>
        <w:rPr>
          <w:rFonts w:ascii="Arial" w:cs="Arial" w:eastAsia="Arial" w:hAnsi="Arial"/>
          <w:sz w:val="17"/>
          <w:szCs w:val="17"/>
          <w:color w:val="auto"/>
        </w:rPr>
        <w:t xml:space="preserve"> below, be requited to make the construction delay payments (the “</w:t>
      </w:r>
      <w:r>
        <w:rPr>
          <w:rFonts w:ascii="Arial" w:cs="Arial" w:eastAsia="Arial" w:hAnsi="Arial"/>
          <w:sz w:val="17"/>
          <w:szCs w:val="17"/>
          <w:u w:val="single" w:color="auto"/>
          <w:color w:val="auto"/>
        </w:rPr>
        <w:t>Construction Delay Payments</w:t>
      </w:r>
      <w:r>
        <w:rPr>
          <w:rFonts w:ascii="Arial" w:cs="Arial" w:eastAsia="Arial" w:hAnsi="Arial"/>
          <w:sz w:val="17"/>
          <w:szCs w:val="17"/>
          <w:color w:val="auto"/>
        </w:rPr>
        <w:t xml:space="preserve">”) to Seller set forth in </w:t>
      </w:r>
      <w:r>
        <w:rPr>
          <w:rFonts w:ascii="Arial" w:cs="Arial" w:eastAsia="Arial" w:hAnsi="Arial"/>
          <w:sz w:val="17"/>
          <w:szCs w:val="17"/>
          <w:u w:val="single" w:color="auto"/>
          <w:color w:val="auto"/>
        </w:rPr>
        <w:t>Paragraph 25.4</w:t>
      </w:r>
      <w:r>
        <w:rPr>
          <w:rFonts w:ascii="Arial" w:cs="Arial" w:eastAsia="Arial" w:hAnsi="Arial"/>
          <w:sz w:val="17"/>
          <w:szCs w:val="17"/>
          <w:color w:val="auto"/>
        </w:rPr>
        <w:t xml:space="preserve"> below,</w:t>
      </w:r>
    </w:p>
    <w:p>
      <w:pPr>
        <w:spacing w:after="0" w:line="7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Construction Delay</w:t>
      </w:r>
      <w:r>
        <w:rPr>
          <w:rFonts w:ascii="Arial" w:cs="Arial" w:eastAsia="Arial" w:hAnsi="Arial"/>
          <w:sz w:val="16"/>
          <w:szCs w:val="16"/>
          <w:color w:val="auto"/>
        </w:rPr>
        <w:t>. Buyer agrees to cause (a) Completion of Construction of one or more Buildings containing, in the aggregate, at least 270,000 Gross Square Feet (“</w:t>
      </w:r>
      <w:r>
        <w:rPr>
          <w:rFonts w:ascii="Arial" w:cs="Arial" w:eastAsia="Arial" w:hAnsi="Arial"/>
          <w:sz w:val="16"/>
          <w:szCs w:val="16"/>
          <w:u w:val="single" w:color="auto"/>
          <w:color w:val="auto"/>
        </w:rPr>
        <w:t>Initial Required Square Footage</w:t>
      </w:r>
      <w:r>
        <w:rPr>
          <w:rFonts w:ascii="Arial" w:cs="Arial" w:eastAsia="Arial" w:hAnsi="Arial"/>
          <w:sz w:val="16"/>
          <w:szCs w:val="16"/>
          <w:color w:val="auto"/>
        </w:rPr>
        <w:t>”) to occur on or before the First Construction Completion Deadline, and (b) Completion of Construction of the Minimum Square Footage to occur on or before the Project Completion Deadline. The Construction Deadlines shall be extended for the period that Completion of Construction of the Project, or the applicable phase of the Project, are actually delayed by any Seller Infrastructure Delay or Unavoidable Delay, provided that (1) if Buyer fails to give notice to Seller of any such Seller Infrastructure Delay or Unavoidable Delay (and, in the case of an Unavoidable Delay, the cause or causes thereof, to the extent known), within thirty (30) days after obtaining knowledge of the beginning of the delay, the period of any Seller Infrastructure Delay or Unavoidable Delay, as the case may be, shall be reduced for the period of time prior to the delivery of such notice,</w:t>
      </w:r>
    </w:p>
    <w:p>
      <w:pPr>
        <w:spacing w:after="0" w:line="3" w:lineRule="exact"/>
        <w:rPr>
          <w:sz w:val="20"/>
          <w:szCs w:val="20"/>
          <w:color w:val="auto"/>
        </w:rPr>
      </w:pPr>
    </w:p>
    <w:p>
      <w:pPr>
        <w:ind w:right="240" w:firstLine="8"/>
        <w:spacing w:after="0" w:line="255" w:lineRule="auto"/>
        <w:tabs>
          <w:tab w:leader="none" w:pos="2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period of any such Seller Infrastructure Delay or Unavoidable Delay shall also be reduced by any portion of such delay resulting from the failure of Buyer to act diligently and in good faith to avoid foreseeable delays in performance, and to remove the cause of the delay or to develop a reasonable alternative means of performance, in each case only to the extent possible or reasonably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25" w:name="page426"/>
    <w:bookmarkEnd w:id="425"/>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practical; and (3) in no event shall the Construction Deadlines be extended by an Unavoidable Delay for more than one hundred eighty (180) days (unless the Unavoidable Delay results from an earthquake, in which event the Construction Deadlines may be extended for up to one (1) year).</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Paragraph 25</w:t>
      </w:r>
      <w:r>
        <w:rPr>
          <w:rFonts w:ascii="Arial" w:cs="Arial" w:eastAsia="Arial" w:hAnsi="Arial"/>
          <w:sz w:val="18"/>
          <w:szCs w:val="18"/>
          <w:color w:val="auto"/>
        </w:rPr>
        <w:t>, the following terms shall have the following definitions: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25.3.1 “</w:t>
      </w:r>
      <w:r>
        <w:rPr>
          <w:rFonts w:ascii="Arial" w:cs="Arial" w:eastAsia="Arial" w:hAnsi="Arial"/>
          <w:sz w:val="18"/>
          <w:szCs w:val="18"/>
          <w:u w:val="single" w:color="auto"/>
          <w:color w:val="auto"/>
        </w:rPr>
        <w:t>Construction Deadlines</w:t>
      </w:r>
      <w:r>
        <w:rPr>
          <w:rFonts w:ascii="Arial" w:cs="Arial" w:eastAsia="Arial" w:hAnsi="Arial"/>
          <w:sz w:val="18"/>
          <w:szCs w:val="18"/>
          <w:color w:val="auto"/>
        </w:rPr>
        <w:t>” means, collectively, the following:</w:t>
      </w:r>
    </w:p>
    <w:p>
      <w:pPr>
        <w:spacing w:after="0" w:line="117" w:lineRule="exact"/>
        <w:rPr>
          <w:sz w:val="20"/>
          <w:szCs w:val="20"/>
          <w:color w:val="auto"/>
        </w:rPr>
      </w:pPr>
    </w:p>
    <w:p>
      <w:pPr>
        <w:ind w:left="2200" w:hanging="252"/>
        <w:spacing w:after="0"/>
        <w:tabs>
          <w:tab w:leader="none" w:pos="22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Construction Completion Deadline</w:t>
      </w:r>
      <w:r>
        <w:rPr>
          <w:rFonts w:ascii="Arial" w:cs="Arial" w:eastAsia="Arial" w:hAnsi="Arial"/>
          <w:sz w:val="18"/>
          <w:szCs w:val="18"/>
          <w:color w:val="auto"/>
        </w:rPr>
        <w:t>” means December 15, 2017.</w:t>
      </w:r>
    </w:p>
    <w:p>
      <w:pPr>
        <w:spacing w:after="0" w:line="117" w:lineRule="exact"/>
        <w:rPr>
          <w:rFonts w:ascii="Arial" w:cs="Arial" w:eastAsia="Arial" w:hAnsi="Arial"/>
          <w:sz w:val="18"/>
          <w:szCs w:val="18"/>
          <w:color w:val="auto"/>
        </w:rPr>
      </w:pPr>
    </w:p>
    <w:p>
      <w:pPr>
        <w:ind w:left="2200" w:hanging="252"/>
        <w:spacing w:after="0"/>
        <w:tabs>
          <w:tab w:leader="none" w:pos="22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Completion Deadline</w:t>
      </w:r>
      <w:r>
        <w:rPr>
          <w:rFonts w:ascii="Arial" w:cs="Arial" w:eastAsia="Arial" w:hAnsi="Arial"/>
          <w:sz w:val="18"/>
          <w:szCs w:val="18"/>
          <w:color w:val="auto"/>
        </w:rPr>
        <w:t>” means December 15, 2020.</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25.3.2 “</w:t>
      </w:r>
      <w:r>
        <w:rPr>
          <w:rFonts w:ascii="Arial" w:cs="Arial" w:eastAsia="Arial" w:hAnsi="Arial"/>
          <w:sz w:val="18"/>
          <w:szCs w:val="18"/>
          <w:u w:val="single" w:color="auto"/>
          <w:color w:val="auto"/>
        </w:rPr>
        <w:t>Construction Delay</w:t>
      </w:r>
      <w:r>
        <w:rPr>
          <w:rFonts w:ascii="Arial" w:cs="Arial" w:eastAsia="Arial" w:hAnsi="Arial"/>
          <w:sz w:val="18"/>
          <w:szCs w:val="18"/>
          <w:color w:val="auto"/>
        </w:rPr>
        <w:t>” means any of the following:</w:t>
      </w:r>
    </w:p>
    <w:p>
      <w:pPr>
        <w:spacing w:after="0" w:line="117" w:lineRule="exact"/>
        <w:rPr>
          <w:sz w:val="20"/>
          <w:szCs w:val="20"/>
          <w:color w:val="auto"/>
        </w:rPr>
      </w:pPr>
    </w:p>
    <w:p>
      <w:pPr>
        <w:ind w:right="620" w:firstLine="1492"/>
        <w:spacing w:after="0" w:line="277" w:lineRule="auto"/>
        <w:tabs>
          <w:tab w:leader="none" w:pos="172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Buyer’s failure to cause Completion of Construction of one or more Buildings containing, in the aggregate, at least the Initial Required Square Footage on or before the First Construction Completion Deadline; or</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Buyer’s failure to cause Completion of Construction of the Minimum Square Footage to occur on or before the Project Completion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Deadline.</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Construction Delay Payments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25.4.1 If Buyer fails to cause Completion of Construction of one or more Buildings containing, in the aggregate, at least the Initial Required Square Footage on or before the First Construction Completion Deadline; then Buyer shall pay directly to Seller, in Immediately Available Funds, a Construction Delay Payment equal to Three Hundred Seventy-Five Thousand Dollars ($375,000.00) on the First Construction Completion Deadline and every six (6) months thereafter until the date that Completion of Construction occurs of the Initial Required Square Footage.</w:t>
      </w:r>
    </w:p>
    <w:p>
      <w:pPr>
        <w:spacing w:after="0" w:line="63"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 xml:space="preserve">25.4.2 If Buyer fails to cause Completion of Construction of one or more Buildings containing, in the aggregate, the Minimum Square Footage on or before the Project Completion Deadline, then, in addition to any amounts payable by Buyer pursuant to </w:t>
      </w:r>
      <w:r>
        <w:rPr>
          <w:rFonts w:ascii="Arial" w:cs="Arial" w:eastAsia="Arial" w:hAnsi="Arial"/>
          <w:sz w:val="18"/>
          <w:szCs w:val="18"/>
          <w:u w:val="single" w:color="auto"/>
          <w:color w:val="auto"/>
        </w:rPr>
        <w:t>Paragraphs 25.4.1</w:t>
      </w:r>
      <w:r>
        <w:rPr>
          <w:rFonts w:ascii="Arial" w:cs="Arial" w:eastAsia="Arial" w:hAnsi="Arial"/>
          <w:sz w:val="18"/>
          <w:szCs w:val="18"/>
          <w:color w:val="auto"/>
        </w:rPr>
        <w:t xml:space="preserve"> above, Buyer shall pay directly to Seller, in Immediately Available Funds, a Construction Delay Payment equal to Three Hundred Seventy-Five Thousand Dollars ($375,000.00) on the Project Completion Deadline and every six (6) months thereafter until the date that Completion of Construction of one or more Buildings containing, in the aggregate, the Minimum Square Footage occurs.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Paragraph 25.4</w:t>
      </w:r>
      <w:r>
        <w:rPr>
          <w:rFonts w:ascii="Arial" w:cs="Arial" w:eastAsia="Arial" w:hAnsi="Arial"/>
          <w:sz w:val="18"/>
          <w:szCs w:val="18"/>
          <w:color w:val="auto"/>
        </w:rPr>
        <w:t>, the amount of each of the Construction Delay Payments shall increase on January 1, 2016, and annually thereafter by two percent (2%).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3" w:right="299" w:bottom="1440" w:gutter="0" w:footer="0" w:header="0"/>
        </w:sectPr>
      </w:pPr>
    </w:p>
    <w:bookmarkStart w:id="426" w:name="page427"/>
    <w:bookmarkEnd w:id="426"/>
    <w:p>
      <w:pPr>
        <w:ind w:firstLine="148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25.4.3 Buyer acknowledges that each Construction Delay shall require Buyer to pay a separate and distinct Construction Delay Payment. For example, if, on the Project Completion Deadline, Buyer has failed to cause Completion of Construction to occur of one or more Buildings containing, in the aggregate, at least the Initial Required Square Footage, then the Construction Delay Payment payable by Buyer hereunder on the Project Completion Deadline shall equal Seven Hundred Fifty Thousand Dollars ($750,000.00), escalated by 2% per annum as provided above (i.e., $375,000 for the continuing Construction Delay attributable to the failure of Completion of Construction of the Initial Required Square Footage by the First Construction Completion Deadline, and $375,000 for the failure to Complete Construction of the Project by the Project Completion Deadline). Any portion of the amounts required to be paid by Buyer to Seller pursuant to this </w:t>
      </w:r>
      <w:r>
        <w:rPr>
          <w:rFonts w:ascii="Arial" w:cs="Arial" w:eastAsia="Arial" w:hAnsi="Arial"/>
          <w:sz w:val="17"/>
          <w:szCs w:val="17"/>
          <w:u w:val="single" w:color="auto"/>
          <w:color w:val="auto"/>
        </w:rPr>
        <w:t>Paragraph 25.4</w:t>
      </w:r>
      <w:r>
        <w:rPr>
          <w:rFonts w:ascii="Arial" w:cs="Arial" w:eastAsia="Arial" w:hAnsi="Arial"/>
          <w:sz w:val="17"/>
          <w:szCs w:val="17"/>
          <w:color w:val="auto"/>
        </w:rPr>
        <w:t xml:space="preserve"> that are not paid within thirty (30) days following the date due shall bear interest from the date due until paid at the lesser of twelve percent (12%) per annum or the maximum rate permitted by law.</w:t>
      </w:r>
    </w:p>
    <w:p>
      <w:pPr>
        <w:spacing w:after="0" w:line="7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25.5 </w:t>
      </w:r>
      <w:r>
        <w:rPr>
          <w:rFonts w:ascii="Arial" w:cs="Arial" w:eastAsia="Arial" w:hAnsi="Arial"/>
          <w:sz w:val="17"/>
          <w:szCs w:val="17"/>
          <w:u w:val="single" w:color="auto"/>
          <w:color w:val="auto"/>
        </w:rPr>
        <w:t>Liquidated Damages</w:t>
      </w:r>
      <w:r>
        <w:rPr>
          <w:rFonts w:ascii="Arial" w:cs="Arial" w:eastAsia="Arial" w:hAnsi="Arial"/>
          <w:sz w:val="17"/>
          <w:szCs w:val="17"/>
          <w:color w:val="auto"/>
        </w:rPr>
        <w:t xml:space="preserve">. BUYER AND SELLER AGREE THAT BASED UPON THE CIRCUMSTANCES NOW EXISTING, KNOWN AND UNKNOWN, IT WOULD BE IMPRACTICAL OR EXTREMELY DIFFICULT TO ESTABLISH SELLER’S DAMAGES RESULTING FROM BUYER’S FAILURE TO PERFORM BUYER’S CONSTRUCTION OBLIGATIONS SET FORTH IN </w:t>
      </w:r>
      <w:r>
        <w:rPr>
          <w:rFonts w:ascii="Arial" w:cs="Arial" w:eastAsia="Arial" w:hAnsi="Arial"/>
          <w:sz w:val="17"/>
          <w:szCs w:val="17"/>
          <w:u w:val="single" w:color="auto"/>
          <w:color w:val="auto"/>
        </w:rPr>
        <w:t>PARAGRAPH 25.2</w:t>
      </w:r>
      <w:r>
        <w:rPr>
          <w:rFonts w:ascii="Arial" w:cs="Arial" w:eastAsia="Arial" w:hAnsi="Arial"/>
          <w:sz w:val="17"/>
          <w:szCs w:val="17"/>
          <w:color w:val="auto"/>
        </w:rPr>
        <w:t xml:space="preserve"> ABOVE, INCLUDING DAMAGES RESULTING FROM THE DELAY IN THE REDEVELOPMENT AGENCY’S RECEIPT OF “NET AVAILABLE INCREMENT” AND OTHER “ACQUISITION FUNDS” UNDER THE FINANCING PLAN (WHICH WILL, IN TURN, DELAY DISBURSEMENT TO SELLER OF SUCH ACQUISITION FUNDS UNDER THE ACQUISITION AGREEMENT ATTACHED AS EXHIBIT A TO THE FINANCING PLAN). ACCORDINGLY, BUYER AND SELLER AGREE THAT IN THE EVENT BUYER FAILS TO PERFORM BUYER’S CONSTRUCTION OBLIGATIONS SET FORTH IN </w:t>
      </w:r>
      <w:r>
        <w:rPr>
          <w:rFonts w:ascii="Arial" w:cs="Arial" w:eastAsia="Arial" w:hAnsi="Arial"/>
          <w:sz w:val="17"/>
          <w:szCs w:val="17"/>
          <w:u w:val="single" w:color="auto"/>
          <w:color w:val="auto"/>
        </w:rPr>
        <w:t>PARAGRAPH 25.2</w:t>
      </w:r>
      <w:r>
        <w:rPr>
          <w:rFonts w:ascii="Arial" w:cs="Arial" w:eastAsia="Arial" w:hAnsi="Arial"/>
          <w:sz w:val="17"/>
          <w:szCs w:val="17"/>
          <w:color w:val="auto"/>
        </w:rPr>
        <w:t xml:space="preserve">. IT WOULD BE REASONABLE AT SUCH TIME TO AWARD SELLER, AS SELLER’S SOLE AND EXCLUSIVE REMEDY AT LAW OR IN EQUITY, “LIQUIDATED DELAY DAMAGES” EQUAL TO THE AMOUNT OF THE CONSTRUCTION DELAY PAYMENTS THAT ARE PAYABLE BY BUYER HEREUNDER UNTIL THE COMPLETION OF CONSTRUCTION OF THE MINIMUM SQUARE FOOTAGE, WHICH AMOUNT EQUALS THE PARTIES’ REASONABLE ESTIMATE OF SELLER’S DAMAGES RESULTING FROM BUYER’S FAILURE TO PERFORM BUYER’S CONSTRUCTION OBLIGATIONS SET FORTH IN </w:t>
      </w:r>
      <w:r>
        <w:rPr>
          <w:rFonts w:ascii="Arial" w:cs="Arial" w:eastAsia="Arial" w:hAnsi="Arial"/>
          <w:sz w:val="17"/>
          <w:szCs w:val="17"/>
          <w:u w:val="single" w:color="auto"/>
          <w:color w:val="auto"/>
        </w:rPr>
        <w:t>PARAGRAPH 25.2</w:t>
      </w:r>
      <w:r>
        <w:rPr>
          <w:rFonts w:ascii="Arial" w:cs="Arial" w:eastAsia="Arial" w:hAnsi="Arial"/>
          <w:sz w:val="17"/>
          <w:szCs w:val="17"/>
          <w:color w:val="auto"/>
        </w:rPr>
        <w:t xml:space="preserve"> ABOVE.</w:t>
      </w:r>
    </w:p>
    <w:p>
      <w:pPr>
        <w:spacing w:after="0" w:line="18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SELLER AND BUYER ACKNOWLEDGE THAT THEY HAVE READ AND UNDERSTAND THE PROVISIONS OF THIS </w:t>
      </w:r>
      <w:r>
        <w:rPr>
          <w:rFonts w:ascii="Arial" w:cs="Arial" w:eastAsia="Arial" w:hAnsi="Arial"/>
          <w:sz w:val="18"/>
          <w:szCs w:val="18"/>
          <w:u w:val="single" w:color="auto"/>
          <w:color w:val="auto"/>
        </w:rPr>
        <w:t>PARAGRAPH 25.5</w:t>
      </w:r>
      <w:r>
        <w:rPr>
          <w:rFonts w:ascii="Arial" w:cs="Arial" w:eastAsia="Arial" w:hAnsi="Arial"/>
          <w:sz w:val="18"/>
          <w:szCs w:val="18"/>
          <w:color w:val="auto"/>
        </w:rPr>
        <w:t xml:space="preserve"> AND BY THEIR INITIALS IMMEDIATELY BELOW AGREE TO BE BOUND B</w:t>
      </w:r>
      <w:r>
        <w:rPr>
          <w:rFonts w:ascii="Arial" w:cs="Arial" w:eastAsia="Arial" w:hAnsi="Arial"/>
          <w:sz w:val="18"/>
          <w:szCs w:val="18"/>
          <w:i w:val="1"/>
          <w:iCs w:val="1"/>
          <w:color w:val="auto"/>
        </w:rPr>
        <w:t>Y</w:t>
      </w:r>
      <w:r>
        <w:rPr>
          <w:rFonts w:ascii="Arial" w:cs="Arial" w:eastAsia="Arial" w:hAnsi="Arial"/>
          <w:sz w:val="18"/>
          <w:szCs w:val="18"/>
          <w:color w:val="auto"/>
        </w:rPr>
        <w:t xml:space="preserve">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134620</wp:posOffset>
            </wp:positionV>
            <wp:extent cx="1012190" cy="291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012190" cy="29146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134620</wp:posOffset>
            </wp:positionV>
            <wp:extent cx="995045" cy="291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950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380"/>
        <w:spacing w:after="0"/>
        <w:tabs>
          <w:tab w:leader="none" w:pos="8160" w:val="left"/>
        </w:tabs>
        <w:rPr>
          <w:sz w:val="20"/>
          <w:szCs w:val="20"/>
          <w:color w:val="auto"/>
        </w:rPr>
      </w:pPr>
      <w:r>
        <w:rPr>
          <w:rFonts w:ascii="Arial" w:cs="Arial" w:eastAsia="Arial" w:hAnsi="Arial"/>
          <w:sz w:val="18"/>
          <w:szCs w:val="18"/>
          <w:color w:val="auto"/>
        </w:rPr>
        <w:t>Seller’s Initials</w:t>
      </w:r>
      <w:r>
        <w:rPr>
          <w:sz w:val="20"/>
          <w:szCs w:val="20"/>
          <w:color w:val="auto"/>
        </w:rPr>
        <w:tab/>
      </w:r>
      <w:r>
        <w:rPr>
          <w:rFonts w:ascii="Arial" w:cs="Arial" w:eastAsia="Arial" w:hAnsi="Arial"/>
          <w:sz w:val="17"/>
          <w:szCs w:val="17"/>
          <w:color w:val="auto"/>
        </w:rPr>
        <w:t>Buyer’s Initials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25.6 </w:t>
      </w:r>
      <w:r>
        <w:rPr>
          <w:rFonts w:ascii="Arial" w:cs="Arial" w:eastAsia="Arial" w:hAnsi="Arial"/>
          <w:sz w:val="18"/>
          <w:szCs w:val="18"/>
          <w:u w:val="single" w:color="auto"/>
          <w:color w:val="auto"/>
        </w:rPr>
        <w:t>Final Construction Delay Payments</w:t>
      </w:r>
      <w:r>
        <w:rPr>
          <w:rFonts w:ascii="Arial" w:cs="Arial" w:eastAsia="Arial" w:hAnsi="Arial"/>
          <w:sz w:val="18"/>
          <w:szCs w:val="18"/>
          <w:color w:val="auto"/>
        </w:rPr>
        <w:t>.</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25.6.1 </w:t>
      </w:r>
      <w:r>
        <w:rPr>
          <w:rFonts w:ascii="Arial" w:cs="Arial" w:eastAsia="Arial" w:hAnsi="Arial"/>
          <w:sz w:val="18"/>
          <w:szCs w:val="18"/>
          <w:u w:val="single" w:color="auto"/>
          <w:color w:val="auto"/>
        </w:rPr>
        <w:t>Final Construction Delay Payment — First Construction Phase</w:t>
      </w:r>
      <w:r>
        <w:rPr>
          <w:rFonts w:ascii="Arial" w:cs="Arial" w:eastAsia="Arial" w:hAnsi="Arial"/>
          <w:sz w:val="18"/>
          <w:szCs w:val="18"/>
          <w:color w:val="auto"/>
        </w:rPr>
        <w:t xml:space="preserve">. Notwithstanding anything to the contrary contained in this </w:t>
      </w:r>
      <w:r>
        <w:rPr>
          <w:rFonts w:ascii="Arial" w:cs="Arial" w:eastAsia="Arial" w:hAnsi="Arial"/>
          <w:sz w:val="18"/>
          <w:szCs w:val="18"/>
          <w:u w:val="single" w:color="auto"/>
          <w:color w:val="auto"/>
        </w:rPr>
        <w:t>Paragraph 25</w:t>
      </w:r>
      <w:r>
        <w:rPr>
          <w:rFonts w:ascii="Arial" w:cs="Arial" w:eastAsia="Arial" w:hAnsi="Arial"/>
          <w:sz w:val="18"/>
          <w:szCs w:val="18"/>
          <w:color w:val="auto"/>
        </w:rPr>
        <w:t>, provided Buyer is not then in default of its obligations hereunder to make Construction Delay Payments, Buyer shall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427" w:name="page428"/>
    <w:bookmarkEnd w:id="42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the option (but no obligation), at any time (the “</w:t>
      </w:r>
      <w:r>
        <w:rPr>
          <w:rFonts w:ascii="Arial" w:cs="Arial" w:eastAsia="Arial" w:hAnsi="Arial"/>
          <w:sz w:val="17"/>
          <w:szCs w:val="17"/>
          <w:u w:val="single" w:color="auto"/>
          <w:color w:val="auto"/>
        </w:rPr>
        <w:t>Final Delay Payment Date – First Phase</w:t>
      </w:r>
      <w:r>
        <w:rPr>
          <w:rFonts w:ascii="Arial" w:cs="Arial" w:eastAsia="Arial" w:hAnsi="Arial"/>
          <w:sz w:val="17"/>
          <w:szCs w:val="17"/>
          <w:color w:val="auto"/>
        </w:rPr>
        <w:t>”), to pay to Seller the following amount (“</w:t>
      </w:r>
      <w:r>
        <w:rPr>
          <w:rFonts w:ascii="Arial" w:cs="Arial" w:eastAsia="Arial" w:hAnsi="Arial"/>
          <w:sz w:val="17"/>
          <w:szCs w:val="17"/>
          <w:u w:val="single" w:color="auto"/>
          <w:color w:val="auto"/>
        </w:rPr>
        <w:t>First Phase 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in which event Buyer shall have no further obligation to make any Construction Delay Payments pursuant to </w:t>
      </w:r>
      <w:r>
        <w:rPr>
          <w:rFonts w:ascii="Arial" w:cs="Arial" w:eastAsia="Arial" w:hAnsi="Arial"/>
          <w:sz w:val="17"/>
          <w:szCs w:val="17"/>
          <w:u w:val="single" w:color="auto"/>
          <w:color w:val="auto"/>
        </w:rPr>
        <w:t>Paragraph 25.4.1</w:t>
      </w:r>
      <w:r>
        <w:rPr>
          <w:rFonts w:ascii="Arial" w:cs="Arial" w:eastAsia="Arial" w:hAnsi="Arial"/>
          <w:sz w:val="17"/>
          <w:szCs w:val="17"/>
          <w:color w:val="auto"/>
        </w:rPr>
        <w:t xml:space="preserve"> above: Thirty Dollars ($30.00), multiplied by the difference between (i) the Initial Required Square Footage (</w:t>
      </w:r>
      <w:r>
        <w:rPr>
          <w:rFonts w:ascii="Arial" w:cs="Arial" w:eastAsia="Arial" w:hAnsi="Arial"/>
          <w:sz w:val="17"/>
          <w:szCs w:val="17"/>
          <w:i w:val="1"/>
          <w:iCs w:val="1"/>
          <w:color w:val="auto"/>
        </w:rPr>
        <w:t>i.e.,</w:t>
      </w:r>
      <w:r>
        <w:rPr>
          <w:rFonts w:ascii="Arial" w:cs="Arial" w:eastAsia="Arial" w:hAnsi="Arial"/>
          <w:sz w:val="17"/>
          <w:szCs w:val="17"/>
          <w:color w:val="auto"/>
        </w:rPr>
        <w:t xml:space="preserve"> 270,000) and (ii) the Gross Square Footage of the Buildings on the Property for which Completion of Construction has occurred as of the Final Delay Payment Date – First Phase. For example, if, on the Final Delay Payment Date – First Phase, the Gross Square Footage of the Buildings on the Property for which Completion of Construction has occurred equals 245,000 Gross Square Feet, then the First Phase Final Payment shall equal Seven Hundred Fifty Thousand Dollars ($750,000.00) (i.e., $30.00 x 25,000 Gross Square Feet). Buyer’s option set forth in this </w:t>
      </w:r>
      <w:r>
        <w:rPr>
          <w:rFonts w:ascii="Arial" w:cs="Arial" w:eastAsia="Arial" w:hAnsi="Arial"/>
          <w:sz w:val="17"/>
          <w:szCs w:val="17"/>
          <w:u w:val="single" w:color="auto"/>
          <w:color w:val="auto"/>
        </w:rPr>
        <w:t>Paragraph 25.6.1</w:t>
      </w:r>
      <w:r>
        <w:rPr>
          <w:rFonts w:ascii="Arial" w:cs="Arial" w:eastAsia="Arial" w:hAnsi="Arial"/>
          <w:sz w:val="17"/>
          <w:szCs w:val="17"/>
          <w:color w:val="auto"/>
        </w:rPr>
        <w:t xml:space="preserve"> shall be independent of Buyer’s option set forth in </w:t>
      </w:r>
      <w:r>
        <w:rPr>
          <w:rFonts w:ascii="Arial" w:cs="Arial" w:eastAsia="Arial" w:hAnsi="Arial"/>
          <w:sz w:val="17"/>
          <w:szCs w:val="17"/>
          <w:u w:val="single" w:color="auto"/>
          <w:color w:val="auto"/>
        </w:rPr>
        <w:t>Paragraph 25.6.2</w:t>
      </w:r>
      <w:r>
        <w:rPr>
          <w:rFonts w:ascii="Arial" w:cs="Arial" w:eastAsia="Arial" w:hAnsi="Arial"/>
          <w:sz w:val="17"/>
          <w:szCs w:val="17"/>
          <w:color w:val="auto"/>
        </w:rPr>
        <w:t xml:space="preserve"> below, such that Buyer may at any time pay the First Phase Final Payment whether or not Buyer has previously elected or subsequently elects to pay the Second Phase Final Payment. Buyer’s payment to Seller of the First Phase Final Payment shall not affect Buyer’s obligation to make any Construction Delay Payments pursuant to </w:t>
      </w:r>
      <w:r>
        <w:rPr>
          <w:rFonts w:ascii="Arial" w:cs="Arial" w:eastAsia="Arial" w:hAnsi="Arial"/>
          <w:sz w:val="17"/>
          <w:szCs w:val="17"/>
          <w:u w:val="single" w:color="auto"/>
          <w:color w:val="auto"/>
        </w:rPr>
        <w:t>Paragraph 25.4.2</w:t>
      </w:r>
      <w:r>
        <w:rPr>
          <w:rFonts w:ascii="Arial" w:cs="Arial" w:eastAsia="Arial" w:hAnsi="Arial"/>
          <w:sz w:val="17"/>
          <w:szCs w:val="17"/>
          <w:color w:val="auto"/>
        </w:rPr>
        <w:t xml:space="preserve"> above, and Buyer’s payment of the First Phase Final Payment shall not affect any prior Construction Delay Payments made by Buyer under </w:t>
      </w:r>
      <w:r>
        <w:rPr>
          <w:rFonts w:ascii="Arial" w:cs="Arial" w:eastAsia="Arial" w:hAnsi="Arial"/>
          <w:sz w:val="17"/>
          <w:szCs w:val="17"/>
          <w:u w:val="single" w:color="auto"/>
          <w:color w:val="auto"/>
        </w:rPr>
        <w:t>Paragraph 25.4.1</w:t>
      </w:r>
      <w:r>
        <w:rPr>
          <w:rFonts w:ascii="Arial" w:cs="Arial" w:eastAsia="Arial" w:hAnsi="Arial"/>
          <w:sz w:val="17"/>
          <w:szCs w:val="17"/>
          <w:color w:val="auto"/>
        </w:rPr>
        <w:t xml:space="preserve"> above, which the parties acknowledge are non-refundable and are not to be credited against the First Phase Final Construction Delay Payment.</w:t>
      </w:r>
    </w:p>
    <w:p>
      <w:pPr>
        <w:spacing w:after="0" w:line="72" w:lineRule="exact"/>
        <w:rPr>
          <w:sz w:val="20"/>
          <w:szCs w:val="20"/>
          <w:color w:val="auto"/>
        </w:rPr>
      </w:pPr>
    </w:p>
    <w:p>
      <w:pPr>
        <w:ind w:right="20" w:firstLine="1484"/>
        <w:spacing w:after="0" w:line="285" w:lineRule="auto"/>
        <w:rPr>
          <w:sz w:val="20"/>
          <w:szCs w:val="20"/>
          <w:color w:val="auto"/>
        </w:rPr>
      </w:pPr>
      <w:r>
        <w:rPr>
          <w:rFonts w:ascii="Arial" w:cs="Arial" w:eastAsia="Arial" w:hAnsi="Arial"/>
          <w:sz w:val="16"/>
          <w:szCs w:val="16"/>
          <w:color w:val="auto"/>
        </w:rPr>
        <w:t xml:space="preserve">25.6.2 </w:t>
      </w:r>
      <w:r>
        <w:rPr>
          <w:rFonts w:ascii="Arial" w:cs="Arial" w:eastAsia="Arial" w:hAnsi="Arial"/>
          <w:sz w:val="16"/>
          <w:szCs w:val="16"/>
          <w:u w:val="single" w:color="auto"/>
          <w:color w:val="auto"/>
        </w:rPr>
        <w:t>Final Construction Delay Payment — Second Construction Phase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Paragraph 25</w:t>
      </w:r>
      <w:r>
        <w:rPr>
          <w:rFonts w:ascii="Arial" w:cs="Arial" w:eastAsia="Arial" w:hAnsi="Arial"/>
          <w:sz w:val="16"/>
          <w:szCs w:val="16"/>
          <w:color w:val="auto"/>
        </w:rPr>
        <w:t>, provided Buyer is not then in default of its obligations hereunder to make Construction Delay Payments, Buyer shall have the option (but no obligation), at any time (the “</w:t>
      </w:r>
      <w:r>
        <w:rPr>
          <w:rFonts w:ascii="Arial" w:cs="Arial" w:eastAsia="Arial" w:hAnsi="Arial"/>
          <w:sz w:val="16"/>
          <w:szCs w:val="16"/>
          <w:u w:val="single" w:color="auto"/>
          <w:color w:val="auto"/>
        </w:rPr>
        <w:t>Final Delay Payment Date — Second Phase</w:t>
      </w:r>
      <w:r>
        <w:rPr>
          <w:rFonts w:ascii="Arial" w:cs="Arial" w:eastAsia="Arial" w:hAnsi="Arial"/>
          <w:sz w:val="16"/>
          <w:szCs w:val="16"/>
          <w:color w:val="auto"/>
        </w:rPr>
        <w:t>”), to pay to Seller the following amount (“</w:t>
      </w:r>
      <w:r>
        <w:rPr>
          <w:rFonts w:ascii="Arial" w:cs="Arial" w:eastAsia="Arial" w:hAnsi="Arial"/>
          <w:sz w:val="16"/>
          <w:szCs w:val="16"/>
          <w:u w:val="single" w:color="auto"/>
          <w:color w:val="auto"/>
        </w:rPr>
        <w:t>Second Phase Final Payment</w:t>
      </w:r>
      <w:r>
        <w:rPr>
          <w:rFonts w:ascii="Arial" w:cs="Arial" w:eastAsia="Arial" w:hAnsi="Arial"/>
          <w:sz w:val="16"/>
          <w:szCs w:val="16"/>
          <w:color w:val="auto"/>
        </w:rPr>
        <w:t xml:space="preserve">”), in which event Buyer shall have no further obligation to make any Construction Delay Payments pursuant to </w:t>
      </w:r>
      <w:r>
        <w:rPr>
          <w:rFonts w:ascii="Arial" w:cs="Arial" w:eastAsia="Arial" w:hAnsi="Arial"/>
          <w:sz w:val="16"/>
          <w:szCs w:val="16"/>
          <w:u w:val="single" w:color="auto"/>
          <w:color w:val="auto"/>
        </w:rPr>
        <w:t>Paragraph 25.4.2</w:t>
      </w:r>
      <w:r>
        <w:rPr>
          <w:rFonts w:ascii="Arial" w:cs="Arial" w:eastAsia="Arial" w:hAnsi="Arial"/>
          <w:sz w:val="16"/>
          <w:szCs w:val="16"/>
          <w:color w:val="auto"/>
        </w:rPr>
        <w:t xml:space="preserve"> above: Ten Dollars ($10.00), multiplied by the difference between (i) Three Hundred Sixty Five Thousand (365,000), and (ii) the amount, if at all, by which the Gross Square Footage of the Buildings on the Property for which Completion of Construction has occurred as of the Final Delay Payment Date – Second Phase exceeds Two Hundred Seventy Thousand (270,000). For example, if, on the Final Delay Payment Date — Second Phase, the Gross Square Footage of the Buildings on the Property for which Completion of Construction has occurred equals 245,000 Gross Square Feet, then the Second Phase Final Payment shall equal Three Million Six Hundred Fifty Thousand Dollars ($3,650,000.00) (</w:t>
      </w:r>
      <w:r>
        <w:rPr>
          <w:rFonts w:ascii="Arial" w:cs="Arial" w:eastAsia="Arial" w:hAnsi="Arial"/>
          <w:sz w:val="16"/>
          <w:szCs w:val="16"/>
          <w:i w:val="1"/>
          <w:iCs w:val="1"/>
          <w:color w:val="auto"/>
        </w:rPr>
        <w:t>i.e</w:t>
      </w:r>
      <w:r>
        <w:rPr>
          <w:rFonts w:ascii="Arial" w:cs="Arial" w:eastAsia="Arial" w:hAnsi="Arial"/>
          <w:sz w:val="16"/>
          <w:szCs w:val="16"/>
          <w:color w:val="auto"/>
        </w:rPr>
        <w:t>., $10.00 x 365,000 Gross Square Feet); and if, on the Final Delay Payment Date – Second Phase, the Gross Square Footage of the Buildings on the Property for which Completion of Construction has occurred equals 600,000 Gross Square Feet, then the Second Phase Final Payment shall equal Three Hundred Fifty Thousand Dollars ($350,000.00) (</w:t>
      </w:r>
      <w:r>
        <w:rPr>
          <w:rFonts w:ascii="Arial" w:cs="Arial" w:eastAsia="Arial" w:hAnsi="Arial"/>
          <w:sz w:val="16"/>
          <w:szCs w:val="16"/>
          <w:i w:val="1"/>
          <w:iCs w:val="1"/>
          <w:color w:val="auto"/>
        </w:rPr>
        <w:t>i.e.,</w:t>
      </w:r>
      <w:r>
        <w:rPr>
          <w:rFonts w:ascii="Arial" w:cs="Arial" w:eastAsia="Arial" w:hAnsi="Arial"/>
          <w:sz w:val="16"/>
          <w:szCs w:val="16"/>
          <w:color w:val="auto"/>
        </w:rPr>
        <w:t xml:space="preserve"> $10.00 x 35,000 Gross Square Feet). Buyer’s option set forth in this </w:t>
      </w:r>
      <w:r>
        <w:rPr>
          <w:rFonts w:ascii="Arial" w:cs="Arial" w:eastAsia="Arial" w:hAnsi="Arial"/>
          <w:sz w:val="16"/>
          <w:szCs w:val="16"/>
          <w:u w:val="single" w:color="auto"/>
          <w:color w:val="auto"/>
        </w:rPr>
        <w:t>Paragraph 25.6.2</w:t>
      </w:r>
      <w:r>
        <w:rPr>
          <w:rFonts w:ascii="Arial" w:cs="Arial" w:eastAsia="Arial" w:hAnsi="Arial"/>
          <w:sz w:val="16"/>
          <w:szCs w:val="16"/>
          <w:color w:val="auto"/>
        </w:rPr>
        <w:t xml:space="preserve"> shall be independent of Buyer’s option set forth in </w:t>
      </w:r>
      <w:r>
        <w:rPr>
          <w:rFonts w:ascii="Arial" w:cs="Arial" w:eastAsia="Arial" w:hAnsi="Arial"/>
          <w:sz w:val="16"/>
          <w:szCs w:val="16"/>
          <w:u w:val="single" w:color="auto"/>
          <w:color w:val="auto"/>
        </w:rPr>
        <w:t>Paragraph 25.6.1</w:t>
      </w:r>
      <w:r>
        <w:rPr>
          <w:rFonts w:ascii="Arial" w:cs="Arial" w:eastAsia="Arial" w:hAnsi="Arial"/>
          <w:sz w:val="16"/>
          <w:szCs w:val="16"/>
          <w:color w:val="auto"/>
        </w:rPr>
        <w:t xml:space="preserve"> above, such that Buyer may at any time pay the Second Phase Final Payment whether or not Buyer has previously elected or subsequently elects to pay the First Phase Final Payment. Buyer’s payment to Seller of the Second Phase Final Payment shall not affect Buyer’s obligation to make any Construction Delay Payments pursuant to </w:t>
      </w:r>
      <w:r>
        <w:rPr>
          <w:rFonts w:ascii="Arial" w:cs="Arial" w:eastAsia="Arial" w:hAnsi="Arial"/>
          <w:sz w:val="16"/>
          <w:szCs w:val="16"/>
          <w:u w:val="single" w:color="auto"/>
          <w:color w:val="auto"/>
        </w:rPr>
        <w:t>Paragraph 25.4.1</w:t>
      </w:r>
      <w:r>
        <w:rPr>
          <w:rFonts w:ascii="Arial" w:cs="Arial" w:eastAsia="Arial" w:hAnsi="Arial"/>
          <w:sz w:val="16"/>
          <w:szCs w:val="16"/>
          <w:color w:val="auto"/>
        </w:rPr>
        <w:t xml:space="preserve"> above, and Buyer’s payment of the Second Phase Final Payment shall not affect any prior Construction Delay Payments made by Buyer under </w:t>
      </w:r>
      <w:r>
        <w:rPr>
          <w:rFonts w:ascii="Arial" w:cs="Arial" w:eastAsia="Arial" w:hAnsi="Arial"/>
          <w:sz w:val="16"/>
          <w:szCs w:val="16"/>
          <w:u w:val="single" w:color="auto"/>
          <w:color w:val="auto"/>
        </w:rPr>
        <w:t>Paragraph 25.4.2</w:t>
      </w:r>
      <w:r>
        <w:rPr>
          <w:rFonts w:ascii="Arial" w:cs="Arial" w:eastAsia="Arial" w:hAnsi="Arial"/>
          <w:sz w:val="16"/>
          <w:szCs w:val="16"/>
          <w:color w:val="auto"/>
        </w:rPr>
        <w:t xml:space="preserve"> above, which the parties acknowledge are non-refundable and are not to be credited against the Second Phase Final Construction Delay Payment.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3" w:right="279" w:bottom="1440" w:gutter="0" w:footer="0" w:header="0"/>
        </w:sectPr>
      </w:pPr>
    </w:p>
    <w:bookmarkStart w:id="428" w:name="page429"/>
    <w:bookmarkEnd w:id="428"/>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25.7 </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Upon the Close of Escrow, Buyer and Seller acknowledge that, pursuant to Paragraph 13 of the Declaration of Covenants, Buyer grants to Seller a lien against the Property to secure payment of any Construction Delay Payments that accrue from time to time pursuant to </w:t>
      </w:r>
      <w:r>
        <w:rPr>
          <w:rFonts w:ascii="Arial" w:cs="Arial" w:eastAsia="Arial" w:hAnsi="Arial"/>
          <w:sz w:val="16"/>
          <w:szCs w:val="16"/>
          <w:u w:val="single" w:color="auto"/>
          <w:color w:val="auto"/>
        </w:rPr>
        <w:t>Paragraph 25.4</w:t>
      </w:r>
      <w:r>
        <w:rPr>
          <w:rFonts w:ascii="Arial" w:cs="Arial" w:eastAsia="Arial" w:hAnsi="Arial"/>
          <w:sz w:val="16"/>
          <w:szCs w:val="16"/>
          <w:color w:val="auto"/>
        </w:rPr>
        <w:t xml:space="preserve"> above, which lien shall be a first priority lien prior to the time that a deed of trust securing a construction loan for the Project is recorded; and Buyer and Seller agree that this </w:t>
      </w:r>
      <w:r>
        <w:rPr>
          <w:rFonts w:ascii="Arial" w:cs="Arial" w:eastAsia="Arial" w:hAnsi="Arial"/>
          <w:sz w:val="16"/>
          <w:szCs w:val="16"/>
          <w:u w:val="single" w:color="auto"/>
          <w:color w:val="auto"/>
        </w:rPr>
        <w:t>Paragraph 25</w:t>
      </w:r>
      <w:r>
        <w:rPr>
          <w:rFonts w:ascii="Arial" w:cs="Arial" w:eastAsia="Arial" w:hAnsi="Arial"/>
          <w:sz w:val="16"/>
          <w:szCs w:val="16"/>
          <w:b w:val="1"/>
          <w:bCs w:val="1"/>
          <w:color w:val="auto"/>
        </w:rPr>
        <w:t>,</w:t>
      </w:r>
      <w:r>
        <w:rPr>
          <w:rFonts w:ascii="Arial" w:cs="Arial" w:eastAsia="Arial" w:hAnsi="Arial"/>
          <w:sz w:val="16"/>
          <w:szCs w:val="16"/>
          <w:color w:val="auto"/>
        </w:rPr>
        <w:t xml:space="preserve"> including the provision for payment of Construction Delay Payments, shall be binding on, and shall be the obligation of any Mortgagee that acquires title to the Property by foreclosure or deed in lieu thereof, or any successor thereto who acquires title to the Property. Any proposed construction loan for the Project must permit Seller to retain its lien in a subordinate position pursuant to customary subordination terms acceptable to Seller in Seller’s reasonable judgment (including, without limitation, reasonable loan to cost limitations and a requirement that any Mortgagee that acquires title to the Property by foreclosure or deed in lieu thereof, or any successor thereto who acquires title to the Property, shall, subject to the “Lender Forbearance Period” described in the Declaration of Covenants, be responsible for Construction Delay Payments in accordance with </w:t>
      </w:r>
      <w:r>
        <w:rPr>
          <w:rFonts w:ascii="Arial" w:cs="Arial" w:eastAsia="Arial" w:hAnsi="Arial"/>
          <w:sz w:val="16"/>
          <w:szCs w:val="16"/>
          <w:u w:val="single" w:color="auto"/>
          <w:color w:val="auto"/>
        </w:rPr>
        <w:t>Paragraph 25.4</w:t>
      </w:r>
      <w:r>
        <w:rPr>
          <w:rFonts w:ascii="Arial" w:cs="Arial" w:eastAsia="Arial" w:hAnsi="Arial"/>
          <w:sz w:val="16"/>
          <w:szCs w:val="16"/>
          <w:color w:val="auto"/>
        </w:rPr>
        <w:t xml:space="preserve"> above); and, at the time of the closing of such construction loan, Seller will subordinate Seller’s lien to the lender’s deed of trust securing such construction loan.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6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29" w:name="page430"/>
    <w:bookmarkEnd w:id="429"/>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EXCHANGE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LEASE TERM DATES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-10160</wp:posOffset>
            </wp:positionV>
            <wp:extent cx="117157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126365</wp:posOffset>
            </wp:positionV>
            <wp:extent cx="117157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263525</wp:posOffset>
            </wp:positionV>
            <wp:extent cx="117157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400685</wp:posOffset>
            </wp:positionV>
            <wp:extent cx="117157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Office Lease dated , 201 between (“</w:t>
      </w:r>
      <w:r>
        <w:rPr>
          <w:rFonts w:ascii="Arial" w:cs="Arial" w:eastAsia="Arial" w:hAnsi="Arial"/>
          <w:sz w:val="16"/>
          <w:szCs w:val="16"/>
          <w:b w:val="1"/>
          <w:bCs w:val="1"/>
          <w:color w:val="auto"/>
        </w:rPr>
        <w:t>Tenant</w:t>
      </w:r>
      <w:r>
        <w:rPr>
          <w:rFonts w:ascii="Arial" w:cs="Arial" w:eastAsia="Arial" w:hAnsi="Arial"/>
          <w:sz w:val="16"/>
          <w:szCs w:val="16"/>
          <w:color w:val="auto"/>
        </w:rPr>
        <w:t>”) concerning the Project located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 and</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 a</w:t>
      </w:r>
    </w:p>
    <w:p>
      <w:pPr>
        <w:spacing w:after="0" w:line="487" w:lineRule="exact"/>
        <w:rPr>
          <w:sz w:val="20"/>
          <w:szCs w:val="20"/>
          <w:color w:val="auto"/>
        </w:rPr>
      </w:pPr>
    </w:p>
    <w:p>
      <w:pPr>
        <w:sectPr>
          <w:pgSz w:w="11900" w:h="16838" w:orient="portrait"/>
          <w:cols w:equalWidth="0" w:num="5">
            <w:col w:w="700" w:space="200"/>
            <w:col w:w="3720" w:space="720"/>
            <w:col w:w="780" w:space="720"/>
            <w:col w:w="1960" w:space="720"/>
            <w:col w:w="184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color w:val="auto"/>
        </w:rPr>
        <w:t>Dear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20" w:space="720"/>
            <w:col w:w="10020"/>
          </w:cols>
          <w:pgMar w:left="240" w:top="270" w:right="299" w:bottom="1440" w:gutter="0" w:footer="0" w:header="0"/>
          <w:type w:val="continuous"/>
        </w:sectPr>
      </w:pP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Office Lease (the “</w:t>
      </w:r>
      <w:r>
        <w:rPr>
          <w:rFonts w:ascii="Arial" w:cs="Arial" w:eastAsia="Arial" w:hAnsi="Arial"/>
          <w:sz w:val="18"/>
          <w:szCs w:val="18"/>
          <w:b w:val="1"/>
          <w:bCs w:val="1"/>
          <w:color w:val="auto"/>
        </w:rPr>
        <w:t>Lease</w:t>
      </w:r>
      <w:r>
        <w:rPr>
          <w:rFonts w:ascii="Arial" w:cs="Arial" w:eastAsia="Arial" w:hAnsi="Arial"/>
          <w:sz w:val="18"/>
          <w:szCs w:val="18"/>
          <w:color w:val="auto"/>
        </w:rPr>
        <w:t>”), we wish to advise you and/or confirm as follows:</w:t>
      </w:r>
    </w:p>
    <w:p>
      <w:pPr>
        <w:spacing w:after="0" w:line="121" w:lineRule="exact"/>
        <w:rPr>
          <w:sz w:val="20"/>
          <w:szCs w:val="20"/>
          <w:color w:val="auto"/>
        </w:rPr>
      </w:pPr>
    </w:p>
    <w:p>
      <w:pPr>
        <w:ind w:right="240" w:firstLine="456"/>
        <w:spacing w:after="0" w:line="272" w:lineRule="auto"/>
        <w:rPr>
          <w:sz w:val="20"/>
          <w:szCs w:val="20"/>
          <w:color w:val="auto"/>
        </w:rPr>
      </w:pPr>
      <w:r>
        <w:rPr>
          <w:rFonts w:ascii="Arial" w:cs="Arial" w:eastAsia="Arial" w:hAnsi="Arial"/>
          <w:sz w:val="18"/>
          <w:szCs w:val="18"/>
          <w:color w:val="auto"/>
        </w:rPr>
        <w:t>1. The Phase I Lease Commencement Date occurred on , and the Lease Expiration Date shall be , unless extended as provided for in the Lease. The Phase II Lease Commencement Date occurred on . The Phase III Lease Commencement Date occurred on .</w:t>
      </w:r>
    </w:p>
    <w:p>
      <w:pPr>
        <w:spacing w:after="0" w:line="287" w:lineRule="exact"/>
        <w:rPr>
          <w:sz w:val="20"/>
          <w:szCs w:val="20"/>
          <w:color w:val="auto"/>
        </w:rPr>
      </w:pPr>
    </w:p>
    <w:p>
      <w:pPr>
        <w:ind w:left="640" w:hanging="176"/>
        <w:spacing w:after="0"/>
        <w:tabs>
          <w:tab w:leader="none" w:pos="6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Rent commenced to accrue on each applicable Lease Commencement Date, subject to the Base Rent abatement set forth in Section 3.2 of the Lease.</w:t>
      </w:r>
    </w:p>
    <w:p>
      <w:pPr>
        <w:spacing w:after="0" w:line="140" w:lineRule="exact"/>
        <w:rPr>
          <w:rFonts w:ascii="Arial" w:cs="Arial" w:eastAsia="Arial" w:hAnsi="Arial"/>
          <w:sz w:val="16"/>
          <w:szCs w:val="16"/>
          <w:color w:val="auto"/>
        </w:rPr>
      </w:pPr>
    </w:p>
    <w:p>
      <w:pPr>
        <w:ind w:right="60" w:firstLine="464"/>
        <w:spacing w:after="0" w:line="277" w:lineRule="auto"/>
        <w:tabs>
          <w:tab w:leader="none" w:pos="63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any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62" w:lineRule="exact"/>
        <w:rPr>
          <w:sz w:val="20"/>
          <w:szCs w:val="20"/>
          <w:color w:val="auto"/>
        </w:rPr>
      </w:pPr>
    </w:p>
    <w:p>
      <w:pPr>
        <w:ind w:left="460"/>
        <w:spacing w:after="0"/>
        <w:tabs>
          <w:tab w:leader="none" w:pos="5160" w:val="left"/>
          <w:tab w:leader="none" w:pos="6580" w:val="left"/>
        </w:tabs>
        <w:rPr>
          <w:sz w:val="20"/>
          <w:szCs w:val="20"/>
          <w:color w:val="auto"/>
        </w:rPr>
      </w:pPr>
      <w:r>
        <w:rPr>
          <w:rFonts w:ascii="Arial" w:cs="Arial" w:eastAsia="Arial" w:hAnsi="Arial"/>
          <w:sz w:val="18"/>
          <w:szCs w:val="18"/>
          <w:color w:val="auto"/>
        </w:rPr>
        <w:t>4. Your rent checks should be made payable to</w:t>
      </w:r>
      <w:r>
        <w:rPr>
          <w:sz w:val="20"/>
          <w:szCs w:val="20"/>
          <w:color w:val="auto"/>
        </w:rPr>
        <w:tab/>
      </w: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640" w:hanging="176"/>
        <w:spacing w:after="0"/>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Tenant’s Share of Direct Expenses with respect to each Building within the Premises is 100%, subject to any Retail Space Cost Pool.</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Capitalized terms used herein that are defined in the Lease shall have the same meaning when used herein.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the provisions of this letter correctly set forth our understanding, please so acknowledge by signing at the place provided below on the enclosed copy of this letter and returning the same to Landlord.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0" w:right="299" w:bottom="1440" w:gutter="0" w:footer="0" w:header="0"/>
          <w:type w:val="continuous"/>
        </w:sectPr>
      </w:pPr>
    </w:p>
    <w:bookmarkStart w:id="430" w:name="page431"/>
    <w:bookmarkEnd w:id="430"/>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263525</wp:posOffset>
            </wp:positionV>
            <wp:extent cx="222885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71437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4432300</wp:posOffset>
            </wp:positionH>
            <wp:positionV relativeFrom="paragraph">
              <wp:posOffset>-19050</wp:posOffset>
            </wp:positionV>
            <wp:extent cx="220027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2002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117475</wp:posOffset>
            </wp:positionV>
            <wp:extent cx="6858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171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7170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126365</wp:posOffset>
            </wp:positionV>
            <wp:extent cx="571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jc w:val="right"/>
        <w:ind w:right="89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5942965</wp:posOffset>
            </wp:positionH>
            <wp:positionV relativeFrom="paragraph">
              <wp:posOffset>-10160</wp:posOffset>
            </wp:positionV>
            <wp:extent cx="1028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126365</wp:posOffset>
            </wp:positionV>
            <wp:extent cx="2286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as of</w:t>
            </w:r>
          </w:p>
        </w:tc>
        <w:tc>
          <w:tcPr>
            <w:tcW w:w="900" w:type="dxa"/>
            <w:vAlign w:val="bottom"/>
          </w:tcPr>
          <w:p>
            <w:pPr>
              <w:jc w:val="right"/>
              <w:spacing w:after="0"/>
              <w:rPr>
                <w:sz w:val="20"/>
                <w:szCs w:val="20"/>
                <w:color w:val="auto"/>
              </w:rPr>
            </w:pPr>
            <w:r>
              <w:rPr>
                <w:rFonts w:ascii="Arial" w:cs="Arial" w:eastAsia="Arial" w:hAnsi="Arial"/>
                <w:sz w:val="18"/>
                <w:szCs w:val="18"/>
                <w:color w:val="auto"/>
              </w:rPr>
              <w:t>, 201  .</w:t>
            </w:r>
          </w:p>
        </w:tc>
      </w:tr>
      <w:tr>
        <w:trPr>
          <w:trHeight w:val="431"/>
        </w:trPr>
        <w:tc>
          <w:tcPr>
            <w:tcW w:w="980" w:type="dxa"/>
            <w:vAlign w:val="bottom"/>
          </w:tcPr>
          <w:p>
            <w:pPr>
              <w:spacing w:after="0"/>
              <w:rPr>
                <w:sz w:val="20"/>
                <w:szCs w:val="20"/>
                <w:color w:val="auto"/>
              </w:rPr>
            </w:pPr>
            <w:r>
              <w:rPr>
                <w:rFonts w:ascii="Arial" w:cs="Arial" w:eastAsia="Arial" w:hAnsi="Arial"/>
                <w:sz w:val="18"/>
                <w:szCs w:val="18"/>
                <w:color w:val="auto"/>
              </w:rPr>
              <w:t>“Tenant”</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266065</wp:posOffset>
            </wp:positionV>
            <wp:extent cx="222885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71437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4432300</wp:posOffset>
            </wp:positionH>
            <wp:positionV relativeFrom="paragraph">
              <wp:posOffset>-19050</wp:posOffset>
            </wp:positionV>
            <wp:extent cx="220027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2002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117475</wp:posOffset>
            </wp:positionV>
            <wp:extent cx="6572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14605</wp:posOffset>
            </wp:positionV>
            <wp:extent cx="246126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-10160</wp:posOffset>
            </wp:positionV>
            <wp:extent cx="222885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126365</wp:posOffset>
            </wp:positionV>
            <wp:extent cx="857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3" w:right="1440"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1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Tenant shall faithfully observe and comply with the following Rules and Regulations. Landlord shall not be responsible to Tenant for the nonperformance of any of such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57" w:lineRule="exact"/>
        <w:rPr>
          <w:sz w:val="20"/>
          <w:szCs w:val="20"/>
          <w:color w:val="auto"/>
        </w:rPr>
      </w:pPr>
    </w:p>
    <w:p>
      <w:pPr>
        <w:ind w:right="140" w:firstLine="464"/>
        <w:spacing w:after="0" w:line="255" w:lineRule="auto"/>
        <w:tabs>
          <w:tab w:leader="none" w:pos="63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85" w:lineRule="exact"/>
        <w:rPr>
          <w:rFonts w:ascii="Arial" w:cs="Arial" w:eastAsia="Arial" w:hAnsi="Arial"/>
          <w:sz w:val="18"/>
          <w:szCs w:val="18"/>
          <w:color w:val="auto"/>
        </w:rPr>
      </w:pPr>
    </w:p>
    <w:p>
      <w:pPr>
        <w:ind w:left="640" w:hanging="176"/>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w:t>
      </w:r>
    </w:p>
    <w:p>
      <w:pPr>
        <w:spacing w:after="0" w:line="117" w:lineRule="exact"/>
        <w:rPr>
          <w:rFonts w:ascii="Arial" w:cs="Arial" w:eastAsia="Arial" w:hAnsi="Arial"/>
          <w:sz w:val="18"/>
          <w:szCs w:val="18"/>
          <w:color w:val="auto"/>
        </w:rPr>
      </w:pPr>
    </w:p>
    <w:p>
      <w:pPr>
        <w:ind w:firstLine="464"/>
        <w:spacing w:after="0" w:line="273" w:lineRule="auto"/>
        <w:tabs>
          <w:tab w:leader="none" w:pos="63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Landlord reserves the right to close and keep locked all entrance and exit doors of the Building during such hours as are customary for the Comparable Buildings. Tenant, its employees and agents must be sure that the doors to the Building are securely closed and locked when leaving the Premises if it is after the Building Hours. Tenant shall be responsible for its employees, agents or any other persons entering or leaving the Building at any time after Building Hours.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70" w:lineRule="exact"/>
        <w:rPr>
          <w:rFonts w:ascii="Arial" w:cs="Arial" w:eastAsia="Arial" w:hAnsi="Arial"/>
          <w:sz w:val="17"/>
          <w:szCs w:val="17"/>
          <w:color w:val="auto"/>
        </w:rPr>
      </w:pPr>
    </w:p>
    <w:p>
      <w:pPr>
        <w:ind w:right="120" w:firstLine="464"/>
        <w:spacing w:after="0" w:line="293" w:lineRule="auto"/>
        <w:tabs>
          <w:tab w:leader="none" w:pos="63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 furniture, freight or equipment of any kind shall be brought into the Building without prior notice to Landlord. All moving activity into or out of the Building shall be scheduled with Landlord and done in such manner as Landlord reasonably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432" w:name="page433"/>
    <w:bookmarkEnd w:id="432"/>
    <w:p>
      <w:pPr>
        <w:ind w:left="-80" w:right="300" w:firstLine="464"/>
        <w:spacing w:after="0" w:line="277" w:lineRule="auto"/>
        <w:tabs>
          <w:tab w:leader="none" w:pos="556"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furniture, large packages, supplies, or equipment will be received in the Building or carried up or down in the elevators, except between such hours and in such specific elevator as shall be reasonably designated by Landlord.</w:t>
      </w:r>
    </w:p>
    <w:p>
      <w:pPr>
        <w:spacing w:after="0" w:line="62" w:lineRule="exact"/>
        <w:rPr>
          <w:rFonts w:ascii="Arial" w:cs="Arial" w:eastAsia="Arial" w:hAnsi="Arial"/>
          <w:sz w:val="18"/>
          <w:szCs w:val="18"/>
          <w:color w:val="auto"/>
        </w:rPr>
      </w:pPr>
    </w:p>
    <w:p>
      <w:pPr>
        <w:jc w:val="both"/>
        <w:ind w:left="-80" w:right="80" w:firstLine="464"/>
        <w:spacing w:after="0" w:line="342" w:lineRule="auto"/>
        <w:tabs>
          <w:tab w:leader="none" w:pos="55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5" w:lineRule="exact"/>
        <w:rPr>
          <w:rFonts w:ascii="Arial" w:cs="Arial" w:eastAsia="Arial" w:hAnsi="Arial"/>
          <w:sz w:val="16"/>
          <w:szCs w:val="16"/>
          <w:color w:val="auto"/>
        </w:rPr>
      </w:pPr>
    </w:p>
    <w:p>
      <w:pPr>
        <w:ind w:left="-80" w:right="120" w:firstLine="464"/>
        <w:spacing w:after="0" w:line="264" w:lineRule="auto"/>
        <w:tabs>
          <w:tab w:leader="none" w:pos="55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sign, advertisement, notice or handbill shall be exhibited, distributed, painted or affixed by Tenant on any part of the Premises (to the extent the same can be seen from outside the Premises) or the Building without the prior written consent of the Landlord. Tenant shall not disturb, solicit, peddle, or canvass any occupant of the Project and shall cooperate with Landlord and its agents of Landlord to prevent same.</w:t>
      </w:r>
    </w:p>
    <w:p>
      <w:pPr>
        <w:spacing w:after="0" w:line="73" w:lineRule="exact"/>
        <w:rPr>
          <w:rFonts w:ascii="Arial" w:cs="Arial" w:eastAsia="Arial" w:hAnsi="Arial"/>
          <w:sz w:val="18"/>
          <w:szCs w:val="18"/>
          <w:color w:val="auto"/>
        </w:rPr>
      </w:pPr>
    </w:p>
    <w:p>
      <w:pPr>
        <w:jc w:val="both"/>
        <w:ind w:left="-80" w:right="100" w:firstLine="464"/>
        <w:spacing w:after="0" w:line="286" w:lineRule="auto"/>
        <w:tabs>
          <w:tab w:leader="none" w:pos="55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57" w:lineRule="exact"/>
        <w:rPr>
          <w:rFonts w:ascii="Arial" w:cs="Arial" w:eastAsia="Arial" w:hAnsi="Arial"/>
          <w:sz w:val="17"/>
          <w:szCs w:val="17"/>
          <w:color w:val="auto"/>
        </w:rPr>
      </w:pPr>
    </w:p>
    <w:p>
      <w:pPr>
        <w:ind w:left="560" w:hanging="176"/>
        <w:spacing w:after="0"/>
        <w:tabs>
          <w:tab w:leader="none" w:pos="5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w:t>
      </w:r>
    </w:p>
    <w:p>
      <w:pPr>
        <w:spacing w:after="0" w:line="117" w:lineRule="exact"/>
        <w:rPr>
          <w:rFonts w:ascii="Arial" w:cs="Arial" w:eastAsia="Arial" w:hAnsi="Arial"/>
          <w:sz w:val="18"/>
          <w:szCs w:val="18"/>
          <w:color w:val="auto"/>
        </w:rPr>
      </w:pPr>
    </w:p>
    <w:p>
      <w:pPr>
        <w:ind w:left="-80" w:right="260" w:firstLine="464"/>
        <w:spacing w:after="0" w:line="277" w:lineRule="auto"/>
        <w:tabs>
          <w:tab w:leader="none" w:pos="6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for vending machines intended for the sole use of Tenant’s employees and invitees, no vending machine shall be installed, maintained or operated upon the Premises without the written consent of Landlord.</w:t>
      </w:r>
    </w:p>
    <w:p>
      <w:pPr>
        <w:spacing w:after="0" w:line="62" w:lineRule="exact"/>
        <w:rPr>
          <w:rFonts w:ascii="Arial" w:cs="Arial" w:eastAsia="Arial" w:hAnsi="Arial"/>
          <w:sz w:val="18"/>
          <w:szCs w:val="18"/>
          <w:color w:val="auto"/>
        </w:rPr>
      </w:pPr>
    </w:p>
    <w:p>
      <w:pPr>
        <w:ind w:left="-80" w:firstLine="464"/>
        <w:spacing w:after="0" w:line="264"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Tenant shall not use or keep in or on the Premises, the Building, or the Project any kerosene, gasoline, explosive material, corrosive material, material capable of emitting toxic fumes, or other inflammable or combustible fluid chemical, substitute or material. Tenant shall provide material safety data sheets for any Hazardous Substances used or kept on the Premises.</w:t>
      </w:r>
    </w:p>
    <w:p>
      <w:pPr>
        <w:spacing w:after="0" w:line="73" w:lineRule="exact"/>
        <w:rPr>
          <w:rFonts w:ascii="Arial" w:cs="Arial" w:eastAsia="Arial" w:hAnsi="Arial"/>
          <w:sz w:val="18"/>
          <w:szCs w:val="18"/>
          <w:color w:val="auto"/>
        </w:rPr>
      </w:pPr>
    </w:p>
    <w:p>
      <w:pPr>
        <w:ind w:left="660" w:hanging="276"/>
        <w:spacing w:after="0"/>
        <w:tabs>
          <w:tab w:leader="none" w:pos="6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 Landlord.</w:t>
      </w:r>
    </w:p>
    <w:p>
      <w:pPr>
        <w:spacing w:after="0" w:line="140" w:lineRule="exact"/>
        <w:rPr>
          <w:rFonts w:ascii="Arial" w:cs="Arial" w:eastAsia="Arial" w:hAnsi="Arial"/>
          <w:sz w:val="16"/>
          <w:szCs w:val="16"/>
          <w:color w:val="auto"/>
        </w:rPr>
      </w:pPr>
    </w:p>
    <w:p>
      <w:pPr>
        <w:ind w:left="-80" w:right="100" w:firstLine="464"/>
        <w:spacing w:after="0" w:line="259" w:lineRule="auto"/>
        <w:tabs>
          <w:tab w:leader="none" w:pos="6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Tenant shall not use, keep or permit to be used or kept, any foul or noxious gas or substance in or on the Premises, or permit or allow the Premises to be occupied or used in a manner that would unreasonably disturb other occupants of the Project by reason of noise, odors, or vibrations, or unreasonably interfere with other tenants or those having business therein, as a consequence of the use of any musical instrument, radio, or phonograph. Tenant shall not throw anything out of doors, windows or skylights or down passageways.</w:t>
      </w:r>
    </w:p>
    <w:p>
      <w:pPr>
        <w:spacing w:after="0" w:line="78" w:lineRule="exact"/>
        <w:rPr>
          <w:rFonts w:ascii="Arial" w:cs="Arial" w:eastAsia="Arial" w:hAnsi="Arial"/>
          <w:sz w:val="18"/>
          <w:szCs w:val="18"/>
          <w:color w:val="auto"/>
        </w:rPr>
      </w:pPr>
    </w:p>
    <w:p>
      <w:pPr>
        <w:ind w:left="660" w:hanging="276"/>
        <w:spacing w:after="0"/>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Tenant shall not bring into or keep within the Project, the Building or the Premises any animals (except service animals), birds, or aquariums.</w:t>
      </w:r>
    </w:p>
    <w:p>
      <w:pPr>
        <w:spacing w:after="0" w:line="128" w:lineRule="exact"/>
        <w:rPr>
          <w:rFonts w:ascii="Arial" w:cs="Arial" w:eastAsia="Arial" w:hAnsi="Arial"/>
          <w:sz w:val="17"/>
          <w:szCs w:val="17"/>
          <w:color w:val="auto"/>
        </w:rPr>
      </w:pPr>
    </w:p>
    <w:p>
      <w:pPr>
        <w:ind w:left="-80" w:right="120" w:firstLine="464"/>
        <w:spacing w:after="0" w:line="259" w:lineRule="auto"/>
        <w:tabs>
          <w:tab w:leader="none" w:pos="6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Premises shall not be used for lodging. No cooking shall be done or permitted on the Premises other than in areas properly equipped therefor, except that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rules and regulations.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74" w:right="299" w:bottom="1440" w:gutter="0" w:footer="0" w:header="0"/>
        </w:sectPr>
      </w:pPr>
    </w:p>
    <w:bookmarkStart w:id="433" w:name="page434"/>
    <w:bookmarkEnd w:id="433"/>
    <w:p>
      <w:pPr>
        <w:ind w:left="-20" w:right="20" w:firstLine="464"/>
        <w:spacing w:after="0" w:line="279" w:lineRule="auto"/>
        <w:tabs>
          <w:tab w:leader="none" w:pos="706" w:val="left"/>
        </w:tabs>
        <w:numPr>
          <w:ilvl w:val="0"/>
          <w:numId w:val="2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w:t>
      </w:r>
    </w:p>
    <w:p>
      <w:pPr>
        <w:spacing w:after="0" w:line="63" w:lineRule="exact"/>
        <w:rPr>
          <w:rFonts w:ascii="Arial" w:cs="Arial" w:eastAsia="Arial" w:hAnsi="Arial"/>
          <w:sz w:val="17"/>
          <w:szCs w:val="17"/>
          <w:color w:val="auto"/>
        </w:rPr>
      </w:pPr>
    </w:p>
    <w:p>
      <w:pPr>
        <w:ind w:left="-20" w:firstLine="464"/>
        <w:spacing w:after="0" w:line="277" w:lineRule="auto"/>
        <w:tabs>
          <w:tab w:leader="none" w:pos="70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reasonable judgment of Landlord, is intoxicated or under the influence of liquor or drugs, or who shall in any manner do any act in violation of any of these Rules and Regulations.</w:t>
      </w:r>
    </w:p>
    <w:p>
      <w:pPr>
        <w:spacing w:after="0" w:line="62" w:lineRule="exact"/>
        <w:rPr>
          <w:rFonts w:ascii="Arial" w:cs="Arial" w:eastAsia="Arial" w:hAnsi="Arial"/>
          <w:sz w:val="18"/>
          <w:szCs w:val="18"/>
          <w:color w:val="auto"/>
        </w:rPr>
      </w:pPr>
    </w:p>
    <w:p>
      <w:pPr>
        <w:ind w:left="-20" w:firstLine="464"/>
        <w:spacing w:after="0" w:line="264" w:lineRule="auto"/>
        <w:tabs>
          <w:tab w:leader="none" w:pos="7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spacing w:after="0" w:line="73" w:lineRule="exact"/>
        <w:rPr>
          <w:rFonts w:ascii="Arial" w:cs="Arial" w:eastAsia="Arial" w:hAnsi="Arial"/>
          <w:sz w:val="18"/>
          <w:szCs w:val="18"/>
          <w:color w:val="auto"/>
        </w:rPr>
      </w:pPr>
    </w:p>
    <w:p>
      <w:pPr>
        <w:ind w:left="-20" w:right="80" w:firstLine="464"/>
        <w:spacing w:after="0" w:line="254" w:lineRule="auto"/>
        <w:tabs>
          <w:tab w:leader="none" w:pos="70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Tenant shall participate in recycling programs undertaken by Landlord. Tenant shall store all its trash and garbage within areas of the Project Common Areas reasonably designated by Landlord. No material shall be placed in the trash boxes or receptacles if such material is of such nature that it may not be disposed of in the ordinary and customary manner of removing and disposing of trash and garbage in San Francisco, California without violation of any law or ordinance governing such disposal. All trash, garbage and refuse disposal shall be made only through entry-ways and elevators provided for such purposes at such times as Landlord shall designate. If the Premises is or becomes infested with vermin as a result of the use or any misuse or neglect of the Premises by Tenant, its agents, servants, employees, contractors, visitors or licensees, Tenant shall forthwith, at Tenant’s expense, cause the Premises to be exterminated from time to time to the satisfaction of Landlord and shall employ such licensed exterminators as shall be approved in writing in advance by Landlord.</w:t>
      </w:r>
    </w:p>
    <w:p>
      <w:pPr>
        <w:spacing w:after="0" w:line="84" w:lineRule="exact"/>
        <w:rPr>
          <w:rFonts w:ascii="Arial" w:cs="Arial" w:eastAsia="Arial" w:hAnsi="Arial"/>
          <w:sz w:val="18"/>
          <w:szCs w:val="18"/>
          <w:color w:val="auto"/>
        </w:rPr>
      </w:pPr>
    </w:p>
    <w:p>
      <w:pPr>
        <w:ind w:left="720" w:hanging="276"/>
        <w:spacing w:after="0"/>
        <w:tabs>
          <w:tab w:leader="none" w:pos="72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agency.</w:t>
      </w:r>
    </w:p>
    <w:p>
      <w:pPr>
        <w:spacing w:after="0" w:line="140" w:lineRule="exact"/>
        <w:rPr>
          <w:rFonts w:ascii="Arial" w:cs="Arial" w:eastAsia="Arial" w:hAnsi="Arial"/>
          <w:sz w:val="16"/>
          <w:szCs w:val="16"/>
          <w:color w:val="auto"/>
        </w:rPr>
      </w:pPr>
    </w:p>
    <w:p>
      <w:pPr>
        <w:ind w:left="-20" w:right="60" w:firstLine="464"/>
        <w:spacing w:after="0" w:line="276" w:lineRule="auto"/>
        <w:tabs>
          <w:tab w:leader="none" w:pos="706" w:val="left"/>
        </w:tabs>
        <w:numPr>
          <w:ilvl w:val="0"/>
          <w:numId w:val="251"/>
        </w:numPr>
        <w:rPr>
          <w:rFonts w:ascii="Arial" w:cs="Arial" w:eastAsia="Arial" w:hAnsi="Arial"/>
          <w:sz w:val="17"/>
          <w:szCs w:val="17"/>
          <w:color w:val="auto"/>
        </w:rPr>
      </w:pPr>
      <w:r>
        <w:rPr>
          <w:rFonts w:ascii="Arial" w:cs="Arial" w:eastAsia="Arial" w:hAnsi="Arial"/>
          <w:sz w:val="17"/>
          <w:szCs w:val="17"/>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Landlord’s Building standard window coverings. Neither the interior nor exterior of any windows shall be coated or otherwise sunscreened without the prior written consent of Landlord. Tenant shall keep its window coverings closed during any period of the day when the sun is shining directly on the windows of the Premises. Prior to leaving the Premises for the day, Tenant shall draw or lower window coverings and extinguish all lights.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434" w:name="page435"/>
    <w:bookmarkEnd w:id="434"/>
    <w:p>
      <w:pPr>
        <w:ind w:right="360" w:firstLine="464"/>
        <w:spacing w:after="0" w:line="308" w:lineRule="auto"/>
        <w:tabs>
          <w:tab w:leader="none" w:pos="726" w:val="left"/>
        </w:tabs>
        <w:numPr>
          <w:ilvl w:val="0"/>
          <w:numId w:val="2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38" w:lineRule="exact"/>
        <w:rPr>
          <w:rFonts w:ascii="Arial" w:cs="Arial" w:eastAsia="Arial" w:hAnsi="Arial"/>
          <w:sz w:val="17"/>
          <w:szCs w:val="17"/>
          <w:color w:val="auto"/>
        </w:rPr>
      </w:pPr>
    </w:p>
    <w:p>
      <w:pPr>
        <w:ind w:left="740" w:hanging="276"/>
        <w:spacing w:after="0"/>
        <w:tabs>
          <w:tab w:leader="none" w:pos="7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Tenant must comply with requests by the Landlord concerning the informing of their employees of items of importance to the Landlord.</w:t>
      </w:r>
    </w:p>
    <w:p>
      <w:pPr>
        <w:spacing w:after="0" w:line="128" w:lineRule="exact"/>
        <w:rPr>
          <w:rFonts w:ascii="Arial" w:cs="Arial" w:eastAsia="Arial" w:hAnsi="Arial"/>
          <w:sz w:val="17"/>
          <w:szCs w:val="17"/>
          <w:color w:val="auto"/>
        </w:rPr>
      </w:pPr>
    </w:p>
    <w:p>
      <w:pPr>
        <w:ind w:left="740" w:hanging="276"/>
        <w:spacing w:after="0"/>
        <w:tabs>
          <w:tab w:leader="none" w:pos="7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Tenant must comply with all applicable “NO-SMOKING” or similar ordinances, rules, laws and regulations.</w:t>
      </w:r>
    </w:p>
    <w:p>
      <w:pPr>
        <w:spacing w:after="0" w:line="117" w:lineRule="exact"/>
        <w:rPr>
          <w:rFonts w:ascii="Arial" w:cs="Arial" w:eastAsia="Arial" w:hAnsi="Arial"/>
          <w:sz w:val="18"/>
          <w:szCs w:val="18"/>
          <w:color w:val="auto"/>
        </w:rPr>
      </w:pPr>
    </w:p>
    <w:p>
      <w:pPr>
        <w:ind w:firstLine="464"/>
        <w:spacing w:after="0" w:line="254" w:lineRule="auto"/>
        <w:tabs>
          <w:tab w:leader="none" w:pos="72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84" w:lineRule="exact"/>
        <w:rPr>
          <w:rFonts w:ascii="Arial" w:cs="Arial" w:eastAsia="Arial" w:hAnsi="Arial"/>
          <w:sz w:val="18"/>
          <w:szCs w:val="18"/>
          <w:color w:val="auto"/>
        </w:rPr>
      </w:pPr>
    </w:p>
    <w:p>
      <w:pPr>
        <w:ind w:right="100" w:firstLine="464"/>
        <w:spacing w:after="0" w:line="277" w:lineRule="auto"/>
        <w:tabs>
          <w:tab w:leader="none" w:pos="72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large electrical or mechanical office equipment shall be placed by Tenant in the Premises in settings approved by Landlord to absorb or prevent any excessive vibration or noise.</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Tenant shall not use in any space or in the public halls of the Building, any hand trucks except those equipped with rubber tires and rubber side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guards.</w:t>
      </w:r>
    </w:p>
    <w:p>
      <w:pPr>
        <w:spacing w:after="0" w:line="102" w:lineRule="exact"/>
        <w:rPr>
          <w:rFonts w:ascii="Arial" w:cs="Arial" w:eastAsia="Arial" w:hAnsi="Arial"/>
          <w:sz w:val="16"/>
          <w:szCs w:val="16"/>
          <w:color w:val="auto"/>
        </w:rPr>
      </w:pPr>
    </w:p>
    <w:p>
      <w:pPr>
        <w:ind w:left="740" w:hanging="276"/>
        <w:spacing w:after="0"/>
        <w:tabs>
          <w:tab w:leader="none" w:pos="7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 auction, liquidation, fire sale, going-out-of-business or bankruptcy sale shall be conducted in the Premises without the prior written consent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102" w:lineRule="exact"/>
        <w:rPr>
          <w:rFonts w:ascii="Arial" w:cs="Arial" w:eastAsia="Arial" w:hAnsi="Arial"/>
          <w:sz w:val="16"/>
          <w:szCs w:val="16"/>
          <w:color w:val="auto"/>
        </w:rPr>
      </w:pPr>
    </w:p>
    <w:p>
      <w:pPr>
        <w:ind w:left="740" w:hanging="276"/>
        <w:spacing w:after="0"/>
        <w:tabs>
          <w:tab w:leader="none" w:pos="7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tenant shall use or permit the use of any portion of the Premises for living quarters, sleeping apartments or lodging rooms.</w:t>
      </w:r>
    </w:p>
    <w:p>
      <w:pPr>
        <w:spacing w:after="0" w:line="117" w:lineRule="exact"/>
        <w:rPr>
          <w:rFonts w:ascii="Arial" w:cs="Arial" w:eastAsia="Arial" w:hAnsi="Arial"/>
          <w:sz w:val="18"/>
          <w:szCs w:val="18"/>
          <w:color w:val="auto"/>
        </w:rPr>
      </w:pPr>
    </w:p>
    <w:p>
      <w:pPr>
        <w:ind w:right="180" w:firstLine="464"/>
        <w:spacing w:after="0" w:line="342" w:lineRule="auto"/>
        <w:tabs>
          <w:tab w:leader="none" w:pos="72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Tenant shall install and maintain, at Tenant’s sole cost and expense, an adequate, visibly marked and properly operational fire extinguisher next to any duplicating or photocopying machines or similar heat producing equipment, which may or may not contain combustible material, in the Premises.</w:t>
      </w:r>
    </w:p>
    <w:p>
      <w:pPr>
        <w:spacing w:after="0" w:line="12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Landlord reserves the right at any time to change or rescind any one or more of these Rules and Regulations, or to make such other and further reasonable Rules and Regulations as in Landlord’s reasonable judgment may from time to time be necessary for the proper management, safety, care and cleanliness of the Premises, Building, the Common Areas and the Project, and for the preservation of good order therein, as well as for the convenience of other occupants and tenants therein. Landlord will enforce the foregoing Rules and Regulations in a non-discriminatory manner and to the extent Landlord declines to enforce any of the foregoing Rules and Regulations with respect to any other tenant in the Building, Landlord will not be entitled to enforce such Rules or Regulations with respect to Tenant.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rPr>
              <w:t>EXHIBIT E</w:t>
            </w: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3"/>
        </w:trPr>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3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rPr>
              <w:t>THE EXCHANGE</w:t>
            </w: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40" w:type="dxa"/>
            <w:vAlign w:val="bottom"/>
            <w:gridSpan w:val="5"/>
          </w:tcPr>
          <w:p>
            <w:pPr>
              <w:jc w:val="center"/>
              <w:ind w:right="1780"/>
              <w:spacing w:after="0"/>
              <w:rPr>
                <w:sz w:val="20"/>
                <w:szCs w:val="20"/>
                <w:color w:val="auto"/>
              </w:rPr>
            </w:pPr>
            <w:r>
              <w:rPr>
                <w:rFonts w:ascii="Arial" w:cs="Arial" w:eastAsia="Arial" w:hAnsi="Arial"/>
                <w:sz w:val="18"/>
                <w:szCs w:val="18"/>
                <w:b w:val="1"/>
                <w:bCs w:val="1"/>
                <w:color w:val="auto"/>
              </w:rPr>
              <w:t>FORM OF TENANT’S ESTOPPEL CERTIFICATE</w:t>
            </w:r>
          </w:p>
        </w:tc>
        <w:tc>
          <w:tcPr>
            <w:tcW w:w="1280" w:type="dxa"/>
            <w:vAlign w:val="bottom"/>
          </w:tcPr>
          <w:p>
            <w:pPr>
              <w:spacing w:after="0"/>
              <w:rPr>
                <w:sz w:val="24"/>
                <w:szCs w:val="24"/>
                <w:color w:val="auto"/>
              </w:rPr>
            </w:pPr>
          </w:p>
        </w:tc>
      </w:tr>
      <w:tr>
        <w:trPr>
          <w:trHeight w:val="20"/>
        </w:trPr>
        <w:tc>
          <w:tcPr>
            <w:tcW w:w="3680" w:type="dxa"/>
            <w:vAlign w:val="bottom"/>
            <w:gridSpan w:val="2"/>
          </w:tcPr>
          <w:p>
            <w:pPr>
              <w:spacing w:after="0" w:line="20" w:lineRule="exact"/>
              <w:rPr>
                <w:sz w:val="1"/>
                <w:szCs w:val="1"/>
                <w:color w:val="auto"/>
              </w:rPr>
            </w:pPr>
          </w:p>
        </w:tc>
        <w:tc>
          <w:tcPr>
            <w:tcW w:w="4060" w:type="dxa"/>
            <w:vAlign w:val="bottom"/>
            <w:gridSpan w:val="4"/>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8"/>
        </w:trPr>
        <w:tc>
          <w:tcPr>
            <w:tcW w:w="9520" w:type="dxa"/>
            <w:vAlign w:val="bottom"/>
            <w:gridSpan w:val="7"/>
          </w:tcPr>
          <w:p>
            <w:pPr>
              <w:ind w:left="460"/>
              <w:spacing w:after="0"/>
              <w:rPr>
                <w:sz w:val="20"/>
                <w:szCs w:val="20"/>
                <w:color w:val="auto"/>
              </w:rPr>
            </w:pPr>
            <w:r>
              <w:rPr>
                <w:rFonts w:ascii="Arial" w:cs="Arial" w:eastAsia="Arial" w:hAnsi="Arial"/>
                <w:sz w:val="18"/>
                <w:szCs w:val="18"/>
                <w:color w:val="auto"/>
                <w:w w:val="97"/>
              </w:rPr>
              <w:t>The undersigned (“Tenant”), as the tenant under that certain Office Lease (the “Lease”) made and entered into as of</w:t>
            </w:r>
          </w:p>
        </w:tc>
        <w:tc>
          <w:tcPr>
            <w:tcW w:w="1280" w:type="dxa"/>
            <w:vAlign w:val="bottom"/>
          </w:tcPr>
          <w:p>
            <w:pPr>
              <w:ind w:left="380"/>
              <w:spacing w:after="0"/>
              <w:rPr>
                <w:sz w:val="20"/>
                <w:szCs w:val="20"/>
                <w:color w:val="auto"/>
              </w:rPr>
            </w:pPr>
            <w:r>
              <w:rPr>
                <w:rFonts w:ascii="Arial" w:cs="Arial" w:eastAsia="Arial" w:hAnsi="Arial"/>
                <w:sz w:val="18"/>
                <w:szCs w:val="18"/>
                <w:color w:val="auto"/>
                <w:w w:val="88"/>
              </w:rPr>
              <w:t>, 201 by and</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between</w:t>
            </w:r>
          </w:p>
        </w:tc>
        <w:tc>
          <w:tcPr>
            <w:tcW w:w="5840" w:type="dxa"/>
            <w:vAlign w:val="bottom"/>
            <w:gridSpan w:val="4"/>
          </w:tcPr>
          <w:p>
            <w:pPr>
              <w:ind w:left="580"/>
              <w:spacing w:after="0"/>
              <w:rPr>
                <w:sz w:val="20"/>
                <w:szCs w:val="20"/>
                <w:color w:val="auto"/>
              </w:rPr>
            </w:pPr>
            <w:r>
              <w:rPr>
                <w:rFonts w:ascii="Arial" w:cs="Arial" w:eastAsia="Arial" w:hAnsi="Arial"/>
                <w:sz w:val="18"/>
                <w:szCs w:val="18"/>
                <w:color w:val="auto"/>
              </w:rPr>
              <w:t>(“Landlord”), and Tenant, for Premises in the Project located at</w:t>
            </w:r>
          </w:p>
        </w:tc>
        <w:tc>
          <w:tcPr>
            <w:tcW w:w="2480" w:type="dxa"/>
            <w:vAlign w:val="bottom"/>
            <w:gridSpan w:val="2"/>
          </w:tcPr>
          <w:p>
            <w:pPr>
              <w:ind w:left="600"/>
              <w:spacing w:after="0"/>
              <w:rPr>
                <w:sz w:val="20"/>
                <w:szCs w:val="20"/>
                <w:color w:val="auto"/>
              </w:rPr>
            </w:pPr>
            <w:r>
              <w:rPr>
                <w:rFonts w:ascii="Arial" w:cs="Arial" w:eastAsia="Arial" w:hAnsi="Arial"/>
                <w:sz w:val="18"/>
                <w:szCs w:val="18"/>
                <w:color w:val="auto"/>
              </w:rPr>
              <w:t>, certifies as follows:</w:t>
            </w:r>
          </w:p>
        </w:tc>
        <w:tc>
          <w:tcPr>
            <w:tcW w:w="1280" w:type="dxa"/>
            <w:vAlign w:val="bottom"/>
          </w:tcPr>
          <w:p>
            <w:pPr>
              <w:spacing w:after="0"/>
              <w:rPr>
                <w:sz w:val="20"/>
                <w:szCs w:val="20"/>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40" w:firstLine="464"/>
        <w:spacing w:after="0" w:line="277" w:lineRule="auto"/>
        <w:tabs>
          <w:tab w:leader="none" w:pos="63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Attached hereto as Exhibit A is a true and correct copy of the Lease and all amendments and modifications thereto. The documents contained in Exhibit A represent the entire agreement between the parties as to the Premises.</w:t>
      </w:r>
    </w:p>
    <w:p>
      <w:pPr>
        <w:spacing w:after="0" w:line="62" w:lineRule="exact"/>
        <w:rPr>
          <w:sz w:val="20"/>
          <w:szCs w:val="20"/>
          <w:color w:val="auto"/>
        </w:rPr>
      </w:pPr>
    </w:p>
    <w:p>
      <w:pPr>
        <w:ind w:left="460"/>
        <w:spacing w:after="0"/>
        <w:tabs>
          <w:tab w:leader="none" w:pos="8380" w:val="left"/>
        </w:tabs>
        <w:rPr>
          <w:sz w:val="20"/>
          <w:szCs w:val="20"/>
          <w:color w:val="auto"/>
        </w:rPr>
      </w:pPr>
      <w:r>
        <w:rPr>
          <w:rFonts w:ascii="Arial" w:cs="Arial" w:eastAsia="Arial" w:hAnsi="Arial"/>
          <w:sz w:val="18"/>
          <w:szCs w:val="18"/>
          <w:color w:val="auto"/>
        </w:rPr>
        <w:t>2. Tenant currently occupies the Premises described in the Lease, the Lease Term commenced on</w:t>
      </w:r>
      <w:r>
        <w:rPr>
          <w:sz w:val="20"/>
          <w:szCs w:val="20"/>
          <w:color w:val="auto"/>
        </w:rPr>
        <w:tab/>
      </w:r>
      <w:r>
        <w:rPr>
          <w:rFonts w:ascii="Arial" w:cs="Arial" w:eastAsia="Arial" w:hAnsi="Arial"/>
          <w:sz w:val="15"/>
          <w:szCs w:val="15"/>
          <w:color w:val="auto"/>
        </w:rPr>
        <w:t>, and the Lease Term expires on</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and Tenant has no option to terminate or option to cancel the Lease or to purchase all or any part of the Premises, the Buildings and/or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03" w:lineRule="exact"/>
        <w:rPr>
          <w:sz w:val="20"/>
          <w:szCs w:val="20"/>
          <w:color w:val="auto"/>
        </w:rPr>
      </w:pPr>
    </w:p>
    <w:p>
      <w:pPr>
        <w:ind w:right="320" w:firstLine="464"/>
        <w:spacing w:after="0" w:line="277"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Base Rent for each Phase of the Premises became payable on the Lease Commencement Date applicable to such Phase, subject to the Base Rent abatement set forth in Section 3.2 of the Lease.</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Lease is in full force and effect and has not been modified, supplemented or amended in any way except as provided in Exhibit A.</w:t>
      </w:r>
    </w:p>
    <w:p>
      <w:pPr>
        <w:spacing w:after="0" w:line="117" w:lineRule="exact"/>
        <w:rPr>
          <w:rFonts w:ascii="Arial" w:cs="Arial" w:eastAsia="Arial" w:hAnsi="Arial"/>
          <w:sz w:val="18"/>
          <w:szCs w:val="18"/>
          <w:color w:val="auto"/>
        </w:rPr>
      </w:pPr>
    </w:p>
    <w:p>
      <w:pPr>
        <w:ind w:firstLine="464"/>
        <w:spacing w:after="0" w:line="277"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ind w:left="640" w:hanging="176"/>
        <w:spacing w:after="0" w:line="190" w:lineRule="auto"/>
        <w:tabs>
          <w:tab w:leader="none" w:pos="6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All monthly installments of Base Rent, all Additional Rent and monthly installments of estimated Additional Rent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-94615</wp:posOffset>
            </wp:positionV>
            <wp:extent cx="6858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1" w:lineRule="exact"/>
        <w:rPr>
          <w:sz w:val="20"/>
          <w:szCs w:val="20"/>
          <w:color w:val="auto"/>
        </w:rPr>
      </w:pPr>
    </w:p>
    <w:p>
      <w:pPr>
        <w:spacing w:after="0"/>
        <w:tabs>
          <w:tab w:leader="none" w:pos="1680" w:val="left"/>
          <w:tab w:leader="none" w:pos="7160" w:val="left"/>
        </w:tabs>
        <w:rPr>
          <w:sz w:val="20"/>
          <w:szCs w:val="20"/>
          <w:color w:val="auto"/>
        </w:rPr>
      </w:pPr>
      <w:r>
        <w:rPr>
          <w:rFonts w:ascii="Arial" w:cs="Arial" w:eastAsia="Arial" w:hAnsi="Arial"/>
          <w:sz w:val="18"/>
          <w:szCs w:val="18"/>
          <w:color w:val="auto"/>
        </w:rPr>
        <w:t>through</w:t>
      </w:r>
      <w:r>
        <w:rPr>
          <w:sz w:val="20"/>
          <w:szCs w:val="20"/>
          <w:color w:val="auto"/>
        </w:rPr>
        <w:tab/>
      </w:r>
      <w:r>
        <w:rPr>
          <w:rFonts w:ascii="Arial" w:cs="Arial" w:eastAsia="Arial" w:hAnsi="Arial"/>
          <w:sz w:val="18"/>
          <w:szCs w:val="18"/>
          <w:color w:val="auto"/>
        </w:rPr>
        <w:t>. The current monthly installment of Base Rent is $</w:t>
      </w:r>
      <w:r>
        <w:rPr>
          <w:sz w:val="20"/>
          <w:szCs w:val="20"/>
          <w:color w:val="auto"/>
        </w:rPr>
        <w:tab/>
      </w:r>
      <w:r>
        <w:rPr>
          <w:rFonts w:ascii="Arial" w:cs="Arial" w:eastAsia="Arial" w:hAnsi="Arial"/>
          <w:sz w:val="14"/>
          <w:szCs w:val="14"/>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7. As of the date hereof, to Tenant’s knowledge, all conditions of the Lease to be performed by Landlord necessary to the enforceability of the Lease have been satisfied and Landlord is not in default thereunder [except as follows: ]. In addition, Tenant has not delivered any notice to Landlord regarding a default by Landlord thereunder [except as follows: _____________].</w:t>
      </w:r>
    </w:p>
    <w:p>
      <w:pPr>
        <w:spacing w:after="0" w:line="73" w:lineRule="exact"/>
        <w:rPr>
          <w:sz w:val="20"/>
          <w:szCs w:val="20"/>
          <w:color w:val="auto"/>
        </w:rPr>
      </w:pPr>
    </w:p>
    <w:p>
      <w:pPr>
        <w:ind w:right="60" w:firstLine="464"/>
        <w:spacing w:after="0" w:line="277" w:lineRule="auto"/>
        <w:tabs>
          <w:tab w:leader="none" w:pos="6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Except with respect to the pre-payment of first (1st) month’s Base Rent for the Phase I Premises pursuant to the Lease, no rental has been paid more than thirty (30) days in advance and no security has been deposited with Landlord except as provided in the Lease.</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As of the date hereof, to Tenant’s knowledge, there are no existing defenses, offsets or claims, or any basis for a claim, that Tenant has against</w:t>
      </w:r>
    </w:p>
    <w:p>
      <w:pPr>
        <w:spacing w:after="0" w:line="46"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Landlord [except as follows:</w:t>
      </w:r>
      <w:r>
        <w:rPr>
          <w:sz w:val="20"/>
          <w:szCs w:val="20"/>
          <w:color w:val="auto"/>
        </w:rPr>
        <w:tab/>
      </w:r>
      <w:r>
        <w:rPr>
          <w:rFonts w:ascii="Arial" w:cs="Arial" w:eastAsia="Arial" w:hAnsi="Arial"/>
          <w:sz w:val="17"/>
          <w:szCs w:val="17"/>
          <w:color w:val="auto"/>
        </w:rPr>
        <w: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56" w:right="299" w:bottom="1440" w:gutter="0" w:footer="0" w:header="0"/>
        </w:sectPr>
      </w:pPr>
    </w:p>
    <w:bookmarkStart w:id="436" w:name="page437"/>
    <w:bookmarkEnd w:id="436"/>
    <w:p>
      <w:pPr>
        <w:ind w:right="20" w:firstLine="464"/>
        <w:spacing w:after="0" w:line="264" w:lineRule="auto"/>
        <w:tabs>
          <w:tab w:leader="none" w:pos="726"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There are no actions pending against Tenant under the bankruptcy or similar laws of the United States or any state.</w:t>
      </w:r>
    </w:p>
    <w:p>
      <w:pPr>
        <w:spacing w:after="0" w:line="117" w:lineRule="exact"/>
        <w:rPr>
          <w:rFonts w:ascii="Arial" w:cs="Arial" w:eastAsia="Arial" w:hAnsi="Arial"/>
          <w:sz w:val="18"/>
          <w:szCs w:val="18"/>
          <w:color w:val="auto"/>
        </w:rPr>
      </w:pPr>
    </w:p>
    <w:p>
      <w:pPr>
        <w:ind w:left="740" w:hanging="276"/>
        <w:spacing w:after="0"/>
        <w:tabs>
          <w:tab w:leader="none" w:pos="7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Other than to the extent permitted under the Lease, Tenant has not used or stored any Hazardous Substances in the Premises.</w:t>
      </w:r>
    </w:p>
    <w:p>
      <w:pPr>
        <w:spacing w:after="0" w:line="117" w:lineRule="exact"/>
        <w:rPr>
          <w:rFonts w:ascii="Arial" w:cs="Arial" w:eastAsia="Arial" w:hAnsi="Arial"/>
          <w:sz w:val="18"/>
          <w:szCs w:val="18"/>
          <w:color w:val="auto"/>
        </w:rPr>
      </w:pPr>
    </w:p>
    <w:p>
      <w:pPr>
        <w:ind w:firstLine="464"/>
        <w:spacing w:after="0" w:line="291" w:lineRule="auto"/>
        <w:tabs>
          <w:tab w:leader="none" w:pos="72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To Tenant’s knowledge, all improvement work to be performed by Landlord under the Lease has been completed in accordance with the Lease and has been accepted by Tenant and all reimbursements and allowances due to Tenant under the Lease in connection with any improvement work have been paid</w:t>
      </w:r>
    </w:p>
    <w:p>
      <w:pPr>
        <w:spacing w:after="0"/>
        <w:tabs>
          <w:tab w:leader="none" w:pos="2960" w:val="left"/>
        </w:tabs>
        <w:rPr>
          <w:sz w:val="20"/>
          <w:szCs w:val="20"/>
          <w:color w:val="auto"/>
        </w:rPr>
      </w:pPr>
      <w:r>
        <w:rPr>
          <w:rFonts w:ascii="Arial" w:cs="Arial" w:eastAsia="Arial" w:hAnsi="Arial"/>
          <w:sz w:val="18"/>
          <w:szCs w:val="18"/>
          <w:color w:val="auto"/>
        </w:rPr>
        <w:t>in full [except as follows:</w:t>
      </w:r>
      <w:r>
        <w:rPr>
          <w:sz w:val="20"/>
          <w:szCs w:val="20"/>
          <w:color w:val="auto"/>
        </w:rPr>
        <w:tab/>
      </w:r>
      <w:r>
        <w:rPr>
          <w:rFonts w:ascii="Arial" w:cs="Arial" w:eastAsia="Arial" w:hAnsi="Arial"/>
          <w:sz w:val="17"/>
          <w:szCs w:val="17"/>
          <w:color w:val="auto"/>
        </w:rPr>
        <w:t>].</w:t>
      </w:r>
    </w:p>
    <w:p>
      <w:pPr>
        <w:spacing w:after="0" w:line="10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Tenant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is a part and that receipt by it of this certificate is a condition of making such loan or acquiring such property.</w:t>
      </w:r>
    </w:p>
    <w:p>
      <w:pPr>
        <w:spacing w:after="0" w:line="147" w:lineRule="exact"/>
        <w:rPr>
          <w:sz w:val="20"/>
          <w:szCs w:val="20"/>
          <w:color w:val="auto"/>
        </w:rPr>
      </w:pPr>
    </w:p>
    <w:p>
      <w:pPr>
        <w:ind w:left="460"/>
        <w:spacing w:after="0"/>
        <w:tabs>
          <w:tab w:leader="none" w:pos="2420" w:val="left"/>
          <w:tab w:leader="none" w:pos="3120" w:val="left"/>
          <w:tab w:leader="none" w:pos="4520" w:val="left"/>
          <w:tab w:leader="none" w:pos="5060" w:val="left"/>
        </w:tabs>
        <w:rPr>
          <w:sz w:val="20"/>
          <w:szCs w:val="20"/>
          <w:color w:val="auto"/>
        </w:rPr>
      </w:pPr>
      <w:r>
        <w:rPr>
          <w:rFonts w:ascii="Arial" w:cs="Arial" w:eastAsia="Arial" w:hAnsi="Arial"/>
          <w:sz w:val="18"/>
          <w:szCs w:val="18"/>
          <w:color w:val="auto"/>
        </w:rPr>
        <w:t>Executed at</w:t>
      </w:r>
      <w:r>
        <w:rPr>
          <w:sz w:val="20"/>
          <w:szCs w:val="20"/>
          <w:color w:val="auto"/>
        </w:rPr>
        <w:tab/>
      </w:r>
      <w:r>
        <w:rPr>
          <w:rFonts w:ascii="Arial" w:cs="Arial" w:eastAsia="Arial" w:hAnsi="Arial"/>
          <w:sz w:val="18"/>
          <w:szCs w:val="18"/>
          <w:color w:val="auto"/>
        </w:rPr>
        <w:t>on the</w:t>
        <w:tab/>
        <w:t>day of</w:t>
      </w:r>
      <w:r>
        <w:rPr>
          <w:sz w:val="20"/>
          <w:szCs w:val="20"/>
          <w:color w:val="auto"/>
        </w:rPr>
        <w:tab/>
      </w:r>
      <w:r>
        <w:rPr>
          <w:rFonts w:ascii="Arial" w:cs="Arial" w:eastAsia="Arial" w:hAnsi="Arial"/>
          <w:sz w:val="18"/>
          <w:szCs w:val="18"/>
          <w:color w:val="auto"/>
        </w:rPr>
        <w:t>, 201</w:t>
        <w:tab/>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263525</wp:posOffset>
            </wp:positionV>
            <wp:extent cx="222885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71437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4432300</wp:posOffset>
            </wp:positionH>
            <wp:positionV relativeFrom="paragraph">
              <wp:posOffset>-19050</wp:posOffset>
            </wp:positionV>
            <wp:extent cx="22002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2002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117475</wp:posOffset>
            </wp:positionV>
            <wp:extent cx="6572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14605</wp:posOffset>
            </wp:positionV>
            <wp:extent cx="24612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-10160</wp:posOffset>
            </wp:positionV>
            <wp:extent cx="222885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126365</wp:posOffset>
            </wp:positionV>
            <wp:extent cx="8572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14605</wp:posOffset>
            </wp:positionV>
            <wp:extent cx="24612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-10160</wp:posOffset>
            </wp:positionV>
            <wp:extent cx="22288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126365</wp:posOffset>
            </wp:positionV>
            <wp:extent cx="857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437" w:name="page438"/>
    <w:bookmarkEnd w:id="43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MISSION BAY REQUIREMENTS</w:t>
      </w:r>
    </w:p>
    <w:p>
      <w:pPr>
        <w:spacing w:after="0" w:line="225" w:lineRule="exact"/>
        <w:rPr>
          <w:sz w:val="20"/>
          <w:szCs w:val="20"/>
          <w:color w:val="auto"/>
        </w:rPr>
      </w:pPr>
    </w:p>
    <w:p>
      <w:pPr>
        <w:ind w:right="80" w:firstLine="464"/>
        <w:spacing w:after="0" w:line="284" w:lineRule="auto"/>
        <w:tabs>
          <w:tab w:leader="none" w:pos="636" w:val="left"/>
        </w:tabs>
        <w:numPr>
          <w:ilvl w:val="1"/>
          <w:numId w:val="257"/>
        </w:numPr>
        <w:rPr>
          <w:rFonts w:ascii="Arial" w:cs="Arial" w:eastAsia="Arial" w:hAnsi="Arial"/>
          <w:sz w:val="16"/>
          <w:szCs w:val="16"/>
          <w:color w:val="auto"/>
        </w:rPr>
      </w:pPr>
      <w:r>
        <w:rPr>
          <w:rFonts w:ascii="Arial" w:cs="Arial" w:eastAsia="Arial" w:hAnsi="Arial"/>
          <w:sz w:val="16"/>
          <w:szCs w:val="16"/>
          <w:b w:val="1"/>
          <w:bCs w:val="1"/>
          <w:u w:val="single" w:color="auto"/>
          <w:color w:val="auto"/>
        </w:rPr>
        <w:t>Environmental Covenant</w:t>
      </w:r>
      <w:r>
        <w:rPr>
          <w:rFonts w:ascii="Arial" w:cs="Arial" w:eastAsia="Arial" w:hAnsi="Arial"/>
          <w:sz w:val="16"/>
          <w:szCs w:val="16"/>
          <w:color w:val="auto"/>
        </w:rPr>
        <w:t>. The Project may contain hazardous materials in soils and in the ground water under the Project, and is subject to a deed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 (Covenant and Environmental Restriction on Property) dated as of February 23, 2000, and recorded in the Official Records of the City and County of San Francisco, California (the “</w:t>
      </w:r>
      <w:r>
        <w:rPr>
          <w:rFonts w:ascii="Arial" w:cs="Arial" w:eastAsia="Arial" w:hAnsi="Arial"/>
          <w:sz w:val="16"/>
          <w:szCs w:val="16"/>
          <w:b w:val="1"/>
          <w:bCs w:val="1"/>
          <w:color w:val="auto"/>
        </w:rPr>
        <w:t>Official Records</w:t>
      </w:r>
      <w:r>
        <w:rPr>
          <w:rFonts w:ascii="Arial" w:cs="Arial" w:eastAsia="Arial" w:hAnsi="Arial"/>
          <w:sz w:val="16"/>
          <w:szCs w:val="16"/>
          <w:color w:val="auto"/>
        </w:rPr>
        <w:t>”) on March 21, 2000, as Document No. 2000-G748552 (the “</w:t>
      </w:r>
      <w:r>
        <w:rPr>
          <w:rFonts w:ascii="Arial" w:cs="Arial" w:eastAsia="Arial" w:hAnsi="Arial"/>
          <w:sz w:val="16"/>
          <w:szCs w:val="16"/>
          <w:b w:val="1"/>
          <w:bCs w:val="1"/>
          <w:color w:val="auto"/>
        </w:rPr>
        <w:t>Environmental Covenant</w:t>
      </w:r>
      <w:r>
        <w:rPr>
          <w:rFonts w:ascii="Arial" w:cs="Arial" w:eastAsia="Arial" w:hAnsi="Arial"/>
          <w:sz w:val="16"/>
          <w:szCs w:val="16"/>
          <w:color w:val="auto"/>
        </w:rPr>
        <w:t>”), which Environmental Covenant imposes certain covenants, conditions, and restrictions on usage of the Project. The foregoing statement is required by the Environmental Covenant and is not a declaration that a hazard exists. As required by Section 3.3 of the Environmental Covenant, Landlord hereby states as follows: “The land described herein may contain hazardous materials in soils and in the ground water under the property, and is subject to a deed restriction (Covenant and Restriction) dated as of February 23, 2000, and recorded on March 21, 2000, in the Official Records of San Francisco County, California, as Document No. G748552, which Covenant and Restriction imposes certain covenants, conditions, and restrictions on usage of the property described herein. This statement is not a declaration that a hazard exists.” The Environmental Covenant references and requires compliance with the provisions of the Risk Management Plan, Mission Bay Area, San Francisco, California, dated May 11, 1999 (as may be amended from time to time, the “</w:t>
      </w:r>
      <w:r>
        <w:rPr>
          <w:rFonts w:ascii="Arial" w:cs="Arial" w:eastAsia="Arial" w:hAnsi="Arial"/>
          <w:sz w:val="16"/>
          <w:szCs w:val="16"/>
          <w:b w:val="1"/>
          <w:bCs w:val="1"/>
          <w:color w:val="auto"/>
        </w:rPr>
        <w:t>RMP</w:t>
      </w:r>
      <w:r>
        <w:rPr>
          <w:rFonts w:ascii="Arial" w:cs="Arial" w:eastAsia="Arial" w:hAnsi="Arial"/>
          <w:sz w:val="16"/>
          <w:szCs w:val="16"/>
          <w:color w:val="auto"/>
        </w:rPr>
        <w:t>”). Tenant hereby acknowledges receipt of a copy of the original RMP, and hereby covenants (i) to comply with the RMP (to the extent the RMP applies to Tenant’s activities),</w:t>
      </w:r>
    </w:p>
    <w:p>
      <w:pPr>
        <w:ind w:firstLine="8"/>
        <w:spacing w:after="0" w:line="268" w:lineRule="auto"/>
        <w:tabs>
          <w:tab w:leader="none" w:pos="26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obligate other entities with which Tenant contracts for construction, property maintenance, or other activities that may disturb soil or groundwater to comply with the applicable provisions of the RMP, and (iii) to refrain (and to cause the entities with which it so contracts to refrain) from interfering with Landlord’s or other Occupant’s (with “Occupant” having the meaning ascribed in the Environmental Covenant) compliance with the RMP. Additionally, in all future leases, licenses, permits, or other agreements between Tenant and another entity which authorizes such entity to undertake or to engage in activities that are subject to one or more requirements set forth in the RMP, Tenant will provide a copy of the RMP or its relevant provisions prior to execution of such agreements and ensure that such agreements contain covenants that (i) such entity will comply with the RMP (to the extent the RMP applies to the entity’s activities); (ii) such entity will obligate other entities with which it contracts for construction, property maintenance or other activities which may disturb soil or groundwater to comply with the applicable provisions of the RMP; and (iii) such entity (and the entities with which it so contracts) will refrain from interfering with Landlord’s, Tenant’s, or other Occupants’ compliance with the RMP.</w:t>
      </w:r>
    </w:p>
    <w:p>
      <w:pPr>
        <w:spacing w:after="0" w:line="69" w:lineRule="exact"/>
        <w:rPr>
          <w:rFonts w:ascii="Arial" w:cs="Arial" w:eastAsia="Arial" w:hAnsi="Arial"/>
          <w:sz w:val="17"/>
          <w:szCs w:val="17"/>
          <w:color w:val="auto"/>
        </w:rPr>
      </w:pPr>
    </w:p>
    <w:p>
      <w:pPr>
        <w:ind w:left="640" w:hanging="176"/>
        <w:spacing w:after="0"/>
        <w:tabs>
          <w:tab w:leader="none" w:pos="640" w:val="left"/>
        </w:tabs>
        <w:numPr>
          <w:ilvl w:val="1"/>
          <w:numId w:val="258"/>
        </w:numPr>
        <w:rPr>
          <w:rFonts w:ascii="Arial" w:cs="Arial" w:eastAsia="Arial" w:hAnsi="Arial"/>
          <w:sz w:val="17"/>
          <w:szCs w:val="17"/>
          <w:color w:val="auto"/>
        </w:rPr>
      </w:pPr>
      <w:r>
        <w:rPr>
          <w:rFonts w:ascii="Arial" w:cs="Arial" w:eastAsia="Arial" w:hAnsi="Arial"/>
          <w:sz w:val="17"/>
          <w:szCs w:val="17"/>
          <w:b w:val="1"/>
          <w:bCs w:val="1"/>
          <w:u w:val="single" w:color="auto"/>
          <w:color w:val="auto"/>
        </w:rPr>
        <w:t>Special Tax Acknowledgment</w:t>
      </w:r>
      <w:r>
        <w:rPr>
          <w:rFonts w:ascii="Arial" w:cs="Arial" w:eastAsia="Arial" w:hAnsi="Arial"/>
          <w:sz w:val="17"/>
          <w:szCs w:val="17"/>
          <w:color w:val="auto"/>
        </w:rPr>
        <w:t>. In accordance with Section 53341.5 of the California Government Code, Tenant previously has delivered to</w:t>
      </w:r>
    </w:p>
    <w:p>
      <w:pPr>
        <w:spacing w:after="0" w:line="38"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Landlord acknowledgments, duly executed by Tenant, confirming that Tenant has been advised of the terms and conditions of the “CFDs” (as defined below), including that the Project is subject to the “CFD Assessments” (as defined below). As used herein, (a) ”</w:t>
      </w:r>
      <w:r>
        <w:rPr>
          <w:rFonts w:ascii="Arial" w:cs="Arial" w:eastAsia="Arial" w:hAnsi="Arial"/>
          <w:sz w:val="18"/>
          <w:szCs w:val="18"/>
          <w:b w:val="1"/>
          <w:bCs w:val="1"/>
          <w:color w:val="auto"/>
        </w:rPr>
        <w:t>CFDs</w:t>
      </w:r>
      <w:r>
        <w:rPr>
          <w:rFonts w:ascii="Arial" w:cs="Arial" w:eastAsia="Arial" w:hAnsi="Arial"/>
          <w:sz w:val="18"/>
          <w:szCs w:val="18"/>
          <w:color w:val="auto"/>
        </w:rPr>
        <w:t>” shall mean, collectively, (i) the Redevelopment Agency Community Facilities District No. 5 (Mission Bay Maintenance) (the “</w:t>
      </w:r>
      <w:r>
        <w:rPr>
          <w:rFonts w:ascii="Arial" w:cs="Arial" w:eastAsia="Arial" w:hAnsi="Arial"/>
          <w:sz w:val="18"/>
          <w:szCs w:val="18"/>
          <w:b w:val="1"/>
          <w:bCs w:val="1"/>
          <w:color w:val="auto"/>
        </w:rPr>
        <w:t>Maintenance CFD</w:t>
      </w:r>
      <w:r>
        <w:rPr>
          <w:rFonts w:ascii="Arial" w:cs="Arial" w:eastAsia="Arial" w:hAnsi="Arial"/>
          <w:sz w:val="18"/>
          <w:szCs w:val="18"/>
          <w:color w:val="auto"/>
        </w:rPr>
        <w:t>”) (established to pay a portion of the costs of ongoing maintenance of open space parcels 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438" w:name="page439"/>
    <w:bookmarkEnd w:id="43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Mission Bay), (ii) the Redevelopment Agency Community Facilities District No. 6 (Mission Bay South Public Improvements) (the “</w:t>
      </w:r>
      <w:r>
        <w:rPr>
          <w:rFonts w:ascii="Arial" w:cs="Arial" w:eastAsia="Arial" w:hAnsi="Arial"/>
          <w:sz w:val="16"/>
          <w:szCs w:val="16"/>
          <w:b w:val="1"/>
          <w:bCs w:val="1"/>
          <w:color w:val="auto"/>
        </w:rPr>
        <w:t>Infrastructure CFD</w:t>
      </w:r>
      <w:r>
        <w:rPr>
          <w:rFonts w:ascii="Arial" w:cs="Arial" w:eastAsia="Arial" w:hAnsi="Arial"/>
          <w:sz w:val="16"/>
          <w:szCs w:val="16"/>
          <w:color w:val="auto"/>
        </w:rPr>
        <w:t>”) (established to pay a portion of the costs of constructing and installing public infrastructure in Mission Bay), and (iii) the San Francisco Unified School District of the City and County of San Francisco Community Facilities District No. 90-1 (Public School Facilities) (the “</w:t>
      </w:r>
      <w:r>
        <w:rPr>
          <w:rFonts w:ascii="Arial" w:cs="Arial" w:eastAsia="Arial" w:hAnsi="Arial"/>
          <w:sz w:val="16"/>
          <w:szCs w:val="16"/>
          <w:b w:val="1"/>
          <w:bCs w:val="1"/>
          <w:color w:val="auto"/>
        </w:rPr>
        <w:t>Public School CFD</w:t>
      </w:r>
      <w:r>
        <w:rPr>
          <w:rFonts w:ascii="Arial" w:cs="Arial" w:eastAsia="Arial" w:hAnsi="Arial"/>
          <w:sz w:val="16"/>
          <w:szCs w:val="16"/>
          <w:color w:val="auto"/>
        </w:rPr>
        <w:t>”) (established to pay a portion of the costs of acquiring and/or constructing public school facilities), and (b) ”</w:t>
      </w:r>
      <w:r>
        <w:rPr>
          <w:rFonts w:ascii="Arial" w:cs="Arial" w:eastAsia="Arial" w:hAnsi="Arial"/>
          <w:sz w:val="16"/>
          <w:szCs w:val="16"/>
          <w:b w:val="1"/>
          <w:bCs w:val="1"/>
          <w:color w:val="auto"/>
        </w:rPr>
        <w:t>CFD Assessments</w:t>
      </w:r>
      <w:r>
        <w:rPr>
          <w:rFonts w:ascii="Arial" w:cs="Arial" w:eastAsia="Arial" w:hAnsi="Arial"/>
          <w:sz w:val="16"/>
          <w:szCs w:val="16"/>
          <w:color w:val="auto"/>
        </w:rPr>
        <w:t>” shall mean the special taxes (i) to be levied on the Project and other property in Mission Bay in accordance with the terms and conditions of the “Rate and Method of Apportionment of Special Tax” applicable to the Infrastructure CFD and the Maintenance CFD, respectively, and (ii) to be levied on the Project and other property in accordance with the terms and conditions applicable to the Public School CFD. Tenant acknowledges that, pursuant to the CFDs, CFD Assessments may be levied on the Project and that, without limiting the generality of any other provision contained in this Lease, Direct Expenses shall include all such CFD Assessments.</w:t>
      </w:r>
    </w:p>
    <w:p>
      <w:pPr>
        <w:spacing w:after="0" w:line="52" w:lineRule="exact"/>
        <w:rPr>
          <w:sz w:val="20"/>
          <w:szCs w:val="20"/>
          <w:color w:val="auto"/>
        </w:rPr>
      </w:pPr>
    </w:p>
    <w:p>
      <w:pPr>
        <w:ind w:right="300" w:firstLine="464"/>
        <w:spacing w:after="0" w:line="286" w:lineRule="auto"/>
        <w:tabs>
          <w:tab w:leader="none" w:pos="636" w:val="left"/>
        </w:tabs>
        <w:numPr>
          <w:ilvl w:val="1"/>
          <w:numId w:val="259"/>
        </w:numPr>
        <w:rPr>
          <w:rFonts w:ascii="Arial" w:cs="Arial" w:eastAsia="Arial" w:hAnsi="Arial"/>
          <w:sz w:val="16"/>
          <w:szCs w:val="16"/>
          <w:color w:val="auto"/>
        </w:rPr>
      </w:pPr>
      <w:r>
        <w:rPr>
          <w:rFonts w:ascii="Arial" w:cs="Arial" w:eastAsia="Arial" w:hAnsi="Arial"/>
          <w:sz w:val="16"/>
          <w:szCs w:val="16"/>
          <w:b w:val="1"/>
          <w:bCs w:val="1"/>
          <w:u w:val="single" w:color="auto"/>
          <w:color w:val="auto"/>
        </w:rPr>
        <w:t>Project Labor Agreement</w:t>
      </w:r>
      <w:r>
        <w:rPr>
          <w:rFonts w:ascii="Arial" w:cs="Arial" w:eastAsia="Arial" w:hAnsi="Arial"/>
          <w:sz w:val="16"/>
          <w:szCs w:val="16"/>
          <w:color w:val="auto"/>
        </w:rPr>
        <w:t>. Tenant has been informed by Landlord of the following: (a) Perini Corporation, CDC and its parent, subsidiaries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developers in which it holds a majority interest (collectively, “</w:t>
      </w:r>
      <w:r>
        <w:rPr>
          <w:rFonts w:ascii="Arial" w:cs="Arial" w:eastAsia="Arial" w:hAnsi="Arial"/>
          <w:sz w:val="16"/>
          <w:szCs w:val="16"/>
          <w:b w:val="1"/>
          <w:bCs w:val="1"/>
          <w:color w:val="auto"/>
        </w:rPr>
        <w:t>CDC Parties</w:t>
      </w:r>
      <w:r>
        <w:rPr>
          <w:rFonts w:ascii="Arial" w:cs="Arial" w:eastAsia="Arial" w:hAnsi="Arial"/>
          <w:sz w:val="16"/>
          <w:szCs w:val="16"/>
          <w:color w:val="auto"/>
        </w:rPr>
        <w:t>”), the San Francisco Building and Construction Trades Council, AFL-CIO (“</w:t>
      </w:r>
      <w:r>
        <w:rPr>
          <w:rFonts w:ascii="Arial" w:cs="Arial" w:eastAsia="Arial" w:hAnsi="Arial"/>
          <w:sz w:val="16"/>
          <w:szCs w:val="16"/>
          <w:b w:val="1"/>
          <w:bCs w:val="1"/>
          <w:color w:val="auto"/>
        </w:rPr>
        <w:t>Council</w:t>
      </w:r>
      <w:r>
        <w:rPr>
          <w:rFonts w:ascii="Arial" w:cs="Arial" w:eastAsia="Arial" w:hAnsi="Arial"/>
          <w:sz w:val="16"/>
          <w:szCs w:val="16"/>
          <w:color w:val="auto"/>
        </w:rPr>
        <w:t>”), and certain affiliated local unions originally entered into a certain Mission Bay Project Agreement (the “</w:t>
      </w:r>
      <w:r>
        <w:rPr>
          <w:rFonts w:ascii="Arial" w:cs="Arial" w:eastAsia="Arial" w:hAnsi="Arial"/>
          <w:sz w:val="16"/>
          <w:szCs w:val="16"/>
          <w:b w:val="1"/>
          <w:bCs w:val="1"/>
          <w:color w:val="auto"/>
        </w:rPr>
        <w:t>Original Project Labor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for the Mission Bay project on October 8, 1990, pursuant to which (i) CDC Parties agreed, to the fullest extent possible, to award 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contracts in Mission Bay for “Covered Work” (as defined in the Original Project Labor Agreement) to unionized construction firms; and</w:t>
      </w:r>
    </w:p>
    <w:p>
      <w:pPr>
        <w:spacing w:after="0" w:line="2" w:lineRule="exact"/>
        <w:rPr>
          <w:rFonts w:ascii="Arial" w:cs="Arial" w:eastAsia="Arial" w:hAnsi="Arial"/>
          <w:sz w:val="16"/>
          <w:szCs w:val="16"/>
          <w:color w:val="auto"/>
        </w:rPr>
      </w:pPr>
    </w:p>
    <w:p>
      <w:pPr>
        <w:ind w:right="80" w:firstLine="8"/>
        <w:spacing w:after="0" w:line="284" w:lineRule="auto"/>
        <w:tabs>
          <w:tab w:leader="none" w:pos="25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CDC and the individual members of the Council entered into an Addendum to Agreement (“</w:t>
      </w:r>
      <w:r>
        <w:rPr>
          <w:rFonts w:ascii="Arial" w:cs="Arial" w:eastAsia="Arial" w:hAnsi="Arial"/>
          <w:sz w:val="16"/>
          <w:szCs w:val="16"/>
          <w:b w:val="1"/>
          <w:bCs w:val="1"/>
          <w:color w:val="auto"/>
        </w:rPr>
        <w:t>Addendum</w:t>
      </w:r>
      <w:r>
        <w:rPr>
          <w:rFonts w:ascii="Arial" w:cs="Arial" w:eastAsia="Arial" w:hAnsi="Arial"/>
          <w:sz w:val="16"/>
          <w:szCs w:val="16"/>
          <w:color w:val="auto"/>
        </w:rPr>
        <w:t>”) that amended certain terms of the Original Project Labor Agreement (the Original Project Labor Agreement, as amended by the Addendum, shall be referred to as the “</w:t>
      </w:r>
      <w:r>
        <w:rPr>
          <w:rFonts w:ascii="Arial" w:cs="Arial" w:eastAsia="Arial" w:hAnsi="Arial"/>
          <w:sz w:val="16"/>
          <w:szCs w:val="16"/>
          <w:b w:val="1"/>
          <w:bCs w:val="1"/>
          <w:color w:val="auto"/>
        </w:rPr>
        <w:t>Project Labor Agreement</w:t>
      </w:r>
      <w:r>
        <w:rPr>
          <w:rFonts w:ascii="Arial" w:cs="Arial" w:eastAsia="Arial" w:hAnsi="Arial"/>
          <w:sz w:val="16"/>
          <w:szCs w:val="16"/>
          <w:color w:val="auto"/>
        </w:rPr>
        <w:t>”), pursuant to which CDC agreed that CDC would require, as a condition of any sale, conveyance, ground lease, or donation of real property covered by the Project Labor Agreement (“</w:t>
      </w:r>
      <w:r>
        <w:rPr>
          <w:rFonts w:ascii="Arial" w:cs="Arial" w:eastAsia="Arial" w:hAnsi="Arial"/>
          <w:sz w:val="16"/>
          <w:szCs w:val="16"/>
          <w:b w:val="1"/>
          <w:bCs w:val="1"/>
          <w:color w:val="auto"/>
        </w:rPr>
        <w:t>Covered Property</w:t>
      </w:r>
      <w:r>
        <w:rPr>
          <w:rFonts w:ascii="Arial" w:cs="Arial" w:eastAsia="Arial" w:hAnsi="Arial"/>
          <w:sz w:val="16"/>
          <w:szCs w:val="16"/>
          <w:color w:val="auto"/>
        </w:rPr>
        <w:t>”), that any and all successors in interest and/or assignees, buyers, ground lessees, or donees (any of the foregoing, a “</w:t>
      </w:r>
      <w:r>
        <w:rPr>
          <w:rFonts w:ascii="Arial" w:cs="Arial" w:eastAsia="Arial" w:hAnsi="Arial"/>
          <w:sz w:val="16"/>
          <w:szCs w:val="16"/>
          <w:b w:val="1"/>
          <w:bCs w:val="1"/>
          <w:color w:val="auto"/>
        </w:rPr>
        <w:t>Covered Successor</w:t>
      </w:r>
      <w:r>
        <w:rPr>
          <w:rFonts w:ascii="Arial" w:cs="Arial" w:eastAsia="Arial" w:hAnsi="Arial"/>
          <w:sz w:val="16"/>
          <w:szCs w:val="16"/>
          <w:color w:val="auto"/>
        </w:rPr>
        <w:t>”) of Covered Property shall require any contractors to which the Covered Successor contracts work that is covered by the Project Labor Agreement to sign and become a party to a successor project labor agreement (a “</w:t>
      </w:r>
      <w:r>
        <w:rPr>
          <w:rFonts w:ascii="Arial" w:cs="Arial" w:eastAsia="Arial" w:hAnsi="Arial"/>
          <w:sz w:val="16"/>
          <w:szCs w:val="16"/>
          <w:b w:val="1"/>
          <w:bCs w:val="1"/>
          <w:color w:val="auto"/>
        </w:rPr>
        <w:t>Successor Project Labor Agreement</w:t>
      </w:r>
      <w:r>
        <w:rPr>
          <w:rFonts w:ascii="Arial" w:cs="Arial" w:eastAsia="Arial" w:hAnsi="Arial"/>
          <w:sz w:val="16"/>
          <w:szCs w:val="16"/>
          <w:color w:val="auto"/>
        </w:rPr>
        <w:t xml:space="preserve">”, the form of which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to this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Tenant acknowledges that the Project is Covered Property, that Landlord is a Covered Successor, and that Landlord has agreed to require any contractors to which Landlord contracts work which is Covered Work to sign and become a party to a Successor Project Labor Agreement. Accordingly, Tenant hereby agrees that Tenant shall require any contractors to which Tenant or any of its contractors contract work which is Covered Work to execute and deliver a Successor Project Labor Agreement. If Tenant acts as a contractor, Tenant shall be required to sign a Successor Project Labor Agreement as project contractor. Tenant will cause its general contractor to execute a Successor Project Labor Agreement prior to the commencement of any construction work on the Project and shall deliver an executed original of each Successor Project Labor Agreement to Landlord. Following Landlord’s receipt of such executed original of the Successor Project Labor Agreement, Landlord shall use commercially reasonable efforts to obtain full execution of the Successor Project Labor Agreement by the union signatories, but Tenant acknowledges that Landlord shall have no liability whatsoever if full execution of the Successor Project Labor Agreement is not obtained.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439" w:name="page440"/>
    <w:bookmarkEnd w:id="439"/>
    <w:p>
      <w:pPr>
        <w:ind w:right="180" w:firstLine="464"/>
        <w:spacing w:after="0" w:line="261" w:lineRule="auto"/>
        <w:tabs>
          <w:tab w:leader="none" w:pos="636" w:val="left"/>
        </w:tabs>
        <w:numPr>
          <w:ilvl w:val="1"/>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Source Hiring Program</w:t>
      </w:r>
      <w:r>
        <w:rPr>
          <w:rFonts w:ascii="Arial" w:cs="Arial" w:eastAsia="Arial" w:hAnsi="Arial"/>
          <w:sz w:val="18"/>
          <w:szCs w:val="18"/>
          <w:color w:val="auto"/>
        </w:rPr>
        <w:t>. Tenant has been informed by Landlord that there is a City-wide “First Source Hiring Program” (“</w:t>
      </w:r>
      <w:r>
        <w:rPr>
          <w:rFonts w:ascii="Arial" w:cs="Arial" w:eastAsia="Arial" w:hAnsi="Arial"/>
          <w:sz w:val="18"/>
          <w:szCs w:val="18"/>
          <w:b w:val="1"/>
          <w:bCs w:val="1"/>
          <w:color w:val="auto"/>
        </w:rPr>
        <w:t>FSHP</w:t>
      </w:r>
      <w:r>
        <w:rPr>
          <w:rFonts w:ascii="Arial" w:cs="Arial" w:eastAsia="Arial" w:hAnsi="Arial"/>
          <w:sz w:val="18"/>
          <w:szCs w:val="18"/>
          <w:color w:val="auto"/>
        </w:rPr>
        <w:t>”)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City and County of San Francisco on August 10, 1998, Ordinance No. 264-98). Tenant hereby acknowledges that its activities with respect to the Project are or may be subject to the FSHP. Accordingly, Tenant shall comply with any provisions of the FSHP that are applicable to the Premises or any construction in, or use or development of, the Premises by Tenant.</w:t>
      </w:r>
    </w:p>
    <w:p>
      <w:pPr>
        <w:spacing w:after="0" w:line="71" w:lineRule="exact"/>
        <w:rPr>
          <w:rFonts w:ascii="Arial" w:cs="Arial" w:eastAsia="Arial" w:hAnsi="Arial"/>
          <w:sz w:val="18"/>
          <w:szCs w:val="18"/>
          <w:color w:val="auto"/>
        </w:rPr>
      </w:pPr>
    </w:p>
    <w:p>
      <w:pPr>
        <w:ind w:firstLine="464"/>
        <w:spacing w:after="0" w:line="272" w:lineRule="auto"/>
        <w:tabs>
          <w:tab w:leader="none" w:pos="636" w:val="left"/>
        </w:tabs>
        <w:numPr>
          <w:ilvl w:val="1"/>
          <w:numId w:val="261"/>
        </w:numPr>
        <w:rPr>
          <w:rFonts w:ascii="Arial" w:cs="Arial" w:eastAsia="Arial" w:hAnsi="Arial"/>
          <w:sz w:val="17"/>
          <w:szCs w:val="17"/>
          <w:color w:val="auto"/>
        </w:rPr>
      </w:pPr>
      <w:r>
        <w:rPr>
          <w:rFonts w:ascii="Arial" w:cs="Arial" w:eastAsia="Arial" w:hAnsi="Arial"/>
          <w:sz w:val="17"/>
          <w:szCs w:val="17"/>
          <w:b w:val="1"/>
          <w:bCs w:val="1"/>
          <w:u w:val="single" w:color="auto"/>
          <w:color w:val="auto"/>
        </w:rPr>
        <w:t>Non-Discrimination</w:t>
      </w:r>
      <w:r>
        <w:rPr>
          <w:rFonts w:ascii="Arial" w:cs="Arial" w:eastAsia="Arial" w:hAnsi="Arial"/>
          <w:sz w:val="17"/>
          <w:szCs w:val="17"/>
          <w:color w:val="auto"/>
        </w:rPr>
        <w:t>. Without limiting the generality of any other provision of this Lease, there shall be no discrimination against, or segregation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or group of persons or any employee or applicant for employment on account of race, color, creed, religion, sex, marital or domestic partner status, familial status, national origin, ancestry, lawful source of income (as defined in Section 3304 of the San Francisco Police Code), gender identity, sexual orientation, age, or disability (including, without limitation, HIV/AIDS status) in the sale, lease, sublease, transfer, use, occupancy, tenure, or enjoyment of any part of the Project, nor shall Tenant or any person claiming under or through Tenant, establish or permit any such practice or practices of discrimination or segregation with reference to the selection, location, number, use, or occupancy of tenants, lessees, subtenants, sublessees, or vendees in any part of the Project. All deeds, leases, subleases, or contracts concerning the Project shall contain the non-discrimination and non-segregation clauses specified for each type of document in Section 33436 of the California Health and Safety Code.</w:t>
      </w:r>
    </w:p>
    <w:p>
      <w:pPr>
        <w:spacing w:after="0" w:line="64" w:lineRule="exact"/>
        <w:rPr>
          <w:rFonts w:ascii="Arial" w:cs="Arial" w:eastAsia="Arial" w:hAnsi="Arial"/>
          <w:sz w:val="17"/>
          <w:szCs w:val="17"/>
          <w:color w:val="auto"/>
        </w:rPr>
      </w:pPr>
    </w:p>
    <w:p>
      <w:pPr>
        <w:ind w:right="40" w:firstLine="464"/>
        <w:spacing w:after="0" w:line="284" w:lineRule="auto"/>
        <w:tabs>
          <w:tab w:leader="none" w:pos="636" w:val="left"/>
        </w:tabs>
        <w:numPr>
          <w:ilvl w:val="1"/>
          <w:numId w:val="261"/>
        </w:numPr>
        <w:rPr>
          <w:rFonts w:ascii="Arial" w:cs="Arial" w:eastAsia="Arial" w:hAnsi="Arial"/>
          <w:sz w:val="16"/>
          <w:szCs w:val="16"/>
          <w:color w:val="auto"/>
        </w:rPr>
      </w:pPr>
      <w:r>
        <w:rPr>
          <w:rFonts w:ascii="Arial" w:cs="Arial" w:eastAsia="Arial" w:hAnsi="Arial"/>
          <w:sz w:val="16"/>
          <w:szCs w:val="16"/>
          <w:b w:val="1"/>
          <w:bCs w:val="1"/>
          <w:u w:val="single" w:color="auto"/>
          <w:color w:val="auto"/>
        </w:rPr>
        <w:t>Tax Exempt Entities</w:t>
      </w:r>
      <w:r>
        <w:rPr>
          <w:rFonts w:ascii="Arial" w:cs="Arial" w:eastAsia="Arial" w:hAnsi="Arial"/>
          <w:sz w:val="16"/>
          <w:szCs w:val="16"/>
          <w:color w:val="auto"/>
        </w:rPr>
        <w:t>. Tenant acknowledges that it has received and reviewed that certain Grant Deed dated May 19, 2014, executed and</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on behalf of FOCIL-MB, LLC, and Landlord, recorded in the Official Records on May 23, 2014, as Document No. 2014-J886903-00 (the “</w:t>
      </w:r>
      <w:r>
        <w:rPr>
          <w:rFonts w:ascii="Arial" w:cs="Arial" w:eastAsia="Arial" w:hAnsi="Arial"/>
          <w:sz w:val="16"/>
          <w:szCs w:val="16"/>
          <w:b w:val="1"/>
          <w:bCs w:val="1"/>
          <w:color w:val="auto"/>
        </w:rPr>
        <w:t>Grant Deed</w:t>
      </w:r>
      <w:r>
        <w:rPr>
          <w:rFonts w:ascii="Arial" w:cs="Arial" w:eastAsia="Arial" w:hAnsi="Arial"/>
          <w:sz w:val="16"/>
          <w:szCs w:val="16"/>
          <w:color w:val="auto"/>
        </w:rPr>
        <w:t>”), and further that this Lease and Tenant are subject and subordinate to, and Tenant shall not violate, the covenants contained in such Grant Deed. Such Grant Deed contains certain covenants by Landlord regarding payments of taxes (or payments in lieu of taxes) if (a) there is any sale, assignment, conveyance, lease, sublease, or other alienation of any portion of the Project to an entity that is or could be exempt from property taxation (a “</w:t>
      </w:r>
      <w:r>
        <w:rPr>
          <w:rFonts w:ascii="Arial" w:cs="Arial" w:eastAsia="Arial" w:hAnsi="Arial"/>
          <w:sz w:val="16"/>
          <w:szCs w:val="16"/>
          <w:b w:val="1"/>
          <w:bCs w:val="1"/>
          <w:color w:val="auto"/>
        </w:rPr>
        <w:t>Tax Exempt</w:t>
      </w:r>
      <w:r>
        <w:rPr>
          <w:rFonts w:ascii="Arial" w:cs="Arial" w:eastAsia="Arial" w:hAnsi="Arial"/>
          <w:sz w:val="16"/>
          <w:szCs w:val="16"/>
          <w:color w:val="auto"/>
        </w:rPr>
        <w:t xml:space="preserve"> </w:t>
      </w:r>
      <w:r>
        <w:rPr>
          <w:rFonts w:ascii="Arial" w:cs="Arial" w:eastAsia="Arial" w:hAnsi="Arial"/>
          <w:sz w:val="16"/>
          <w:szCs w:val="16"/>
          <w:b w:val="1"/>
          <w:bCs w:val="1"/>
          <w:color w:val="auto"/>
        </w:rPr>
        <w:t>Entity</w:t>
      </w:r>
      <w:r>
        <w:rPr>
          <w:rFonts w:ascii="Arial" w:cs="Arial" w:eastAsia="Arial" w:hAnsi="Arial"/>
          <w:sz w:val="16"/>
          <w:szCs w:val="16"/>
          <w:color w:val="auto"/>
        </w:rPr>
        <w:t>”), or (b) there is a grant to a Tax Exempt Entity of occupancy rights (such as under a space lease) where, as the result of such grant, all or any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improvements on all or any portion of the Project would or could be exempt from property taxation. Accordingly, Tenant shall not Transfer the Premises, or any portion thereof, or sublease space in, or otherwise grant any occupancy rights, in the Premises to any Tax Exempt Entity without first:</w:t>
      </w:r>
    </w:p>
    <w:p>
      <w:pPr>
        <w:spacing w:after="0" w:line="5" w:lineRule="exact"/>
        <w:rPr>
          <w:rFonts w:ascii="Arial" w:cs="Arial" w:eastAsia="Arial" w:hAnsi="Arial"/>
          <w:sz w:val="16"/>
          <w:szCs w:val="16"/>
          <w:color w:val="auto"/>
        </w:rPr>
      </w:pPr>
    </w:p>
    <w:p>
      <w:pPr>
        <w:ind w:right="20" w:firstLine="8"/>
        <w:spacing w:after="0" w:line="268" w:lineRule="auto"/>
        <w:tabs>
          <w:tab w:leader="none" w:pos="24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obtaining from such Tax Exempt Entity a binding contractual commitment, in form and substance reasonably satisfactory to, and for the benefit of, the Successor Agency to the Redevelopment Agency (the “</w:t>
      </w:r>
      <w:r>
        <w:rPr>
          <w:rFonts w:ascii="Arial" w:cs="Arial" w:eastAsia="Arial" w:hAnsi="Arial"/>
          <w:sz w:val="17"/>
          <w:szCs w:val="17"/>
          <w:b w:val="1"/>
          <w:bCs w:val="1"/>
          <w:color w:val="auto"/>
        </w:rPr>
        <w:t>Successor Agency</w:t>
      </w:r>
      <w:r>
        <w:rPr>
          <w:rFonts w:ascii="Arial" w:cs="Arial" w:eastAsia="Arial" w:hAnsi="Arial"/>
          <w:sz w:val="17"/>
          <w:szCs w:val="17"/>
          <w:color w:val="auto"/>
        </w:rPr>
        <w:t>”) and the City and County of San Francisco (collectively, “</w:t>
      </w:r>
      <w:r>
        <w:rPr>
          <w:rFonts w:ascii="Arial" w:cs="Arial" w:eastAsia="Arial" w:hAnsi="Arial"/>
          <w:sz w:val="17"/>
          <w:szCs w:val="17"/>
          <w:b w:val="1"/>
          <w:bCs w:val="1"/>
          <w:color w:val="auto"/>
        </w:rPr>
        <w:t>City and County</w:t>
      </w:r>
      <w:r>
        <w:rPr>
          <w:rFonts w:ascii="Arial" w:cs="Arial" w:eastAsia="Arial" w:hAnsi="Arial"/>
          <w:sz w:val="17"/>
          <w:szCs w:val="17"/>
          <w:color w:val="auto"/>
        </w:rPr>
        <w:t>”), obligating such entity to make a payment in lieu of taxes (“</w:t>
      </w:r>
      <w:r>
        <w:rPr>
          <w:rFonts w:ascii="Arial" w:cs="Arial" w:eastAsia="Arial" w:hAnsi="Arial"/>
          <w:sz w:val="17"/>
          <w:szCs w:val="17"/>
          <w:b w:val="1"/>
          <w:bCs w:val="1"/>
          <w:color w:val="auto"/>
        </w:rPr>
        <w:t>PILOT Agreement</w:t>
      </w:r>
      <w:r>
        <w:rPr>
          <w:rFonts w:ascii="Arial" w:cs="Arial" w:eastAsia="Arial" w:hAnsi="Arial"/>
          <w:sz w:val="17"/>
          <w:szCs w:val="17"/>
          <w:color w:val="auto"/>
        </w:rPr>
        <w:t>”) equal to the full amount of the property taxes that would have been assessed against the Premises notwithstanding such occupancy by a Tax Exempt Entity; or (b) entering into a binding PILOT Agreement, in form and substance reasonably satisfactory to, and for the benefit of, the Successor Agency and the City and County, requiring the full payment of property taxes (or a payment in lieu thereof in an amount equal to the property taxes) that would have been assessed against the Premises notwithstanding such occupancy by such Tax Exempt Entity, or (c) obtaining the written consent of the Successor Agency and the City and County, in their respective sole discretion. Tenant hereby agrees not to request that Landlord request an adjustment to the “Base Year Value” (as defined below) for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40" w:name="page441"/>
    <w:bookmarkEnd w:id="44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 Plan Area” (as defined in the OPA), or any portion thereof, as a result of any Transfer permitted under this Lease to a Tax Exempt Entity. For purposes hereof, (i) the term “</w:t>
      </w:r>
      <w:r>
        <w:rPr>
          <w:rFonts w:ascii="Arial" w:cs="Arial" w:eastAsia="Arial" w:hAnsi="Arial"/>
          <w:sz w:val="18"/>
          <w:szCs w:val="18"/>
          <w:b w:val="1"/>
          <w:bCs w:val="1"/>
          <w:color w:val="auto"/>
        </w:rPr>
        <w:t>Base Year Value</w:t>
      </w:r>
      <w:r>
        <w:rPr>
          <w:rFonts w:ascii="Arial" w:cs="Arial" w:eastAsia="Arial" w:hAnsi="Arial"/>
          <w:sz w:val="18"/>
          <w:szCs w:val="18"/>
          <w:color w:val="auto"/>
        </w:rPr>
        <w:t>” means the aggregate assessed value of property within the South Plan Area on the assessment roll last equalized prior to the effective date of the ordinance adopting the Redevelopment Plan, and (ii) the term “last equalized” has the meaning set forth in Section 2052 of the California Revenue and Tax Code.</w:t>
      </w:r>
    </w:p>
    <w:p>
      <w:pPr>
        <w:spacing w:after="0" w:line="75" w:lineRule="exact"/>
        <w:rPr>
          <w:sz w:val="20"/>
          <w:szCs w:val="20"/>
          <w:color w:val="auto"/>
        </w:rPr>
      </w:pPr>
    </w:p>
    <w:p>
      <w:pPr>
        <w:ind w:right="20" w:firstLine="464"/>
        <w:spacing w:after="0" w:line="277" w:lineRule="auto"/>
        <w:tabs>
          <w:tab w:leader="none" w:pos="636" w:val="left"/>
        </w:tabs>
        <w:numPr>
          <w:ilvl w:val="0"/>
          <w:numId w:val="263"/>
        </w:numPr>
        <w:rPr>
          <w:rFonts w:ascii="Arial" w:cs="Arial" w:eastAsia="Arial" w:hAnsi="Arial"/>
          <w:sz w:val="17"/>
          <w:szCs w:val="17"/>
          <w:color w:val="auto"/>
        </w:rPr>
      </w:pPr>
      <w:r>
        <w:rPr>
          <w:rFonts w:ascii="Arial" w:cs="Arial" w:eastAsia="Arial" w:hAnsi="Arial"/>
          <w:sz w:val="17"/>
          <w:szCs w:val="17"/>
          <w:b w:val="1"/>
          <w:bCs w:val="1"/>
          <w:u w:val="single" w:color="auto"/>
          <w:color w:val="auto"/>
        </w:rPr>
        <w:t>Mitigation Measures</w:t>
      </w:r>
      <w:r>
        <w:rPr>
          <w:rFonts w:ascii="Arial" w:cs="Arial" w:eastAsia="Arial" w:hAnsi="Arial"/>
          <w:sz w:val="17"/>
          <w:szCs w:val="17"/>
          <w:color w:val="auto"/>
        </w:rPr>
        <w:t>. Tenant has been informed by Landlord that the Project (along with other property) is subject to the Mitigation Monitoring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Reporting Program for the Mission Bay South Plan Area (including, but not limited to, the Mission Bay South CEQA Mitigation Measures described in </w:t>
      </w:r>
      <w:r>
        <w:rPr>
          <w:rFonts w:ascii="Arial" w:cs="Arial" w:eastAsia="Arial" w:hAnsi="Arial"/>
          <w:sz w:val="17"/>
          <w:szCs w:val="17"/>
          <w:u w:val="single" w:color="auto"/>
          <w:color w:val="auto"/>
        </w:rPr>
        <w:t>Attachment L</w:t>
      </w:r>
      <w:r>
        <w:rPr>
          <w:rFonts w:ascii="Arial" w:cs="Arial" w:eastAsia="Arial" w:hAnsi="Arial"/>
          <w:sz w:val="17"/>
          <w:szCs w:val="17"/>
          <w:color w:val="auto"/>
        </w:rPr>
        <w:t xml:space="preserve"> to the Mission Bay South Owner Participation Agreement between the Redevelopment Agency and CDC dated November 16, 1998, and recorded in the Official Records on December 3, 1998, as Document No. 98-G477258). Tenant shall comply with the following mitigation measures (and with any other mitigation measures that Landlord reasonably determines are applicable to Tenant’s operations in the Premises):</w:t>
      </w:r>
    </w:p>
    <w:p>
      <w:pPr>
        <w:spacing w:after="0" w:line="64" w:lineRule="exact"/>
        <w:rPr>
          <w:rFonts w:ascii="Arial" w:cs="Arial" w:eastAsia="Arial" w:hAnsi="Arial"/>
          <w:sz w:val="17"/>
          <w:szCs w:val="17"/>
          <w:color w:val="auto"/>
        </w:rPr>
      </w:pPr>
    </w:p>
    <w:p>
      <w:pPr>
        <w:ind w:left="460" w:right="180" w:firstLine="443"/>
        <w:spacing w:after="0" w:line="257" w:lineRule="auto"/>
        <w:tabs>
          <w:tab w:leader="none" w:pos="1143"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Mitigation Measure L01 (</w:t>
      </w:r>
      <w:r>
        <w:rPr>
          <w:rFonts w:ascii="Arial" w:cs="Arial" w:eastAsia="Arial" w:hAnsi="Arial"/>
          <w:sz w:val="18"/>
          <w:szCs w:val="18"/>
          <w:i w:val="1"/>
          <w:iCs w:val="1"/>
          <w:u w:val="single" w:color="auto"/>
          <w:color w:val="auto"/>
        </w:rPr>
        <w:t>Biohazardous Materials Handling Guidelines</w:t>
      </w:r>
      <w:r>
        <w:rPr>
          <w:rFonts w:ascii="Arial" w:cs="Arial" w:eastAsia="Arial" w:hAnsi="Arial"/>
          <w:sz w:val="18"/>
          <w:szCs w:val="18"/>
          <w:u w:val="single" w:color="auto"/>
          <w:color w:val="auto"/>
        </w:rPr>
        <w:t>)</w:t>
      </w:r>
      <w:r>
        <w:rPr>
          <w:rFonts w:ascii="Arial" w:cs="Arial" w:eastAsia="Arial" w:hAnsi="Arial"/>
          <w:sz w:val="18"/>
          <w:szCs w:val="18"/>
          <w:color w:val="auto"/>
        </w:rPr>
        <w:t>: Require businesses that handle biohazardous materials and do not receive federal funding to certify that they follow the guidelines published by the National Research Council and the U.S. Department of Health and Human Services Public Health Service, National Institutes of Health, and Centers for Disease Control as set forth in Biosafety in Microbiological and Biomedical Laboratories, Guidelines for Research Involving Recombinant DNA Molecules (NIH Guidelines), and Guide for the Care and Use of Laboratory Animals, or their successors, as applicable.</w:t>
      </w:r>
    </w:p>
    <w:p>
      <w:pPr>
        <w:spacing w:after="0" w:line="80" w:lineRule="exact"/>
        <w:rPr>
          <w:rFonts w:ascii="Arial" w:cs="Arial" w:eastAsia="Arial" w:hAnsi="Arial"/>
          <w:sz w:val="18"/>
          <w:szCs w:val="18"/>
          <w:color w:val="auto"/>
        </w:rPr>
      </w:pPr>
    </w:p>
    <w:p>
      <w:pPr>
        <w:ind w:left="460" w:firstLine="443"/>
        <w:spacing w:after="0" w:line="259" w:lineRule="auto"/>
        <w:tabs>
          <w:tab w:leader="none" w:pos="1153"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Mitigation Measure L02 (</w:t>
      </w:r>
      <w:r>
        <w:rPr>
          <w:rFonts w:ascii="Arial" w:cs="Arial" w:eastAsia="Arial" w:hAnsi="Arial"/>
          <w:sz w:val="18"/>
          <w:szCs w:val="18"/>
          <w:i w:val="1"/>
          <w:iCs w:val="1"/>
          <w:u w:val="single" w:color="auto"/>
          <w:color w:val="auto"/>
        </w:rPr>
        <w:t>Use of HEPA Filters</w:t>
      </w:r>
      <w:r>
        <w:rPr>
          <w:rFonts w:ascii="Arial" w:cs="Arial" w:eastAsia="Arial" w:hAnsi="Arial"/>
          <w:sz w:val="18"/>
          <w:szCs w:val="18"/>
          <w:u w:val="single" w:color="auto"/>
          <w:color w:val="auto"/>
        </w:rPr>
        <w:t>)</w:t>
      </w:r>
      <w:r>
        <w:rPr>
          <w:rFonts w:ascii="Arial" w:cs="Arial" w:eastAsia="Arial" w:hAnsi="Arial"/>
          <w:sz w:val="18"/>
          <w:szCs w:val="18"/>
          <w:color w:val="auto"/>
        </w:rPr>
        <w:t>: Require businesses handling biohazardous materials to certify that they use high efficiency particulate air (HEPA) filters or substantially equivalent devices on all exhaust from Biosafety Level 3 laboratories unless they demonstrate that exhaust from the Biosafety Level 3 laboratories would not pose a substantial health and safety hazards to the public or the environment. Require such businesses to certify that they inspect or monitor the filters regularly to ensure proper functioning.</w:t>
      </w:r>
    </w:p>
    <w:p>
      <w:pPr>
        <w:spacing w:after="0" w:line="78" w:lineRule="exact"/>
        <w:rPr>
          <w:rFonts w:ascii="Arial" w:cs="Arial" w:eastAsia="Arial" w:hAnsi="Arial"/>
          <w:sz w:val="18"/>
          <w:szCs w:val="18"/>
          <w:color w:val="auto"/>
        </w:rPr>
      </w:pPr>
    </w:p>
    <w:p>
      <w:pPr>
        <w:ind w:left="460" w:right="260" w:firstLine="443"/>
        <w:spacing w:after="0" w:line="264" w:lineRule="auto"/>
        <w:tabs>
          <w:tab w:leader="none" w:pos="1143"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Mitigation Measure L03 (</w:t>
      </w:r>
      <w:r>
        <w:rPr>
          <w:rFonts w:ascii="Arial" w:cs="Arial" w:eastAsia="Arial" w:hAnsi="Arial"/>
          <w:sz w:val="18"/>
          <w:szCs w:val="18"/>
          <w:i w:val="1"/>
          <w:iCs w:val="1"/>
          <w:u w:val="single" w:color="auto"/>
          <w:color w:val="auto"/>
        </w:rPr>
        <w:t>Handling of Biohazardous Materials</w:t>
      </w:r>
      <w:r>
        <w:rPr>
          <w:rFonts w:ascii="Arial" w:cs="Arial" w:eastAsia="Arial" w:hAnsi="Arial"/>
          <w:sz w:val="18"/>
          <w:szCs w:val="18"/>
          <w:u w:val="single" w:color="auto"/>
          <w:color w:val="auto"/>
        </w:rPr>
        <w:t>)</w:t>
      </w:r>
      <w:r>
        <w:rPr>
          <w:rFonts w:ascii="Arial" w:cs="Arial" w:eastAsia="Arial" w:hAnsi="Arial"/>
          <w:sz w:val="18"/>
          <w:szCs w:val="18"/>
          <w:color w:val="auto"/>
        </w:rPr>
        <w:t>: Require businesses handling biohazardous materials to certify that they do not handle or use biohazardous materials requiring Biosafety Level 4 containment (</w:t>
      </w:r>
      <w:r>
        <w:rPr>
          <w:rFonts w:ascii="Arial" w:cs="Arial" w:eastAsia="Arial" w:hAnsi="Arial"/>
          <w:sz w:val="18"/>
          <w:szCs w:val="18"/>
          <w:u w:val="single" w:color="auto"/>
          <w:color w:val="auto"/>
        </w:rPr>
        <w:t>i.e.</w:t>
      </w:r>
      <w:r>
        <w:rPr>
          <w:rFonts w:ascii="Arial" w:cs="Arial" w:eastAsia="Arial" w:hAnsi="Arial"/>
          <w:sz w:val="18"/>
          <w:szCs w:val="18"/>
          <w:color w:val="auto"/>
        </w:rPr>
        <w:t>, dangerous or exotic materials that pose high risks of life-threatening diseases or aerosol-transmitted infections, or unknown risks of transmitting in the Project Area).</w:t>
      </w:r>
    </w:p>
    <w:p>
      <w:pPr>
        <w:spacing w:after="0" w:line="69" w:lineRule="exact"/>
        <w:rPr>
          <w:rFonts w:ascii="Arial" w:cs="Arial" w:eastAsia="Arial" w:hAnsi="Arial"/>
          <w:sz w:val="18"/>
          <w:szCs w:val="18"/>
          <w:color w:val="auto"/>
        </w:rPr>
      </w:pPr>
    </w:p>
    <w:p>
      <w:pPr>
        <w:ind w:right="40" w:firstLine="464"/>
        <w:spacing w:after="0" w:line="258" w:lineRule="auto"/>
        <w:tabs>
          <w:tab w:leader="none" w:pos="636" w:val="left"/>
        </w:tabs>
        <w:numPr>
          <w:ilvl w:val="0"/>
          <w:numId w:val="263"/>
        </w:numPr>
        <w:rPr>
          <w:rFonts w:ascii="Arial" w:cs="Arial" w:eastAsia="Arial" w:hAnsi="Arial"/>
          <w:sz w:val="18"/>
          <w:szCs w:val="18"/>
          <w:color w:val="auto"/>
        </w:rPr>
      </w:pPr>
      <w:r>
        <w:rPr>
          <w:rFonts w:ascii="Arial" w:cs="Arial" w:eastAsia="Arial" w:hAnsi="Arial"/>
          <w:sz w:val="18"/>
          <w:szCs w:val="18"/>
          <w:b w:val="1"/>
          <w:bCs w:val="1"/>
          <w:u w:val="single" w:color="auto"/>
          <w:color w:val="auto"/>
        </w:rPr>
        <w:t>Declaration of Tax Appeal Waiver Agreement</w:t>
      </w:r>
      <w:r>
        <w:rPr>
          <w:rFonts w:ascii="Arial" w:cs="Arial" w:eastAsia="Arial" w:hAnsi="Arial"/>
          <w:sz w:val="18"/>
          <w:szCs w:val="18"/>
          <w:color w:val="auto"/>
        </w:rPr>
        <w:t>. Tenant acknowledges that it has received and reviewed a certain Declaration of Tax Appeal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May 23, 2014, executed and acknowledged on behalf of FOCIL-MB, LLC, and Landlord, recorded in the Official Records on May 23, 2014, as Document No. 14-J886906 (“</w:t>
      </w:r>
      <w:r>
        <w:rPr>
          <w:rFonts w:ascii="Arial" w:cs="Arial" w:eastAsia="Arial" w:hAnsi="Arial"/>
          <w:sz w:val="18"/>
          <w:szCs w:val="18"/>
          <w:b w:val="1"/>
          <w:bCs w:val="1"/>
          <w:color w:val="auto"/>
        </w:rPr>
        <w:t>Declaration of Tax Appeal Waiver Agreement</w:t>
      </w:r>
      <w:r>
        <w:rPr>
          <w:rFonts w:ascii="Arial" w:cs="Arial" w:eastAsia="Arial" w:hAnsi="Arial"/>
          <w:sz w:val="18"/>
          <w:szCs w:val="18"/>
          <w:color w:val="auto"/>
        </w:rPr>
        <w:t>”), and further that this Lease and Tenant are subject and subordinate to, and Tenant shall not violate, the covenants contained in such Declaration of Tax Appeal Waiver Agreement. Such Declaration of Tax Appeal Waiver Agreement contains certain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441" w:name="page442"/>
    <w:bookmarkEnd w:id="441"/>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by Landlord to not (and waivers of any rights to) take any action or seek to take any action (including filing any appeal, contest, commencing any legal action or otherwise challenging or disputing in any way) that would result in a reduction of the assessed value of the Project for property tax purposes below a “</w:t>
      </w:r>
      <w:r>
        <w:rPr>
          <w:rFonts w:ascii="Arial" w:cs="Arial" w:eastAsia="Arial" w:hAnsi="Arial"/>
          <w:sz w:val="16"/>
          <w:szCs w:val="16"/>
          <w:b w:val="1"/>
          <w:bCs w:val="1"/>
          <w:color w:val="auto"/>
        </w:rPr>
        <w:t>Minimum Amount</w:t>
      </w:r>
      <w:r>
        <w:rPr>
          <w:rFonts w:ascii="Arial" w:cs="Arial" w:eastAsia="Arial" w:hAnsi="Arial"/>
          <w:sz w:val="16"/>
          <w:szCs w:val="16"/>
          <w:color w:val="auto"/>
        </w:rPr>
        <w:t xml:space="preserve">” (as defined in the Declaration of Tax Appeal Waiver Agreement as the sum of (i) $95,000,000.00 plus (ii) the actual construction costs for the Project, provided, however, that the Minimum Amount shall increase on the anniversary of the Completion of Construction (as defined therein) and annually thereafter by 2%). In connection with the foregoing, and notwithstanding the terms and conditions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Lease,</w:t>
      </w:r>
    </w:p>
    <w:p>
      <w:pPr>
        <w:spacing w:after="0" w:line="2" w:lineRule="exact"/>
        <w:rPr>
          <w:sz w:val="20"/>
          <w:szCs w:val="20"/>
          <w:color w:val="auto"/>
        </w:rPr>
      </w:pPr>
    </w:p>
    <w:p>
      <w:pPr>
        <w:ind w:firstLine="8"/>
        <w:spacing w:after="0" w:line="255" w:lineRule="auto"/>
        <w:tabs>
          <w:tab w:leader="none" w:pos="24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Tenant shall not have the right to require Landlord to seek any reduction in Tax Expenses below the Minimum Amount, and (b) notwithstanding anything to the contrary set forth in this Lease, only Landlord may institute proceedings to reduce Tax Expenses and the filing of any such proceeding by Tenant without Landlord’s consent shall constitute an Event of Default by Tenant under this Lease.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3" w:right="339" w:bottom="1440" w:gutter="0" w:footer="0" w:header="0"/>
        </w:sectPr>
      </w:pPr>
    </w:p>
    <w:bookmarkStart w:id="442" w:name="page443"/>
    <w:bookmarkEnd w:id="44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 EXHIBIT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SUCCESSOR PROJECT LABOR AGREEMENT</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43" w:name="page444"/>
    <w:bookmarkEnd w:id="44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MISSION BAY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PROJECT AGREEMENT</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9019"/>
          </w:cols>
          <w:pgMar w:left="1440" w:top="274" w:right="1440" w:bottom="1440" w:gutter="0" w:footer="0" w:header="0"/>
        </w:sectPr>
      </w:pPr>
    </w:p>
    <w:bookmarkStart w:id="444" w:name="page445"/>
    <w:bookmarkEnd w:id="44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MISSION BAY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PROJECT AGREEMENT</w:t>
      </w:r>
    </w:p>
    <w:p>
      <w:pPr>
        <w:spacing w:after="0" w:line="229" w:lineRule="exact"/>
        <w:rPr>
          <w:sz w:val="20"/>
          <w:szCs w:val="20"/>
          <w:color w:val="auto"/>
        </w:rPr>
      </w:pPr>
    </w:p>
    <w:p>
      <w:pPr>
        <w:ind w:left="460"/>
        <w:spacing w:after="0"/>
        <w:tabs>
          <w:tab w:leader="none" w:pos="5460" w:val="left"/>
          <w:tab w:leader="none" w:pos="6680" w:val="left"/>
          <w:tab w:leader="none" w:pos="7280" w:val="left"/>
          <w:tab w:leader="none" w:pos="9240" w:val="left"/>
        </w:tabs>
        <w:rPr>
          <w:sz w:val="20"/>
          <w:szCs w:val="20"/>
          <w:color w:val="auto"/>
        </w:rPr>
      </w:pPr>
      <w:r>
        <w:rPr>
          <w:rFonts w:ascii="Arial" w:cs="Arial" w:eastAsia="Arial" w:hAnsi="Arial"/>
          <w:sz w:val="18"/>
          <w:szCs w:val="18"/>
          <w:color w:val="auto"/>
        </w:rPr>
        <w:t>This Project Agreement (“Agreement”) is entered into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200</w:t>
        <w:tab/>
        <w:t>by and among</w:t>
      </w:r>
      <w:r>
        <w:rPr>
          <w:sz w:val="20"/>
          <w:szCs w:val="20"/>
          <w:color w:val="auto"/>
        </w:rPr>
        <w:tab/>
      </w:r>
      <w:r>
        <w:rPr>
          <w:rFonts w:ascii="Arial" w:cs="Arial" w:eastAsia="Arial" w:hAnsi="Arial"/>
          <w:sz w:val="16"/>
          <w:szCs w:val="16"/>
          <w:color w:val="auto"/>
        </w:rPr>
        <w:t>, (hereinafter referred 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-10160</wp:posOffset>
            </wp:positionV>
            <wp:extent cx="4572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-10160</wp:posOffset>
            </wp:positionV>
            <wp:extent cx="4572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-10160</wp:posOffset>
            </wp:positionV>
            <wp:extent cx="1143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-10160</wp:posOffset>
            </wp:positionV>
            <wp:extent cx="5715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“Project Contractor”), and the San Francisco Building and Construction Trades Council, AFL-CIO; and affiliated Local Unions whose names are subscribed hereto and who have, through their duly authorized officers, executed this Agreement (hereinafter collectively referred to as the “Union” or the “Unions”). The term Contractor as used in this Agreement includes all contractors and subcontractors of whatever tier. Contractor agrees to comply with the collective bargaining agreements listed in Schedule A for the purposes of the Covered Work only, and any obligation incurred under Schedule A agreements</w:t>
      </w:r>
    </w:p>
    <w:tbl>
      <w:tblPr>
        <w:tblLayout w:type="fixed"/>
        <w:tblInd w:w="0" w:type="dxa"/>
        <w:tblCellMar>
          <w:top w:w="0" w:type="dxa"/>
          <w:left w:w="0" w:type="dxa"/>
          <w:bottom w:w="0" w:type="dxa"/>
          <w:right w:w="0" w:type="dxa"/>
        </w:tblCellMar>
      </w:tblPr>
      <w:tr>
        <w:trPr>
          <w:trHeight w:val="178"/>
        </w:trPr>
        <w:tc>
          <w:tcPr>
            <w:tcW w:w="5820" w:type="dxa"/>
            <w:vAlign w:val="bottom"/>
            <w:gridSpan w:val="2"/>
          </w:tcPr>
          <w:p>
            <w:pPr>
              <w:spacing w:after="0" w:line="178" w:lineRule="exact"/>
              <w:rPr>
                <w:sz w:val="20"/>
                <w:szCs w:val="20"/>
                <w:color w:val="auto"/>
              </w:rPr>
            </w:pPr>
            <w:r>
              <w:rPr>
                <w:rFonts w:ascii="Arial" w:cs="Arial" w:eastAsia="Arial" w:hAnsi="Arial"/>
                <w:sz w:val="18"/>
                <w:szCs w:val="18"/>
                <w:color w:val="auto"/>
                <w:w w:val="92"/>
              </w:rPr>
              <w:t>shall expire with the termination of this Agreement. Where specific reference to</w:t>
            </w:r>
          </w:p>
        </w:tc>
        <w:tc>
          <w:tcPr>
            <w:tcW w:w="720" w:type="dxa"/>
            <w:vAlign w:val="bottom"/>
            <w:tcBorders>
              <w:bottom w:val="single" w:sz="8" w:color="auto"/>
            </w:tcBorders>
          </w:tcPr>
          <w:p>
            <w:pPr>
              <w:spacing w:after="0"/>
              <w:rPr>
                <w:sz w:val="15"/>
                <w:szCs w:val="15"/>
                <w:color w:val="auto"/>
              </w:rPr>
            </w:pPr>
          </w:p>
        </w:tc>
        <w:tc>
          <w:tcPr>
            <w:tcW w:w="4740" w:type="dxa"/>
            <w:vAlign w:val="bottom"/>
            <w:gridSpan w:val="5"/>
          </w:tcPr>
          <w:p>
            <w:pPr>
              <w:ind w:left="40"/>
              <w:spacing w:after="0" w:line="178" w:lineRule="exact"/>
              <w:rPr>
                <w:sz w:val="20"/>
                <w:szCs w:val="20"/>
                <w:color w:val="auto"/>
              </w:rPr>
            </w:pPr>
            <w:r>
              <w:rPr>
                <w:rFonts w:ascii="Arial" w:cs="Arial" w:eastAsia="Arial" w:hAnsi="Arial"/>
                <w:sz w:val="18"/>
                <w:szCs w:val="18"/>
                <w:color w:val="auto"/>
                <w:w w:val="90"/>
              </w:rPr>
              <w:t>only is intended, the term Project Contractor is used. This project</w:t>
            </w:r>
          </w:p>
        </w:tc>
      </w:tr>
      <w:tr>
        <w:trPr>
          <w:trHeight w:val="196"/>
        </w:trPr>
        <w:tc>
          <w:tcPr>
            <w:tcW w:w="7440" w:type="dxa"/>
            <w:vAlign w:val="bottom"/>
            <w:gridSpan w:val="4"/>
          </w:tcPr>
          <w:p>
            <w:pPr>
              <w:spacing w:after="0" w:line="196" w:lineRule="exact"/>
              <w:rPr>
                <w:sz w:val="20"/>
                <w:szCs w:val="20"/>
                <w:color w:val="auto"/>
              </w:rPr>
            </w:pPr>
            <w:r>
              <w:rPr>
                <w:rFonts w:ascii="Arial" w:cs="Arial" w:eastAsia="Arial" w:hAnsi="Arial"/>
                <w:sz w:val="18"/>
                <w:szCs w:val="18"/>
                <w:color w:val="auto"/>
                <w:w w:val="92"/>
              </w:rPr>
              <w:t>is being constructed pursuant to an Owner’s Participation Agreement (“Owner OPA”) for Mission Bay</w:t>
            </w:r>
          </w:p>
        </w:tc>
        <w:tc>
          <w:tcPr>
            <w:tcW w:w="900" w:type="dxa"/>
            <w:vAlign w:val="bottom"/>
            <w:tcBorders>
              <w:bottom w:val="single" w:sz="8" w:color="auto"/>
            </w:tcBorders>
          </w:tcPr>
          <w:p>
            <w:pPr>
              <w:spacing w:after="0"/>
              <w:rPr>
                <w:sz w:val="17"/>
                <w:szCs w:val="17"/>
                <w:color w:val="auto"/>
              </w:rPr>
            </w:pPr>
          </w:p>
        </w:tc>
        <w:tc>
          <w:tcPr>
            <w:tcW w:w="2940" w:type="dxa"/>
            <w:vAlign w:val="bottom"/>
            <w:gridSpan w:val="3"/>
          </w:tcPr>
          <w:p>
            <w:pPr>
              <w:ind w:left="60"/>
              <w:spacing w:after="0" w:line="196" w:lineRule="exact"/>
              <w:rPr>
                <w:sz w:val="20"/>
                <w:szCs w:val="20"/>
                <w:color w:val="auto"/>
              </w:rPr>
            </w:pPr>
            <w:r>
              <w:rPr>
                <w:rFonts w:ascii="Arial" w:cs="Arial" w:eastAsia="Arial" w:hAnsi="Arial"/>
                <w:sz w:val="18"/>
                <w:szCs w:val="18"/>
                <w:color w:val="auto"/>
                <w:w w:val="93"/>
              </w:rPr>
              <w:t>originally between the Redevelopment</w:t>
            </w:r>
          </w:p>
        </w:tc>
      </w:tr>
      <w:tr>
        <w:trPr>
          <w:trHeight w:val="196"/>
        </w:trPr>
        <w:tc>
          <w:tcPr>
            <w:tcW w:w="10160" w:type="dxa"/>
            <w:vAlign w:val="bottom"/>
            <w:gridSpan w:val="6"/>
          </w:tcPr>
          <w:p>
            <w:pPr>
              <w:spacing w:after="0" w:line="196" w:lineRule="exact"/>
              <w:rPr>
                <w:sz w:val="20"/>
                <w:szCs w:val="20"/>
                <w:color w:val="auto"/>
              </w:rPr>
            </w:pPr>
            <w:r>
              <w:rPr>
                <w:rFonts w:ascii="Arial" w:cs="Arial" w:eastAsia="Arial" w:hAnsi="Arial"/>
                <w:sz w:val="18"/>
                <w:szCs w:val="18"/>
                <w:color w:val="auto"/>
                <w:w w:val="91"/>
              </w:rPr>
              <w:t>Agency of the City and County of San Francisco and Catellus Development Corporation (“Catellus”) and subsequently transferred in part to</w:t>
            </w:r>
          </w:p>
        </w:tc>
        <w:tc>
          <w:tcPr>
            <w:tcW w:w="720" w:type="dxa"/>
            <w:vAlign w:val="bottom"/>
            <w:tcBorders>
              <w:bottom w:val="single" w:sz="8" w:color="auto"/>
            </w:tcBorders>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Arial" w:cs="Arial" w:eastAsia="Arial" w:hAnsi="Arial"/>
                <w:sz w:val="18"/>
                <w:szCs w:val="18"/>
                <w:color w:val="auto"/>
              </w:rPr>
              <w:t>(the</w:t>
            </w: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“Owner). The project area is generally bound by</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Catellus and the Unions entered into the Mission Bay Project Agreement (“Original PLA”) for the entire Mission Bay project on October 8, 1990. The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Original PLA was amended by an Addendum to Agreement effective , 2003 (“Addendum”), which among other things, requires the execution of this Agreement by the Project Contractor when Catellus sells, conveys, ground leases or donates to a third party any real property covered by the Original PLA, subject to the terms and conditions of the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-306705</wp:posOffset>
            </wp:positionV>
            <wp:extent cx="5715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360"/>
          </w:cols>
          <w:pgMar w:left="240" w:top="270" w:right="299" w:bottom="1440" w:gutter="0" w:footer="0" w:header="0"/>
        </w:sectPr>
      </w:pPr>
    </w:p>
    <w:bookmarkStart w:id="445" w:name="page446"/>
    <w:bookmarkEnd w:id="445"/>
    <w:p>
      <w:pPr>
        <w:spacing w:after="0"/>
        <w:tabs>
          <w:tab w:leader="none" w:pos="1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r>
        <w:rPr>
          <w:sz w:val="20"/>
          <w:szCs w:val="20"/>
          <w:color w:val="auto"/>
        </w:rPr>
        <w:tab/>
      </w:r>
      <w:r>
        <w:rPr>
          <w:rFonts w:ascii="Arial" w:cs="Arial" w:eastAsia="Arial" w:hAnsi="Arial"/>
          <w:sz w:val="17"/>
          <w:szCs w:val="17"/>
          <w:b w:val="1"/>
          <w:bCs w:val="1"/>
          <w:u w:val="single" w:color="auto"/>
          <w:color w:val="auto"/>
        </w:rPr>
        <w:t>PURPOSE</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construction at the Owner’s project will require substantial numbers of employees from construction and other supporting crafts. The orderly and uninterrupted construction of the work at the Mission Bay project and the Owner’s project are of significant interest to the parties to this Agreement.</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is the purpose of this Agreement to ensure that all work covered by this Agreement proceeds efficiently, economically, and with due consideration for the protection of labor standards, wages, and working conditions.</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Consistent with the implementation of the programs described in the Mission Bay Affirmative Action and Economic Development Plan (“MBAAWEDP”), Project Contractor will, to the fullest extent possible, award all construction contracts to unionized construction firms. Project Contractor further commits that all construction work under its jurisdiction shall be at prevailing wages, fringes and conditions for all trades and crafts pursuant to the appropriate contract identified on Schedule A. Project Contractor will use good-faith efforts to maximize MBE, WBE and LBE contracts with union firms. Should it be determined that Minority Business Enterprise/Women Owned Business Enterprise (MBE/WBE) goals for this project are not being reached as a result of this Agreement, the affected crafts, San Francisco Building Trades Council and Project Contractor will meet and confer to arrive at a resolution which allows for MBE/WBE goal attainment.</w:t>
      </w:r>
    </w:p>
    <w:p>
      <w:pPr>
        <w:spacing w:after="0" w:line="189" w:lineRule="exact"/>
        <w:rPr>
          <w:sz w:val="20"/>
          <w:szCs w:val="20"/>
          <w:color w:val="auto"/>
        </w:rPr>
      </w:pPr>
    </w:p>
    <w:p>
      <w:pPr>
        <w:ind w:right="1160" w:firstLine="456"/>
        <w:spacing w:after="0" w:line="342" w:lineRule="auto"/>
        <w:rPr>
          <w:sz w:val="20"/>
          <w:szCs w:val="20"/>
          <w:color w:val="auto"/>
        </w:rPr>
      </w:pPr>
      <w:r>
        <w:rPr>
          <w:rFonts w:ascii="Arial" w:cs="Arial" w:eastAsia="Arial" w:hAnsi="Arial"/>
          <w:sz w:val="16"/>
          <w:szCs w:val="16"/>
          <w:color w:val="auto"/>
        </w:rPr>
        <w:t>The parties to this Agreement have agreed and do establish and put into practice effective and binding methods for the settlement of all misunderstandings, disputes, or grievances that may arise between or among the parties to this Agreement. To accomplish the purpose that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400"/>
          </w:cols>
          <w:pgMar w:left="240" w:top="269" w:right="259" w:bottom="1440" w:gutter="0" w:footer="0" w:header="0"/>
        </w:sectPr>
      </w:pPr>
    </w:p>
    <w:bookmarkStart w:id="446" w:name="page447"/>
    <w:bookmarkEnd w:id="44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Contractor be assured of complete continuity of operation and that labor-management peace be maintained, the Unions agree not to engage in any strike, picketing, work stoppage, slowdown, sympathy action or any other disruptive activities directed to or in connection with Covered Work, and the Contractors agree not to engage in any lockout.</w:t>
      </w:r>
    </w:p>
    <w:p>
      <w:pPr>
        <w:spacing w:after="0" w:line="32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ARTICLE II.</w:t>
      </w:r>
      <w:r>
        <w:rPr>
          <w:sz w:val="20"/>
          <w:szCs w:val="20"/>
          <w:color w:val="auto"/>
        </w:rPr>
        <w:tab/>
      </w:r>
      <w:r>
        <w:rPr>
          <w:rFonts w:ascii="Arial" w:cs="Arial" w:eastAsia="Arial" w:hAnsi="Arial"/>
          <w:sz w:val="18"/>
          <w:szCs w:val="18"/>
          <w:b w:val="1"/>
          <w:bCs w:val="1"/>
          <w:u w:val="single" w:color="auto"/>
          <w:color w:val="auto"/>
        </w:rPr>
        <w:t>EFFECT OF OTHER AGREEMENTS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provisions of this Agreement, including the local collective bargaining agreements listed on Schedule A, shall apply to Project Contractor’s construction and the Owner’s project, notwithstanding the provisions of local and/or national union agreements which may conflict or differ with the terms of this Agreement. Where a subject is covered by the provisions of this Agreement is also covered by a collective bargaining agreement which is listed on Schedule A, the provisions of this Agreement shall prevail. Where a subject is covered by the provisions of a collective bargaining agreement identified in Schedule A and not covered by this Agreement, the provisions of the appropriate collective bargaining agreement identified on Schedule A shall prevail. Further, the parties are bound by the MBAAEDP which is incorporated in its entirety in this document as though set forth herein. This Agreement is not a collateral agreement within the meaning of Section 56.3(c) and 56.11 of the San Francisco Administrative Code.</w:t>
      </w:r>
    </w:p>
    <w:p>
      <w:pPr>
        <w:spacing w:after="0" w:line="32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ARTICLE III.</w:t>
      </w:r>
      <w:r>
        <w:rPr>
          <w:sz w:val="20"/>
          <w:szCs w:val="20"/>
          <w:color w:val="auto"/>
        </w:rPr>
        <w:tab/>
      </w:r>
      <w:r>
        <w:rPr>
          <w:rFonts w:ascii="Arial" w:cs="Arial" w:eastAsia="Arial" w:hAnsi="Arial"/>
          <w:sz w:val="17"/>
          <w:szCs w:val="17"/>
          <w:b w:val="1"/>
          <w:bCs w:val="1"/>
          <w:u w:val="single" w:color="auto"/>
          <w:color w:val="auto"/>
        </w:rPr>
        <w:t>SCOPE OF THE AGREEMENT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Agreement shall apply to all demolition, new construction including exterior landscaping and tenant work, including but not limited to mill cabinet work and built-in furniture work performed on the Owner’s project by or otherwise at the control and direction of Project Contractor excluding uses existing at the time of execution of this Agreement (referred to herein as “Covered Work”).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400"/>
          </w:cols>
          <w:pgMar w:left="240" w:top="274" w:right="259" w:bottom="1440" w:gutter="0" w:footer="0" w:header="0"/>
        </w:sectPr>
      </w:pPr>
    </w:p>
    <w:bookmarkStart w:id="447" w:name="page448"/>
    <w:bookmarkEnd w:id="447"/>
    <w:p>
      <w:pPr>
        <w:spacing w:after="0"/>
        <w:tabs>
          <w:tab w:leader="none" w:pos="1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r>
        <w:rPr>
          <w:sz w:val="20"/>
          <w:szCs w:val="20"/>
          <w:color w:val="auto"/>
        </w:rPr>
        <w:tab/>
      </w:r>
      <w:r>
        <w:rPr>
          <w:rFonts w:ascii="Arial" w:cs="Arial" w:eastAsia="Arial" w:hAnsi="Arial"/>
          <w:sz w:val="18"/>
          <w:szCs w:val="18"/>
          <w:b w:val="1"/>
          <w:bCs w:val="1"/>
          <w:u w:val="single" w:color="auto"/>
          <w:color w:val="auto"/>
        </w:rPr>
        <w:t>UNION RECOGNITION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Contractor recognizes the Unions signatory hereto as the collective bargaining agents for its employees covered by the terms of this Agreement.</w:t>
      </w:r>
    </w:p>
    <w:p>
      <w:pPr>
        <w:spacing w:after="0" w:line="248"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This Agreement does not apply to general superintendents, superintendents, assistant superintendents, (unless covered in a collective bargaining agreement listed in Schedule A), office and clerical employees, guards or other professional or supervisory employees as defined in the National Labor Relations Act.</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ARTICLE V.</w:t>
      </w:r>
      <w:r>
        <w:rPr>
          <w:sz w:val="20"/>
          <w:szCs w:val="20"/>
          <w:color w:val="auto"/>
        </w:rPr>
        <w:tab/>
      </w:r>
      <w:r>
        <w:rPr>
          <w:rFonts w:ascii="Arial" w:cs="Arial" w:eastAsia="Arial" w:hAnsi="Arial"/>
          <w:sz w:val="18"/>
          <w:szCs w:val="18"/>
          <w:b w:val="1"/>
          <w:bCs w:val="1"/>
          <w:u w:val="single" w:color="auto"/>
          <w:color w:val="auto"/>
        </w:rPr>
        <w:t>MANAGEMENT’S RIGHTS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Contractors retain full and exclusive authority for the management of its operations. Except as expressly limited by other provisions of this Agreement and the appropriate collective bargaining agreement listed on Schedule A, the Contractor retains the right to direct the working force, including the hiring, promotion, transfer, discipline or discharge of its employees; the selection of foremen; the assignment and scheduling of work; and, the requirement of overtime work and the determination of when it shall be worked. No rules, customs, or practices which limit or restrict productivity, efficiency or the individual and/or joint working efforts of employees shall be permitted or observed. The Contractor may utilize any methods or techniques of construction.</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Except as otherwise stated in the appropriate collective bargaining agreement listed on Schedule A, there shall be no limitation or restriction upon the Contractor’s choice of materials or design, nor, regardless of source or location, upon the full use and installation of equipment, machinery, package units, precast, prefabricated, prefinished, or preassembled materials, tools,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380"/>
          </w:cols>
          <w:pgMar w:left="240" w:top="270" w:right="279" w:bottom="1440" w:gutter="0" w:footer="0" w:header="0"/>
        </w:sectPr>
      </w:pPr>
    </w:p>
    <w:bookmarkStart w:id="448" w:name="page449"/>
    <w:bookmarkEnd w:id="44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labor saving devices. The Contractor may without restriction install or otherwise use materials, supplies or equipment regardless of their source. The on-site installation of application of such items shall be performed by the craft customarily having jurisdiction over such work under the applicable collective bargaining agreement listed on Schedule A; provided, however, it is recognized that other personnel having special talents or qualifications may participate in the installation, checkout or testing of specialized or unusual equipment or facilities.</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Except as otherwise stated in the appropriate collective bargaining agreement listed on Schedule A, it is recognized that the use of new technology, equipment, machinery, tools and/or labor savings devices and methods of performing work will be initiated by the Contractor from time to time during the project. The Union agrees that it will not in any way restrict the implementation of such new devices or work methods. If there is any disagreement between the Contractor and the Union concerning the manner or implementation of such device or method of work, the implementation shall proceed as directed by the Contractor, and the Union shall have the right to arbitrate the dispute as set forth in Article VIII of this Agreement.</w:t>
      </w:r>
    </w:p>
    <w:p>
      <w:pPr>
        <w:spacing w:after="0" w:line="173"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failure of the Contractor to exercise rights herein reserved to it or the exercise of those rights in a particular way shall not be deemed a waiver of said rights or of the Contractor’s right to exercise said rights in some other manner not in conflict with the terms of this Agreement.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A-7</w:t>
      </w:r>
    </w:p>
    <w:p>
      <w:pPr>
        <w:sectPr>
          <w:pgSz w:w="11900" w:h="16838" w:orient="portrait"/>
          <w:cols w:equalWidth="0" w:num="1">
            <w:col w:w="11360"/>
          </w:cols>
          <w:pgMar w:left="240" w:top="274" w:right="299" w:bottom="1440" w:gutter="0" w:footer="0" w:header="0"/>
        </w:sectPr>
      </w:pPr>
    </w:p>
    <w:bookmarkStart w:id="449" w:name="page450"/>
    <w:bookmarkEnd w:id="449"/>
    <w:p>
      <w:pPr>
        <w:spacing w:after="0"/>
        <w:tabs>
          <w:tab w:leader="none" w:pos="1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r>
        <w:rPr>
          <w:sz w:val="20"/>
          <w:szCs w:val="20"/>
          <w:color w:val="auto"/>
        </w:rPr>
        <w:tab/>
      </w:r>
      <w:r>
        <w:rPr>
          <w:rFonts w:ascii="Arial" w:cs="Arial" w:eastAsia="Arial" w:hAnsi="Arial"/>
          <w:sz w:val="18"/>
          <w:szCs w:val="18"/>
          <w:b w:val="1"/>
          <w:bCs w:val="1"/>
          <w:u w:val="single" w:color="auto"/>
          <w:color w:val="auto"/>
        </w:rPr>
        <w:t>UNION REPRESENTATION</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Authorized representatives of the Union shall have access to the Covered Work provided they do not interfere with the work of employees and further provided that such representatives fully comply with the posted visitor and security and safety rules of the Covered Work.</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Union shall have the right to designate working journey workers as stewards. The Union shall, in writing, notify the Contractor as to the identity of the designated steward prior to the assumption of his/her duties as a steward. In addition to his/her work as an employee, the steward shall have the right to receive, but not solicit, complaints or grievances and to discuss and assist in the adjustment of the same with the employee’s appropriate supervisor. The Contractor will not discriminate against a steward in the proper performance of his/her Union duties provided that such duties do not interfere with his/her regular work or with the work of other employees. Stewards shall receive the regular rate of pay for their respective craft. There will be no non-working stewards. The steward shall not have the right to determine when overtime shall be worked or who shall work overtime, or to interfere with any of the supervisory functions of the Contractor.</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Contractor agrees to notify the appropriate Union twenty-four (24) hours prior to the layoff of a steward, except in the case of discipline or discharge for a cause. If a steward is protected against such layoff by the provision of any of the collective-bargaining agreements listed on Schedule A, such protection shall be recognized to the extent that the steward possesses the necessary qualifications to perform the work remaining. In any case in which a steward is discharged or disciplined for cause the appropriate Union shall be notified immediately by the Contractor. For the purpose of this provision, “cause” for discharge shall mean incompetence, unexcused absenteeism, disobedience of orders, unsatisfactory performance of duties and violation of posted project work rules.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A-8</w:t>
      </w:r>
    </w:p>
    <w:p>
      <w:pPr>
        <w:sectPr>
          <w:pgSz w:w="11900" w:h="16838" w:orient="portrait"/>
          <w:cols w:equalWidth="0" w:num="1">
            <w:col w:w="11380"/>
          </w:cols>
          <w:pgMar w:left="240" w:top="270" w:right="279" w:bottom="1440" w:gutter="0" w:footer="0" w:header="0"/>
        </w:sectPr>
      </w:pPr>
    </w:p>
    <w:bookmarkStart w:id="450" w:name="page451"/>
    <w:bookmarkEnd w:id="450"/>
    <w:p>
      <w:pPr>
        <w:ind w:right="6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work where Catellus’ or Owner’s personnel may be working in close proximity of the construction activities, the Union agrees that its representatives, stewards and individual workers will not interfere with Catellus’ or Owner’s personnel or with the work which is being performed by Catellus’ or Owner’s personnel. This is not to be construed to mean that Catellus’ or Owner’s personnel may perform work covered by the collective bargaining agreements listed on Schedule A.</w:t>
      </w:r>
    </w:p>
    <w:p>
      <w:pPr>
        <w:spacing w:after="0" w:line="33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ARTICLE VII</w:t>
      </w:r>
      <w:r>
        <w:rPr>
          <w:sz w:val="20"/>
          <w:szCs w:val="20"/>
          <w:color w:val="auto"/>
        </w:rPr>
        <w:tab/>
      </w:r>
      <w:r>
        <w:rPr>
          <w:rFonts w:ascii="Arial" w:cs="Arial" w:eastAsia="Arial" w:hAnsi="Arial"/>
          <w:sz w:val="17"/>
          <w:szCs w:val="17"/>
          <w:b w:val="1"/>
          <w:bCs w:val="1"/>
          <w:u w:val="single" w:color="auto"/>
          <w:color w:val="auto"/>
        </w:rPr>
        <w:t>WORK STOPPAGES AND LOCKOUTS</w:t>
      </w:r>
    </w:p>
    <w:p>
      <w:pPr>
        <w:spacing w:after="0" w:line="12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During the term of this Agreement, there shall be no strikes, picketing, work stoppages, slowdowns, sympathy actions or any other disruptive activities directed at or in connection with Covered Work for any reason by the Union or by any employee, and there shall be no lockout by the Contractor.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of any Union or employee to cross any picket line established at the site of Covered Work is a violation of this Article.</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Union shall not sanction, aid or abet, encourage or continue any work stoppage, slowdown, sympathy action, strike, picketing or other disruptive activity at the site of Covered Work and shall undertake all possible means to prevent or to terminate any such activity. No employee shall engage in activities which violate this Article. Any employee who participates in or encourages any activities which interfere with the normal operations of the Covered Work shall be subject to disciplinary action, including discharge. The Union shall not be liable for acts of employees for which it has no responsibility.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A-9</w:t>
      </w:r>
    </w:p>
    <w:p>
      <w:pPr>
        <w:sectPr>
          <w:pgSz w:w="11900" w:h="16838" w:orient="portrait"/>
          <w:cols w:equalWidth="0" w:num="1">
            <w:col w:w="11380"/>
          </w:cols>
          <w:pgMar w:left="240" w:top="273" w:right="279" w:bottom="1440" w:gutter="0" w:footer="0" w:header="0"/>
        </w:sectPr>
      </w:pPr>
    </w:p>
    <w:bookmarkStart w:id="451" w:name="page452"/>
    <w:bookmarkEnd w:id="45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lieu of or in addition to any other action at law or equity, any party, including the Project Contractor, who the parties agree is a beneficiary of this Agreement and specifically this Article with full right of participation in any action under this Article, may institute the following procedure when a breach of paragraphs 1, 2, and/or 3 of this Article is alleged:</w:t>
      </w:r>
    </w:p>
    <w:p>
      <w:pPr>
        <w:spacing w:after="0" w:line="87" w:lineRule="exact"/>
        <w:rPr>
          <w:sz w:val="20"/>
          <w:szCs w:val="20"/>
          <w:color w:val="auto"/>
        </w:rPr>
      </w:pPr>
    </w:p>
    <w:p>
      <w:pPr>
        <w:ind w:left="900" w:right="20" w:hanging="446"/>
        <w:spacing w:after="0" w:line="259" w:lineRule="auto"/>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party invoking this procedure shall notify Gerald Mckay or John K</w:t>
      </w:r>
      <w:r>
        <w:rPr>
          <w:rFonts w:ascii="Arial" w:cs="Arial" w:eastAsia="Arial" w:hAnsi="Arial"/>
          <w:sz w:val="18"/>
          <w:szCs w:val="18"/>
          <w:u w:val="single" w:color="auto"/>
          <w:color w:val="auto"/>
        </w:rPr>
        <w:t>agel</w:t>
      </w:r>
      <w:r>
        <w:rPr>
          <w:rFonts w:ascii="Arial" w:cs="Arial" w:eastAsia="Arial" w:hAnsi="Arial"/>
          <w:sz w:val="18"/>
          <w:szCs w:val="18"/>
          <w:color w:val="auto"/>
        </w:rPr>
        <w:t xml:space="preserve"> who the parties agree shall be the permanent Arbitrator under this procedure. In the event that the permanent Arbitrator is unavailable at any time, he shall appoint his alternate. Notice to the Arbitrator shall be by the most expeditious means available, with notice by telegram to the party alleged to be in violation and the involved International Union President.</w:t>
      </w:r>
    </w:p>
    <w:p>
      <w:pPr>
        <w:spacing w:after="0" w:line="92"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Upon receipt of said notice, the Arbitrator named above or his alternate shall set and hold a hearing within twenty-four (24) hours if it is contended that the violation still exists.</w:t>
      </w:r>
    </w:p>
    <w:p>
      <w:pPr>
        <w:spacing w:after="0" w:line="75" w:lineRule="exact"/>
        <w:rPr>
          <w:rFonts w:ascii="Arial" w:cs="Arial" w:eastAsia="Arial" w:hAnsi="Arial"/>
          <w:sz w:val="18"/>
          <w:szCs w:val="18"/>
          <w:color w:val="auto"/>
        </w:rPr>
      </w:pPr>
    </w:p>
    <w:p>
      <w:pPr>
        <w:ind w:left="900" w:right="160" w:hanging="446"/>
        <w:spacing w:after="0" w:line="342" w:lineRule="auto"/>
        <w:tabs>
          <w:tab w:leader="none" w:pos="90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Arbitrator shall notify the parties by telegram of the place and time he has chosen for this hearing. Said hearing shall be completed in one session. A failure of any party to parties to attend said hearing shall not delay the hearing of evidence or issuance of an award by the Arbitrator.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A-10</w:t>
      </w:r>
    </w:p>
    <w:p>
      <w:pPr>
        <w:sectPr>
          <w:pgSz w:w="11900" w:h="16838" w:orient="portrait"/>
          <w:cols w:equalWidth="0" w:num="1">
            <w:col w:w="11380"/>
          </w:cols>
          <w:pgMar w:left="240" w:top="274" w:right="279" w:bottom="1440" w:gutter="0" w:footer="0" w:header="0"/>
        </w:sectPr>
      </w:pPr>
    </w:p>
    <w:bookmarkStart w:id="452" w:name="page453"/>
    <w:bookmarkEnd w:id="452"/>
    <w:p>
      <w:pPr>
        <w:ind w:left="446" w:right="40" w:hanging="446"/>
        <w:spacing w:after="0" w:line="273" w:lineRule="auto"/>
        <w:tabs>
          <w:tab w:leader="none" w:pos="446" w:val="left"/>
        </w:tabs>
        <w:numPr>
          <w:ilvl w:val="0"/>
          <w:numId w:val="2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sole issue at the hearing shall be whether or not a violation of paragraphs 1, 2 and/or 3 of this Article has, in fact, occurred and the Arbitrator shall have no authority to consider any matter in justification, explanation or mitigation of such violation or to award damages. Any issue concerning damages is reserved for court proceedings, if any. The award shall be issued in writing within three (3) hours after the close of the hearing and may be issued without an opinion. If any party desires an opinion, one shall be issued within fifteen (15) days, but its issuance shall not delay compliance with, or enforcement of the Award. The Arbitrator may order cessation of the violation of this Article and other appropriate relief, and such Award shall be served on all parties by hand or registered mail upon issuance.</w:t>
      </w:r>
    </w:p>
    <w:p>
      <w:pPr>
        <w:spacing w:after="0" w:line="83" w:lineRule="exact"/>
        <w:rPr>
          <w:rFonts w:ascii="Arial" w:cs="Arial" w:eastAsia="Arial" w:hAnsi="Arial"/>
          <w:sz w:val="17"/>
          <w:szCs w:val="17"/>
          <w:color w:val="auto"/>
        </w:rPr>
      </w:pPr>
    </w:p>
    <w:p>
      <w:pPr>
        <w:ind w:left="446" w:hanging="446"/>
        <w:spacing w:after="0" w:line="273" w:lineRule="auto"/>
        <w:tabs>
          <w:tab w:leader="none" w:pos="44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Such Award may be enforced by any court of competent jurisdiction upon the filing of this Agreement and all other relevant documents referred to hereinabove in the following manner. Telegraphic notice of the filing of such enforcement proceedings shall be given to the other party. In the proceeding to obtain an temporary order enforcing the Arbitrator’s Award as issued under paragraph 4(d) of this Article, all parties waive the right to a hearing and agree that such proceedings may be </w:t>
      </w:r>
      <w:r>
        <w:rPr>
          <w:rFonts w:ascii="Arial" w:cs="Arial" w:eastAsia="Arial" w:hAnsi="Arial"/>
          <w:sz w:val="17"/>
          <w:szCs w:val="17"/>
          <w:u w:val="single" w:color="auto"/>
          <w:color w:val="auto"/>
        </w:rPr>
        <w:t>ex parte</w:t>
      </w:r>
      <w:r>
        <w:rPr>
          <w:rFonts w:ascii="Arial" w:cs="Arial" w:eastAsia="Arial" w:hAnsi="Arial"/>
          <w:sz w:val="17"/>
          <w:szCs w:val="17"/>
          <w:color w:val="auto"/>
        </w:rPr>
        <w:t>. Such agreement does not waive any party’s right to participate in a hearing for a final order of enforcement. The court’s order or orders enforcing the Arbitrator’s Award shall be served on all parties by hand or by delivery to their last known address or by registered mail.</w:t>
      </w:r>
    </w:p>
    <w:p>
      <w:pPr>
        <w:spacing w:after="0" w:line="83" w:lineRule="exact"/>
        <w:rPr>
          <w:rFonts w:ascii="Arial" w:cs="Arial" w:eastAsia="Arial" w:hAnsi="Arial"/>
          <w:sz w:val="17"/>
          <w:szCs w:val="17"/>
          <w:color w:val="auto"/>
        </w:rPr>
      </w:pPr>
    </w:p>
    <w:p>
      <w:pPr>
        <w:ind w:left="446" w:right="100" w:hanging="446"/>
        <w:spacing w:after="0" w:line="277" w:lineRule="auto"/>
        <w:tabs>
          <w:tab w:leader="none" w:pos="44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rights created by statute or law governing arbitration proceedings inconsistent with the above procedure or which interfere with compliance therewith are hereby waived by the parties to whom they accrue.</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Exhibit A-11</w:t>
      </w:r>
    </w:p>
    <w:p>
      <w:pPr>
        <w:sectPr>
          <w:pgSz w:w="11900" w:h="16838" w:orient="portrait"/>
          <w:cols w:equalWidth="0" w:num="1">
            <w:col w:w="10946"/>
          </w:cols>
          <w:pgMar w:left="694" w:top="273" w:right="259" w:bottom="1440" w:gutter="0" w:footer="0" w:header="0"/>
        </w:sectPr>
      </w:pPr>
    </w:p>
    <w:bookmarkStart w:id="453" w:name="page454"/>
    <w:bookmarkEnd w:id="453"/>
    <w:p>
      <w:pPr>
        <w:ind w:left="900" w:hanging="446"/>
        <w:spacing w:after="0"/>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fees and expenses of the Arbitrator shall be divided equally between the moving parties and the party or parties respondent.</w:t>
      </w:r>
    </w:p>
    <w:p>
      <w:pPr>
        <w:spacing w:after="0" w:line="370"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ARTICLE VIII</w:t>
      </w:r>
      <w:r>
        <w:rPr>
          <w:sz w:val="20"/>
          <w:szCs w:val="20"/>
          <w:color w:val="auto"/>
        </w:rPr>
        <w:tab/>
      </w:r>
      <w:r>
        <w:rPr>
          <w:rFonts w:ascii="Arial" w:cs="Arial" w:eastAsia="Arial" w:hAnsi="Arial"/>
          <w:sz w:val="18"/>
          <w:szCs w:val="18"/>
          <w:b w:val="1"/>
          <w:bCs w:val="1"/>
          <w:u w:val="single" w:color="auto"/>
          <w:color w:val="auto"/>
        </w:rPr>
        <w:t>PROJECT COORDINATION COMMITTEE</w:t>
      </w:r>
    </w:p>
    <w:p>
      <w:pPr>
        <w:spacing w:after="0" w:line="121"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The parties agree to form a committee comprised of representatives for the Building Trades Council, affected local union and Project Contractor, to meet and discuss issues which may arise from time to time regarding the interpretation, application and enforcement of this Agreement.</w:t>
      </w:r>
    </w:p>
    <w:p>
      <w:pPr>
        <w:spacing w:after="0" w:line="124"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the event a dispute arises between or among the parties thereto which cannot be resolved by the committee described in the preceding paragraph, then the dispute shall be referred to arbitration as described in Article VII with mutually agreed-upon extensions to time limits set forth therein, as may be required.</w:t>
      </w:r>
    </w:p>
    <w:p>
      <w:pPr>
        <w:spacing w:after="0" w:line="32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ARTICLE IX</w:t>
      </w:r>
      <w:r>
        <w:rPr>
          <w:sz w:val="20"/>
          <w:szCs w:val="20"/>
          <w:color w:val="auto"/>
        </w:rPr>
        <w:tab/>
      </w:r>
      <w:r>
        <w:rPr>
          <w:rFonts w:ascii="Arial" w:cs="Arial" w:eastAsia="Arial" w:hAnsi="Arial"/>
          <w:sz w:val="18"/>
          <w:szCs w:val="18"/>
          <w:b w:val="1"/>
          <w:bCs w:val="1"/>
          <w:color w:val="auto"/>
        </w:rPr>
        <w:t>WORK ASSIGNMENTS AND JURISDICTION DISPUTES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Work shall be assigned by the Contractor. There shall be no strikes, picketing, work stoppage, sympathy actions, slowdowns or other disruptive activity arising out of any jurisdictional dispute directed at or in connection with Covered Work during the term of this Agreement.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Except as provided below, all jurisdictional disputes will be settled in accordance with the procedural rules and decisions of the Plan for Settlement of Jurisdictional Disputes in the Construction Industry and shall be binding upon the Contractor and the Unions.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A-12</w:t>
      </w:r>
    </w:p>
    <w:p>
      <w:pPr>
        <w:sectPr>
          <w:pgSz w:w="11900" w:h="16838" w:orient="portrait"/>
          <w:cols w:equalWidth="0" w:num="1">
            <w:col w:w="11380"/>
          </w:cols>
          <w:pgMar w:left="240" w:top="274" w:right="279" w:bottom="1440" w:gutter="0" w:footer="0" w:header="0"/>
        </w:sectPr>
      </w:pPr>
    </w:p>
    <w:bookmarkStart w:id="454" w:name="page455"/>
    <w:bookmarkEnd w:id="454"/>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a jurisdictional dispute involves any Union not a party to the Plan for Settlement of Jurisdictional Disputes in the Construction Industry and is not resolved among the Unions and the site representative of the affected Contractor, it shall be referred for resolution to the International Unions with which the disputed Unions are affiliated. The International Unions shall hereafter meet with the representative of the affected Contractor to reach a joint resolution of the disputes. For purposes of all disputes referred to the International Unions shall hereafter meet with the representative of the affected Contractor to reach a joint resolution of the disputes. For purposes of all disputes referred to the International Unions, the Project Contractor shall be a party in interest. The resolution of the dispute shall be reduced to writing, signed by representatives of the Local and/or International Unions and a copy furnished to the Contractor. (The Local and/or International Unions and the Contractor, in making their determination, shall have no authority to assign work to a double crew, that is, to more employees than the minimum required to perform the work involved, or to assign the work to employees who are not qualified to perform the work involved.) This does not prohibit establishment of composite crews following jurisdictional guidelines where more than one employee is needed for the job. The work shall proceed as assigned by the Contractor until such resolution by the parties has been confirmed in the manner indicated by the disputing Unions to the Contractors. Any such resolution shall be final and binding on the Contractor and the Unions.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b w:val="1"/>
          <w:bCs w:val="1"/>
          <w:u w:val="single" w:color="auto"/>
          <w:color w:val="auto"/>
        </w:rPr>
        <w:t>WAGES, HOURS, WORKING CONDITIONS AND FRINGE BENEFITS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With the exception of black Friday which shall not be observed on construction covered by this Agreement, wages, hours, fringe benefits and other working conditions shall be determined by the appropriate collective bargaining agreements listed on Schedule A. Make-up days as provided in certain collective bargaining agreements listed on Schedule A shall apply to work covered by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A-13</w:t>
      </w:r>
    </w:p>
    <w:p>
      <w:pPr>
        <w:sectPr>
          <w:pgSz w:w="11900" w:h="16838" w:orient="portrait"/>
          <w:cols w:equalWidth="0" w:num="1">
            <w:col w:w="11400"/>
          </w:cols>
          <w:pgMar w:left="240" w:top="274" w:right="25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XI </w:t>
      </w:r>
      <w:r>
        <w:rPr>
          <w:rFonts w:ascii="Arial" w:cs="Arial" w:eastAsia="Arial" w:hAnsi="Arial"/>
          <w:sz w:val="18"/>
          <w:szCs w:val="18"/>
          <w:b w:val="1"/>
          <w:bCs w:val="1"/>
          <w:u w:val="single" w:color="auto"/>
          <w:color w:val="auto"/>
        </w:rPr>
        <w:t>NO DISCRIMINATION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Contractor and the Unions agree that they will not discriminate against any employee or applicant for employment because of race, color, religion, sex, national origin or age in any manner prohibited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XII </w:t>
      </w:r>
      <w:r>
        <w:rPr>
          <w:rFonts w:ascii="Arial" w:cs="Arial" w:eastAsia="Arial" w:hAnsi="Arial"/>
          <w:sz w:val="18"/>
          <w:szCs w:val="18"/>
          <w:b w:val="1"/>
          <w:bCs w:val="1"/>
          <w:u w:val="single" w:color="auto"/>
          <w:color w:val="auto"/>
        </w:rPr>
        <w:t>APPRENTICES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to meet and fulfill minority and woman apprentices and journey-level goals, to ensure those inducted into apprenticeship programs through Mission Bay Affirmative Action reach status, a continuity of work is required. All work covered by this Agreement will have an appropriate apprenticeship program equal to or better than those established by the appropriate collective bargaining agreements listed on Schedule A or their respective equivalent. The work will be done under the wages, hours, conditions, benefits of the appropriate collective bargaining agreement identified on Schedule A. The recruitment, selection, employment and training of apprentices shall be without discrimination because of age, race, color, religion, national origin, or sex. This provision shall be applied in manner consistent with the MBAAEDP and the appropriate JATC, except where superseded by the provisions of the Amended Consent Decree in Civil Case No. C-71-1277RFP, as modified, or as may be subsequently modified during the term of this Agreement.</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A-14</w:t>
      </w:r>
    </w:p>
    <w:p>
      <w:pPr>
        <w:sectPr>
          <w:pgSz w:w="11900" w:h="16838" w:orient="portrait"/>
          <w:cols w:equalWidth="0" w:num="1">
            <w:col w:w="11340"/>
          </w:cols>
          <w:pgMar w:left="240" w:top="269" w:right="31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XIII </w:t>
      </w:r>
      <w:r>
        <w:rPr>
          <w:rFonts w:ascii="Arial" w:cs="Arial" w:eastAsia="Arial" w:hAnsi="Arial"/>
          <w:sz w:val="18"/>
          <w:szCs w:val="18"/>
          <w:b w:val="1"/>
          <w:bCs w:val="1"/>
          <w:u w:val="single" w:color="auto"/>
          <w:color w:val="auto"/>
        </w:rPr>
        <w:t>SAFETY AND HEALTH</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Contractor, the Unions and the employees shall comply with all applicable provisions of local, state, and federal laws and regulations relating to the job safety and safe work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XIV </w:t>
      </w:r>
      <w:r>
        <w:rPr>
          <w:rFonts w:ascii="Arial" w:cs="Arial" w:eastAsia="Arial" w:hAnsi="Arial"/>
          <w:sz w:val="18"/>
          <w:szCs w:val="18"/>
          <w:b w:val="1"/>
          <w:bCs w:val="1"/>
          <w:u w:val="single" w:color="auto"/>
          <w:color w:val="auto"/>
        </w:rPr>
        <w:t>SAVINGS AND SEPARABILITY</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It is not the intention of either the Contractor or the Union parties hereto to violate any laws governing the subject matter of this Agreement. The parties hereto agree that in the event any provisions of this Agreement are finally held or determined to be illegal or void as being in contravention of any applicable law, the remainder of this Agreement shall remain in full force and effect unless the part or parts so found to be void are wholly inseparable from the remaining portions of this Agreement. Further, Contractor and Union agree that if and when any or all provisions of this Agreement are finally held or determined to be illegal or void by a court of competent jurisdiction, an effort will be made to then promptly enter into negotiations concerning the substance affected by such decision for the purpose of achieving conformity with the requirements of any applicable law and the intent of the parties hereto.</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This Article shall not be construed to waive the prohibitions of Article VII, and if the parties are unable to resolve their differences, the matter shall be referred to the procedure of Article VIII for resolution.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A-15</w:t>
      </w:r>
    </w:p>
    <w:p>
      <w:pPr>
        <w:sectPr>
          <w:pgSz w:w="11900" w:h="16838" w:orient="portrait"/>
          <w:cols w:equalWidth="0" w:num="1">
            <w:col w:w="11400"/>
          </w:cols>
          <w:pgMar w:left="240" w:top="270" w:right="259" w:bottom="1440" w:gutter="0" w:footer="0" w:header="0"/>
        </w:sectPr>
      </w:pPr>
    </w:p>
    <w:bookmarkStart w:id="457" w:name="page458"/>
    <w:bookmarkEnd w:id="457"/>
    <w:p>
      <w:pPr>
        <w:spacing w:after="0"/>
        <w:tabs>
          <w:tab w:leader="none" w:pos="1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w:t>
      </w:r>
      <w:r>
        <w:rPr>
          <w:sz w:val="20"/>
          <w:szCs w:val="20"/>
          <w:color w:val="auto"/>
        </w:rPr>
        <w:tab/>
      </w:r>
      <w:r>
        <w:rPr>
          <w:rFonts w:ascii="Arial" w:cs="Arial" w:eastAsia="Arial" w:hAnsi="Arial"/>
          <w:sz w:val="18"/>
          <w:szCs w:val="18"/>
          <w:b w:val="1"/>
          <w:bCs w:val="1"/>
          <w:u w:val="single" w:color="auto"/>
          <w:color w:val="auto"/>
        </w:rPr>
        <w:t>ENTIRE UNDERSTANDING</w:t>
      </w:r>
    </w:p>
    <w:p>
      <w:pPr>
        <w:spacing w:after="0" w:line="12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parties agree that the total results of their bargaining are embodied in this Agreement, and any attached exhibits and schedules, and no party signatory hereto is required to render any performance not set forth in the wording of this Agreement. This Agreement may be amended only by written agreement signed by the parties hereto. In the event that modification to this Agreement is required, the parties agree to promptly convene the Project Coordination Committee to discuss and negotiate the necessary modification.</w:t>
      </w:r>
    </w:p>
    <w:p>
      <w:pPr>
        <w:spacing w:after="0" w:line="33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ARTICLE XVI</w:t>
      </w:r>
      <w:r>
        <w:rPr>
          <w:sz w:val="20"/>
          <w:szCs w:val="20"/>
          <w:color w:val="auto"/>
        </w:rPr>
        <w:tab/>
      </w:r>
      <w:r>
        <w:rPr>
          <w:rFonts w:ascii="Arial" w:cs="Arial" w:eastAsia="Arial" w:hAnsi="Arial"/>
          <w:sz w:val="18"/>
          <w:szCs w:val="18"/>
          <w:b w:val="1"/>
          <w:bCs w:val="1"/>
          <w:u w:val="single" w:color="auto"/>
          <w:color w:val="auto"/>
        </w:rPr>
        <w:t>DURATION OF THE AGREEMENT</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Agreement shall become effective immediately upon Project Contractor’s commencement of any demolition or construction activities at the Owner’s project within the scope of the Owner’s OPA and this Agreement and shall continue in effect for the duration Owner’s construction activities on the Owner’s project as described in Article III above. Construction of any phase, portion, section or segment of Owner’s project shall be deemed completed when such phase, portion, section or segment has been turned over to the Owner and has received the final acceptance from the Owner’s representative.</w:t>
      </w:r>
    </w:p>
    <w:p>
      <w:pPr>
        <w:spacing w:after="0" w:line="15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collective bargaining agreements identified on Schedule A attached to this Agreement shall continue in full force and effect until the contractor and union parties to those collective bargaining agreements notify the Project Contractor of the mutually agreed upon changes in such agreements. The parties agree that any provisions negotiated into said collective bargaining agreements will not apply to work on the Owner’s project if such provisions are less favorable to the Contractor than those uniformly required of contractors for construction work covered by those agreements. Such provisions, negotiated, shall not be recognized or applied on Owner’s project if they may be construed to apply exclusively or predominantly to work covered by this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A-16</w:t>
      </w:r>
    </w:p>
    <w:p>
      <w:pPr>
        <w:sectPr>
          <w:pgSz w:w="11900" w:h="16838" w:orient="portrait"/>
          <w:cols w:equalWidth="0" w:num="1">
            <w:col w:w="11400"/>
          </w:cols>
          <w:pgMar w:left="240" w:top="269" w:right="259" w:bottom="1440" w:gutter="0" w:footer="0" w:header="0"/>
        </w:sectPr>
      </w:pPr>
    </w:p>
    <w:bookmarkStart w:id="458" w:name="page459"/>
    <w:bookmarkEnd w:id="458"/>
    <w:p>
      <w:pPr>
        <w:jc w:val="both"/>
        <w:ind w:right="3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Unions agree that there will be no strikes, work stoppages, sympathy actions, picketing, slowdowns or other disruptive activities affecting the Covered Work by the Unions involved in the negotiation of the collective bargaining agreements listed on Schedule A, nor shall there by any lockout on Covered Work affecting the Unions during the course of such negotiations. Any disagreement between the parties over the incorporation into a collective bargaining agreement listed on Schedule A of such provision agreed upon in the negotiation of the collective bargaining agreement shall be subject to the grievance and arbitration procedures of Article VIII.</w:t>
      </w:r>
    </w:p>
    <w:p>
      <w:pPr>
        <w:spacing w:after="0" w:line="188" w:lineRule="exact"/>
        <w:rPr>
          <w:sz w:val="20"/>
          <w:szCs w:val="20"/>
          <w:color w:val="auto"/>
        </w:rPr>
      </w:pPr>
    </w:p>
    <w:p>
      <w:pPr>
        <w:ind w:left="460"/>
        <w:spacing w:after="0"/>
        <w:tabs>
          <w:tab w:leader="none" w:pos="4060" w:val="left"/>
          <w:tab w:leader="none" w:pos="4340" w:val="left"/>
          <w:tab w:leader="none" w:pos="4880" w:val="left"/>
        </w:tabs>
        <w:rPr>
          <w:sz w:val="20"/>
          <w:szCs w:val="20"/>
          <w:color w:val="auto"/>
        </w:rPr>
      </w:pPr>
      <w:r>
        <w:rPr>
          <w:rFonts w:ascii="Arial" w:cs="Arial" w:eastAsia="Arial" w:hAnsi="Arial"/>
          <w:sz w:val="18"/>
          <w:szCs w:val="18"/>
          <w:color w:val="auto"/>
        </w:rPr>
        <w:t>This Agreement shall be effective until</w:t>
      </w:r>
      <w:r>
        <w:rPr>
          <w:sz w:val="20"/>
          <w:szCs w:val="20"/>
          <w:color w:val="auto"/>
        </w:rPr>
        <w:tab/>
      </w:r>
      <w:r>
        <w:rPr>
          <w:rFonts w:ascii="Arial" w:cs="Arial" w:eastAsia="Arial" w:hAnsi="Arial"/>
          <w:sz w:val="18"/>
          <w:szCs w:val="18"/>
          <w:color w:val="auto"/>
        </w:rPr>
        <w:t>,</w:t>
        <w:tab/>
        <w:t>200</w:t>
      </w:r>
      <w:r>
        <w:rPr>
          <w:sz w:val="20"/>
          <w:szCs w:val="20"/>
          <w:color w:val="auto"/>
        </w:rPr>
        <w:tab/>
      </w:r>
      <w:r>
        <w:rPr>
          <w:rFonts w:ascii="Arial" w:cs="Arial" w:eastAsia="Arial" w:hAnsi="Arial"/>
          <w:sz w:val="16"/>
          <w:szCs w:val="16"/>
          <w:color w:val="auto"/>
        </w:rPr>
        <w:t>and shall renew automatically for additional terms of seven years (7) each unless not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-10160</wp:posOffset>
            </wp:positionV>
            <wp:extent cx="100012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than ninety (90) days prior to the termination date of the initial or any subsequent term either Project Contractor or the San Francisco Building Trades Council give written notice to the other requesting modification or termination of the Owner’s OPA. Notwithstanding, this Agreement shall terminate upon the termination of the Owner’s OPA. Should this Agreement terminate due to the termination of the Owner’s OPA, it will be automatically reinstated if the Owner’s OPA or a substitute agreement thereto is reinstated within three (3) years of its termination. If reinstatement of the Owner’s OPA or a substitute agreement thereto occurs more than three (3) years after its termination, the parties will negotiate a new project agreement. Reinstatement of this Agreement is subject to the seven (7) year terms and notice provision stated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A-17</w:t>
      </w:r>
    </w:p>
    <w:p>
      <w:pPr>
        <w:sectPr>
          <w:pgSz w:w="11900" w:h="16838" w:orient="portrait"/>
          <w:cols w:equalWidth="0" w:num="1">
            <w:col w:w="11400"/>
          </w:cols>
          <w:pgMar w:left="240" w:top="274" w:right="259" w:bottom="1440" w:gutter="0" w:footer="0" w:header="0"/>
        </w:sectPr>
      </w:pPr>
    </w:p>
    <w:bookmarkStart w:id="459" w:name="page460"/>
    <w:bookmarkEnd w:id="45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and effective as of the day and year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FRANCISCO BUILDING AND CONSTRUCTION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TRADES COUNCIL, AFL-CIO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9877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28987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 (See Schedule A Attached)</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A-18</w:t>
      </w:r>
    </w:p>
    <w:p>
      <w:pPr>
        <w:sectPr>
          <w:pgSz w:w="11900" w:h="16838" w:orient="portrait"/>
          <w:cols w:equalWidth="0" w:num="1">
            <w:col w:w="10219"/>
          </w:cols>
          <w:pgMar w:left="240" w:top="274" w:right="1440"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4520" w:type="dxa"/>
            <w:vAlign w:val="bottom"/>
            <w:gridSpan w:val="2"/>
          </w:tcPr>
          <w:p>
            <w:pPr>
              <w:spacing w:after="0"/>
              <w:rPr>
                <w:sz w:val="17"/>
                <w:szCs w:val="17"/>
                <w:color w:val="auto"/>
              </w:rPr>
            </w:pPr>
          </w:p>
        </w:tc>
      </w:tr>
      <w:tr>
        <w:trPr>
          <w:trHeight w:val="480"/>
        </w:trPr>
        <w:tc>
          <w:tcPr>
            <w:tcW w:w="5140" w:type="dxa"/>
            <w:vAlign w:val="bottom"/>
            <w:gridSpan w:val="4"/>
          </w:tcPr>
          <w:p>
            <w:pPr>
              <w:spacing w:after="0"/>
              <w:rPr>
                <w:sz w:val="20"/>
                <w:szCs w:val="20"/>
                <w:color w:val="auto"/>
              </w:rPr>
            </w:pPr>
            <w:r>
              <w:rPr>
                <w:rFonts w:ascii="Arial" w:cs="Arial" w:eastAsia="Arial" w:hAnsi="Arial"/>
                <w:sz w:val="18"/>
                <w:szCs w:val="18"/>
                <w:color w:val="auto"/>
              </w:rPr>
              <w:t>Insulators &amp; Asbestos Workers Local 16</w:t>
            </w:r>
          </w:p>
        </w:tc>
        <w:tc>
          <w:tcPr>
            <w:tcW w:w="92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Boilermakers Local 549</w:t>
            </w:r>
          </w:p>
        </w:tc>
      </w:tr>
      <w:tr>
        <w:trPr>
          <w:trHeight w:val="392"/>
        </w:trPr>
        <w:tc>
          <w:tcPr>
            <w:tcW w:w="5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7"/>
              </w:rPr>
              <w:t>Dated:</w:t>
            </w:r>
          </w:p>
        </w:tc>
        <w:tc>
          <w:tcPr>
            <w:tcW w:w="4220" w:type="dxa"/>
            <w:vAlign w:val="bottom"/>
            <w:tcBorders>
              <w:bottom w:val="single" w:sz="8" w:color="auto"/>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auto"/>
                <w:w w:val="94"/>
              </w:rPr>
              <w:t>Dated:</w:t>
            </w:r>
          </w:p>
        </w:tc>
        <w:tc>
          <w:tcPr>
            <w:tcW w:w="4240" w:type="dxa"/>
            <w:vAlign w:val="bottom"/>
            <w:tcBorders>
              <w:bottom w:val="single" w:sz="8" w:color="auto"/>
            </w:tcBorders>
          </w:tcPr>
          <w:p>
            <w:pPr>
              <w:spacing w:after="0"/>
              <w:rPr>
                <w:sz w:val="17"/>
                <w:szCs w:val="17"/>
                <w:color w:val="auto"/>
              </w:rPr>
            </w:pPr>
          </w:p>
        </w:tc>
      </w:tr>
      <w:tr>
        <w:trPr>
          <w:trHeight w:val="453"/>
        </w:trPr>
        <w:tc>
          <w:tcPr>
            <w:tcW w:w="5140" w:type="dxa"/>
            <w:vAlign w:val="bottom"/>
            <w:gridSpan w:val="4"/>
          </w:tcPr>
          <w:p>
            <w:pPr>
              <w:spacing w:after="0"/>
              <w:rPr>
                <w:sz w:val="20"/>
                <w:szCs w:val="20"/>
                <w:color w:val="auto"/>
              </w:rPr>
            </w:pPr>
            <w:r>
              <w:rPr>
                <w:rFonts w:ascii="Arial" w:cs="Arial" w:eastAsia="Arial" w:hAnsi="Arial"/>
                <w:sz w:val="18"/>
                <w:szCs w:val="18"/>
                <w:color w:val="auto"/>
              </w:rPr>
              <w:t>Bricklayers &amp; Allied Crafts Local 3</w:t>
            </w:r>
          </w:p>
        </w:tc>
        <w:tc>
          <w:tcPr>
            <w:tcW w:w="92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Carpenters Local 22</w:t>
            </w:r>
          </w:p>
        </w:tc>
      </w:tr>
      <w:tr>
        <w:trPr>
          <w:trHeight w:val="392"/>
        </w:trPr>
        <w:tc>
          <w:tcPr>
            <w:tcW w:w="4780" w:type="dxa"/>
            <w:vAlign w:val="bottom"/>
            <w:tcBorders>
              <w:bottom w:val="single" w:sz="8" w:color="auto"/>
            </w:tcBorders>
            <w:gridSpan w:val="3"/>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60" w:type="dxa"/>
            <w:vAlign w:val="bottom"/>
            <w:tcBorders>
              <w:bottom w:val="single" w:sz="8" w:color="auto"/>
            </w:tcBorders>
            <w:gridSpan w:val="3"/>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7"/>
              </w:rPr>
              <w:t>Dated:</w:t>
            </w:r>
          </w:p>
        </w:tc>
        <w:tc>
          <w:tcPr>
            <w:tcW w:w="4220" w:type="dxa"/>
            <w:vAlign w:val="bottom"/>
            <w:tcBorders>
              <w:bottom w:val="single" w:sz="8" w:color="auto"/>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auto"/>
                <w:w w:val="94"/>
              </w:rPr>
              <w:t>Dated:</w:t>
            </w:r>
          </w:p>
        </w:tc>
        <w:tc>
          <w:tcPr>
            <w:tcW w:w="4240" w:type="dxa"/>
            <w:vAlign w:val="bottom"/>
            <w:tcBorders>
              <w:bottom w:val="single" w:sz="8" w:color="auto"/>
            </w:tcBorders>
          </w:tcPr>
          <w:p>
            <w:pPr>
              <w:spacing w:after="0"/>
              <w:rPr>
                <w:sz w:val="17"/>
                <w:szCs w:val="17"/>
                <w:color w:val="auto"/>
              </w:rPr>
            </w:pPr>
          </w:p>
        </w:tc>
      </w:tr>
      <w:tr>
        <w:trPr>
          <w:trHeight w:val="453"/>
        </w:trPr>
        <w:tc>
          <w:tcPr>
            <w:tcW w:w="5140" w:type="dxa"/>
            <w:vAlign w:val="bottom"/>
            <w:gridSpan w:val="4"/>
          </w:tcPr>
          <w:p>
            <w:pPr>
              <w:spacing w:after="0"/>
              <w:rPr>
                <w:sz w:val="20"/>
                <w:szCs w:val="20"/>
                <w:color w:val="auto"/>
              </w:rPr>
            </w:pPr>
            <w:r>
              <w:rPr>
                <w:rFonts w:ascii="Arial" w:cs="Arial" w:eastAsia="Arial" w:hAnsi="Arial"/>
                <w:sz w:val="18"/>
                <w:szCs w:val="18"/>
                <w:color w:val="auto"/>
              </w:rPr>
              <w:t>Carpenters Local 2236</w:t>
            </w:r>
          </w:p>
        </w:tc>
        <w:tc>
          <w:tcPr>
            <w:tcW w:w="92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Carpet &amp; Linoleum Layers Local 12</w:t>
            </w:r>
          </w:p>
        </w:tc>
      </w:tr>
      <w:tr>
        <w:trPr>
          <w:trHeight w:val="392"/>
        </w:trPr>
        <w:tc>
          <w:tcPr>
            <w:tcW w:w="4780" w:type="dxa"/>
            <w:vAlign w:val="bottom"/>
            <w:tcBorders>
              <w:bottom w:val="single" w:sz="8" w:color="auto"/>
            </w:tcBorders>
            <w:gridSpan w:val="3"/>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60" w:type="dxa"/>
            <w:vAlign w:val="bottom"/>
            <w:tcBorders>
              <w:bottom w:val="single" w:sz="8" w:color="auto"/>
            </w:tcBorders>
            <w:gridSpan w:val="3"/>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7"/>
              </w:rPr>
              <w:t>Dated:</w:t>
            </w:r>
          </w:p>
        </w:tc>
        <w:tc>
          <w:tcPr>
            <w:tcW w:w="4220" w:type="dxa"/>
            <w:vAlign w:val="bottom"/>
            <w:tcBorders>
              <w:bottom w:val="single" w:sz="8" w:color="auto"/>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auto"/>
                <w:w w:val="94"/>
              </w:rPr>
              <w:t>Dated:</w:t>
            </w:r>
          </w:p>
        </w:tc>
        <w:tc>
          <w:tcPr>
            <w:tcW w:w="4240" w:type="dxa"/>
            <w:vAlign w:val="bottom"/>
            <w:tcBorders>
              <w:bottom w:val="single" w:sz="8" w:color="auto"/>
            </w:tcBorders>
          </w:tcPr>
          <w:p>
            <w:pPr>
              <w:spacing w:after="0"/>
              <w:rPr>
                <w:sz w:val="17"/>
                <w:szCs w:val="17"/>
                <w:color w:val="auto"/>
              </w:rPr>
            </w:pPr>
          </w:p>
        </w:tc>
      </w:tr>
      <w:tr>
        <w:trPr>
          <w:trHeight w:val="453"/>
        </w:trPr>
        <w:tc>
          <w:tcPr>
            <w:tcW w:w="5140" w:type="dxa"/>
            <w:vAlign w:val="bottom"/>
            <w:gridSpan w:val="4"/>
          </w:tcPr>
          <w:p>
            <w:pPr>
              <w:spacing w:after="0"/>
              <w:rPr>
                <w:sz w:val="20"/>
                <w:szCs w:val="20"/>
                <w:color w:val="auto"/>
              </w:rPr>
            </w:pPr>
            <w:r>
              <w:rPr>
                <w:rFonts w:ascii="Arial" w:cs="Arial" w:eastAsia="Arial" w:hAnsi="Arial"/>
                <w:sz w:val="18"/>
                <w:szCs w:val="18"/>
                <w:color w:val="auto"/>
              </w:rPr>
              <w:t>Cement Masons Local 300, Area 580</w:t>
            </w:r>
          </w:p>
        </w:tc>
        <w:tc>
          <w:tcPr>
            <w:tcW w:w="92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Electrical Workers Local 6</w:t>
            </w:r>
          </w:p>
        </w:tc>
      </w:tr>
      <w:tr>
        <w:trPr>
          <w:trHeight w:val="392"/>
        </w:trPr>
        <w:tc>
          <w:tcPr>
            <w:tcW w:w="4780" w:type="dxa"/>
            <w:vAlign w:val="bottom"/>
            <w:tcBorders>
              <w:bottom w:val="single" w:sz="8" w:color="auto"/>
            </w:tcBorders>
            <w:gridSpan w:val="3"/>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60" w:type="dxa"/>
            <w:vAlign w:val="bottom"/>
            <w:tcBorders>
              <w:bottom w:val="single" w:sz="8" w:color="auto"/>
            </w:tcBorders>
            <w:gridSpan w:val="3"/>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7"/>
              </w:rPr>
              <w:t>Dated:</w:t>
            </w:r>
          </w:p>
        </w:tc>
        <w:tc>
          <w:tcPr>
            <w:tcW w:w="4220" w:type="dxa"/>
            <w:vAlign w:val="bottom"/>
            <w:tcBorders>
              <w:bottom w:val="single" w:sz="8" w:color="auto"/>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auto"/>
                <w:w w:val="94"/>
              </w:rPr>
              <w:t>Dated:</w:t>
            </w:r>
          </w:p>
        </w:tc>
        <w:tc>
          <w:tcPr>
            <w:tcW w:w="4240" w:type="dxa"/>
            <w:vAlign w:val="bottom"/>
            <w:tcBorders>
              <w:bottom w:val="single" w:sz="8" w:color="auto"/>
            </w:tcBorders>
          </w:tcPr>
          <w:p>
            <w:pPr>
              <w:spacing w:after="0"/>
              <w:rPr>
                <w:sz w:val="17"/>
                <w:szCs w:val="17"/>
                <w:color w:val="auto"/>
              </w:rPr>
            </w:pPr>
          </w:p>
        </w:tc>
      </w:tr>
      <w:tr>
        <w:trPr>
          <w:trHeight w:val="453"/>
        </w:trPr>
        <w:tc>
          <w:tcPr>
            <w:tcW w:w="5140" w:type="dxa"/>
            <w:vAlign w:val="bottom"/>
            <w:gridSpan w:val="4"/>
          </w:tcPr>
          <w:p>
            <w:pPr>
              <w:spacing w:after="0"/>
              <w:rPr>
                <w:sz w:val="20"/>
                <w:szCs w:val="20"/>
                <w:color w:val="auto"/>
              </w:rPr>
            </w:pPr>
            <w:r>
              <w:rPr>
                <w:rFonts w:ascii="Arial" w:cs="Arial" w:eastAsia="Arial" w:hAnsi="Arial"/>
                <w:sz w:val="18"/>
                <w:szCs w:val="18"/>
                <w:color w:val="auto"/>
              </w:rPr>
              <w:t>Elevator Constructors Local 8</w:t>
            </w:r>
          </w:p>
        </w:tc>
        <w:tc>
          <w:tcPr>
            <w:tcW w:w="92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Glaziers &amp; Glassworkers Local 718</w:t>
            </w:r>
          </w:p>
        </w:tc>
      </w:tr>
      <w:tr>
        <w:trPr>
          <w:trHeight w:val="392"/>
        </w:trPr>
        <w:tc>
          <w:tcPr>
            <w:tcW w:w="4780" w:type="dxa"/>
            <w:vAlign w:val="bottom"/>
            <w:tcBorders>
              <w:bottom w:val="single" w:sz="8" w:color="auto"/>
            </w:tcBorders>
            <w:gridSpan w:val="3"/>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60" w:type="dxa"/>
            <w:vAlign w:val="bottom"/>
            <w:tcBorders>
              <w:bottom w:val="single" w:sz="8" w:color="auto"/>
            </w:tcBorders>
            <w:gridSpan w:val="3"/>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7"/>
              </w:rPr>
              <w:t>Dated:</w:t>
            </w:r>
          </w:p>
        </w:tc>
        <w:tc>
          <w:tcPr>
            <w:tcW w:w="4220" w:type="dxa"/>
            <w:vAlign w:val="bottom"/>
            <w:tcBorders>
              <w:bottom w:val="single" w:sz="8" w:color="auto"/>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gridSpan w:val="2"/>
          </w:tcPr>
          <w:p>
            <w:pPr>
              <w:spacing w:after="0" w:line="196" w:lineRule="exact"/>
              <w:rPr>
                <w:sz w:val="20"/>
                <w:szCs w:val="20"/>
                <w:color w:val="auto"/>
              </w:rPr>
            </w:pPr>
            <w:r>
              <w:rPr>
                <w:rFonts w:ascii="Arial" w:cs="Arial" w:eastAsia="Arial" w:hAnsi="Arial"/>
                <w:sz w:val="18"/>
                <w:szCs w:val="18"/>
                <w:color w:val="auto"/>
                <w:w w:val="94"/>
              </w:rPr>
              <w:t>Dated:</w:t>
            </w:r>
          </w:p>
        </w:tc>
        <w:tc>
          <w:tcPr>
            <w:tcW w:w="4240" w:type="dxa"/>
            <w:vAlign w:val="bottom"/>
            <w:tcBorders>
              <w:bottom w:val="single" w:sz="8" w:color="auto"/>
            </w:tcBorders>
          </w:tcPr>
          <w:p>
            <w:pPr>
              <w:spacing w:after="0"/>
              <w:rPr>
                <w:sz w:val="17"/>
                <w:szCs w:val="17"/>
                <w:color w:val="auto"/>
              </w:rPr>
            </w:pPr>
          </w:p>
        </w:tc>
      </w:tr>
      <w:tr>
        <w:trPr>
          <w:trHeight w:val="385"/>
        </w:trPr>
        <w:tc>
          <w:tcPr>
            <w:tcW w:w="5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4"/>
          </w:tcPr>
          <w:p>
            <w:pPr>
              <w:jc w:val="center"/>
              <w:ind w:right="4540"/>
              <w:spacing w:after="0"/>
              <w:rPr>
                <w:sz w:val="20"/>
                <w:szCs w:val="20"/>
                <w:color w:val="auto"/>
              </w:rPr>
            </w:pPr>
            <w:r>
              <w:rPr>
                <w:rFonts w:ascii="Arial" w:cs="Arial" w:eastAsia="Arial" w:hAnsi="Arial"/>
                <w:sz w:val="18"/>
                <w:szCs w:val="18"/>
                <w:color w:val="auto"/>
                <w:w w:val="96"/>
              </w:rPr>
              <w:t>Exhibit A-19</w:t>
            </w:r>
          </w:p>
        </w:tc>
      </w:tr>
    </w:tbl>
    <w:p>
      <w:pPr>
        <w:jc w:val="center"/>
        <w:ind w:right="4540"/>
        <w:spacing w:after="0"/>
        <w:rPr>
          <w:sz w:val="20"/>
          <w:szCs w:val="20"/>
          <w:color w:val="auto"/>
        </w:rPr>
        <w:sectPr>
          <w:pgSz w:w="11900" w:h="16838" w:orient="portrait"/>
          <w:cols w:equalWidth="0" w:num="1">
            <w:col w:w="10820"/>
          </w:cols>
          <w:pgMar w:left="240" w:top="257" w:right="8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61" w:name="page462"/>
    <w:bookmarkEnd w:id="461"/>
    <w:p>
      <w:pPr>
        <w:spacing w:after="0"/>
        <w:rPr>
          <w:sz w:val="20"/>
          <w:szCs w:val="20"/>
          <w:color w:val="auto"/>
        </w:rPr>
      </w:pPr>
      <w:r>
        <w:rPr>
          <w:rFonts w:ascii="Arial" w:cs="Arial" w:eastAsia="Arial" w:hAnsi="Arial"/>
          <w:sz w:val="18"/>
          <w:szCs w:val="18"/>
          <w:color w:val="auto"/>
        </w:rPr>
        <w:t>Hod Carriers Local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302895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68605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Laborers Local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302895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68605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Lathers Local 68-L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302895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68605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Operating Engineers Local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302895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68605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Piledrivers Local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302895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268605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Iron Workers Local 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263525</wp:posOffset>
            </wp:positionV>
            <wp:extent cx="302895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-10160</wp:posOffset>
            </wp:positionV>
            <wp:extent cx="268605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Laborers Local 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302895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-10160</wp:posOffset>
            </wp:positionV>
            <wp:extent cx="268605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Laborers Local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302895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-10160</wp:posOffset>
            </wp:positionV>
            <wp:extent cx="268605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Painters Local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302895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-10160</wp:posOffset>
            </wp:positionV>
            <wp:extent cx="268605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Operative Plasterers Local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278130</wp:posOffset>
            </wp:positionV>
            <wp:extent cx="302895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3679"/>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3810</wp:posOffset>
            </wp:positionV>
            <wp:extent cx="268605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340" w:space="720"/>
            <w:col w:w="4159"/>
          </w:cols>
          <w:pgMar w:left="240" w:top="274" w:right="1440" w:bottom="1440" w:gutter="0" w:footer="0" w:header="0"/>
        </w:sectPr>
      </w:pPr>
    </w:p>
    <w:p>
      <w:pPr>
        <w:spacing w:after="0" w:line="1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Exhibit A-20</w:t>
      </w:r>
    </w:p>
    <w:p>
      <w:pPr>
        <w:sectPr>
          <w:pgSz w:w="11900" w:h="16838" w:orient="portrait"/>
          <w:cols w:equalWidth="0" w:num="1">
            <w:col w:w="10219"/>
          </w:cols>
          <w:pgMar w:left="240" w:top="274" w:right="1440" w:bottom="1440" w:gutter="0" w:footer="0" w:header="0"/>
          <w:type w:val="continuous"/>
        </w:sectPr>
      </w:pPr>
    </w:p>
    <w:bookmarkStart w:id="462" w:name="page463"/>
    <w:bookmarkEnd w:id="462"/>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Plumbers &amp; Steamfitters Local 38</w:t>
            </w:r>
          </w:p>
        </w:tc>
        <w:tc>
          <w:tcPr>
            <w:tcW w:w="146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Roofers &amp; Waterproofers Local 40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04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53"/>
        </w:trPr>
        <w:tc>
          <w:tcPr>
            <w:tcW w:w="4600" w:type="dxa"/>
            <w:vAlign w:val="bottom"/>
            <w:gridSpan w:val="4"/>
          </w:tcPr>
          <w:p>
            <w:pPr>
              <w:spacing w:after="0"/>
              <w:rPr>
                <w:sz w:val="20"/>
                <w:szCs w:val="20"/>
                <w:color w:val="auto"/>
              </w:rPr>
            </w:pPr>
            <w:r>
              <w:rPr>
                <w:rFonts w:ascii="Arial" w:cs="Arial" w:eastAsia="Arial" w:hAnsi="Arial"/>
                <w:sz w:val="18"/>
                <w:szCs w:val="18"/>
                <w:color w:val="auto"/>
              </w:rPr>
              <w:t>Sheet Metal Workers Local 104</w:t>
            </w:r>
          </w:p>
        </w:tc>
        <w:tc>
          <w:tcPr>
            <w:tcW w:w="146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Sign &amp; Display Local 510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44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1460" w:type="dxa"/>
            <w:vAlign w:val="bottom"/>
          </w:tcPr>
          <w:p>
            <w:pPr>
              <w:spacing w:after="0"/>
              <w:rPr>
                <w:sz w:val="24"/>
                <w:szCs w:val="24"/>
                <w:color w:val="auto"/>
              </w:rPr>
            </w:pPr>
          </w:p>
        </w:tc>
        <w:tc>
          <w:tcPr>
            <w:tcW w:w="4400" w:type="dxa"/>
            <w:vAlign w:val="bottom"/>
            <w:tcBorders>
              <w:bottom w:val="single" w:sz="8" w:color="auto"/>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04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453"/>
        </w:trPr>
        <w:tc>
          <w:tcPr>
            <w:tcW w:w="4600" w:type="dxa"/>
            <w:vAlign w:val="bottom"/>
            <w:gridSpan w:val="4"/>
          </w:tcPr>
          <w:p>
            <w:pPr>
              <w:spacing w:after="0"/>
              <w:rPr>
                <w:sz w:val="20"/>
                <w:szCs w:val="20"/>
                <w:color w:val="auto"/>
              </w:rPr>
            </w:pPr>
            <w:r>
              <w:rPr>
                <w:rFonts w:ascii="Arial" w:cs="Arial" w:eastAsia="Arial" w:hAnsi="Arial"/>
                <w:sz w:val="18"/>
                <w:szCs w:val="18"/>
                <w:color w:val="auto"/>
              </w:rPr>
              <w:t>Sprinkler Fitters Local 483</w:t>
            </w:r>
          </w:p>
        </w:tc>
        <w:tc>
          <w:tcPr>
            <w:tcW w:w="146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Teamsters Local 853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44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gridSpan w:val="2"/>
          </w:tcPr>
          <w:p>
            <w:pPr>
              <w:spacing w:after="0"/>
              <w:rPr>
                <w:sz w:val="24"/>
                <w:szCs w:val="24"/>
                <w:color w:val="auto"/>
              </w:rPr>
            </w:pPr>
          </w:p>
        </w:tc>
        <w:tc>
          <w:tcPr>
            <w:tcW w:w="1460" w:type="dxa"/>
            <w:vAlign w:val="bottom"/>
          </w:tcPr>
          <w:p>
            <w:pPr>
              <w:spacing w:after="0"/>
              <w:rPr>
                <w:sz w:val="24"/>
                <w:szCs w:val="24"/>
                <w:color w:val="auto"/>
              </w:rPr>
            </w:pPr>
          </w:p>
        </w:tc>
        <w:tc>
          <w:tcPr>
            <w:tcW w:w="44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04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53"/>
        </w:trPr>
        <w:tc>
          <w:tcPr>
            <w:tcW w:w="4600" w:type="dxa"/>
            <w:vAlign w:val="bottom"/>
            <w:gridSpan w:val="4"/>
          </w:tcPr>
          <w:p>
            <w:pPr>
              <w:spacing w:after="0"/>
              <w:rPr>
                <w:sz w:val="20"/>
                <w:szCs w:val="20"/>
                <w:color w:val="auto"/>
              </w:rPr>
            </w:pPr>
            <w:r>
              <w:rPr>
                <w:rFonts w:ascii="Arial" w:cs="Arial" w:eastAsia="Arial" w:hAnsi="Arial"/>
                <w:sz w:val="18"/>
                <w:szCs w:val="18"/>
                <w:color w:val="auto"/>
              </w:rPr>
              <w:t>Professional &amp; Technical Engineers Local 21</w:t>
            </w:r>
          </w:p>
        </w:tc>
        <w:tc>
          <w:tcPr>
            <w:tcW w:w="146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Iron Workers Shop Local 790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6"/>
        </w:trPr>
        <w:tc>
          <w:tcPr>
            <w:tcW w:w="442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1460" w:type="dxa"/>
            <w:vAlign w:val="bottom"/>
          </w:tcPr>
          <w:p>
            <w:pPr>
              <w:spacing w:after="0"/>
              <w:rPr>
                <w:sz w:val="15"/>
                <w:szCs w:val="15"/>
                <w:color w:val="auto"/>
              </w:rPr>
            </w:pPr>
          </w:p>
        </w:tc>
        <w:tc>
          <w:tcPr>
            <w:tcW w:w="440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04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453"/>
        </w:trPr>
        <w:tc>
          <w:tcPr>
            <w:tcW w:w="4600" w:type="dxa"/>
            <w:vAlign w:val="bottom"/>
            <w:gridSpan w:val="4"/>
          </w:tcPr>
          <w:p>
            <w:pPr>
              <w:spacing w:after="0"/>
              <w:rPr>
                <w:sz w:val="20"/>
                <w:szCs w:val="20"/>
                <w:color w:val="auto"/>
              </w:rPr>
            </w:pPr>
            <w:r>
              <w:rPr>
                <w:rFonts w:ascii="Arial" w:cs="Arial" w:eastAsia="Arial" w:hAnsi="Arial"/>
                <w:sz w:val="18"/>
                <w:szCs w:val="18"/>
                <w:color w:val="auto"/>
              </w:rPr>
              <w:t>United Steelworkers of America Machinists Local 1304</w:t>
            </w:r>
          </w:p>
        </w:tc>
        <w:tc>
          <w:tcPr>
            <w:tcW w:w="146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Window Cleaners Local 44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4420" w:type="dxa"/>
            <w:vAlign w:val="bottom"/>
            <w:tcBorders>
              <w:bottom w:val="single" w:sz="8" w:color="auto"/>
            </w:tcBorders>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1460" w:type="dxa"/>
            <w:vAlign w:val="bottom"/>
          </w:tcPr>
          <w:p>
            <w:pPr>
              <w:spacing w:after="0"/>
              <w:rPr>
                <w:sz w:val="24"/>
                <w:szCs w:val="24"/>
                <w:color w:val="auto"/>
              </w:rPr>
            </w:pPr>
          </w:p>
        </w:tc>
        <w:tc>
          <w:tcPr>
            <w:tcW w:w="44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04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85"/>
        </w:trPr>
        <w:tc>
          <w:tcPr>
            <w:tcW w:w="5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3"/>
          </w:tcPr>
          <w:p>
            <w:pPr>
              <w:ind w:left="640"/>
              <w:spacing w:after="0"/>
              <w:rPr>
                <w:sz w:val="20"/>
                <w:szCs w:val="20"/>
                <w:color w:val="auto"/>
              </w:rPr>
            </w:pPr>
            <w:r>
              <w:rPr>
                <w:rFonts w:ascii="Arial" w:cs="Arial" w:eastAsia="Arial" w:hAnsi="Arial"/>
                <w:sz w:val="18"/>
                <w:szCs w:val="18"/>
                <w:color w:val="auto"/>
              </w:rPr>
              <w:t>Exhibit A-21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20"/>
          </w:cols>
          <w:pgMar w:left="240" w:top="273" w:right="8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63" w:name="page464"/>
    <w:bookmarkEnd w:id="463"/>
    <w:p>
      <w:pPr>
        <w:jc w:val="center"/>
        <w:ind w:right="-5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u w:val="single" w:color="auto"/>
          <w:color w:val="auto"/>
        </w:rPr>
        <w:t>MARKET RENT ANALYSIS</w:t>
      </w:r>
    </w:p>
    <w:p>
      <w:pPr>
        <w:spacing w:after="0" w:line="21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When determining Market Rent, the following rules and instructions shall be followed.</w:t>
      </w:r>
    </w:p>
    <w:p>
      <w:pPr>
        <w:spacing w:after="0" w:line="113" w:lineRule="exact"/>
        <w:rPr>
          <w:sz w:val="20"/>
          <w:szCs w:val="20"/>
          <w:color w:val="auto"/>
        </w:rPr>
      </w:pPr>
    </w:p>
    <w:p>
      <w:pPr>
        <w:ind w:left="-8" w:firstLine="464"/>
        <w:spacing w:after="0" w:line="283" w:lineRule="auto"/>
        <w:tabs>
          <w:tab w:leader="none" w:pos="628" w:val="left"/>
        </w:tabs>
        <w:numPr>
          <w:ilvl w:val="1"/>
          <w:numId w:val="268"/>
        </w:numPr>
        <w:rPr>
          <w:rFonts w:ascii="Arial" w:cs="Arial" w:eastAsia="Arial" w:hAnsi="Arial"/>
          <w:sz w:val="16"/>
          <w:szCs w:val="16"/>
          <w:color w:val="auto"/>
        </w:rPr>
      </w:pPr>
      <w:r>
        <w:rPr>
          <w:rFonts w:ascii="Arial" w:cs="Arial" w:eastAsia="Arial" w:hAnsi="Arial"/>
          <w:sz w:val="16"/>
          <w:szCs w:val="16"/>
          <w:b w:val="1"/>
          <w:bCs w:val="1"/>
          <w:u w:val="single" w:color="auto"/>
          <w:color w:val="auto"/>
        </w:rPr>
        <w:t>RELEVANT FACTORS</w:t>
      </w:r>
      <w:r>
        <w:rPr>
          <w:rFonts w:ascii="Arial" w:cs="Arial" w:eastAsia="Arial" w:hAnsi="Arial"/>
          <w:sz w:val="16"/>
          <w:szCs w:val="16"/>
          <w:color w:val="auto"/>
        </w:rPr>
        <w:t>. The “</w:t>
      </w:r>
      <w:r>
        <w:rPr>
          <w:rFonts w:ascii="Arial" w:cs="Arial" w:eastAsia="Arial" w:hAnsi="Arial"/>
          <w:sz w:val="16"/>
          <w:szCs w:val="16"/>
          <w:b w:val="1"/>
          <w:bCs w:val="1"/>
          <w:color w:val="auto"/>
        </w:rPr>
        <w:t>Market Rent</w:t>
      </w:r>
      <w:r>
        <w:rPr>
          <w:rFonts w:ascii="Arial" w:cs="Arial" w:eastAsia="Arial" w:hAnsi="Arial"/>
          <w:sz w:val="16"/>
          <w:szCs w:val="16"/>
          <w:color w:val="auto"/>
        </w:rPr>
        <w:t>,” as used in this Lease, shall be equal to the annual rent per rentable square foot as would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on the commencement of the applicable Option Term at which tenants, are, pursuant to transactions consummated within the twelve (12) month period immediately preceding the first day of the Option Term (provided that timing adjustments shall be made to reflect any perceived changes which will occur in the Market Rent following the date of any particular Comparable Transaction up to the date of the commencement of the Option Term) leasing non-sublease, non-encumbered, non-equity space comparable in location and quality to the Renewal Premises and consisting of at least two hundred fifty thousand (250,000) rentable square feet (unless there are not at least two (2) Comparable Transactions of at least two hundred fifty thousand (250,000) rentable square feet, then consisting of at least one hundred thousand (100,000) rentable square feet), for a comparable term, in an arm’s-length transaction, which comparable space is located in the “Comparable Buildings,” as that term is defined in </w:t>
      </w:r>
      <w:r>
        <w:rPr>
          <w:rFonts w:ascii="Arial" w:cs="Arial" w:eastAsia="Arial" w:hAnsi="Arial"/>
          <w:sz w:val="16"/>
          <w:szCs w:val="16"/>
          <w:u w:val="single" w:color="auto"/>
          <w:color w:val="auto"/>
        </w:rPr>
        <w:t>Section 4</w:t>
      </w:r>
      <w:r>
        <w:rPr>
          <w:rFonts w:ascii="Arial" w:cs="Arial" w:eastAsia="Arial" w:hAnsi="Arial"/>
          <w:sz w:val="16"/>
          <w:szCs w:val="16"/>
          <w:color w:val="auto"/>
        </w:rPr>
        <w:t>, below (transactions satisfying the foregoing criteria shall be known as the “</w:t>
      </w:r>
      <w:r>
        <w:rPr>
          <w:rFonts w:ascii="Arial" w:cs="Arial" w:eastAsia="Arial" w:hAnsi="Arial"/>
          <w:sz w:val="16"/>
          <w:szCs w:val="16"/>
          <w:b w:val="1"/>
          <w:bCs w:val="1"/>
          <w:color w:val="auto"/>
        </w:rPr>
        <w:t>Comparable Transactions</w:t>
      </w:r>
      <w:r>
        <w:rPr>
          <w:rFonts w:ascii="Arial" w:cs="Arial" w:eastAsia="Arial" w:hAnsi="Arial"/>
          <w:sz w:val="16"/>
          <w:szCs w:val="16"/>
          <w:color w:val="auto"/>
        </w:rPr>
        <w:t xml:space="preserve">”). The terms of the Comparable Transactions shall be calculated as a Net Equivalent Lease Rate pursuant to the terms of this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xml:space="preserve"> and shall take into consideration only the following terms and concessions (the “</w:t>
      </w:r>
      <w:r>
        <w:rPr>
          <w:rFonts w:ascii="Arial" w:cs="Arial" w:eastAsia="Arial" w:hAnsi="Arial"/>
          <w:sz w:val="16"/>
          <w:szCs w:val="16"/>
          <w:b w:val="1"/>
          <w:bCs w:val="1"/>
          <w:color w:val="auto"/>
        </w:rPr>
        <w:t>Concessions</w:t>
      </w:r>
      <w:r>
        <w:rPr>
          <w:rFonts w:ascii="Arial" w:cs="Arial" w:eastAsia="Arial" w:hAnsi="Arial"/>
          <w:sz w:val="16"/>
          <w:szCs w:val="16"/>
          <w:color w:val="auto"/>
        </w:rPr>
        <w:t>”): (i) the rental rate and escalations for the Comparable Transactions taking into account the amenities included in such Comparable Transactions, such as usage rights with respect to unique amenities, common areas, parking rights, and signage rights, compared with the amenities included under this Lease, such as usage rights with respect to the Roof Deck, parking rights, the Common Areas, and signage rights, (ii) the amount of parking rent per parking permit paid in the Comparable Transactions, (iii) operating expense and tax escalation protection granted in such Comparable Transactions such as a base year or expense stop;</w:t>
      </w:r>
    </w:p>
    <w:p>
      <w:pPr>
        <w:spacing w:after="0" w:line="6" w:lineRule="exact"/>
        <w:rPr>
          <w:rFonts w:ascii="Arial" w:cs="Arial" w:eastAsia="Arial" w:hAnsi="Arial"/>
          <w:sz w:val="16"/>
          <w:szCs w:val="16"/>
          <w:color w:val="auto"/>
        </w:rPr>
      </w:pPr>
    </w:p>
    <w:p>
      <w:pPr>
        <w:ind w:left="-8" w:firstLine="8"/>
        <w:spacing w:after="0" w:line="268" w:lineRule="auto"/>
        <w:tabs>
          <w:tab w:leader="none" w:pos="29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improvements or allowances provided or to be provided for such comparable space, as compared to the value of the existing improvements in the Renewal Premises, such value of existing improvements in the Renewal Premises to be based upon the age, quality and layout of the improvements and the extent to which the same could be utilized by general office users, (v) rental/parking abatement concessions, if any, being granted such tenants in connection with such comparable space, and (vi) all other monetary allowances and concessions being granted such tenants in connection with such Comparable Transactions; provided, however, that no consideration shall be given to (1) the fact that Landlord is or is not required to pay a real estate brokerage commission in connection with the applicable term or the fact that the Comparable Transactions do or do not involve the payment of real estate brokerage commissions, and (2) any period of rental abatement, if any, granted to tenants in Comparable Transactions in connection with the design, permitting and construction of improvements in such comparable space; provided, however, to the extent any of the tenants in the Comparable Transactions complete (or are reasonably anticipated to complete) the construction of improvements in such comparable space early, and are allowed to occupy their premises for purpose of conducting business without the payment of rent (similar to Tenant’s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-2646045</wp:posOffset>
            </wp:positionV>
            <wp:extent cx="2857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52"/>
          </w:cols>
          <w:pgMar w:left="248" w:top="269" w:right="299" w:bottom="1440" w:gutter="0" w:footer="0" w:header="0"/>
        </w:sectPr>
      </w:pPr>
    </w:p>
    <w:bookmarkStart w:id="464" w:name="page465"/>
    <w:bookmarkEnd w:id="464"/>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occupancy right in </w:t>
      </w:r>
      <w:r>
        <w:rPr>
          <w:rFonts w:ascii="Arial" w:cs="Arial" w:eastAsia="Arial" w:hAnsi="Arial"/>
          <w:sz w:val="17"/>
          <w:szCs w:val="17"/>
          <w:u w:val="single" w:color="auto"/>
          <w:color w:val="auto"/>
        </w:rPr>
        <w:t>Section 2.5.2</w:t>
      </w:r>
      <w:r>
        <w:rPr>
          <w:rFonts w:ascii="Arial" w:cs="Arial" w:eastAsia="Arial" w:hAnsi="Arial"/>
          <w:sz w:val="17"/>
          <w:szCs w:val="17"/>
          <w:color w:val="auto"/>
        </w:rPr>
        <w:t xml:space="preserve"> of this Lease), then such occupancy period shall be considered in connection with the determination of Option Rent. The Market Rent shall include adjustment of the stated size of the Renewal Premises, based upon the standards of measurement utilized in the Comparable Transactions. In addition, because the rentable square footage of the Renewal Premises shall have determined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Lease, no consideration shall be given to the measurement standard used to determine the rentable square footage of the Comparable Transactions, as compared to the measurement standard used by Landlord and Tenant to determine the rentable square footage of the Renewal Premises, and in no event shall the size of the Renewal Premises change in connection with the determination of Market Rent.</w:t>
      </w:r>
    </w:p>
    <w:p>
      <w:pPr>
        <w:spacing w:after="0" w:line="66" w:lineRule="exact"/>
        <w:rPr>
          <w:sz w:val="20"/>
          <w:szCs w:val="20"/>
          <w:color w:val="auto"/>
        </w:rPr>
      </w:pPr>
    </w:p>
    <w:p>
      <w:pPr>
        <w:ind w:left="640" w:hanging="176"/>
        <w:spacing w:after="0"/>
        <w:tabs>
          <w:tab w:leader="none" w:pos="640"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64"/>
        <w:spacing w:after="0" w:line="274" w:lineRule="auto"/>
        <w:tabs>
          <w:tab w:leader="none" w:pos="636" w:val="left"/>
        </w:tabs>
        <w:numPr>
          <w:ilvl w:val="0"/>
          <w:numId w:val="270"/>
        </w:numPr>
        <w:rPr>
          <w:rFonts w:ascii="Arial" w:cs="Arial" w:eastAsia="Arial" w:hAnsi="Arial"/>
          <w:sz w:val="17"/>
          <w:szCs w:val="17"/>
          <w:color w:val="auto"/>
        </w:rPr>
      </w:pPr>
      <w:r>
        <w:rPr>
          <w:rFonts w:ascii="Arial" w:cs="Arial" w:eastAsia="Arial" w:hAnsi="Arial"/>
          <w:sz w:val="17"/>
          <w:szCs w:val="17"/>
          <w:b w:val="1"/>
          <w:bCs w:val="1"/>
          <w:u w:val="single" w:color="auto"/>
          <w:color w:val="auto"/>
        </w:rPr>
        <w:t>CONCESSIONS</w:t>
      </w:r>
      <w:r>
        <w:rPr>
          <w:rFonts w:ascii="Arial" w:cs="Arial" w:eastAsia="Arial" w:hAnsi="Arial"/>
          <w:sz w:val="17"/>
          <w:szCs w:val="17"/>
          <w:color w:val="auto"/>
        </w:rPr>
        <w:t>. If, in determining the Market Rent for an Option Term, Tenant is entitled to Concessions, Tenant shall not be granted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Concessions in-kind, but instead the rental rate component of the Market Rent shall be adjusted (pursuant to the methodology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to reflect the fact that Tenant shall not be receiving such Concessions; provided, however, Landlord may, at Landlord’s sole option, elect to grant any “free rent”, “rent abatement”, or “improvement allowances” Concessions to Tenant in-kind (i.e., as free rent, rent abatement, or improvement allowances), in which case the rental rate component of the Market Rent shall not be adjusted with respect to such free rent, rent abatement, and/or improvement allowance Concessions (but shall still be adjusted for any other Concessions Tenant is entitled to but not granted).</w:t>
      </w:r>
    </w:p>
    <w:p>
      <w:pPr>
        <w:spacing w:after="0" w:line="65" w:lineRule="exact"/>
        <w:rPr>
          <w:rFonts w:ascii="Arial" w:cs="Arial" w:eastAsia="Arial" w:hAnsi="Arial"/>
          <w:sz w:val="17"/>
          <w:szCs w:val="17"/>
          <w:color w:val="auto"/>
        </w:rPr>
      </w:pPr>
    </w:p>
    <w:p>
      <w:pPr>
        <w:ind w:right="200" w:firstLine="464"/>
        <w:spacing w:after="0" w:line="258" w:lineRule="auto"/>
        <w:tabs>
          <w:tab w:leader="none" w:pos="636" w:val="left"/>
        </w:tabs>
        <w:numPr>
          <w:ilvl w:val="0"/>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COMPARABLE BUILDINGS</w:t>
      </w:r>
      <w:r>
        <w:rPr>
          <w:rFonts w:ascii="Arial" w:cs="Arial" w:eastAsia="Arial" w:hAnsi="Arial"/>
          <w:sz w:val="18"/>
          <w:szCs w:val="18"/>
          <w:color w:val="auto"/>
        </w:rPr>
        <w:t>. For purposes of this Lease, the term “</w:t>
      </w:r>
      <w:r>
        <w:rPr>
          <w:rFonts w:ascii="Arial" w:cs="Arial" w:eastAsia="Arial" w:hAnsi="Arial"/>
          <w:sz w:val="18"/>
          <w:szCs w:val="18"/>
          <w:b w:val="1"/>
          <w:bCs w:val="1"/>
          <w:color w:val="auto"/>
        </w:rPr>
        <w:t>Comparable Buildings</w:t>
      </w:r>
      <w:r>
        <w:rPr>
          <w:rFonts w:ascii="Arial" w:cs="Arial" w:eastAsia="Arial" w:hAnsi="Arial"/>
          <w:sz w:val="18"/>
          <w:szCs w:val="18"/>
          <w:color w:val="auto"/>
        </w:rPr>
        <w:t>” shall mean the Buildings and those certain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first-class office buildings which are comparable to the Buildings in terms of age (based upon the date of completion of construction or major renovation), quality of construction, level of services and amenities (including, but not limited to, the type (e.g., surface, covered, subterranean) and amount of parking), size and appearance, proximity and access to transportation available to the public, freeway access, and are located in the area depicted on </w:t>
      </w:r>
      <w:r>
        <w:rPr>
          <w:rFonts w:ascii="Arial" w:cs="Arial" w:eastAsia="Arial" w:hAnsi="Arial"/>
          <w:sz w:val="18"/>
          <w:szCs w:val="18"/>
          <w:b w:val="1"/>
          <w:bCs w:val="1"/>
          <w:u w:val="single" w:color="auto"/>
          <w:color w:val="auto"/>
        </w:rPr>
        <w:t>Schedule 1 to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Exhibit G</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75" w:lineRule="exact"/>
        <w:rPr>
          <w:rFonts w:ascii="Arial" w:cs="Arial" w:eastAsia="Arial" w:hAnsi="Arial"/>
          <w:sz w:val="18"/>
          <w:szCs w:val="18"/>
          <w:color w:val="auto"/>
        </w:rPr>
      </w:pPr>
    </w:p>
    <w:p>
      <w:pPr>
        <w:ind w:right="100" w:firstLine="464"/>
        <w:spacing w:after="0" w:line="277" w:lineRule="auto"/>
        <w:tabs>
          <w:tab w:leader="none" w:pos="636" w:val="left"/>
        </w:tabs>
        <w:numPr>
          <w:ilvl w:val="0"/>
          <w:numId w:val="270"/>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METHODOLOGY FOR REVIEWING AND COMPARING THE COMPARABLE TRANSACTIONS</w:t>
      </w:r>
      <w:r>
        <w:rPr>
          <w:rFonts w:ascii="Arial" w:cs="Arial" w:eastAsia="Arial" w:hAnsi="Arial"/>
          <w:sz w:val="17"/>
          <w:szCs w:val="17"/>
          <w:color w:val="auto"/>
        </w:rPr>
        <w:t>. In order to analyze the Comparable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based on the factors to be considered in calculating Market Rent, and given that the Comparable Transactions may vary in terms of length of term, rental rate, concessions, etc., the following steps shall be taken into consideration to “adjust” the objective data from each of the Comparable Transactions. By taking this approach, a “Net Equivalent Lease Rate” for each of the Comparable Transactions shall be determined using the following steps to adjust the Comparable Transactions, which will allow for an “apples to apples” comparison of the Comparable Transactions.</w:t>
      </w:r>
    </w:p>
    <w:p>
      <w:pPr>
        <w:spacing w:after="0" w:line="64" w:lineRule="exact"/>
        <w:rPr>
          <w:sz w:val="20"/>
          <w:szCs w:val="20"/>
          <w:color w:val="auto"/>
        </w:rPr>
      </w:pPr>
    </w:p>
    <w:p>
      <w:pPr>
        <w:jc w:val="both"/>
        <w:ind w:right="440" w:firstLine="913"/>
        <w:spacing w:after="0" w:line="259" w:lineRule="auto"/>
        <w:rPr>
          <w:sz w:val="20"/>
          <w:szCs w:val="20"/>
          <w:color w:val="auto"/>
        </w:rPr>
      </w:pPr>
      <w:r>
        <w:rPr>
          <w:rFonts w:ascii="Arial" w:cs="Arial" w:eastAsia="Arial" w:hAnsi="Arial"/>
          <w:sz w:val="18"/>
          <w:szCs w:val="18"/>
          <w:color w:val="auto"/>
        </w:rPr>
        <w:t>5.1 The contractual rent payments for each of the Comparable Transactions should be arrayed monthly or annually over the lease term. All Comparable Transactions should be adjusted to simulate a net rent structure, wherein the tenant is responsible for the payment of all property operating expenses and taxes. This results in the estimate of Net Equivalent Rent received by each landlord for each Comparable Transaction being expressed as a periodic net rent payment.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65" w:name="page466"/>
    <w:bookmarkEnd w:id="465"/>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 Any free rent or similar inducements received over time should be deducted in the time period in which they occur, resulting in the net cash flow arrayed over the lease term.</w:t>
      </w:r>
    </w:p>
    <w:p>
      <w:pPr>
        <w:spacing w:after="0" w:line="62"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5.3 The resultant net cash flow to be received by the landlord in a Comparable Transaction should be then discounted (using an annual discount rate equal to 8.0%) to the commencement date of the lease term for such Comparable Transaction (but not including any build-out period if included in the lease term), resulting in a net present value estimate.</w:t>
      </w:r>
    </w:p>
    <w:p>
      <w:pPr>
        <w:spacing w:after="0" w:line="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5.4 From the net present value, up front inducements (improvements allowances and other concessions) should be deducted. These items should be deducted directly, on a “dollar for dollar” basis, without discounting since they are typically incurred at lease commencement, while rent (which is discounted) is a future receipt.</w:t>
      </w:r>
    </w:p>
    <w:p>
      <w:pPr>
        <w:spacing w:after="0" w:line="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5.5 The net present value should then amortized back over the lease term as a level monthly or annual net rent payment using the same annual interest rate of 8.0% used in the present value analysis. This calculation will result in a hypothetical level or even payment over the option period, termed the “Net Equivalent Lease Rate” (or constant equivalent in general financial terms).</w:t>
      </w:r>
    </w:p>
    <w:p>
      <w:pPr>
        <w:spacing w:after="0" w:line="69" w:lineRule="exact"/>
        <w:rPr>
          <w:sz w:val="20"/>
          <w:szCs w:val="20"/>
          <w:color w:val="auto"/>
        </w:rPr>
      </w:pPr>
    </w:p>
    <w:p>
      <w:pPr>
        <w:jc w:val="both"/>
        <w:ind w:right="20" w:firstLine="464"/>
        <w:spacing w:after="0" w:line="266" w:lineRule="auto"/>
        <w:tabs>
          <w:tab w:leader="none" w:pos="636" w:val="left"/>
        </w:tabs>
        <w:numPr>
          <w:ilvl w:val="0"/>
          <w:numId w:val="271"/>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NET EQUIVALENT LEASE RATES FOR COMPARABLE TRANSACTIONS</w:t>
      </w:r>
      <w:r>
        <w:rPr>
          <w:rFonts w:ascii="Arial" w:cs="Arial" w:eastAsia="Arial" w:hAnsi="Arial"/>
          <w:sz w:val="18"/>
          <w:szCs w:val="18"/>
          <w:color w:val="auto"/>
        </w:rPr>
        <w:t>. The Net Equivalent Lease Rates for the Comparable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then be used to reconcile, in a manner usual and customary for a real estate appraisal process, to a conclusion of Market Rent which shall be stated as a Net Equivalent Lease Rate applicable the Option Term.</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466" w:name="page467"/>
    <w:bookmarkEnd w:id="46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 EXHIBIT 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DEPICTION OF COMPARABLE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160020</wp:posOffset>
            </wp:positionV>
            <wp:extent cx="5428615" cy="575437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428615" cy="575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67" w:name="page468"/>
    <w:bookmarkEnd w:id="467"/>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RECOGNITION OF COVENANTS, CONDITIONS, AND RESTRICTIONS</w:t>
      </w: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FORM OF RECOGNITION OF COVENANTS, CONDITIONS, AND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WHEN RECORDED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ALLEN MATKINS LECK GAMBLE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MALLORY &amp; NATSIS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1901 Avenue of the Stars,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Anton N. Natsis,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RECOGNITION OF COVENANTS,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CONDITIONS, AND RESTRICTIONS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gridSpan w:val="7"/>
          </w:tcPr>
          <w:p>
            <w:pPr>
              <w:ind w:left="460"/>
              <w:spacing w:after="0"/>
              <w:rPr>
                <w:sz w:val="20"/>
                <w:szCs w:val="20"/>
                <w:color w:val="auto"/>
              </w:rPr>
            </w:pPr>
            <w:r>
              <w:rPr>
                <w:rFonts w:ascii="Arial" w:cs="Arial" w:eastAsia="Arial" w:hAnsi="Arial"/>
                <w:sz w:val="18"/>
                <w:szCs w:val="18"/>
                <w:color w:val="auto"/>
              </w:rPr>
              <w:t>This Recognition of Covenants, Conditions, and Restrictions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the</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day of</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 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1640" w:type="dxa"/>
            <w:vAlign w:val="bottom"/>
          </w:tcPr>
          <w:p>
            <w:pPr>
              <w:spacing w:after="0"/>
              <w:rPr>
                <w:sz w:val="20"/>
                <w:szCs w:val="20"/>
                <w:color w:val="auto"/>
              </w:rPr>
            </w:pPr>
            <w:r>
              <w:rPr>
                <w:rFonts w:ascii="Arial" w:cs="Arial" w:eastAsia="Arial" w:hAnsi="Arial"/>
                <w:sz w:val="18"/>
                <w:szCs w:val="18"/>
                <w:color w:val="auto"/>
              </w:rPr>
              <w:t>by and between</w:t>
            </w:r>
          </w:p>
        </w:tc>
        <w:tc>
          <w:tcPr>
            <w:tcW w:w="2380" w:type="dxa"/>
            <w:vAlign w:val="bottom"/>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and</w:t>
            </w:r>
          </w:p>
        </w:tc>
        <w:tc>
          <w:tcPr>
            <w:tcW w:w="4960" w:type="dxa"/>
            <w:vAlign w:val="bottom"/>
            <w:gridSpan w:val="5"/>
          </w:tcPr>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 with reference to the following facts: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06"/>
        </w:trPr>
        <w:tc>
          <w:tcPr>
            <w:tcW w:w="5320" w:type="dxa"/>
            <w:vAlign w:val="bottom"/>
            <w:gridSpan w:val="3"/>
          </w:tcPr>
          <w:p>
            <w:pPr>
              <w:ind w:left="460"/>
              <w:spacing w:after="0"/>
              <w:rPr>
                <w:sz w:val="20"/>
                <w:szCs w:val="20"/>
                <w:color w:val="auto"/>
              </w:rPr>
            </w:pPr>
            <w:r>
              <w:rPr>
                <w:rFonts w:ascii="Arial" w:cs="Arial" w:eastAsia="Arial" w:hAnsi="Arial"/>
                <w:sz w:val="18"/>
                <w:szCs w:val="18"/>
                <w:color w:val="auto"/>
                <w:w w:val="99"/>
              </w:rPr>
              <w:t>A. Landlord and Tenant entered into that certain Lease dated</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 20</w:t>
            </w:r>
          </w:p>
        </w:tc>
        <w:tc>
          <w:tcPr>
            <w:tcW w:w="5080" w:type="dxa"/>
            <w:vAlign w:val="bottom"/>
            <w:gridSpan w:val="7"/>
          </w:tcPr>
          <w:p>
            <w:pPr>
              <w:jc w:val="right"/>
              <w:spacing w:after="0"/>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color w:val="auto"/>
                <w:w w:val="92"/>
              </w:rPr>
              <w:t>Lease</w:t>
            </w:r>
            <w:r>
              <w:rPr>
                <w:rFonts w:ascii="Arial" w:cs="Arial" w:eastAsia="Arial" w:hAnsi="Arial"/>
                <w:sz w:val="18"/>
                <w:szCs w:val="18"/>
                <w:color w:val="auto"/>
                <w:w w:val="92"/>
              </w:rPr>
              <w:t>”). Pursuant to the Lease, Landlord leased to Tenant and</w:t>
            </w:r>
          </w:p>
        </w:tc>
      </w:tr>
      <w:tr>
        <w:trPr>
          <w:trHeight w:val="194"/>
        </w:trPr>
        <w:tc>
          <w:tcPr>
            <w:tcW w:w="10940" w:type="dxa"/>
            <w:vAlign w:val="bottom"/>
            <w:gridSpan w:val="10"/>
          </w:tcPr>
          <w:p>
            <w:pPr>
              <w:spacing w:after="0" w:line="194" w:lineRule="exact"/>
              <w:rPr>
                <w:sz w:val="20"/>
                <w:szCs w:val="20"/>
                <w:color w:val="auto"/>
              </w:rPr>
            </w:pPr>
            <w:r>
              <w:rPr>
                <w:rFonts w:ascii="Arial" w:cs="Arial" w:eastAsia="Arial" w:hAnsi="Arial"/>
                <w:sz w:val="18"/>
                <w:szCs w:val="18"/>
                <w:color w:val="auto"/>
                <w:w w:val="92"/>
              </w:rPr>
              <w:t>Tenant leased from Landlord space (the “</w:t>
            </w:r>
            <w:r>
              <w:rPr>
                <w:rFonts w:ascii="Arial" w:cs="Arial" w:eastAsia="Arial" w:hAnsi="Arial"/>
                <w:sz w:val="18"/>
                <w:szCs w:val="18"/>
                <w:b w:val="1"/>
                <w:bCs w:val="1"/>
                <w:color w:val="auto"/>
                <w:w w:val="92"/>
              </w:rPr>
              <w:t>Premises</w:t>
            </w:r>
            <w:r>
              <w:rPr>
                <w:rFonts w:ascii="Arial" w:cs="Arial" w:eastAsia="Arial" w:hAnsi="Arial"/>
                <w:sz w:val="18"/>
                <w:szCs w:val="18"/>
                <w:color w:val="auto"/>
                <w:w w:val="92"/>
              </w:rPr>
              <w:t xml:space="preserve">”) located in certain buildings on certain real property described in </w:t>
            </w:r>
            <w:r>
              <w:rPr>
                <w:rFonts w:ascii="Arial" w:cs="Arial" w:eastAsia="Arial" w:hAnsi="Arial"/>
                <w:sz w:val="18"/>
                <w:szCs w:val="18"/>
                <w:b w:val="1"/>
                <w:bCs w:val="1"/>
                <w:color w:val="auto"/>
                <w:w w:val="92"/>
              </w:rPr>
              <w:t>Exhibit A</w:t>
            </w:r>
            <w:r>
              <w:rPr>
                <w:rFonts w:ascii="Arial" w:cs="Arial" w:eastAsia="Arial" w:hAnsi="Arial"/>
                <w:sz w:val="18"/>
                <w:szCs w:val="18"/>
                <w:color w:val="auto"/>
                <w:w w:val="92"/>
              </w:rPr>
              <w:t xml:space="preserve"> attached hereto and</w:t>
            </w:r>
          </w:p>
        </w:tc>
        <w:tc>
          <w:tcPr>
            <w:tcW w:w="400" w:type="dxa"/>
            <w:vAlign w:val="bottom"/>
          </w:tcPr>
          <w:p>
            <w:pPr>
              <w:spacing w:after="0"/>
              <w:rPr>
                <w:sz w:val="16"/>
                <w:szCs w:val="16"/>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w w:val="92"/>
              </w:rPr>
              <w:t>incorporated herein by this reference (the “</w:t>
            </w:r>
            <w:r>
              <w:rPr>
                <w:rFonts w:ascii="Arial" w:cs="Arial" w:eastAsia="Arial" w:hAnsi="Arial"/>
                <w:sz w:val="18"/>
                <w:szCs w:val="18"/>
                <w:b w:val="1"/>
                <w:bCs w:val="1"/>
                <w:color w:val="auto"/>
                <w:w w:val="92"/>
              </w:rPr>
              <w:t>Property</w:t>
            </w:r>
            <w:r>
              <w:rPr>
                <w:rFonts w:ascii="Arial" w:cs="Arial" w:eastAsia="Arial" w:hAnsi="Arial"/>
                <w:sz w:val="18"/>
                <w:szCs w:val="18"/>
                <w:color w:val="auto"/>
                <w:w w:val="92"/>
              </w:rPr>
              <w:t>”).</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06"/>
        </w:trPr>
        <w:tc>
          <w:tcPr>
            <w:tcW w:w="10240" w:type="dxa"/>
            <w:vAlign w:val="bottom"/>
            <w:gridSpan w:val="9"/>
          </w:tcPr>
          <w:p>
            <w:pPr>
              <w:ind w:left="460"/>
              <w:spacing w:after="0"/>
              <w:rPr>
                <w:sz w:val="20"/>
                <w:szCs w:val="20"/>
                <w:color w:val="auto"/>
              </w:rPr>
            </w:pPr>
            <w:r>
              <w:rPr>
                <w:rFonts w:ascii="Arial" w:cs="Arial" w:eastAsia="Arial" w:hAnsi="Arial"/>
                <w:sz w:val="18"/>
                <w:szCs w:val="18"/>
                <w:color w:val="auto"/>
                <w:w w:val="92"/>
              </w:rPr>
              <w:t>B. The Premises is located in a project located on real property which is part of an area owned by Landlord containing approximately</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194"/>
        </w:trPr>
        <w:tc>
          <w:tcPr>
            <w:tcW w:w="4020" w:type="dxa"/>
            <w:vAlign w:val="bottom"/>
            <w:gridSpan w:val="2"/>
          </w:tcPr>
          <w:p>
            <w:pPr>
              <w:spacing w:after="0" w:line="194" w:lineRule="exact"/>
              <w:rPr>
                <w:sz w:val="20"/>
                <w:szCs w:val="20"/>
                <w:color w:val="auto"/>
              </w:rPr>
            </w:pPr>
            <w:r>
              <w:rPr>
                <w:rFonts w:ascii="Arial" w:cs="Arial" w:eastAsia="Arial" w:hAnsi="Arial"/>
                <w:sz w:val="18"/>
                <w:szCs w:val="18"/>
                <w:color w:val="auto"/>
              </w:rPr>
              <w:t>acres of real property located in the City of</w:t>
            </w:r>
          </w:p>
        </w:tc>
        <w:tc>
          <w:tcPr>
            <w:tcW w:w="6920" w:type="dxa"/>
            <w:vAlign w:val="bottom"/>
            <w:gridSpan w:val="8"/>
          </w:tcPr>
          <w:p>
            <w:pPr>
              <w:jc w:val="right"/>
              <w:ind w:right="150"/>
              <w:spacing w:after="0" w:line="194" w:lineRule="exact"/>
              <w:rPr>
                <w:sz w:val="20"/>
                <w:szCs w:val="20"/>
                <w:color w:val="auto"/>
              </w:rPr>
            </w:pPr>
            <w:r>
              <w:rPr>
                <w:rFonts w:ascii="Arial" w:cs="Arial" w:eastAsia="Arial" w:hAnsi="Arial"/>
                <w:sz w:val="18"/>
                <w:szCs w:val="18"/>
                <w:color w:val="auto"/>
                <w:w w:val="92"/>
              </w:rPr>
              <w:t>, California (the “</w:t>
            </w:r>
            <w:r>
              <w:rPr>
                <w:rFonts w:ascii="Arial" w:cs="Arial" w:eastAsia="Arial" w:hAnsi="Arial"/>
                <w:sz w:val="18"/>
                <w:szCs w:val="18"/>
                <w:b w:val="1"/>
                <w:bCs w:val="1"/>
                <w:color w:val="auto"/>
                <w:w w:val="92"/>
              </w:rPr>
              <w:t>Project</w:t>
            </w:r>
            <w:r>
              <w:rPr>
                <w:rFonts w:ascii="Arial" w:cs="Arial" w:eastAsia="Arial" w:hAnsi="Arial"/>
                <w:sz w:val="18"/>
                <w:szCs w:val="18"/>
                <w:color w:val="auto"/>
                <w:w w:val="92"/>
              </w:rPr>
              <w:t xml:space="preserve">”), as more particularly described in </w:t>
            </w:r>
            <w:r>
              <w:rPr>
                <w:rFonts w:ascii="Arial" w:cs="Arial" w:eastAsia="Arial" w:hAnsi="Arial"/>
                <w:sz w:val="18"/>
                <w:szCs w:val="18"/>
                <w:b w:val="1"/>
                <w:bCs w:val="1"/>
                <w:color w:val="auto"/>
                <w:w w:val="92"/>
              </w:rPr>
              <w:t>Exhibit B</w:t>
            </w:r>
            <w:r>
              <w:rPr>
                <w:rFonts w:ascii="Arial" w:cs="Arial" w:eastAsia="Arial" w:hAnsi="Arial"/>
                <w:sz w:val="18"/>
                <w:szCs w:val="18"/>
                <w:color w:val="auto"/>
                <w:w w:val="92"/>
              </w:rPr>
              <w:t xml:space="preserve"> attached hereto and</w:t>
            </w:r>
          </w:p>
        </w:tc>
        <w:tc>
          <w:tcPr>
            <w:tcW w:w="400" w:type="dxa"/>
            <w:vAlign w:val="bottom"/>
          </w:tcPr>
          <w:p>
            <w:pPr>
              <w:spacing w:after="0"/>
              <w:rPr>
                <w:sz w:val="16"/>
                <w:szCs w:val="16"/>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incorporated herein by this reference.</w:t>
            </w: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06"/>
        </w:trPr>
        <w:tc>
          <w:tcPr>
            <w:tcW w:w="10940" w:type="dxa"/>
            <w:vAlign w:val="bottom"/>
            <w:gridSpan w:val="10"/>
          </w:tcPr>
          <w:p>
            <w:pPr>
              <w:ind w:left="460"/>
              <w:spacing w:after="0"/>
              <w:rPr>
                <w:sz w:val="20"/>
                <w:szCs w:val="20"/>
                <w:color w:val="auto"/>
              </w:rPr>
            </w:pPr>
            <w:r>
              <w:rPr>
                <w:rFonts w:ascii="Arial" w:cs="Arial" w:eastAsia="Arial" w:hAnsi="Arial"/>
                <w:sz w:val="18"/>
                <w:szCs w:val="18"/>
                <w:color w:val="auto"/>
                <w:w w:val="92"/>
              </w:rPr>
              <w:t>C. Landlord, as declarant, has previously recorded, or proposes to record concurrently with the recordation of this Agreement, a Declaration of</w:t>
            </w:r>
          </w:p>
        </w:tc>
        <w:tc>
          <w:tcPr>
            <w:tcW w:w="400" w:type="dxa"/>
            <w:vAlign w:val="bottom"/>
          </w:tcPr>
          <w:p>
            <w:pPr>
              <w:spacing w:after="0"/>
              <w:rPr>
                <w:sz w:val="24"/>
                <w:szCs w:val="24"/>
                <w:color w:val="auto"/>
              </w:rPr>
            </w:pPr>
          </w:p>
        </w:tc>
      </w:tr>
      <w:tr>
        <w:trPr>
          <w:trHeight w:val="234"/>
        </w:trPr>
        <w:tc>
          <w:tcPr>
            <w:tcW w:w="5320" w:type="dxa"/>
            <w:vAlign w:val="bottom"/>
            <w:gridSpan w:val="3"/>
          </w:tcPr>
          <w:p>
            <w:pPr>
              <w:spacing w:after="0"/>
              <w:rPr>
                <w:sz w:val="20"/>
                <w:szCs w:val="20"/>
                <w:color w:val="auto"/>
              </w:rPr>
            </w:pPr>
            <w:r>
              <w:rPr>
                <w:rFonts w:ascii="Arial" w:cs="Arial" w:eastAsia="Arial" w:hAnsi="Arial"/>
                <w:sz w:val="18"/>
                <w:szCs w:val="18"/>
                <w:color w:val="auto"/>
                <w:w w:val="99"/>
              </w:rPr>
              <w:t>Covenants, Conditions, and Restrictions (the “</w:t>
            </w:r>
            <w:r>
              <w:rPr>
                <w:rFonts w:ascii="Arial" w:cs="Arial" w:eastAsia="Arial" w:hAnsi="Arial"/>
                <w:sz w:val="18"/>
                <w:szCs w:val="18"/>
                <w:b w:val="1"/>
                <w:bCs w:val="1"/>
                <w:color w:val="auto"/>
                <w:w w:val="99"/>
              </w:rPr>
              <w:t>Declaration</w:t>
            </w:r>
            <w:r>
              <w:rPr>
                <w:rFonts w:ascii="Arial" w:cs="Arial" w:eastAsia="Arial" w:hAnsi="Arial"/>
                <w:sz w:val="18"/>
                <w:szCs w:val="18"/>
                <w:color w:val="auto"/>
                <w:w w:val="99"/>
              </w:rPr>
              <w:t>”), dated</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 20</w:t>
            </w:r>
          </w:p>
        </w:tc>
        <w:tc>
          <w:tcPr>
            <w:tcW w:w="2720" w:type="dxa"/>
            <w:vAlign w:val="bottom"/>
            <w:gridSpan w:val="3"/>
          </w:tcPr>
          <w:p>
            <w:pPr>
              <w:ind w:left="360"/>
              <w:spacing w:after="0"/>
              <w:rPr>
                <w:sz w:val="20"/>
                <w:szCs w:val="20"/>
                <w:color w:val="auto"/>
              </w:rPr>
            </w:pPr>
            <w:r>
              <w:rPr>
                <w:rFonts w:ascii="Arial" w:cs="Arial" w:eastAsia="Arial" w:hAnsi="Arial"/>
                <w:sz w:val="18"/>
                <w:szCs w:val="18"/>
                <w:color w:val="auto"/>
                <w:w w:val="93"/>
              </w:rPr>
              <w:t>, in connection with the Project.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9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 Tenant is agreeing to recognize and be bound by the terms of the Declaration, and the parties hereto desire to set forth their agreements concerning the same.</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(a) the foregoing recitals and the mutual agreements hereinafter set forth, and (b) for other good and valuable consideration, the receipt and sufficiency of which are hereby acknowledged, the parties hereto agree as follows,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H</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69" w:right="319" w:bottom="1440" w:gutter="0" w:footer="0" w:header="0"/>
        </w:sectPr>
      </w:pPr>
    </w:p>
    <w:bookmarkStart w:id="468" w:name="page469"/>
    <w:bookmarkEnd w:id="468"/>
    <w:p>
      <w:pPr>
        <w:ind w:right="60" w:firstLine="464"/>
        <w:spacing w:after="0" w:line="277" w:lineRule="auto"/>
        <w:tabs>
          <w:tab w:leader="none" w:pos="636"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Recognition of Declaration</w:t>
      </w:r>
      <w:r>
        <w:rPr>
          <w:rFonts w:ascii="Arial" w:cs="Arial" w:eastAsia="Arial" w:hAnsi="Arial"/>
          <w:sz w:val="18"/>
          <w:szCs w:val="18"/>
          <w:color w:val="auto"/>
        </w:rPr>
        <w:t>. Notwithstanding that the Lease has been executed prior to the recordation of the Declaration, Tenant agrees to recognize and by bound by all of the terms and conditions of the Declaration.</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060" w:firstLine="913"/>
        <w:spacing w:after="0" w:line="277" w:lineRule="auto"/>
        <w:rPr>
          <w:sz w:val="20"/>
          <w:szCs w:val="20"/>
          <w:color w:val="auto"/>
        </w:rPr>
      </w:pPr>
      <w:r>
        <w:rPr>
          <w:rFonts w:ascii="Arial" w:cs="Arial" w:eastAsia="Arial" w:hAnsi="Arial"/>
          <w:sz w:val="18"/>
          <w:szCs w:val="18"/>
          <w:color w:val="auto"/>
        </w:rPr>
        <w:t>2.1 This Agreement shall be binding upon and inure to the benefit of the parties hereto and their respective heirs, estates, personal representatives, successors, and assigns.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This Agreement is made in, and shall be governed, enforced and construed under the laws of, the State of California.</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2.3 This Agreement constitutes the entire understanding and agreements of the parties with respect to the subject matter hereof, and shall supersede and replace all prior understandings and agreements, whether verbal or in writing. The parties confirm and acknowledge that there are no other promises, covenants, understandings, agreements, representations, or warranties with respect to the subject matter of this Agreement except as expressly set forth herein.</w:t>
      </w:r>
    </w:p>
    <w:p>
      <w:pPr>
        <w:spacing w:after="0" w:line="7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2.4 This Agreement is not to be modified, terminated, or amended in any respect, except pursuant to any instrument in writing duly executed by both of the parties hereto.</w:t>
      </w:r>
    </w:p>
    <w:p>
      <w:pPr>
        <w:spacing w:after="0" w:line="6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2.5 In the event that either party hereto shall bring any legal action or other proceeding with respect to the breach, interpretation, or enforcement of this Agreement, or with respect to any dispute relating to any transaction covered by this Agreement, the losing party in such action or proceeding shall reimburse the prevailing party therein for all reasonable costs of litigation, including reasonable attorneys’ fees, in such amount as may be determined by the court or other tribunal having jurisdiction, including matters on appeal.</w:t>
      </w:r>
    </w:p>
    <w:p>
      <w:pPr>
        <w:spacing w:after="0" w:line="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2.6 All captions and heading herein are for convenience and ease of reference only, and shall not be used or referred to in any way in connection with the interpretation or enforcement of this Agreement.</w:t>
      </w:r>
    </w:p>
    <w:p>
      <w:pPr>
        <w:spacing w:after="0" w:line="6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2.7 If any provision of this Agreement, as applied to any party or to any circumstance, shall be adjudged by a court of competent jurisdictions to be void or unenforceable for any reason, the same shall not affect any other provision of this Agreement, the application of such provision under circumstances different from those adjudged by the court, or the validity or enforceability of this Agreement as a whole.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 Time is of the essence of this Agreement.</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2.9 The Parties agree to execute any further documents, and take any further actions, as may be reasonable and appropriate in order to carry out the purpose and intent of this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H</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3" w:right="339" w:bottom="1440" w:gutter="0" w:footer="0" w:header="0"/>
        </w:sectPr>
      </w:pPr>
    </w:p>
    <w:bookmarkStart w:id="469" w:name="page470"/>
    <w:bookmarkEnd w:id="46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2.10 As used herein, the masculine, feminine or neuter gender, and the singular and plural numbers, shall each be deemed to include the others whenever and whatever the context so indicates.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H</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274" w:right="459" w:bottom="1440" w:gutter="0" w:footer="0" w:header="0"/>
        </w:sectPr>
      </w:pPr>
    </w:p>
    <w:bookmarkStart w:id="470" w:name="page471"/>
    <w:bookmarkEnd w:id="470"/>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OF RECOGNITION OF</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COVENANTS, CONDITIONS AND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6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17430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-19050</wp:posOffset>
            </wp:positionV>
            <wp:extent cx="162877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9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-10160</wp:posOffset>
            </wp:positionV>
            <wp:extent cx="185737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-10160</wp:posOffset>
            </wp:positionV>
            <wp:extent cx="151447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220027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-19050</wp:posOffset>
            </wp:positionV>
            <wp:extent cx="208597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19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-10160</wp:posOffset>
            </wp:positionV>
            <wp:extent cx="185737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-19050</wp:posOffset>
            </wp:positionV>
            <wp:extent cx="162877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9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-10160</wp:posOffset>
            </wp:positionV>
            <wp:extent cx="174307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-19050</wp:posOffset>
            </wp:positionV>
            <wp:extent cx="162877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2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EXHIBIT H</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700" w:top="270" w:right="129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I</w:t>
            </w:r>
          </w:p>
        </w:tc>
        <w:tc>
          <w:tcPr>
            <w:tcW w:w="12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THE EXCHANGE</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tcBorders>
              <w:bottom w:val="single" w:sz="8" w:color="auto"/>
            </w:tcBorders>
            <w:gridSpan w:val="4"/>
          </w:tcPr>
          <w:p>
            <w:pPr>
              <w:jc w:val="center"/>
              <w:spacing w:after="0" w:line="194" w:lineRule="exact"/>
              <w:rPr>
                <w:sz w:val="20"/>
                <w:szCs w:val="20"/>
                <w:color w:val="auto"/>
              </w:rPr>
            </w:pPr>
            <w:r>
              <w:rPr>
                <w:rFonts w:ascii="Arial" w:cs="Arial" w:eastAsia="Arial" w:hAnsi="Arial"/>
                <w:sz w:val="18"/>
                <w:szCs w:val="18"/>
                <w:b w:val="1"/>
                <w:bCs w:val="1"/>
                <w:color w:val="auto"/>
              </w:rPr>
              <w:t>FORM OF LETTER OF CREDIT</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72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90"/>
              </w:rPr>
              <w:t>(Letterhead of a money center bank</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acceptable to the Landlord)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20" w:type="dxa"/>
            <w:vAlign w:val="bottom"/>
            <w:gridSpan w:val="2"/>
          </w:tcPr>
          <w:p>
            <w:pPr>
              <w:spacing w:after="0"/>
              <w:rPr>
                <w:sz w:val="20"/>
                <w:szCs w:val="20"/>
                <w:color w:val="auto"/>
              </w:rPr>
            </w:pPr>
            <w:r>
              <w:rPr>
                <w:rFonts w:ascii="Arial" w:cs="Arial" w:eastAsia="Arial" w:hAnsi="Arial"/>
                <w:sz w:val="18"/>
                <w:szCs w:val="18"/>
                <w:color w:val="auto"/>
              </w:rPr>
              <w:t>FAX NO. [(</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gridSpan w:val="9"/>
          </w:tcPr>
          <w:p>
            <w:pPr>
              <w:ind w:left="780"/>
              <w:spacing w:after="0"/>
              <w:rPr>
                <w:sz w:val="20"/>
                <w:szCs w:val="20"/>
                <w:color w:val="auto"/>
              </w:rPr>
            </w:pPr>
            <w:r>
              <w:rPr>
                <w:rFonts w:ascii="Arial" w:cs="Arial" w:eastAsia="Arial" w:hAnsi="Arial"/>
                <w:sz w:val="18"/>
                <w:szCs w:val="18"/>
                <w:color w:val="auto"/>
              </w:rPr>
              <w:t>[Insert Bank Name And Address]</w:t>
            </w:r>
          </w:p>
        </w:tc>
        <w:tc>
          <w:tcPr>
            <w:tcW w:w="0" w:type="dxa"/>
            <w:vAlign w:val="bottom"/>
          </w:tcPr>
          <w:p>
            <w:pPr>
              <w:spacing w:after="0"/>
              <w:rPr>
                <w:sz w:val="1"/>
                <w:szCs w:val="1"/>
                <w:color w:val="auto"/>
              </w:rPr>
            </w:pPr>
          </w:p>
        </w:tc>
      </w:tr>
      <w:tr>
        <w:trPr>
          <w:trHeight w:val="230"/>
        </w:trPr>
        <w:tc>
          <w:tcPr>
            <w:tcW w:w="2100" w:type="dxa"/>
            <w:vAlign w:val="bottom"/>
            <w:gridSpan w:val="4"/>
          </w:tcPr>
          <w:p>
            <w:pPr>
              <w:spacing w:after="0"/>
              <w:rPr>
                <w:sz w:val="20"/>
                <w:szCs w:val="20"/>
                <w:color w:val="auto"/>
              </w:rPr>
            </w:pPr>
            <w:r>
              <w:rPr>
                <w:rFonts w:ascii="Arial" w:cs="Arial" w:eastAsia="Arial" w:hAnsi="Arial"/>
                <w:sz w:val="18"/>
                <w:szCs w:val="18"/>
                <w:color w:val="auto"/>
              </w:rPr>
              <w:t>SWIFT: [Insert No., if any]</w:t>
            </w: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4"/>
          </w:tcPr>
          <w:p>
            <w:pPr>
              <w:ind w:left="780"/>
              <w:spacing w:after="0"/>
              <w:rPr>
                <w:sz w:val="20"/>
                <w:szCs w:val="20"/>
                <w:color w:val="auto"/>
              </w:rPr>
            </w:pPr>
            <w:r>
              <w:rPr>
                <w:rFonts w:ascii="Arial" w:cs="Arial" w:eastAsia="Arial" w:hAnsi="Arial"/>
                <w:sz w:val="18"/>
                <w:szCs w:val="18"/>
                <w:color w:val="auto"/>
                <w:w w:val="95"/>
              </w:rPr>
              <w:t>DATE OF ISSUE:</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220" w:type="dxa"/>
            <w:vAlign w:val="bottom"/>
            <w:gridSpan w:val="2"/>
          </w:tcPr>
          <w:p>
            <w:pPr>
              <w:spacing w:after="0"/>
              <w:rPr>
                <w:sz w:val="20"/>
                <w:szCs w:val="20"/>
                <w:color w:val="auto"/>
              </w:rPr>
            </w:pPr>
            <w:r>
              <w:rPr>
                <w:rFonts w:ascii="Arial" w:cs="Arial" w:eastAsia="Arial" w:hAnsi="Arial"/>
                <w:sz w:val="18"/>
                <w:szCs w:val="18"/>
                <w:color w:val="auto"/>
                <w:w w:val="95"/>
              </w:rPr>
              <w:t>BENEFICIARY:</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4"/>
          </w:tcPr>
          <w:p>
            <w:pPr>
              <w:ind w:left="780"/>
              <w:spacing w:after="0"/>
              <w:rPr>
                <w:sz w:val="20"/>
                <w:szCs w:val="20"/>
                <w:color w:val="auto"/>
              </w:rPr>
            </w:pPr>
            <w:r>
              <w:rPr>
                <w:rFonts w:ascii="Arial" w:cs="Arial" w:eastAsia="Arial" w:hAnsi="Arial"/>
                <w:sz w:val="18"/>
                <w:szCs w:val="18"/>
                <w:color w:val="auto"/>
              </w:rPr>
              <w:t>APPLICANT: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80" w:type="dxa"/>
            <w:vAlign w:val="bottom"/>
            <w:gridSpan w:val="9"/>
          </w:tcPr>
          <w:p>
            <w:pPr>
              <w:ind w:left="780"/>
              <w:spacing w:after="0"/>
              <w:rPr>
                <w:sz w:val="20"/>
                <w:szCs w:val="20"/>
                <w:color w:val="auto"/>
              </w:rPr>
            </w:pPr>
            <w:r>
              <w:rPr>
                <w:rFonts w:ascii="Arial" w:cs="Arial" w:eastAsia="Arial" w:hAnsi="Arial"/>
                <w:sz w:val="18"/>
                <w:szCs w:val="18"/>
                <w:color w:val="auto"/>
              </w:rPr>
              <w:t>[Insert Applicant Name And Address]</w:t>
            </w:r>
          </w:p>
        </w:tc>
        <w:tc>
          <w:tcPr>
            <w:tcW w:w="0" w:type="dxa"/>
            <w:vAlign w:val="bottom"/>
          </w:tcPr>
          <w:p>
            <w:pPr>
              <w:spacing w:after="0"/>
              <w:rPr>
                <w:sz w:val="1"/>
                <w:szCs w:val="1"/>
                <w:color w:val="auto"/>
              </w:rPr>
            </w:pPr>
          </w:p>
        </w:tc>
      </w:tr>
      <w:tr>
        <w:trPr>
          <w:trHeight w:val="229"/>
        </w:trPr>
        <w:tc>
          <w:tcPr>
            <w:tcW w:w="1660" w:type="dxa"/>
            <w:vAlign w:val="bottom"/>
            <w:gridSpan w:val="3"/>
          </w:tcPr>
          <w:p>
            <w:pPr>
              <w:spacing w:after="0"/>
              <w:rPr>
                <w:sz w:val="20"/>
                <w:szCs w:val="20"/>
                <w:color w:val="auto"/>
              </w:rPr>
            </w:pPr>
            <w:r>
              <w:rPr>
                <w:rFonts w:ascii="Arial" w:cs="Arial" w:eastAsia="Arial" w:hAnsi="Arial"/>
                <w:sz w:val="18"/>
                <w:szCs w:val="18"/>
                <w:color w:val="auto"/>
                <w:w w:val="96"/>
              </w:rPr>
              <w:t>KR Mission Bay, LLC</w:t>
            </w: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gridSpan w:val="5"/>
          </w:tcPr>
          <w:p>
            <w:pPr>
              <w:spacing w:after="0"/>
              <w:rPr>
                <w:sz w:val="20"/>
                <w:szCs w:val="20"/>
                <w:color w:val="auto"/>
              </w:rPr>
            </w:pPr>
            <w:r>
              <w:rPr>
                <w:rFonts w:ascii="Arial" w:cs="Arial" w:eastAsia="Arial" w:hAnsi="Arial"/>
                <w:sz w:val="18"/>
                <w:szCs w:val="18"/>
                <w:color w:val="auto"/>
              </w:rPr>
              <w:t>c/o Kilroy Realty Corporation</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5"/>
          </w:tcPr>
          <w:p>
            <w:pPr>
              <w:spacing w:after="0"/>
              <w:rPr>
                <w:sz w:val="20"/>
                <w:szCs w:val="20"/>
                <w:color w:val="auto"/>
              </w:rPr>
            </w:pPr>
            <w:r>
              <w:rPr>
                <w:rFonts w:ascii="Arial" w:cs="Arial" w:eastAsia="Arial" w:hAnsi="Arial"/>
                <w:sz w:val="18"/>
                <w:szCs w:val="18"/>
                <w:color w:val="auto"/>
              </w:rPr>
              <w:t>12200 West Olympic Boulevard, Suite 200</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5"/>
          </w:tcPr>
          <w:p>
            <w:pPr>
              <w:spacing w:after="0"/>
              <w:rPr>
                <w:sz w:val="20"/>
                <w:szCs w:val="20"/>
                <w:color w:val="auto"/>
              </w:rPr>
            </w:pPr>
            <w:r>
              <w:rPr>
                <w:rFonts w:ascii="Arial" w:cs="Arial" w:eastAsia="Arial" w:hAnsi="Arial"/>
                <w:sz w:val="18"/>
                <w:szCs w:val="18"/>
                <w:color w:val="auto"/>
              </w:rPr>
              <w:t>Los Angeles, California 90064</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4"/>
          </w:tcPr>
          <w:p>
            <w:pPr>
              <w:spacing w:after="0"/>
              <w:rPr>
                <w:sz w:val="20"/>
                <w:szCs w:val="20"/>
                <w:color w:val="auto"/>
              </w:rPr>
            </w:pPr>
            <w:r>
              <w:rPr>
                <w:rFonts w:ascii="Arial" w:cs="Arial" w:eastAsia="Arial" w:hAnsi="Arial"/>
                <w:sz w:val="18"/>
                <w:szCs w:val="18"/>
                <w:color w:val="auto"/>
                <w:w w:val="92"/>
              </w:rPr>
              <w:t>Attention: Legal Department</w:t>
            </w: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60" w:type="dxa"/>
            <w:vAlign w:val="bottom"/>
            <w:gridSpan w:val="3"/>
          </w:tcPr>
          <w:p>
            <w:pPr>
              <w:spacing w:after="0"/>
              <w:rPr>
                <w:sz w:val="20"/>
                <w:szCs w:val="20"/>
                <w:color w:val="auto"/>
              </w:rPr>
            </w:pPr>
            <w:r>
              <w:rPr>
                <w:rFonts w:ascii="Arial" w:cs="Arial" w:eastAsia="Arial" w:hAnsi="Arial"/>
                <w:sz w:val="18"/>
                <w:szCs w:val="18"/>
                <w:color w:val="auto"/>
              </w:rPr>
              <w:t>Fax: (310) 481-6530</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20" w:type="dxa"/>
            <w:vAlign w:val="bottom"/>
            <w:gridSpan w:val="6"/>
            <w:vMerge w:val="restart"/>
          </w:tcPr>
          <w:p>
            <w:pPr>
              <w:ind w:left="780"/>
              <w:spacing w:after="0"/>
              <w:rPr>
                <w:sz w:val="20"/>
                <w:szCs w:val="20"/>
                <w:color w:val="auto"/>
              </w:rPr>
            </w:pPr>
            <w:r>
              <w:rPr>
                <w:rFonts w:ascii="Arial" w:cs="Arial" w:eastAsia="Arial" w:hAnsi="Arial"/>
                <w:sz w:val="18"/>
                <w:szCs w:val="18"/>
                <w:color w:val="auto"/>
                <w:w w:val="97"/>
              </w:rPr>
              <w:t>LETTER OF CREDIT NO.</w:t>
            </w:r>
          </w:p>
        </w:tc>
        <w:tc>
          <w:tcPr>
            <w:tcW w:w="720" w:type="dxa"/>
            <w:vAlign w:val="bottom"/>
            <w:gridSpan w:val="2"/>
            <w:vMerge w:val="restart"/>
          </w:tcPr>
          <w:p>
            <w:pPr>
              <w:spacing w:after="0"/>
              <w:rPr>
                <w:sz w:val="24"/>
                <w:szCs w:val="24"/>
                <w:color w:val="auto"/>
              </w:rPr>
            </w:pPr>
          </w:p>
        </w:tc>
        <w:tc>
          <w:tcPr>
            <w:tcW w:w="25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20" w:type="dxa"/>
            <w:vAlign w:val="bottom"/>
            <w:gridSpan w:val="6"/>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1660" w:type="dxa"/>
            <w:vAlign w:val="bottom"/>
            <w:gridSpan w:val="3"/>
          </w:tcPr>
          <w:p>
            <w:pPr>
              <w:spacing w:after="0"/>
              <w:rPr>
                <w:sz w:val="20"/>
                <w:szCs w:val="20"/>
                <w:color w:val="auto"/>
              </w:rPr>
            </w:pPr>
            <w:r>
              <w:rPr>
                <w:rFonts w:ascii="Arial" w:cs="Arial" w:eastAsia="Arial" w:hAnsi="Arial"/>
                <w:sz w:val="18"/>
                <w:szCs w:val="18"/>
                <w:color w:val="auto"/>
                <w:w w:val="98"/>
              </w:rPr>
              <w:t>EXPIRATION DATE:</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gridSpan w:val="9"/>
          </w:tcPr>
          <w:p>
            <w:pPr>
              <w:ind w:left="780"/>
              <w:spacing w:after="0"/>
              <w:rPr>
                <w:sz w:val="20"/>
                <w:szCs w:val="20"/>
                <w:color w:val="auto"/>
              </w:rPr>
            </w:pPr>
            <w:r>
              <w:rPr>
                <w:rFonts w:ascii="Arial" w:cs="Arial" w:eastAsia="Arial" w:hAnsi="Arial"/>
                <w:sz w:val="18"/>
                <w:szCs w:val="18"/>
                <w:color w:val="auto"/>
              </w:rPr>
              <w:t>AMOUNT AVAILABLE:</w:t>
            </w:r>
          </w:p>
        </w:tc>
        <w:tc>
          <w:tcPr>
            <w:tcW w:w="0" w:type="dxa"/>
            <w:vAlign w:val="bottom"/>
          </w:tcPr>
          <w:p>
            <w:pPr>
              <w:spacing w:after="0"/>
              <w:rPr>
                <w:sz w:val="1"/>
                <w:szCs w:val="1"/>
                <w:color w:val="auto"/>
              </w:rPr>
            </w:pPr>
          </w:p>
        </w:tc>
      </w:tr>
      <w:tr>
        <w:trPr>
          <w:trHeight w:val="190"/>
        </w:trPr>
        <w:tc>
          <w:tcPr>
            <w:tcW w:w="540" w:type="dxa"/>
            <w:vAlign w:val="bottom"/>
            <w:tcBorders>
              <w:bottom w:val="single" w:sz="8" w:color="auto"/>
            </w:tcBorders>
          </w:tcPr>
          <w:p>
            <w:pPr>
              <w:spacing w:after="0"/>
              <w:rPr>
                <w:sz w:val="16"/>
                <w:szCs w:val="16"/>
                <w:color w:val="auto"/>
              </w:rPr>
            </w:pPr>
          </w:p>
        </w:tc>
        <w:tc>
          <w:tcPr>
            <w:tcW w:w="3180" w:type="dxa"/>
            <w:vAlign w:val="bottom"/>
            <w:gridSpan w:val="4"/>
          </w:tcPr>
          <w:p>
            <w:pPr>
              <w:jc w:val="right"/>
              <w:ind w:right="1410"/>
              <w:spacing w:after="0" w:line="190" w:lineRule="exact"/>
              <w:rPr>
                <w:sz w:val="20"/>
                <w:szCs w:val="20"/>
                <w:color w:val="auto"/>
              </w:rPr>
            </w:pPr>
            <w:r>
              <w:rPr>
                <w:rFonts w:ascii="Arial" w:cs="Arial" w:eastAsia="Arial" w:hAnsi="Arial"/>
                <w:sz w:val="18"/>
                <w:szCs w:val="18"/>
                <w:color w:val="auto"/>
                <w:w w:val="95"/>
              </w:rPr>
              <w:t>AT OUR COUNTERS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80" w:type="dxa"/>
            <w:vAlign w:val="bottom"/>
            <w:gridSpan w:val="9"/>
          </w:tcPr>
          <w:p>
            <w:pPr>
              <w:ind w:left="780"/>
              <w:spacing w:after="0" w:line="190" w:lineRule="exact"/>
              <w:rPr>
                <w:sz w:val="20"/>
                <w:szCs w:val="20"/>
                <w:color w:val="auto"/>
              </w:rPr>
            </w:pPr>
            <w:r>
              <w:rPr>
                <w:rFonts w:ascii="Arial" w:cs="Arial" w:eastAsia="Arial" w:hAnsi="Arial"/>
                <w:sz w:val="18"/>
                <w:szCs w:val="18"/>
                <w:color w:val="auto"/>
              </w:rPr>
              <w:t>USD[Insert Dollar Amount]</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80" w:type="dxa"/>
            <w:vAlign w:val="bottom"/>
            <w:gridSpan w:val="9"/>
          </w:tcPr>
          <w:p>
            <w:pPr>
              <w:ind w:left="780"/>
              <w:spacing w:after="0"/>
              <w:rPr>
                <w:sz w:val="20"/>
                <w:szCs w:val="20"/>
                <w:color w:val="auto"/>
              </w:rPr>
            </w:pPr>
            <w:r>
              <w:rPr>
                <w:rFonts w:ascii="Arial" w:cs="Arial" w:eastAsia="Arial" w:hAnsi="Arial"/>
                <w:sz w:val="18"/>
                <w:szCs w:val="18"/>
                <w:color w:val="auto"/>
              </w:rPr>
              <w:t>(U.S. DOLLARS [Insert Dollar Amount])</w:t>
            </w:r>
          </w:p>
        </w:tc>
        <w:tc>
          <w:tcPr>
            <w:tcW w:w="0" w:type="dxa"/>
            <w:vAlign w:val="bottom"/>
          </w:tcPr>
          <w:p>
            <w:pPr>
              <w:spacing w:after="0"/>
              <w:rPr>
                <w:sz w:val="1"/>
                <w:szCs w:val="1"/>
                <w:color w:val="auto"/>
              </w:rPr>
            </w:pPr>
          </w:p>
        </w:tc>
      </w:tr>
      <w:tr>
        <w:trPr>
          <w:trHeight w:val="446"/>
        </w:trPr>
        <w:tc>
          <w:tcPr>
            <w:tcW w:w="3720" w:type="dxa"/>
            <w:vAlign w:val="bottom"/>
            <w:gridSpan w:val="5"/>
          </w:tcPr>
          <w:p>
            <w:pPr>
              <w:spacing w:after="0"/>
              <w:rPr>
                <w:sz w:val="20"/>
                <w:szCs w:val="20"/>
                <w:color w:val="auto"/>
              </w:rPr>
            </w:pPr>
            <w:r>
              <w:rPr>
                <w:rFonts w:ascii="Arial" w:cs="Arial" w:eastAsia="Arial" w:hAnsi="Arial"/>
                <w:sz w:val="18"/>
                <w:szCs w:val="18"/>
                <w:color w:val="auto"/>
              </w:rPr>
              <w:t>LADIES AND GENTLEMEN:</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740" w:type="dxa"/>
            <w:vAlign w:val="bottom"/>
            <w:gridSpan w:val="9"/>
          </w:tcPr>
          <w:p>
            <w:pPr>
              <w:spacing w:after="0"/>
              <w:rPr>
                <w:sz w:val="20"/>
                <w:szCs w:val="20"/>
                <w:color w:val="auto"/>
              </w:rPr>
            </w:pPr>
            <w:r>
              <w:rPr>
                <w:rFonts w:ascii="Arial" w:cs="Arial" w:eastAsia="Arial" w:hAnsi="Arial"/>
                <w:sz w:val="18"/>
                <w:szCs w:val="18"/>
                <w:color w:val="auto"/>
                <w:w w:val="96"/>
              </w:rPr>
              <w:t>WE HEREBY ESTABLISH OUR IRREVOCABLE STANDBY LETTER OF CREDIT NO.</w:t>
            </w:r>
          </w:p>
        </w:tc>
        <w:tc>
          <w:tcPr>
            <w:tcW w:w="70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00" w:type="dxa"/>
            <w:vAlign w:val="bottom"/>
            <w:gridSpan w:val="4"/>
          </w:tcPr>
          <w:p>
            <w:pPr>
              <w:ind w:left="40"/>
              <w:spacing w:after="0"/>
              <w:rPr>
                <w:sz w:val="20"/>
                <w:szCs w:val="20"/>
                <w:color w:val="auto"/>
              </w:rPr>
            </w:pPr>
            <w:r>
              <w:rPr>
                <w:rFonts w:ascii="Arial" w:cs="Arial" w:eastAsia="Arial" w:hAnsi="Arial"/>
                <w:sz w:val="18"/>
                <w:szCs w:val="18"/>
                <w:color w:val="auto"/>
                <w:w w:val="94"/>
              </w:rPr>
              <w:t>IN YOUR FAVOR FOR THE ACCOUNT OF [Insert</w:t>
            </w:r>
          </w:p>
        </w:tc>
        <w:tc>
          <w:tcPr>
            <w:tcW w:w="0" w:type="dxa"/>
            <w:vAlign w:val="bottom"/>
          </w:tcPr>
          <w:p>
            <w:pPr>
              <w:spacing w:after="0"/>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80"/>
        <w:spacing w:after="0" w:line="264" w:lineRule="auto"/>
        <w:rPr>
          <w:sz w:val="20"/>
          <w:szCs w:val="20"/>
          <w:color w:val="auto"/>
        </w:rPr>
      </w:pPr>
      <w:r>
        <w:rPr>
          <w:rFonts w:ascii="Arial" w:cs="Arial" w:eastAsia="Arial" w:hAnsi="Arial"/>
          <w:sz w:val="18"/>
          <w:szCs w:val="18"/>
          <w:color w:val="auto"/>
        </w:rPr>
        <w:t>Tenant’s Name], A [Insert Entity Type], UP TO THE AGGREGATE AMOUNT OF USD[Insert Dollar Amount] ([Insert Dollar Amount] U.S. DOLLARS) EFFECTIVE IMMEDIATELY AND EXPIRING ON (</w:t>
      </w:r>
      <w:r>
        <w:rPr>
          <w:rFonts w:ascii="Arial" w:cs="Arial" w:eastAsia="Arial" w:hAnsi="Arial"/>
          <w:sz w:val="18"/>
          <w:szCs w:val="18"/>
          <w:u w:val="single" w:color="auto"/>
          <w:color w:val="auto"/>
        </w:rPr>
        <w:t>Expiration Date</w:t>
      </w:r>
      <w:r>
        <w:rPr>
          <w:rFonts w:ascii="Arial" w:cs="Arial" w:eastAsia="Arial" w:hAnsi="Arial"/>
          <w:sz w:val="18"/>
          <w:szCs w:val="18"/>
          <w:color w:val="auto"/>
        </w:rPr>
        <w:t>) AVAILABLE BY PAYMENT UPON PRESENTATION OF YOUR DRAFT AT SIGHT DRAWN ON [Insert Bank Name] WHEN ACCOMPANIED BY THE FOLLOWING DOCUMENT(S):</w:t>
      </w:r>
    </w:p>
    <w:p>
      <w:pPr>
        <w:spacing w:after="0" w:line="69" w:lineRule="exact"/>
        <w:rPr>
          <w:sz w:val="20"/>
          <w:szCs w:val="20"/>
          <w:color w:val="auto"/>
        </w:rPr>
      </w:pPr>
    </w:p>
    <w:p>
      <w:pPr>
        <w:ind w:left="640" w:hanging="176"/>
        <w:spacing w:after="0"/>
        <w:tabs>
          <w:tab w:leader="none" w:pos="6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THE ORIGINAL OF THIS IRREVOCABLE STANDBY LETTER OF CREDIT AND AMENDMENT(S), IF ANY.</w:t>
      </w:r>
    </w:p>
    <w:p>
      <w:pPr>
        <w:spacing w:after="0" w:line="117" w:lineRule="exact"/>
        <w:rPr>
          <w:rFonts w:ascii="Arial" w:cs="Arial" w:eastAsia="Arial" w:hAnsi="Arial"/>
          <w:sz w:val="18"/>
          <w:szCs w:val="18"/>
          <w:b w:val="1"/>
          <w:bCs w:val="1"/>
          <w:color w:val="auto"/>
        </w:rPr>
      </w:pPr>
    </w:p>
    <w:p>
      <w:pPr>
        <w:ind w:firstLine="464"/>
        <w:spacing w:after="0" w:line="282" w:lineRule="auto"/>
        <w:tabs>
          <w:tab w:leader="none" w:pos="636"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BENEFICIARY’S SIGNED STATEMENT PURPORTEDLY SIGNED BY AN AUTHORIZED REPRESENTATIVE OF [Insert Landlord’s Name], A [Insert Entity Type] (“LANDLORD”) STATING THE FOLLOWING:</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57" w:right="279" w:bottom="1440" w:gutter="0" w:footer="0" w:header="0"/>
        </w:sectPr>
      </w:pPr>
    </w:p>
    <w:bookmarkStart w:id="472" w:name="page473"/>
    <w:bookmarkEnd w:id="47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CERTIFIES THAT THE LANDLORD, EITHER (A) UNDER THE LEASE (DEFINED BELOW), OR (B) AS A</w:t>
      </w:r>
    </w:p>
    <w:p>
      <w:pPr>
        <w:spacing w:after="0" w:line="35" w:lineRule="exact"/>
        <w:rPr>
          <w:sz w:val="20"/>
          <w:szCs w:val="20"/>
          <w:color w:val="auto"/>
        </w:rPr>
      </w:pPr>
    </w:p>
    <w:p>
      <w:pPr>
        <w:ind w:left="460" w:right="180"/>
        <w:spacing w:after="0" w:line="253" w:lineRule="auto"/>
        <w:rPr>
          <w:sz w:val="20"/>
          <w:szCs w:val="20"/>
          <w:color w:val="auto"/>
        </w:rPr>
      </w:pPr>
      <w:r>
        <w:rPr>
          <w:rFonts w:ascii="Arial" w:cs="Arial" w:eastAsia="Arial" w:hAnsi="Arial"/>
          <w:sz w:val="18"/>
          <w:szCs w:val="18"/>
          <w:color w:val="auto"/>
        </w:rPr>
        <w:t>RESULT OF THE TERMINATION OF SUCH LEASE, HAS THE RIGHT TO DRAW DOWN THE AMOUNT OF USD IN ACCORDANCE WITH THE TERMS OF THAT CERTAIN OFFICE LEASE DATED [Insert Lease Date], AS THE SAME MAY HAVE BEEN AMENDED (COLLECTIVELY, THE “LEASE”), OR SUCH AMOUNT CONSTITUTES DAMAGES OWING BY THE TENANT TO BENEFICIARY RESULTING FROM THE BREACH OF SUCH LEASE BY THE TENANT THEREUNDER, OR THE TERMINATION OF SUCH LEASE, AND SUCH AMOUNT REMAINS UNPAID AT THE TIME OF THIS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-580390</wp:posOffset>
            </wp:positionV>
            <wp:extent cx="2286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WE HAVE RECEIVED A WRITTEN NOTICE OF [Insert Bank Name]‘S ELECTION NOT</w:t>
      </w:r>
    </w:p>
    <w:p>
      <w:pPr>
        <w:spacing w:after="0" w:line="35" w:lineRule="exact"/>
        <w:rPr>
          <w:sz w:val="20"/>
          <w:szCs w:val="20"/>
          <w:color w:val="auto"/>
        </w:rPr>
      </w:pPr>
    </w:p>
    <w:p>
      <w:pPr>
        <w:ind w:left="460" w:right="420"/>
        <w:spacing w:after="0" w:line="261" w:lineRule="auto"/>
        <w:rPr>
          <w:sz w:val="20"/>
          <w:szCs w:val="20"/>
          <w:color w:val="auto"/>
        </w:rPr>
      </w:pPr>
      <w:r>
        <w:rPr>
          <w:rFonts w:ascii="Arial" w:cs="Arial" w:eastAsia="Arial" w:hAnsi="Arial"/>
          <w:sz w:val="18"/>
          <w:szCs w:val="18"/>
          <w:color w:val="auto"/>
        </w:rPr>
        <w:t>TO EXTEND ITS STANDBY LETTER OF CREDIT NO. AND HAVE NOT RECEIVED A REPLACEMENT LETTER OF CREDIT WITHIN AT LEAST THIRTY (30) DAYS PRIOR TO THE PRESENT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-173990</wp:posOffset>
            </wp:positionV>
            <wp:extent cx="4572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35"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CREDIT NO. AS THE RESULT OF THE FILING OF A VOLUNTARY PETITION UNDER THE U.S. BANKRUPTCY CODE OR A STATE BANKRUPTCY CODE BY THE TENANT UNDER THAT CERTAIN OFFICE LEASE DATED [Insert Lease Date], AS THE SAME MAY HAVE BEEN AMENDED (COLLECTIVELY, THE “LEASE”), WHICH FILING HAS NOT BEEN DISMISSED AT THE TIME OF THIS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-444500</wp:posOffset>
            </wp:positionV>
            <wp:extent cx="4572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35"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CREDIT NO. AS THE RESULT OF AN INVOLUNTARY PETITION HAVING BEEN FILED UNDER THE U.S. BANKRUPTCY CODE OR A STATE BANKRUPTCY CODE AGAINST THE TENANT UNDER THAT CERTAIN OFFICE LEASE DATED [Insert Lease Date], AS THE SAME MAY HAVE BEEN AMENDED (COLLECTIVELY, THE “LEASE”), WHICH FILING HAS NOT BEEN DISMISSED AT THE TIME OF THIS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-444500</wp:posOffset>
            </wp:positionV>
            <wp:extent cx="4572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 OF</w:t>
      </w:r>
    </w:p>
    <w:p>
      <w:pPr>
        <w:spacing w:after="0" w:line="35" w:lineRule="exact"/>
        <w:rPr>
          <w:sz w:val="20"/>
          <w:szCs w:val="20"/>
          <w:color w:val="auto"/>
        </w:rPr>
      </w:pPr>
    </w:p>
    <w:p>
      <w:pPr>
        <w:ind w:left="460" w:right="260"/>
        <w:spacing w:after="0" w:line="261" w:lineRule="auto"/>
        <w:rPr>
          <w:sz w:val="20"/>
          <w:szCs w:val="20"/>
          <w:color w:val="auto"/>
        </w:rPr>
      </w:pPr>
      <w:r>
        <w:rPr>
          <w:rFonts w:ascii="Arial" w:cs="Arial" w:eastAsia="Arial" w:hAnsi="Arial"/>
          <w:sz w:val="18"/>
          <w:szCs w:val="18"/>
          <w:color w:val="auto"/>
        </w:rPr>
        <w:t>CREDIT NO. AS THE RESULT OF THE REJECTION, OR DEEMED REJECTION, OF THAT CERTAIN OFFICE LEASE DATED [Insert Lease Date], AS THE SAME MAY HAVE BEEN AMENDED, UNDER SECTION 365 OF THE U.S.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-173990</wp:posOffset>
            </wp:positionV>
            <wp:extent cx="5715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CONDITIONS:</w:t>
      </w:r>
    </w:p>
    <w:p>
      <w:pPr>
        <w:spacing w:after="0" w:line="117"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INFORMATION REQUIRED WHETHER INDICATED BY BLANKS, BRACKETS OR OTHERWISE, MUST BE COMPLETED AT THE TIME OF DRAWING. [Please Provide The Required Forms For Review, And Attach As Schedules To The Letter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SIGNATURES MUST BE MANUALLY EXECUTED IN ORIGINALS.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BANKING CHARGES ARE FOR THE APPLICANT’S ACCOUNT.</w:t>
      </w:r>
    </w:p>
    <w:p>
      <w:pPr>
        <w:spacing w:after="0" w:line="22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IT IS A CONDITION OF THIS STANDBY LETTER OF CREDIT THAT IT SHALL BE DEEMED AUTOMATICALLY EXTENDED WITHOUT AMENDMENT FOR A PERIOD OF ONE YEAR FROM THE PRESENT OR ANY FUTURE EXPIRATION DATE, UNLESS AT LEAST THIRTY (30) 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w:t>
      </w:r>
    </w:p>
    <w:p>
      <w:pPr>
        <w:spacing w:after="0" w:line="5" w:lineRule="exact"/>
        <w:rPr>
          <w:sz w:val="20"/>
          <w:szCs w:val="20"/>
          <w:color w:val="auto"/>
        </w:rPr>
      </w:pPr>
    </w:p>
    <w:p>
      <w:pPr>
        <w:spacing w:after="0"/>
        <w:tabs>
          <w:tab w:leader="none" w:pos="2800" w:val="left"/>
          <w:tab w:leader="none" w:pos="6160" w:val="left"/>
        </w:tabs>
        <w:rPr>
          <w:sz w:val="20"/>
          <w:szCs w:val="20"/>
          <w:color w:val="auto"/>
        </w:rPr>
      </w:pPr>
      <w:r>
        <w:rPr>
          <w:rFonts w:ascii="Arial" w:cs="Arial" w:eastAsia="Arial" w:hAnsi="Arial"/>
          <w:sz w:val="18"/>
          <w:szCs w:val="18"/>
          <w:color w:val="auto"/>
        </w:rPr>
        <w:t>FINAL EXPIRATION DATE OF</w:t>
      </w:r>
      <w:r>
        <w:rPr>
          <w:sz w:val="20"/>
          <w:szCs w:val="20"/>
          <w:color w:val="auto"/>
        </w:rPr>
        <w:tab/>
      </w:r>
      <w:r>
        <w:rPr>
          <w:rFonts w:ascii="Arial" w:cs="Arial" w:eastAsia="Arial" w:hAnsi="Arial"/>
          <w:sz w:val="18"/>
          <w:szCs w:val="18"/>
          <w:color w:val="auto"/>
        </w:rPr>
        <w:t>(60 days from the Lease Expiration 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-19050</wp:posOffset>
            </wp:positionV>
            <wp:extent cx="235521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355215" cy="8890"/>
                    </a:xfrm>
                    <a:prstGeom prst="rect">
                      <a:avLst/>
                    </a:prstGeom>
                    <a:noFill/>
                  </pic:spPr>
                </pic:pic>
              </a:graphicData>
            </a:graphic>
          </wp:anchor>
        </w:drawing>
      </w:r>
    </w:p>
    <w:p>
      <w:pPr>
        <w:spacing w:after="0" w:line="19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LETTER OF CREDIT MAY BE TRANSFERRED SUCCESSIVELY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474" w:name="page475"/>
    <w:bookmarkEnd w:id="47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DRAFTS REQUIRED UNDER THIS STANDBY LETTER OF CREDIT MUST BE MARKED: ‘‘DRAWN UNDER [Insert Bank Name] STANDBY</w:t>
      </w:r>
    </w:p>
    <w:p>
      <w:pPr>
        <w:spacing w:after="0" w:line="35"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LETTER OF CREDIT 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-19050</wp:posOffset>
            </wp:positionV>
            <wp:extent cx="4572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HEREBY AGREE WITH YOU THAT IF DRAFTS ARE PRESENTED TO [Insert Bank Name] UNDER THIS LETTER OF CREDIT AT OR PRIOR TO [Insert Time – (</w:t>
      </w:r>
      <w:r>
        <w:rPr>
          <w:rFonts w:ascii="Arial" w:cs="Arial" w:eastAsia="Arial" w:hAnsi="Arial"/>
          <w:sz w:val="18"/>
          <w:szCs w:val="18"/>
          <w:i w:val="1"/>
          <w:iCs w:val="1"/>
          <w:color w:val="auto"/>
        </w:rPr>
        <w:t>e.g.</w:t>
      </w:r>
      <w:r>
        <w:rPr>
          <w:rFonts w:ascii="Arial" w:cs="Arial" w:eastAsia="Arial" w:hAnsi="Arial"/>
          <w:sz w:val="18"/>
          <w:szCs w:val="18"/>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 – (</w:t>
      </w:r>
      <w:r>
        <w:rPr>
          <w:rFonts w:ascii="Arial" w:cs="Arial" w:eastAsia="Arial" w:hAnsi="Arial"/>
          <w:sz w:val="18"/>
          <w:szCs w:val="18"/>
          <w:i w:val="1"/>
          <w:iCs w:val="1"/>
          <w:color w:val="auto"/>
        </w:rPr>
        <w:t>e.g.</w:t>
      </w:r>
      <w:r>
        <w:rPr>
          <w:rFonts w:ascii="Arial" w:cs="Arial" w:eastAsia="Arial" w:hAnsi="Arial"/>
          <w:sz w:val="18"/>
          <w:szCs w:val="18"/>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w:t>
      </w:r>
    </w:p>
    <w:tbl>
      <w:tblPr>
        <w:tblLayout w:type="fixed"/>
        <w:tblInd w:w="0" w:type="dxa"/>
        <w:tblCellMar>
          <w:top w:w="0" w:type="dxa"/>
          <w:left w:w="0" w:type="dxa"/>
          <w:bottom w:w="0" w:type="dxa"/>
          <w:right w:w="0" w:type="dxa"/>
        </w:tblCellMar>
      </w:tblPr>
      <w:tr>
        <w:trPr>
          <w:trHeight w:val="176"/>
        </w:trPr>
        <w:tc>
          <w:tcPr>
            <w:tcW w:w="5800" w:type="dxa"/>
            <w:vAlign w:val="bottom"/>
            <w:gridSpan w:val="5"/>
          </w:tcPr>
          <w:p>
            <w:pPr>
              <w:spacing w:after="0" w:line="176" w:lineRule="exact"/>
              <w:rPr>
                <w:sz w:val="20"/>
                <w:szCs w:val="20"/>
                <w:color w:val="auto"/>
              </w:rPr>
            </w:pPr>
            <w:r>
              <w:rPr>
                <w:rFonts w:ascii="Arial" w:cs="Arial" w:eastAsia="Arial" w:hAnsi="Arial"/>
                <w:sz w:val="18"/>
                <w:szCs w:val="18"/>
                <w:color w:val="auto"/>
                <w:w w:val="99"/>
              </w:rPr>
              <w:t>OF CREDIT TO OUR FACSIMILE NUMBER, [Insert Fax Number – ()</w:t>
            </w:r>
          </w:p>
        </w:tc>
        <w:tc>
          <w:tcPr>
            <w:tcW w:w="536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5"/>
              </w:rPr>
              <w:t>-], ATTENTION: [Insert Appropriate Recipient], WITH</w:t>
            </w:r>
          </w:p>
        </w:tc>
      </w:tr>
      <w:tr>
        <w:trPr>
          <w:trHeight w:val="20"/>
        </w:trPr>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22"/>
        </w:trPr>
        <w:tc>
          <w:tcPr>
            <w:tcW w:w="11160" w:type="dxa"/>
            <w:vAlign w:val="bottom"/>
            <w:gridSpan w:val="7"/>
          </w:tcPr>
          <w:p>
            <w:pPr>
              <w:spacing w:after="0"/>
              <w:rPr>
                <w:sz w:val="20"/>
                <w:szCs w:val="20"/>
                <w:color w:val="auto"/>
              </w:rPr>
            </w:pPr>
            <w:r>
              <w:rPr>
                <w:rFonts w:ascii="Arial" w:cs="Arial" w:eastAsia="Arial" w:hAnsi="Arial"/>
                <w:sz w:val="18"/>
                <w:szCs w:val="18"/>
                <w:color w:val="auto"/>
                <w:w w:val="96"/>
              </w:rPr>
              <w:t>TELEPHONIC CONFIRMATION OF OUR RECEIPT OF SUCH FACSIMILE TRANSMISSION AT OUR TELEPHONE NUMBER [Insert Telephone</w:t>
            </w:r>
          </w:p>
        </w:tc>
      </w:tr>
      <w:tr>
        <w:trPr>
          <w:trHeight w:val="190"/>
        </w:trPr>
        <w:tc>
          <w:tcPr>
            <w:tcW w:w="1460" w:type="dxa"/>
            <w:vAlign w:val="bottom"/>
            <w:gridSpan w:val="2"/>
          </w:tcPr>
          <w:p>
            <w:pPr>
              <w:spacing w:after="0" w:line="190" w:lineRule="exact"/>
              <w:rPr>
                <w:sz w:val="20"/>
                <w:szCs w:val="20"/>
                <w:color w:val="auto"/>
              </w:rPr>
            </w:pPr>
            <w:r>
              <w:rPr>
                <w:rFonts w:ascii="Arial" w:cs="Arial" w:eastAsia="Arial" w:hAnsi="Arial"/>
                <w:sz w:val="18"/>
                <w:szCs w:val="18"/>
                <w:color w:val="auto"/>
                <w:w w:val="99"/>
              </w:rPr>
              <w:t>Number – ()</w:t>
            </w:r>
          </w:p>
        </w:tc>
        <w:tc>
          <w:tcPr>
            <w:tcW w:w="9700" w:type="dxa"/>
            <w:vAlign w:val="bottom"/>
            <w:gridSpan w:val="5"/>
          </w:tcPr>
          <w:p>
            <w:pPr>
              <w:ind w:left="200"/>
              <w:spacing w:after="0" w:line="190" w:lineRule="exact"/>
              <w:rPr>
                <w:sz w:val="20"/>
                <w:szCs w:val="20"/>
                <w:color w:val="auto"/>
              </w:rPr>
            </w:pPr>
            <w:r>
              <w:rPr>
                <w:rFonts w:ascii="Arial" w:cs="Arial" w:eastAsia="Arial" w:hAnsi="Arial"/>
                <w:sz w:val="18"/>
                <w:szCs w:val="18"/>
                <w:color w:val="auto"/>
                <w:w w:val="96"/>
              </w:rPr>
              <w:t>-] OR TO SUCH OTHER FACSIMILE OR TELEPHONE NUMBERS, AS TO WHICH YOU HAVE RECEIVED WRITTEN</w:t>
            </w:r>
          </w:p>
        </w:tc>
      </w:tr>
      <w:tr>
        <w:trPr>
          <w:trHeight w:val="20"/>
        </w:trPr>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HEREBY ENGAGE WITH YOU THAT ALL DOCUMENT(S)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w:t>
      </w:r>
      <w:r>
        <w:rPr>
          <w:rFonts w:ascii="Arial" w:cs="Arial" w:eastAsia="Arial" w:hAnsi="Arial"/>
          <w:sz w:val="17"/>
          <w:szCs w:val="17"/>
          <w:u w:val="single" w:color="auto"/>
          <w:color w:val="auto"/>
        </w:rPr>
        <w:t>Expiration Date</w:t>
      </w:r>
      <w:r>
        <w:rPr>
          <w:rFonts w:ascii="Arial" w:cs="Arial" w:eastAsia="Arial" w:hAnsi="Arial"/>
          <w:sz w:val="17"/>
          <w:szCs w:val="17"/>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75" w:name="page476"/>
    <w:bookmarkEnd w:id="47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87" w:lineRule="exact"/>
        <w:rPr>
          <w:sz w:val="20"/>
          <w:szCs w:val="20"/>
          <w:color w:val="auto"/>
        </w:rPr>
      </w:pPr>
    </w:p>
    <w:p>
      <w:pPr>
        <w:ind w:right="1040"/>
        <w:spacing w:after="0" w:line="308"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Issuing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-7620</wp:posOffset>
            </wp:positionV>
            <wp:extent cx="197167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4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EXHIBIT I</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274" w:right="659" w:bottom="1440" w:gutter="0" w:footer="0" w:header="0"/>
        </w:sectPr>
      </w:pPr>
    </w:p>
    <w:bookmarkStart w:id="476" w:name="page477"/>
    <w:bookmarkEnd w:id="47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INITIAL LETTER OF CREDIT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 West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10282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IRREVOCABLE STANDBY LETTER OF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date of issuance]</w:t>
      </w:r>
    </w:p>
    <w:p>
      <w:pPr>
        <w:sectPr>
          <w:pgSz w:w="11900" w:h="16838" w:orient="portrait"/>
          <w:cols w:equalWidth="0" w:num="1">
            <w:col w:w="11400"/>
          </w:cols>
          <w:pgMar w:left="240" w:top="270" w:right="2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Applicant: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Beneficiary:</w:t>
      </w:r>
    </w:p>
    <w:p>
      <w:pPr>
        <w:spacing w:after="0" w:line="163"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[insert name of Applicant]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address of Applicant]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address of Applicant]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[insert name of Beneficiary]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Attn: </w:t>
      </w:r>
      <w:r>
        <w:rPr>
          <w:rFonts w:ascii="Arial" w:cs="Arial" w:eastAsia="Arial" w:hAnsi="Arial"/>
          <w:sz w:val="18"/>
          <w:szCs w:val="18"/>
          <w:b w:val="1"/>
          <w:bCs w:val="1"/>
          <w:color w:val="auto"/>
        </w:rPr>
        <w:t>[insert attention party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address of Beneficiary]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b w:val="1"/>
          <w:bCs w:val="1"/>
          <w:color w:val="auto"/>
        </w:rPr>
        <w:t>[insert email address of Beneficiary]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Telephone: </w:t>
      </w:r>
      <w:r>
        <w:rPr>
          <w:rFonts w:ascii="Arial" w:cs="Arial" w:eastAsia="Arial" w:hAnsi="Arial"/>
          <w:sz w:val="16"/>
          <w:szCs w:val="16"/>
          <w:b w:val="1"/>
          <w:bCs w:val="1"/>
          <w:color w:val="auto"/>
        </w:rPr>
        <w:t>[insert telephone number of Beneficiary]</w:t>
      </w:r>
    </w:p>
    <w:p>
      <w:pPr>
        <w:spacing w:after="0" w:line="149"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Letter of Credit Number: </w:t>
      </w:r>
      <w:r>
        <w:rPr>
          <w:rFonts w:ascii="Arial" w:cs="Arial" w:eastAsia="Arial" w:hAnsi="Arial"/>
          <w:sz w:val="16"/>
          <w:szCs w:val="16"/>
          <w:b w:val="1"/>
          <w:bCs w:val="1"/>
          <w:color w:val="auto"/>
        </w:rPr>
        <w:t>[insert reference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Expiration Date: </w:t>
      </w:r>
      <w:r>
        <w:rPr>
          <w:rFonts w:ascii="Arial" w:cs="Arial" w:eastAsia="Arial" w:hAnsi="Arial"/>
          <w:sz w:val="16"/>
          <w:szCs w:val="16"/>
          <w:b w:val="1"/>
          <w:bCs w:val="1"/>
          <w:color w:val="auto"/>
        </w:rPr>
        <w:t>[insert date]</w:t>
      </w:r>
    </w:p>
    <w:p>
      <w:pPr>
        <w:spacing w:after="0" w:line="200" w:lineRule="exact"/>
        <w:rPr>
          <w:sz w:val="20"/>
          <w:szCs w:val="20"/>
          <w:color w:val="auto"/>
        </w:rPr>
      </w:pPr>
    </w:p>
    <w:p>
      <w:pPr>
        <w:sectPr>
          <w:pgSz w:w="11900" w:h="16838" w:orient="portrait"/>
          <w:cols w:equalWidth="0" w:num="2">
            <w:col w:w="5340" w:space="720"/>
            <w:col w:w="5340"/>
          </w:cols>
          <w:pgMar w:left="240" w:top="270" w:right="2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At the request and for the account of </w:t>
      </w:r>
      <w:r>
        <w:rPr>
          <w:rFonts w:ascii="Arial" w:cs="Arial" w:eastAsia="Arial" w:hAnsi="Arial"/>
          <w:sz w:val="18"/>
          <w:szCs w:val="18"/>
          <w:b w:val="1"/>
          <w:bCs w:val="1"/>
          <w:color w:val="auto"/>
        </w:rPr>
        <w:t>[insert name and address of applicant]</w:t>
      </w:r>
      <w:r>
        <w:rPr>
          <w:rFonts w:ascii="Arial" w:cs="Arial" w:eastAsia="Arial" w:hAnsi="Arial"/>
          <w:sz w:val="18"/>
          <w:szCs w:val="18"/>
          <w:color w:val="auto"/>
        </w:rPr>
        <w:t xml:space="preserve"> (“Applicant”), we, Goldman Sachs Bank USA (“Issuer”), issue this irrevocable, transferable standby letter of credit number </w:t>
      </w:r>
      <w:r>
        <w:rPr>
          <w:rFonts w:ascii="Arial" w:cs="Arial" w:eastAsia="Arial" w:hAnsi="Arial"/>
          <w:sz w:val="18"/>
          <w:szCs w:val="18"/>
          <w:b w:val="1"/>
          <w:bCs w:val="1"/>
          <w:color w:val="auto"/>
        </w:rPr>
        <w:t>[insert reference number]</w:t>
      </w:r>
      <w:r>
        <w:rPr>
          <w:rFonts w:ascii="Arial" w:cs="Arial" w:eastAsia="Arial" w:hAnsi="Arial"/>
          <w:sz w:val="18"/>
          <w:szCs w:val="18"/>
          <w:color w:val="auto"/>
        </w:rPr>
        <w:t xml:space="preserve"> (“Standby”) from our offices in New York, New York in favor of </w:t>
      </w:r>
      <w:r>
        <w:rPr>
          <w:rFonts w:ascii="Arial" w:cs="Arial" w:eastAsia="Arial" w:hAnsi="Arial"/>
          <w:sz w:val="18"/>
          <w:szCs w:val="18"/>
          <w:b w:val="1"/>
          <w:bCs w:val="1"/>
          <w:color w:val="auto"/>
        </w:rPr>
        <w:t>[insert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name and address of beneficiary] </w:t>
      </w:r>
      <w:r>
        <w:rPr>
          <w:rFonts w:ascii="Arial" w:cs="Arial" w:eastAsia="Arial" w:hAnsi="Arial"/>
          <w:sz w:val="18"/>
          <w:szCs w:val="18"/>
          <w:color w:val="auto"/>
        </w:rPr>
        <w:t>(“Beneficiary”) in the maximum aggregate amount of</w:t>
      </w:r>
      <w:r>
        <w:rPr>
          <w:rFonts w:ascii="Arial" w:cs="Arial" w:eastAsia="Arial" w:hAnsi="Arial"/>
          <w:sz w:val="18"/>
          <w:szCs w:val="18"/>
          <w:b w:val="1"/>
          <w:bCs w:val="1"/>
          <w:color w:val="auto"/>
        </w:rPr>
        <w:t xml:space="preserve"> [amount]</w:t>
      </w:r>
      <w:r>
        <w:rPr>
          <w:rFonts w:ascii="Arial" w:cs="Arial" w:eastAsia="Arial" w:hAnsi="Arial"/>
          <w:sz w:val="18"/>
          <w:szCs w:val="18"/>
          <w:color w:val="auto"/>
        </w:rPr>
        <w:t>.</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undertake to Beneficiary to pay Beneficiary’s demand for payment in the currency and for an amount available under this Standby and in the form of the Payment Demand attached hereto as Exhibit A completed as indicated and presented to us, together with the original of this Standby, at the following place for presentation: Goldman Sachs Bank USA, c/o Goldman Sachs Loan Operations, Attn: Letter of Credit Department Manager, 6011 Connection Drive, Irving, TX 75039, on or before the expiration date above. Your Payment Demand may be presented by hand delivery, courier service, overnight mail, email to </w:t>
      </w:r>
      <w:r>
        <w:rPr>
          <w:rFonts w:ascii="Arial" w:cs="Arial" w:eastAsia="Arial" w:hAnsi="Arial"/>
          <w:sz w:val="18"/>
          <w:szCs w:val="18"/>
          <w:u w:val="single" w:color="auto"/>
          <w:color w:val="auto"/>
        </w:rPr>
        <w:t>gs-loc-operations@ny.email.gs.com</w:t>
      </w:r>
      <w:r>
        <w:rPr>
          <w:rFonts w:ascii="Arial" w:cs="Arial" w:eastAsia="Arial" w:hAnsi="Arial"/>
          <w:sz w:val="18"/>
          <w:szCs w:val="18"/>
          <w:color w:val="auto"/>
        </w:rPr>
        <w:t xml:space="preserve"> or by facsimile transmission to 917-977-4587 or such other street address, email address, or fax number as we may notify you of in writing. If presentation is to be made by facsimile transmission, you shall provide telephone notification to us at 972-368-2790 prior to initiating such transmission.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type w:val="continuous"/>
        </w:sectPr>
      </w:pPr>
    </w:p>
    <w:bookmarkStart w:id="477" w:name="page478"/>
    <w:bookmarkEnd w:id="477"/>
    <w:p>
      <w:pPr>
        <w:jc w:val="both"/>
        <w:ind w:right="5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expiration date of this Standby shall be automatically extended for successive one-year periods unless we notify Beneficiary by overnight courier, registered mail, or other receipted means of delivery sent to Beneficiary’s above-stated address at least thirty (30) or more days before the then-current expiration date that we elect not to extend the expiration date. The expiration date is not subject to automatic extension beyond </w:t>
      </w:r>
      <w:r>
        <w:rPr>
          <w:rFonts w:ascii="Arial" w:cs="Arial" w:eastAsia="Arial" w:hAnsi="Arial"/>
          <w:sz w:val="16"/>
          <w:szCs w:val="16"/>
          <w:b w:val="1"/>
          <w:bCs w:val="1"/>
          <w:color w:val="auto"/>
        </w:rPr>
        <w:t>[insert date]</w:t>
      </w:r>
      <w:r>
        <w:rPr>
          <w:rFonts w:ascii="Arial" w:cs="Arial" w:eastAsia="Arial" w:hAnsi="Arial"/>
          <w:sz w:val="16"/>
          <w:szCs w:val="16"/>
          <w:color w:val="auto"/>
        </w:rPr>
        <w:t>.</w:t>
      </w:r>
    </w:p>
    <w:p>
      <w:pPr>
        <w:spacing w:after="0" w:line="14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u w:val="single" w:color="auto"/>
          <w:color w:val="auto"/>
        </w:rPr>
        <w:t>Payment</w:t>
      </w:r>
      <w:r>
        <w:rPr>
          <w:rFonts w:ascii="Arial" w:cs="Arial" w:eastAsia="Arial" w:hAnsi="Arial"/>
          <w:sz w:val="17"/>
          <w:szCs w:val="17"/>
          <w:i w:val="1"/>
          <w:iCs w:val="1"/>
          <w:color w:val="auto"/>
        </w:rPr>
        <w:t>. Payment against a complying presentation shall be made from our offices at 200 West Street, New York, New York 10282 within 3 banking days after such complying presentation is made and shall be paid by wire transfer to a duly requested account of Beneficiary</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Drawing</w:t>
      </w:r>
      <w:r>
        <w:rPr>
          <w:rFonts w:ascii="Arial" w:cs="Arial" w:eastAsia="Arial" w:hAnsi="Arial"/>
          <w:sz w:val="18"/>
          <w:szCs w:val="18"/>
          <w:i w:val="1"/>
          <w:iCs w:val="1"/>
          <w:color w:val="auto"/>
        </w:rPr>
        <w:t>. Partial and multiple drawings are permitted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Reduction</w:t>
      </w:r>
      <w:r>
        <w:rPr>
          <w:rFonts w:ascii="Arial" w:cs="Arial" w:eastAsia="Arial" w:hAnsi="Arial"/>
          <w:sz w:val="18"/>
          <w:szCs w:val="18"/>
          <w:i w:val="1"/>
          <w:iCs w:val="1"/>
          <w:color w:val="auto"/>
        </w:rPr>
        <w:t>. Any payment made under this Standby shall reduce the amount available under it</w:t>
      </w:r>
      <w:r>
        <w:rPr>
          <w:rFonts w:ascii="Arial" w:cs="Arial" w:eastAsia="Arial" w:hAnsi="Arial"/>
          <w:sz w:val="18"/>
          <w:szCs w:val="18"/>
          <w:color w:val="auto"/>
        </w:rPr>
        <w:t>.</w:t>
      </w:r>
    </w:p>
    <w:p>
      <w:pPr>
        <w:spacing w:after="0" w:line="2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This Standby is transferable one or more times in its entirety but not in part. Any transfer fees shall be for the </w:t>
      </w:r>
      <w:r>
        <w:rPr>
          <w:rFonts w:ascii="Arial" w:cs="Arial" w:eastAsia="Arial" w:hAnsi="Arial"/>
          <w:sz w:val="18"/>
          <w:szCs w:val="18"/>
          <w:b w:val="1"/>
          <w:bCs w:val="1"/>
          <w:color w:val="auto"/>
        </w:rPr>
        <w:t>Applicant’s</w:t>
      </w:r>
      <w:r>
        <w:rPr>
          <w:rFonts w:ascii="Arial" w:cs="Arial" w:eastAsia="Arial" w:hAnsi="Arial"/>
          <w:sz w:val="18"/>
          <w:szCs w:val="18"/>
          <w:color w:val="auto"/>
        </w:rPr>
        <w:t xml:space="preserve"> account. Any transfer made hereunder must conform strictly to the terms hereof and to the conditions of Rule 6 of ISP98. This Standby will not be transferred to any person or entity who is subject to sanctions issued by the U.S. Department of Commerce or to whom such transfer is prohibited by applicable regulations or laws or by any policy of the Issuer in effect at the time, or to whom payment is blocked or prohibited by foreign assets control regulations or any other applicable regulations or laws. No transfer shall be effected until:</w:t>
      </w:r>
    </w:p>
    <w:p>
      <w:pPr>
        <w:spacing w:after="0" w:line="3" w:lineRule="exact"/>
        <w:rPr>
          <w:sz w:val="20"/>
          <w:szCs w:val="20"/>
          <w:color w:val="auto"/>
        </w:rPr>
      </w:pPr>
    </w:p>
    <w:p>
      <w:pPr>
        <w:ind w:left="640" w:hanging="17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 executed Transfer Request in the form of Exhibit B attached hereto is filed with us; and</w:t>
      </w:r>
    </w:p>
    <w:p>
      <w:pPr>
        <w:spacing w:after="0" w:line="102" w:lineRule="exact"/>
        <w:rPr>
          <w:rFonts w:ascii="Arial" w:cs="Arial" w:eastAsia="Arial" w:hAnsi="Arial"/>
          <w:sz w:val="18"/>
          <w:szCs w:val="18"/>
          <w:color w:val="auto"/>
        </w:rPr>
      </w:pPr>
    </w:p>
    <w:p>
      <w:pPr>
        <w:ind w:left="640" w:hanging="17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original of this Standby is returned to us for endorsement thereon of any transfer effected;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request has been approved, which approval will not be unreasonably withheld.</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u w:val="single" w:color="auto"/>
          <w:color w:val="auto"/>
        </w:rPr>
        <w:t>In the event that the original of this Standby is lost, stolen, mutilated, or otherwise destroyed, we hereby agree to issue a duplicate original hereof upon receipt of a written request from Beneficiary and a certification by Beneficiary (purportedly signed by Beneficiary’s authorized representative) of the loss, theft, mutilation, or other destruction of the original hereof.</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ISP98 &amp; Governing Law</w:t>
      </w:r>
      <w:r>
        <w:rPr>
          <w:rFonts w:ascii="Arial" w:cs="Arial" w:eastAsia="Arial" w:hAnsi="Arial"/>
          <w:sz w:val="18"/>
          <w:szCs w:val="18"/>
          <w:color w:val="auto"/>
        </w:rPr>
        <w:t>. This Standby is issued subject to the International Standby Practices 1998 (ISP98) (International Chamber of Commerce Publication No.590) and shall be governed by and construed in accordance with the law of the State of New York, including, without limitation, the Uniform Commercial Code as in effect from time to time in the State of New York.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478" w:name="page479"/>
    <w:bookmarkEnd w:id="478"/>
    <w:p>
      <w:pPr>
        <w:ind w:firstLine="456"/>
        <w:spacing w:after="0" w:line="30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Communications</w:t>
      </w:r>
      <w:r>
        <w:rPr>
          <w:rFonts w:ascii="Arial" w:cs="Arial" w:eastAsia="Arial" w:hAnsi="Arial"/>
          <w:sz w:val="16"/>
          <w:szCs w:val="16"/>
          <w:color w:val="auto"/>
        </w:rPr>
        <w:t xml:space="preserve">. Communications other than demands may be made to us in writing and delivered in person, by courier, by email, or by facsimile transmission to us at: Goldman Sachs Bank USA, c/o Goldman Sachs Loan Operations, Attn: Letter of Credit Department Manager, 6011 Connection Drive, Irving, TX 75039, email: </w:t>
      </w:r>
      <w:r>
        <w:rPr>
          <w:rFonts w:ascii="Arial" w:cs="Arial" w:eastAsia="Arial" w:hAnsi="Arial"/>
          <w:sz w:val="16"/>
          <w:szCs w:val="16"/>
          <w:u w:val="single" w:color="auto"/>
          <w:color w:val="auto"/>
        </w:rPr>
        <w:t>gs-loc-business@gs.com</w:t>
      </w:r>
      <w:r>
        <w:rPr>
          <w:rFonts w:ascii="Arial" w:cs="Arial" w:eastAsia="Arial" w:hAnsi="Arial"/>
          <w:sz w:val="16"/>
          <w:szCs w:val="16"/>
          <w:color w:val="auto"/>
        </w:rPr>
        <w:t xml:space="preserve">, facsimile: 917-977-4587. Beneficiary requests for amendment of this Standby, including amendment to reflect a change in Beneficiary’s address, should be made to Applicant, who may then request Issuer </w:t>
      </w:r>
      <w:r>
        <w:rPr>
          <w:rFonts w:ascii="Arial" w:cs="Arial" w:eastAsia="Arial" w:hAnsi="Arial"/>
          <w:sz w:val="16"/>
          <w:szCs w:val="16"/>
          <w:i w:val="1"/>
          <w:iCs w:val="1"/>
          <w:color w:val="auto"/>
        </w:rPr>
        <w:t>to issue the desired amendment.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GOLDMAN SACHS BANK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186690</wp:posOffset>
            </wp:positionV>
            <wp:extent cx="289877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3" w:right="3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Form of Payment Demand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[INSERT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Loan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Letter of Credit Department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6011 Connection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Irving, TX 75039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 Your Standby Letter of Credit No.</w:t>
      </w:r>
      <w:r>
        <w:rPr>
          <w:rFonts w:ascii="Arial" w:cs="Arial" w:eastAsia="Arial" w:hAnsi="Arial"/>
          <w:sz w:val="18"/>
          <w:szCs w:val="18"/>
          <w:b w:val="1"/>
          <w:bCs w:val="1"/>
          <w:color w:val="auto"/>
        </w:rPr>
        <w:t>[insert reference number]</w:t>
      </w:r>
      <w:r>
        <w:rPr>
          <w:rFonts w:ascii="Arial" w:cs="Arial" w:eastAsia="Arial" w:hAnsi="Arial"/>
          <w:sz w:val="18"/>
          <w:szCs w:val="18"/>
          <w:color w:val="auto"/>
        </w:rPr>
        <w:t xml:space="preserve">, dated </w:t>
      </w:r>
      <w:r>
        <w:rPr>
          <w:rFonts w:ascii="Arial" w:cs="Arial" w:eastAsia="Arial" w:hAnsi="Arial"/>
          <w:sz w:val="18"/>
          <w:szCs w:val="18"/>
          <w:b w:val="1"/>
          <w:bCs w:val="1"/>
          <w:color w:val="auto"/>
        </w:rPr>
        <w:t>[insert date]</w:t>
      </w:r>
      <w:r>
        <w:rPr>
          <w:rFonts w:ascii="Arial" w:cs="Arial" w:eastAsia="Arial" w:hAnsi="Arial"/>
          <w:sz w:val="18"/>
          <w:szCs w:val="18"/>
          <w:color w:val="auto"/>
        </w:rPr>
        <w:t>, (the “Standby”)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undersigned Beneficiary demands payment of [insert </w:t>
      </w:r>
      <w:r>
        <w:rPr>
          <w:rFonts w:ascii="Arial" w:cs="Arial" w:eastAsia="Arial" w:hAnsi="Arial"/>
          <w:sz w:val="18"/>
          <w:szCs w:val="18"/>
          <w:u w:val="single" w:color="auto"/>
          <w:color w:val="auto"/>
        </w:rPr>
        <w:t>AMOUNT AND CURRENCY IN WORDS FOLLOWED BY PARENTHETICAL WITH ISO</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 CODE AND THEN AMOUNT IN NUMBERS</w:t>
      </w:r>
      <w:r>
        <w:rPr>
          <w:rFonts w:ascii="Arial" w:cs="Arial" w:eastAsia="Arial" w:hAnsi="Arial"/>
          <w:sz w:val="18"/>
          <w:szCs w:val="18"/>
          <w:color w:val="auto"/>
        </w:rPr>
        <w:t>] under the Standby.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[INSERT </w:t>
      </w:r>
      <w:r>
        <w:rPr>
          <w:rFonts w:ascii="Arial" w:cs="Arial" w:eastAsia="Arial" w:hAnsi="Arial"/>
          <w:sz w:val="18"/>
          <w:szCs w:val="18"/>
          <w:u w:val="single" w:color="auto"/>
          <w:color w:val="auto"/>
        </w:rPr>
        <w:t>ONE OF THE FOLLOWING ALTERNATIVE STATEMENTS</w:t>
      </w:r>
      <w:r>
        <w:rPr>
          <w:rFonts w:ascii="Arial" w:cs="Arial" w:eastAsia="Arial" w:hAnsi="Arial"/>
          <w:sz w:val="18"/>
          <w:szCs w:val="18"/>
          <w:color w:val="auto"/>
        </w:rPr>
        <w:t>:</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Beneficiary states that </w:t>
      </w:r>
      <w:r>
        <w:rPr>
          <w:rFonts w:ascii="Arial" w:cs="Arial" w:eastAsia="Arial" w:hAnsi="Arial"/>
          <w:sz w:val="18"/>
          <w:szCs w:val="18"/>
          <w:b w:val="1"/>
          <w:bCs w:val="1"/>
          <w:color w:val="auto"/>
        </w:rPr>
        <w:t>[Applicant]</w:t>
      </w:r>
      <w:r>
        <w:rPr>
          <w:rFonts w:ascii="Arial" w:cs="Arial" w:eastAsia="Arial" w:hAnsi="Arial"/>
          <w:sz w:val="18"/>
          <w:szCs w:val="18"/>
          <w:color w:val="auto"/>
        </w:rPr>
        <w:t xml:space="preserve">, which is the Tenant under that certain office lease dated [insert lease date], as the same may have been amended (collectively, the “Lease”), is obligated to pay to Beneficiary the amount demanded under or in connection with the agreement between Beneficiary and </w:t>
      </w:r>
      <w:r>
        <w:rPr>
          <w:rFonts w:ascii="Arial" w:cs="Arial" w:eastAsia="Arial" w:hAnsi="Arial"/>
          <w:sz w:val="18"/>
          <w:szCs w:val="18"/>
          <w:b w:val="1"/>
          <w:bCs w:val="1"/>
          <w:color w:val="auto"/>
        </w:rPr>
        <w:t xml:space="preserve">[Applicant] </w:t>
      </w:r>
      <w:r>
        <w:rPr>
          <w:rFonts w:ascii="Arial" w:cs="Arial" w:eastAsia="Arial" w:hAnsi="Arial"/>
          <w:sz w:val="18"/>
          <w:szCs w:val="18"/>
          <w:color w:val="auto"/>
        </w:rPr>
        <w:t>titled</w:t>
      </w:r>
      <w:r>
        <w:rPr>
          <w:rFonts w:ascii="Arial" w:cs="Arial" w:eastAsia="Arial" w:hAnsi="Arial"/>
          <w:sz w:val="18"/>
          <w:szCs w:val="18"/>
          <w:b w:val="1"/>
          <w:bCs w:val="1"/>
          <w:color w:val="auto"/>
        </w:rPr>
        <w:t xml:space="preserve"> [insert agreement title] </w:t>
      </w:r>
      <w:r>
        <w:rPr>
          <w:rFonts w:ascii="Arial" w:cs="Arial" w:eastAsia="Arial" w:hAnsi="Arial"/>
          <w:sz w:val="18"/>
          <w:szCs w:val="18"/>
          <w:color w:val="auto"/>
        </w:rPr>
        <w:t>and dated</w:t>
      </w:r>
      <w:r>
        <w:rPr>
          <w:rFonts w:ascii="Arial" w:cs="Arial" w:eastAsia="Arial" w:hAnsi="Arial"/>
          <w:sz w:val="18"/>
          <w:szCs w:val="18"/>
          <w:b w:val="1"/>
          <w:bCs w:val="1"/>
          <w:color w:val="auto"/>
        </w:rPr>
        <w:t xml:space="preserve"> [insert date]</w:t>
      </w:r>
      <w:r>
        <w:rPr>
          <w:rFonts w:ascii="Arial" w:cs="Arial" w:eastAsia="Arial" w:hAnsi="Arial"/>
          <w:sz w:val="18"/>
          <w:szCs w:val="18"/>
          <w:color w:val="auto"/>
        </w:rPr>
        <w:t>, [as the same may have been amended, supplemented, or otherwise modified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Beneficiary states that the Standby is set to expire fewer than 60 days from the date hereof because Issuer has given a notice of non-extension of the Standby.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5640"/>
              <w:spacing w:after="0"/>
              <w:rPr>
                <w:sz w:val="20"/>
                <w:szCs w:val="20"/>
                <w:color w:val="auto"/>
              </w:rPr>
            </w:pPr>
            <w:r>
              <w:rPr>
                <w:rFonts w:ascii="Arial" w:cs="Arial" w:eastAsia="Arial" w:hAnsi="Arial"/>
                <w:sz w:val="18"/>
                <w:szCs w:val="18"/>
                <w:color w:val="auto"/>
              </w:rPr>
              <w:t>or</w:t>
            </w:r>
          </w:p>
        </w:tc>
        <w:tc>
          <w:tcPr>
            <w:tcW w:w="9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392"/>
        </w:trPr>
        <w:tc>
          <w:tcPr>
            <w:tcW w:w="7000" w:type="dxa"/>
            <w:vAlign w:val="bottom"/>
          </w:tcPr>
          <w:p>
            <w:pPr>
              <w:spacing w:after="0"/>
              <w:rPr>
                <w:sz w:val="20"/>
                <w:szCs w:val="20"/>
                <w:color w:val="auto"/>
              </w:rPr>
            </w:pPr>
            <w:r>
              <w:rPr>
                <w:rFonts w:ascii="Arial" w:cs="Arial" w:eastAsia="Arial" w:hAnsi="Arial"/>
                <w:sz w:val="18"/>
                <w:szCs w:val="18"/>
                <w:color w:val="auto"/>
                <w:w w:val="92"/>
              </w:rPr>
              <w:t>Beneficiary states that Beneficiary is entitled to draw down the full amount of letter of credit no.</w:t>
            </w:r>
          </w:p>
        </w:tc>
        <w:tc>
          <w:tcPr>
            <w:tcW w:w="900" w:type="dxa"/>
            <w:vAlign w:val="bottom"/>
            <w:tcBorders>
              <w:bottom w:val="single" w:sz="8" w:color="auto"/>
            </w:tcBorders>
          </w:tcPr>
          <w:p>
            <w:pPr>
              <w:spacing w:after="0"/>
              <w:rPr>
                <w:sz w:val="24"/>
                <w:szCs w:val="24"/>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w w:val="92"/>
              </w:rPr>
              <w:t>as the result of the filing of a voluntary petition</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under the U.S. Bankruptcy Code or a State Bankruptcy Code by the Tenant under the Lease, which filing has not been dismissed at the time of this drawing.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5640"/>
              <w:spacing w:after="0"/>
              <w:rPr>
                <w:sz w:val="20"/>
                <w:szCs w:val="20"/>
                <w:color w:val="auto"/>
              </w:rPr>
            </w:pPr>
            <w:r>
              <w:rPr>
                <w:rFonts w:ascii="Arial" w:cs="Arial" w:eastAsia="Arial" w:hAnsi="Arial"/>
                <w:sz w:val="18"/>
                <w:szCs w:val="18"/>
                <w:color w:val="auto"/>
              </w:rPr>
              <w:t>or</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392"/>
        </w:trPr>
        <w:tc>
          <w:tcPr>
            <w:tcW w:w="7000" w:type="dxa"/>
            <w:vAlign w:val="bottom"/>
          </w:tcPr>
          <w:p>
            <w:pPr>
              <w:spacing w:after="0"/>
              <w:rPr>
                <w:sz w:val="20"/>
                <w:szCs w:val="20"/>
                <w:color w:val="auto"/>
              </w:rPr>
            </w:pPr>
            <w:r>
              <w:rPr>
                <w:rFonts w:ascii="Arial" w:cs="Arial" w:eastAsia="Arial" w:hAnsi="Arial"/>
                <w:sz w:val="18"/>
                <w:szCs w:val="18"/>
                <w:color w:val="auto"/>
                <w:w w:val="92"/>
              </w:rPr>
              <w:t>Beneficiary states that Beneficiary is entitled to draw down the full amount of letter of credit no.</w:t>
            </w:r>
          </w:p>
        </w:tc>
        <w:tc>
          <w:tcPr>
            <w:tcW w:w="900" w:type="dxa"/>
            <w:vAlign w:val="bottom"/>
            <w:tcBorders>
              <w:bottom w:val="single" w:sz="8" w:color="auto"/>
            </w:tcBorders>
          </w:tcPr>
          <w:p>
            <w:pPr>
              <w:spacing w:after="0"/>
              <w:rPr>
                <w:sz w:val="24"/>
                <w:szCs w:val="24"/>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91"/>
              </w:rPr>
              <w:t>as the result of an involuntary petition having</w:t>
            </w:r>
          </w:p>
        </w:tc>
      </w:tr>
    </w:tbl>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been filed under the U.S. Bankruptcy Code or a State Bankruptcy Code against the Tenant under the Lease, which filing has not been dismissed at the time of this drawing.</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480" w:name="page481"/>
    <w:bookmarkEnd w:id="480"/>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20"/>
                <w:szCs w:val="20"/>
                <w:color w:val="auto"/>
              </w:rPr>
            </w:pPr>
            <w:r>
              <w:rPr>
                <w:rFonts w:ascii="Arial" w:cs="Arial" w:eastAsia="Arial" w:hAnsi="Arial"/>
                <w:sz w:val="18"/>
                <w:szCs w:val="18"/>
                <w:color w:val="auto"/>
                <w:w w:val="92"/>
              </w:rPr>
              <w:t>Beneficiary states that Beneficiary is entitled to draw down the full amount of letter of credit no.</w:t>
            </w:r>
          </w:p>
        </w:tc>
        <w:tc>
          <w:tcPr>
            <w:tcW w:w="1080" w:type="dxa"/>
            <w:vAlign w:val="bottom"/>
            <w:tcBorders>
              <w:bottom w:val="single" w:sz="8" w:color="auto"/>
            </w:tcBorders>
          </w:tcPr>
          <w:p>
            <w:pPr>
              <w:spacing w:after="0"/>
              <w:rPr>
                <w:sz w:val="17"/>
                <w:szCs w:val="17"/>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w w:val="88"/>
              </w:rPr>
              <w:t>as the result of the rejection, or deemed</w:t>
            </w:r>
          </w:p>
        </w:tc>
      </w:tr>
      <w:tr>
        <w:trPr>
          <w:trHeight w:val="237"/>
        </w:trPr>
        <w:tc>
          <w:tcPr>
            <w:tcW w:w="7000" w:type="dxa"/>
            <w:vAlign w:val="bottom"/>
          </w:tcPr>
          <w:p>
            <w:pPr>
              <w:spacing w:after="0"/>
              <w:rPr>
                <w:sz w:val="20"/>
                <w:szCs w:val="20"/>
                <w:color w:val="auto"/>
              </w:rPr>
            </w:pPr>
            <w:r>
              <w:rPr>
                <w:rFonts w:ascii="Arial" w:cs="Arial" w:eastAsia="Arial" w:hAnsi="Arial"/>
                <w:sz w:val="18"/>
                <w:szCs w:val="18"/>
                <w:color w:val="auto"/>
              </w:rPr>
              <w:t>rejection, of the Lease, under Section 365 of the U.S. Bankruptcy Code.</w:t>
            </w:r>
          </w:p>
        </w:tc>
        <w:tc>
          <w:tcPr>
            <w:tcW w:w="1080" w:type="dxa"/>
            <w:vAlign w:val="bottom"/>
          </w:tcPr>
          <w:p>
            <w:pPr>
              <w:spacing w:after="0"/>
              <w:rPr>
                <w:sz w:val="20"/>
                <w:szCs w:val="20"/>
                <w:color w:val="auto"/>
              </w:rPr>
            </w:pPr>
          </w:p>
        </w:tc>
        <w:tc>
          <w:tcPr>
            <w:tcW w:w="28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 xml:space="preserve">Beneficiary requests that payment be made by wire transfer to an account of Beneficiary as follows: [INSERT </w:t>
      </w:r>
      <w:r>
        <w:rPr>
          <w:rFonts w:ascii="Arial" w:cs="Arial" w:eastAsia="Arial" w:hAnsi="Arial"/>
          <w:sz w:val="18"/>
          <w:szCs w:val="18"/>
          <w:u w:val="single" w:color="auto"/>
          <w:color w:val="auto"/>
        </w:rPr>
        <w:t>NAME AND NUMBER OF BENEFICIARY’S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 AND NAME, ADDRESS, AND ROUTING NUMBER OF BENEFICIARY’S BANK</w:t>
      </w:r>
      <w:r>
        <w:rPr>
          <w:rFonts w:ascii="Arial" w:cs="Arial" w:eastAsia="Arial" w:hAnsi="Arial"/>
          <w:sz w:val="18"/>
          <w:szCs w:val="18"/>
          <w:color w:val="auto"/>
        </w:rPr>
        <w:t>].</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[Insert Beneficiary’s name and address]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authorized officer: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[INSERT </w:t>
      </w:r>
      <w:r>
        <w:rPr>
          <w:rFonts w:ascii="Arial" w:cs="Arial" w:eastAsia="Arial" w:hAnsi="Arial"/>
          <w:sz w:val="18"/>
          <w:szCs w:val="18"/>
          <w:u w:val="single" w:color="auto"/>
          <w:color w:val="auto"/>
        </w:rPr>
        <w:t>ORIGINAL SIGNATURE</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[INSERT </w:t>
      </w:r>
      <w:r>
        <w:rPr>
          <w:rFonts w:ascii="Arial" w:cs="Arial" w:eastAsia="Arial" w:hAnsi="Arial"/>
          <w:sz w:val="18"/>
          <w:szCs w:val="18"/>
          <w:u w:val="single" w:color="auto"/>
          <w:color w:val="auto"/>
        </w:rPr>
        <w:t>TYPED/PRINTED NAME AND TITLE</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7" w:right="23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Form of Transfer Request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FULL TRANSFER OF LETTER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Loan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Letter of Credit Department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6011 Connection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Irving, Texas 75039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 Your Standby Letter of Credit No.</w:t>
      </w:r>
      <w:r>
        <w:rPr>
          <w:rFonts w:ascii="Arial" w:cs="Arial" w:eastAsia="Arial" w:hAnsi="Arial"/>
          <w:sz w:val="18"/>
          <w:szCs w:val="18"/>
          <w:b w:val="1"/>
          <w:bCs w:val="1"/>
          <w:color w:val="auto"/>
        </w:rPr>
        <w:t>[insert reference number]</w:t>
      </w:r>
      <w:r>
        <w:rPr>
          <w:rFonts w:ascii="Arial" w:cs="Arial" w:eastAsia="Arial" w:hAnsi="Arial"/>
          <w:sz w:val="18"/>
          <w:szCs w:val="18"/>
          <w:color w:val="auto"/>
        </w:rPr>
        <w:t xml:space="preserve">, dated </w:t>
      </w: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value received, the undersigned beneficiary (the “Beneficiary”) hereby requests that all rights of the undersigned Beneficiary to draw under the above-captioned Letter of Credit (the “Standby”) be irrevocably transferred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683260</wp:posOffset>
            </wp:positionV>
            <wp:extent cx="257175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[INSERT 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417830</wp:posOffset>
            </wp:positionV>
            <wp:extent cx="268605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[INSERT ADDRESS OF TRANSFEREE]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Beneficiary states that there are no outstanding demands by Beneficiary for payment, no outstanding requests for transfer, and no outstanding requests for agreement to reduction or cancellation of the Standby.</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By this transfer, all rights of the undersigned Beneficiary in the Standby are to be transferred to the transferee and the transferee shall thereafter have the sole rights as Beneficiary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rights shall be deemed to have been transferred to the transferee until such transfer complies with the requirements of the Standby pertaining to such transfers including, without limitation, your approval, which shall not be unreasonably withheld. All future amendments to the Standby are to be consented to by the transferee without necessity of any consent of or notice to the undersigned.</w:t>
      </w:r>
    </w:p>
    <w:p>
      <w:pPr>
        <w:spacing w:after="0" w:line="17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Standby together with all amendments (if any) is returned herewith and in accordance therewith we ask that you transfer the Standby to the above transferee or that, if so requested by the transferee, you issue a new irrevocable letter of credit in favor of the transferee on the same terms as the Standby (other than the name and contact details of the beneficiary, the issue date thereof and the Letter of Credit number).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0" w:right="339" w:bottom="1440" w:gutter="0" w:footer="0" w:header="0"/>
        </w:sectPr>
      </w:pPr>
    </w:p>
    <w:bookmarkStart w:id="482" w:name="page483"/>
    <w:bookmarkEnd w:id="48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[Insert Beneficiary’s name and address]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its authorized officer: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[INSERT </w:t>
      </w:r>
      <w:r>
        <w:rPr>
          <w:rFonts w:ascii="Arial" w:cs="Arial" w:eastAsia="Arial" w:hAnsi="Arial"/>
          <w:sz w:val="18"/>
          <w:szCs w:val="18"/>
          <w:u w:val="single" w:color="auto"/>
          <w:color w:val="auto"/>
        </w:rPr>
        <w:t>ORIGINAL SIGNATURE</w:t>
      </w:r>
      <w:r>
        <w:rPr>
          <w:rFonts w:ascii="Arial" w:cs="Arial" w:eastAsia="Arial" w:hAnsi="Arial"/>
          <w:sz w:val="18"/>
          <w:szCs w:val="18"/>
          <w:color w:val="auto"/>
        </w:rPr>
        <w: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[INSERT </w:t>
      </w:r>
      <w:r>
        <w:rPr>
          <w:rFonts w:ascii="Arial" w:cs="Arial" w:eastAsia="Arial" w:hAnsi="Arial"/>
          <w:sz w:val="18"/>
          <w:szCs w:val="18"/>
          <w:u w:val="single" w:color="auto"/>
          <w:color w:val="auto"/>
        </w:rPr>
        <w:t>TYPED/PRINTED NAME AND TITLE</w:t>
      </w:r>
      <w:r>
        <w:rPr>
          <w:rFonts w:ascii="Arial" w:cs="Arial" w:eastAsia="Arial" w:hAnsi="Arial"/>
          <w:sz w:val="18"/>
          <w:szCs w:val="18"/>
          <w:color w:val="auto"/>
        </w:rPr>
        <w:t>]</w:t>
      </w:r>
    </w:p>
    <w:p>
      <w:pPr>
        <w:spacing w:after="0" w:line="21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 GUARANTEED</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above signature(s) with title(s) conform(s) with that/those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on file with us for this company and signer(s) is/are authorized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to execute this instrument. We attest that the company has been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identified by us as a customer, in compliance with</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USA PATRIOT Act procedures of our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142875</wp:posOffset>
            </wp:positionV>
            <wp:extent cx="289877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152400</wp:posOffset>
            </wp:positionV>
            <wp:extent cx="289877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152400</wp:posOffset>
            </wp:positionV>
            <wp:extent cx="289877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152400</wp:posOffset>
            </wp:positionV>
            <wp:extent cx="289877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152400</wp:posOffset>
            </wp:positionV>
            <wp:extent cx="289877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(Authorized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152400</wp:posOffset>
            </wp:positionV>
            <wp:extent cx="289877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Signature)</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EXHIBIT I-1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273" w:right="239" w:bottom="1440" w:gutter="0" w:footer="0" w:header="0"/>
        </w:sectPr>
      </w:pPr>
    </w:p>
    <w:bookmarkStart w:id="483" w:name="page484"/>
    <w:bookmarkEnd w:id="48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484" w:name="page485"/>
    <w:bookmarkEnd w:id="48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LOCATION OF EXTERIOR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314325</wp:posOffset>
            </wp:positionV>
            <wp:extent cx="3738880" cy="42367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738880" cy="423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J</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485" w:name="page486"/>
    <w:bookmarkEnd w:id="4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4533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454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J</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440" w:right="1440" w:bottom="1440" w:gutter="0" w:footer="0" w:header="0"/>
        </w:sectPr>
      </w:pPr>
    </w:p>
    <w:bookmarkStart w:id="486" w:name="page487"/>
    <w:bookmarkEnd w:id="4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999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499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J</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440" w:right="1440" w:bottom="1440" w:gutter="0" w:footer="0" w:header="0"/>
        </w:sectPr>
      </w:pPr>
    </w:p>
    <w:bookmarkStart w:id="487" w:name="page488"/>
    <w:bookmarkEnd w:id="48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ANTICIPATED LOCATION OF RETAIL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160020</wp:posOffset>
            </wp:positionV>
            <wp:extent cx="5394325" cy="36017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39432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J-1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9" w:right="1440" w:bottom="1440" w:gutter="0" w:footer="0" w:header="0"/>
        </w:sectPr>
      </w:pPr>
    </w:p>
    <w:bookmarkStart w:id="488" w:name="page489"/>
    <w:bookmarkEnd w:id="48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MULTI-TENANT PROVISIONS</w:t>
      </w:r>
    </w:p>
    <w:p>
      <w:pPr>
        <w:spacing w:after="0" w:line="20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Except as otherwise expressly provided below, all references in this </w:t>
      </w:r>
      <w:r>
        <w:rPr>
          <w:rFonts w:ascii="Arial" w:cs="Arial" w:eastAsia="Arial" w:hAnsi="Arial"/>
          <w:sz w:val="18"/>
          <w:szCs w:val="18"/>
          <w:b w:val="1"/>
          <w:bCs w:val="1"/>
          <w:u w:val="single" w:color="auto"/>
          <w:color w:val="auto"/>
        </w:rPr>
        <w:t>Exhibit K</w:t>
      </w:r>
      <w:r>
        <w:rPr>
          <w:rFonts w:ascii="Arial" w:cs="Arial" w:eastAsia="Arial" w:hAnsi="Arial"/>
          <w:sz w:val="18"/>
          <w:szCs w:val="18"/>
          <w:color w:val="auto"/>
        </w:rPr>
        <w:t xml:space="preserve"> to a “Section” shall mean the relevant Section of the Lease to which this </w:t>
      </w:r>
      <w:r>
        <w:rPr>
          <w:rFonts w:ascii="Arial" w:cs="Arial" w:eastAsia="Arial" w:hAnsi="Arial"/>
          <w:sz w:val="18"/>
          <w:szCs w:val="18"/>
          <w:b w:val="1"/>
          <w:bCs w:val="1"/>
          <w:u w:val="single" w:color="auto"/>
          <w:color w:val="auto"/>
        </w:rPr>
        <w:t>Exhibit K</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w:t>
      </w:r>
    </w:p>
    <w:p>
      <w:pPr>
        <w:spacing w:after="0" w:line="54" w:lineRule="exact"/>
        <w:rPr>
          <w:sz w:val="20"/>
          <w:szCs w:val="20"/>
          <w:color w:val="auto"/>
        </w:rPr>
      </w:pPr>
    </w:p>
    <w:p>
      <w:pPr>
        <w:jc w:val="both"/>
        <w:ind w:right="140" w:firstLine="464"/>
        <w:spacing w:after="0" w:line="266" w:lineRule="auto"/>
        <w:tabs>
          <w:tab w:leader="none" w:pos="636"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Premises</w:t>
      </w:r>
      <w:r>
        <w:rPr>
          <w:rFonts w:ascii="Arial" w:cs="Arial" w:eastAsia="Arial" w:hAnsi="Arial"/>
          <w:sz w:val="18"/>
          <w:szCs w:val="18"/>
          <w:color w:val="auto"/>
        </w:rPr>
        <w:t>. The rentable square footage of the Premises and “Tenant’s Share” shall be modified accordingly to reflect the number of rentable square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feet in the then existing Premises (consistent with the number of rentable square feet on each of the applicable floors of the Premises, as set forth in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A-1</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to this Lease).</w:t>
      </w:r>
    </w:p>
    <w:p>
      <w:pPr>
        <w:spacing w:after="0" w:line="68" w:lineRule="exact"/>
        <w:rPr>
          <w:rFonts w:ascii="Arial" w:cs="Arial" w:eastAsia="Arial" w:hAnsi="Arial"/>
          <w:sz w:val="18"/>
          <w:szCs w:val="18"/>
          <w:color w:val="auto"/>
        </w:rPr>
      </w:pPr>
    </w:p>
    <w:p>
      <w:pPr>
        <w:ind w:left="640" w:hanging="176"/>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Permitted Use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Summary shall be deleted and replaced with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7.</w:t>
            </w: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Permitted Use (Article 5):</w:t>
            </w:r>
          </w:p>
        </w:tc>
        <w:tc>
          <w:tcPr>
            <w:tcW w:w="8420" w:type="dxa"/>
            <w:vAlign w:val="bottom"/>
            <w:gridSpan w:val="3"/>
          </w:tcPr>
          <w:p>
            <w:pPr>
              <w:ind w:left="300"/>
              <w:spacing w:after="0"/>
              <w:rPr>
                <w:sz w:val="20"/>
                <w:szCs w:val="20"/>
                <w:color w:val="auto"/>
              </w:rPr>
            </w:pPr>
            <w:r>
              <w:rPr>
                <w:rFonts w:ascii="Arial" w:cs="Arial" w:eastAsia="Arial" w:hAnsi="Arial"/>
                <w:sz w:val="18"/>
                <w:szCs w:val="18"/>
                <w:color w:val="auto"/>
                <w:w w:val="91"/>
              </w:rPr>
              <w:t>General office use together with ancillary uses consistent with high-tech, multi-tenant first-class office buildings,</w:t>
            </w:r>
          </w:p>
        </w:tc>
      </w:tr>
      <w:tr>
        <w:trPr>
          <w:trHeight w:val="196"/>
        </w:trPr>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420" w:type="dxa"/>
            <w:vAlign w:val="bottom"/>
            <w:gridSpan w:val="3"/>
          </w:tcPr>
          <w:p>
            <w:pPr>
              <w:ind w:left="300"/>
              <w:spacing w:after="0" w:line="196" w:lineRule="exact"/>
              <w:rPr>
                <w:sz w:val="20"/>
                <w:szCs w:val="20"/>
                <w:color w:val="auto"/>
              </w:rPr>
            </w:pPr>
            <w:r>
              <w:rPr>
                <w:rFonts w:ascii="Arial" w:cs="Arial" w:eastAsia="Arial" w:hAnsi="Arial"/>
                <w:sz w:val="18"/>
                <w:szCs w:val="18"/>
                <w:color w:val="auto"/>
              </w:rPr>
              <w:t>subject to the terms and conditions set forth in Section 5.1 of this Lease.</w:t>
            </w:r>
          </w:p>
        </w:tc>
      </w:tr>
      <w:tr>
        <w:trPr>
          <w:trHeight w:val="20"/>
        </w:trPr>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200" w:firstLine="464"/>
        <w:spacing w:after="0" w:line="266" w:lineRule="auto"/>
        <w:tabs>
          <w:tab w:leader="none" w:pos="636"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Tax Expenses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4.2.5.1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shall be modified so that Tax Expenses includes leasehold taxes or taxes based upon the receipt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Rent payable hereunder and rent payable by other tenants of the Project, including gross receipts or sales taxes applicable to the receipt of such rent, unless required to be paid by Tenant or other tenants of the Project.</w:t>
      </w:r>
    </w:p>
    <w:p>
      <w:pPr>
        <w:spacing w:after="0" w:line="68" w:lineRule="exact"/>
        <w:rPr>
          <w:rFonts w:ascii="Arial" w:cs="Arial" w:eastAsia="Arial" w:hAnsi="Arial"/>
          <w:sz w:val="18"/>
          <w:szCs w:val="18"/>
          <w:color w:val="auto"/>
        </w:rPr>
      </w:pPr>
    </w:p>
    <w:p>
      <w:pPr>
        <w:ind w:right="460" w:firstLine="464"/>
        <w:spacing w:after="0" w:line="282" w:lineRule="auto"/>
        <w:tabs>
          <w:tab w:leader="none" w:pos="636"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Bicycle Storage Area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5.3.1</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shall be amended to provide that Tenant’s use of the Landlord Bicycle Storage Area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non-exclusive.</w:t>
      </w:r>
    </w:p>
    <w:p>
      <w:pPr>
        <w:spacing w:after="0" w:line="53" w:lineRule="exact"/>
        <w:rPr>
          <w:rFonts w:ascii="Arial" w:cs="Arial" w:eastAsia="Arial" w:hAnsi="Arial"/>
          <w:sz w:val="18"/>
          <w:szCs w:val="18"/>
          <w:color w:val="auto"/>
        </w:rPr>
      </w:pPr>
    </w:p>
    <w:p>
      <w:pPr>
        <w:ind w:left="640" w:hanging="17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Services and Utilities</w:t>
      </w:r>
      <w:r>
        <w:rPr>
          <w:rFonts w:ascii="Arial" w:cs="Arial" w:eastAsia="Arial" w:hAnsi="Arial"/>
          <w:sz w:val="18"/>
          <w:szCs w:val="18"/>
          <w:color w:val="auto"/>
        </w:rPr>
        <w:t>. The corresponding Sections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shall be deleted and replaced with the following.</w:t>
      </w:r>
    </w:p>
    <w:p>
      <w:pPr>
        <w:spacing w:after="0" w:line="11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b w:val="1"/>
          <w:bCs w:val="1"/>
          <w:u w:val="single" w:color="auto"/>
          <w:color w:val="auto"/>
        </w:rPr>
        <w:t>HVAC</w:t>
      </w:r>
      <w:r>
        <w:rPr>
          <w:rFonts w:ascii="Arial" w:cs="Arial" w:eastAsia="Arial" w:hAnsi="Arial"/>
          <w:sz w:val="17"/>
          <w:szCs w:val="17"/>
          <w:b w:val="1"/>
          <w:bCs w:val="1"/>
          <w:color w:val="auto"/>
        </w:rPr>
        <w:t>.</w:t>
      </w:r>
      <w:r>
        <w:rPr>
          <w:rFonts w:ascii="Arial" w:cs="Arial" w:eastAsia="Arial" w:hAnsi="Arial"/>
          <w:sz w:val="17"/>
          <w:szCs w:val="17"/>
          <w:color w:val="auto"/>
        </w:rPr>
        <w:t xml:space="preserve"> In accordance with the “Base Building” definition as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the Work Letter, each Building shall be equipped with a heating and air conditioning (“</w:t>
      </w:r>
      <w:r>
        <w:rPr>
          <w:rFonts w:ascii="Arial" w:cs="Arial" w:eastAsia="Arial" w:hAnsi="Arial"/>
          <w:sz w:val="17"/>
          <w:szCs w:val="17"/>
          <w:b w:val="1"/>
          <w:bCs w:val="1"/>
          <w:color w:val="auto"/>
        </w:rPr>
        <w:t>HVAC</w:t>
      </w:r>
      <w:r>
        <w:rPr>
          <w:rFonts w:ascii="Arial" w:cs="Arial" w:eastAsia="Arial" w:hAnsi="Arial"/>
          <w:sz w:val="17"/>
          <w:szCs w:val="17"/>
          <w:color w:val="auto"/>
        </w:rPr>
        <w:t>”) system serving the applicable Building (the “</w:t>
      </w:r>
      <w:r>
        <w:rPr>
          <w:rFonts w:ascii="Arial" w:cs="Arial" w:eastAsia="Arial" w:hAnsi="Arial"/>
          <w:sz w:val="17"/>
          <w:szCs w:val="17"/>
          <w:b w:val="1"/>
          <w:bCs w:val="1"/>
          <w:color w:val="auto"/>
        </w:rPr>
        <w:t>BB HVAC System</w:t>
      </w:r>
      <w:r>
        <w:rPr>
          <w:rFonts w:ascii="Arial" w:cs="Arial" w:eastAsia="Arial" w:hAnsi="Arial"/>
          <w:sz w:val="17"/>
          <w:szCs w:val="17"/>
          <w:color w:val="auto"/>
        </w:rPr>
        <w:t>”). Subject to limitations imposed by all governmental rules, regulations and guidelines applicable thereto, Landlord shall provide BB HVAC System service for normal comfort for normal office use in the Premises, assuming an office occupancy density no greater than one (1) person for any 125 rentable square feet of space, from 8:00 A.M. to 6:00 P.M. Monday through Friday (the “</w:t>
      </w:r>
      <w:r>
        <w:rPr>
          <w:rFonts w:ascii="Arial" w:cs="Arial" w:eastAsia="Arial" w:hAnsi="Arial"/>
          <w:sz w:val="17"/>
          <w:szCs w:val="17"/>
          <w:b w:val="1"/>
          <w:bCs w:val="1"/>
          <w:color w:val="auto"/>
        </w:rPr>
        <w:t>Building Hours</w:t>
      </w:r>
      <w:r>
        <w:rPr>
          <w:rFonts w:ascii="Arial" w:cs="Arial" w:eastAsia="Arial" w:hAnsi="Arial"/>
          <w:sz w:val="17"/>
          <w:szCs w:val="17"/>
          <w:color w:val="auto"/>
        </w:rPr>
        <w:t>”), except for the date of observation of New Year’s Day, Memorial Day, Independence Day, Labor Day, Thanksgiving Day, Christmas Day and, at Landlord’s discretion, other locally or nationally recognized holidays (collectively, the “</w:t>
      </w:r>
      <w:r>
        <w:rPr>
          <w:rFonts w:ascii="Arial" w:cs="Arial" w:eastAsia="Arial" w:hAnsi="Arial"/>
          <w:sz w:val="17"/>
          <w:szCs w:val="17"/>
          <w:b w:val="1"/>
          <w:bCs w:val="1"/>
          <w:color w:val="auto"/>
        </w:rPr>
        <w:t>Holidays</w:t>
      </w:r>
      <w:r>
        <w:rPr>
          <w:rFonts w:ascii="Arial" w:cs="Arial" w:eastAsia="Arial" w:hAnsi="Arial"/>
          <w:sz w:val="17"/>
          <w:szCs w:val="17"/>
          <w:color w:val="auto"/>
        </w:rPr>
        <w:t>”). Tenant shall cooperate fully with Landlord at all times and abide by all regulations and requirements that Landlord may reasonably prescribe for the proper functioning and protection of the BB HVAC System. If Tenant desires to use HVAC during hours other than Building Hours, Tenant shall give Landlord’s property management office such prior notice (which shall be via telephone or an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489" w:name="page490"/>
    <w:bookmarkEnd w:id="489"/>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on-line system), if any, as Landlord reasonably shall from time to time establish as appropriate, of Tenant’s desired use of HVAC, and Landlord shall supply such HVAC to Tenant at such hourly cost to Tenant (which shall be treated as Additional Rent) as Landlord shall from time to time establish, provided that such costs shall be Landlord’s good faith estimate of the cost of providing such service with no markup for profit to Landlord.</w:t>
      </w:r>
    </w:p>
    <w:p>
      <w:pPr>
        <w:spacing w:after="0" w:line="5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b w:val="1"/>
          <w:bCs w:val="1"/>
          <w:u w:val="single" w:color="auto"/>
          <w:color w:val="auto"/>
        </w:rPr>
        <w:t>Access Control</w:t>
      </w:r>
      <w:r>
        <w:rPr>
          <w:rFonts w:ascii="Arial" w:cs="Arial" w:eastAsia="Arial" w:hAnsi="Arial"/>
          <w:sz w:val="18"/>
          <w:szCs w:val="18"/>
          <w:color w:val="auto"/>
        </w:rPr>
        <w:t>. As part of the construction of the Base Buildings, Landlord shall install an access-control system for the Buildings and Parking Facilities, including, without limitation, door access controls, lobby turnstiles and elevator access controls; provided that the parties acknowledge that the North Lobby[ is ][ADD IF APPLICABLE—and the South Lobby are] open to the public, and access will not be restricted during general business hours. Landlord shall not be obligated to provide any other security equipment. Notwithstanding any provision to the contrary set forth in this Lease, in no case, shall Landlord be liable for personal injury or property damage for any lack of security in the Building or for any error with regard to the admission to or exclusion from the Buildings or Project of any person.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Assignment and Subletting</w:t>
      </w:r>
      <w:r>
        <w:rPr>
          <w:rFonts w:ascii="Arial" w:cs="Arial" w:eastAsia="Arial" w:hAnsi="Arial"/>
          <w:sz w:val="18"/>
          <w:szCs w:val="18"/>
          <w:color w:val="auto"/>
        </w:rPr>
        <w:t xml:space="preserve">. The following shall be added to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of this Lease.</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14.2.6 The proposed Transfer would cause a violation of another lease for space in the Project, or would give an occupant of the Project a right to cancel its lease; or</w:t>
      </w:r>
    </w:p>
    <w:p>
      <w:pPr>
        <w:spacing w:after="0" w:line="62"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14.2.7 Either the proposed Transferee, or any person or entity which directly or indirectly, controls, is controlled by, or is under common control with, the proposed Transferee, is then currently engaged in active negotiations with Landlord, or has negotiated with Landlord during the five (5)-month period immediately preceding the Transfer Notice, for space within the Project (and, in such latter instance, Landlord has (or reasonably anticipates it will have) available space in the Project suitable to meet such proposed Transferee’s occupancy needs).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Roof Deck</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22</w:t>
      </w:r>
      <w:r>
        <w:rPr>
          <w:rFonts w:ascii="Arial" w:cs="Arial" w:eastAsia="Arial" w:hAnsi="Arial"/>
          <w:sz w:val="18"/>
          <w:szCs w:val="18"/>
          <w:color w:val="auto"/>
        </w:rPr>
        <w:t xml:space="preserve"> of this Lease shall be deleted and replaced with the following.</w:t>
      </w:r>
    </w:p>
    <w:p>
      <w:pPr>
        <w:spacing w:after="0" w:line="117" w:lineRule="exact"/>
        <w:rPr>
          <w:sz w:val="20"/>
          <w:szCs w:val="20"/>
          <w:color w:val="auto"/>
        </w:rPr>
      </w:pPr>
    </w:p>
    <w:p>
      <w:pPr>
        <w:ind w:right="180" w:firstLine="913"/>
        <w:spacing w:after="0" w:line="258"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u w:val="single" w:color="auto"/>
          <w:color w:val="auto"/>
        </w:rPr>
        <w:t>In General</w:t>
      </w:r>
      <w:r>
        <w:rPr>
          <w:rFonts w:ascii="Arial" w:cs="Arial" w:eastAsia="Arial" w:hAnsi="Arial"/>
          <w:sz w:val="18"/>
          <w:szCs w:val="18"/>
          <w:color w:val="auto"/>
        </w:rPr>
        <w:t>. Tenant shall have the right to use, on a non-exclusive basis, the roof deck located on the seventh (7</w:t>
      </w:r>
      <w:r>
        <w:rPr>
          <w:rFonts w:ascii="Arial" w:cs="Arial" w:eastAsia="Arial" w:hAnsi="Arial"/>
          <w:sz w:val="15"/>
          <w:szCs w:val="15"/>
          <w:color w:val="auto"/>
        </w:rPr>
        <w:t>th</w:t>
      </w:r>
      <w:r>
        <w:rPr>
          <w:rFonts w:ascii="Arial" w:cs="Arial" w:eastAsia="Arial" w:hAnsi="Arial"/>
          <w:sz w:val="18"/>
          <w:szCs w:val="18"/>
          <w:color w:val="auto"/>
        </w:rPr>
        <w:t>) floor of the North Building (the “</w:t>
      </w:r>
      <w:r>
        <w:rPr>
          <w:rFonts w:ascii="Arial" w:cs="Arial" w:eastAsia="Arial" w:hAnsi="Arial"/>
          <w:sz w:val="18"/>
          <w:szCs w:val="18"/>
          <w:b w:val="1"/>
          <w:bCs w:val="1"/>
          <w:color w:val="auto"/>
        </w:rPr>
        <w:t>Roof Deck</w:t>
      </w:r>
      <w:r>
        <w:rPr>
          <w:rFonts w:ascii="Arial" w:cs="Arial" w:eastAsia="Arial" w:hAnsi="Arial"/>
          <w:sz w:val="18"/>
          <w:szCs w:val="18"/>
          <w:color w:val="auto"/>
        </w:rPr>
        <w:t>”), which Roof Deck shall, for purposes of this Lease, be deemed part of the Common Areas. Tenant’s use of the Roof Deck shall be subject to such reasonable rules and regulations as may be prescribed by Landlord from time to time. Tenant shall not make any improvements or alterations to the Roof Deck, nor shall Tenant be permitted to install or place on the Roof Deck any furniture, fixtures, plants, graphics, signs or insignias or other items of any kind whatsoever.</w:t>
      </w:r>
    </w:p>
    <w:p>
      <w:pPr>
        <w:spacing w:after="0" w:line="76" w:lineRule="exact"/>
        <w:rPr>
          <w:sz w:val="20"/>
          <w:szCs w:val="20"/>
          <w:color w:val="auto"/>
        </w:rPr>
      </w:pPr>
    </w:p>
    <w:p>
      <w:pPr>
        <w:ind w:right="200" w:firstLine="913"/>
        <w:spacing w:after="0" w:line="258"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u w:val="single" w:color="auto"/>
          <w:color w:val="auto"/>
        </w:rPr>
        <w:t>Landlord Use Rights</w:t>
      </w:r>
      <w:r>
        <w:rPr>
          <w:rFonts w:ascii="Arial" w:cs="Arial" w:eastAsia="Arial" w:hAnsi="Arial"/>
          <w:sz w:val="18"/>
          <w:szCs w:val="18"/>
          <w:color w:val="auto"/>
        </w:rPr>
        <w:t>. Landlord shall have the right to temporarily close the Roof Deck or limit access thereto from time to time (i) in connection with Landlord’s maintenance or repair of the Roof Deck or Buildings and (ii) for other reasonable purposes, including, without limitation, for events hosted on behalf of or for Landlord (collectively, “</w:t>
      </w:r>
      <w:r>
        <w:rPr>
          <w:rFonts w:ascii="Arial" w:cs="Arial" w:eastAsia="Arial" w:hAnsi="Arial"/>
          <w:sz w:val="18"/>
          <w:szCs w:val="18"/>
          <w:b w:val="1"/>
          <w:bCs w:val="1"/>
          <w:color w:val="auto"/>
        </w:rPr>
        <w:t>Landlord Use Rights</w:t>
      </w:r>
      <w:r>
        <w:rPr>
          <w:rFonts w:ascii="Arial" w:cs="Arial" w:eastAsia="Arial" w:hAnsi="Arial"/>
          <w:sz w:val="18"/>
          <w:szCs w:val="18"/>
          <w:color w:val="auto"/>
        </w:rPr>
        <w:t xml:space="preserve">”). Subject to the terms of this </w:t>
      </w:r>
      <w:r>
        <w:rPr>
          <w:rFonts w:ascii="Arial" w:cs="Arial" w:eastAsia="Arial" w:hAnsi="Arial"/>
          <w:sz w:val="18"/>
          <w:szCs w:val="18"/>
          <w:u w:val="single" w:color="auto"/>
          <w:color w:val="auto"/>
        </w:rPr>
        <w:t>Article 22</w:t>
      </w:r>
      <w:r>
        <w:rPr>
          <w:rFonts w:ascii="Arial" w:cs="Arial" w:eastAsia="Arial" w:hAnsi="Arial"/>
          <w:sz w:val="18"/>
          <w:szCs w:val="18"/>
          <w:color w:val="auto"/>
        </w:rPr>
        <w:t>, Tenant shall allow Landlord and Landlord’s permitted users of the Roof Deck access to Tenant’s restrooms located in its Premises during any Landlord Use Rights, if no other restrooms are reasonably available in connection with the same.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90" w:name="page491"/>
    <w:bookmarkEnd w:id="490"/>
    <w:p>
      <w:pPr>
        <w:ind w:right="6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22.3 </w:t>
      </w:r>
      <w:r>
        <w:rPr>
          <w:rFonts w:ascii="Arial" w:cs="Arial" w:eastAsia="Arial" w:hAnsi="Arial"/>
          <w:sz w:val="16"/>
          <w:szCs w:val="16"/>
          <w:b w:val="1"/>
          <w:bCs w:val="1"/>
          <w:u w:val="single" w:color="auto"/>
          <w:color w:val="auto"/>
        </w:rPr>
        <w:t>Other Terms</w:t>
      </w:r>
      <w:r>
        <w:rPr>
          <w:rFonts w:ascii="Arial" w:cs="Arial" w:eastAsia="Arial" w:hAnsi="Arial"/>
          <w:sz w:val="16"/>
          <w:szCs w:val="16"/>
          <w:color w:val="auto"/>
        </w:rPr>
        <w:t>. Landlord and Tenant acknowledge and agree that (i) Tenant shall be responsible for supervising and controlling access to the Roof Deck by Tenant’s employees, officers, directors, shareholders, agents, representatives, contractors and invitees (the “</w:t>
      </w:r>
      <w:r>
        <w:rPr>
          <w:rFonts w:ascii="Arial" w:cs="Arial" w:eastAsia="Arial" w:hAnsi="Arial"/>
          <w:sz w:val="16"/>
          <w:szCs w:val="16"/>
          <w:b w:val="1"/>
          <w:bCs w:val="1"/>
          <w:color w:val="auto"/>
        </w:rPr>
        <w:t>Roof Deck Users</w:t>
      </w:r>
      <w:r>
        <w:rPr>
          <w:rFonts w:ascii="Arial" w:cs="Arial" w:eastAsia="Arial" w:hAnsi="Arial"/>
          <w:sz w:val="16"/>
          <w:szCs w:val="16"/>
          <w:color w:val="auto"/>
        </w:rPr>
        <w:t>”); and</w:t>
      </w:r>
    </w:p>
    <w:p>
      <w:pPr>
        <w:spacing w:after="0" w:line="1" w:lineRule="exact"/>
        <w:rPr>
          <w:sz w:val="20"/>
          <w:szCs w:val="20"/>
          <w:color w:val="auto"/>
        </w:rPr>
      </w:pPr>
    </w:p>
    <w:p>
      <w:pPr>
        <w:ind w:firstLine="8"/>
        <w:spacing w:after="0" w:line="268" w:lineRule="auto"/>
        <w:tabs>
          <w:tab w:leader="none" w:pos="26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Landlord is not responsible for supervising and controlling access to the Roof Deck, except in connection with Landlord’s exercise of Landlord’s Use Rights. Except to the extent arising as a consequence of the negligence or willful misconduct of Landlord: (a) Tenant assumes the risk for any Loss arising out of the use or misuse of the Roof Deck by Tenant’s Roof Deck Users, and Tenant releases and discharges Landlord from and against any such loss, claim, damage or liability; (b) Tenant further agrees to indemnify, defend and hold Landlord and the Landlord Parties, harmless from and against any and all losses and claims relating to or arising out of the use or misuse of the Roof Deck by Tenant or Tenant’s Roof Deck Users. Except to the extent arising as a consequence of the negligence or willful misconduct of Tenant: (A) Landlord assumes the risk for any Loss arising out of the use or misuse of the Roof Deck by Landlord’s Roof Deck Users, and Landlord releases and discharges Tenant from and against any such Loss; (B) Landlord further agrees to indemnify, defend and hold Tenant and the Tenant Parties, harmless from and against any and all Losses relating to or arising out of the use or misuse of the Roof Deck by Landlord or Landlord’s Roof Deck Users. Neither party shall have any liability or responsibility to monitor the use, or manner of use, by the Roof Deck Users of the other party.</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Signs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23.3 and 23.5</w:t>
      </w:r>
      <w:r>
        <w:rPr>
          <w:rFonts w:ascii="Arial" w:cs="Arial" w:eastAsia="Arial" w:hAnsi="Arial"/>
          <w:sz w:val="18"/>
          <w:szCs w:val="18"/>
          <w:color w:val="auto"/>
        </w:rPr>
        <w:t xml:space="preserve"> of this Lease shall be deleted and replaced with the following.</w:t>
      </w:r>
    </w:p>
    <w:p>
      <w:pPr>
        <w:spacing w:after="0" w:line="117"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u w:val="single" w:color="auto"/>
          <w:color w:val="auto"/>
        </w:rPr>
        <w:t>Lobby Signage</w:t>
      </w:r>
      <w:r>
        <w:rPr>
          <w:rFonts w:ascii="Arial" w:cs="Arial" w:eastAsia="Arial" w:hAnsi="Arial"/>
          <w:sz w:val="18"/>
          <w:szCs w:val="18"/>
          <w:color w:val="auto"/>
        </w:rPr>
        <w:t>. Original Tenant and any Permitted Transferee Assignee, at Tenant’s sole cost and expense, shall have the non-exclusive right to install, repair and maintain its name and/or logo in the North Lobby and the South Lobby. Any such installation, repair and/or maintenance shall be subject to compliance with Applicable Laws and Landlord’s prior approval of any such signs (including the size and location of any such signs), which approval shall not be unreasonably withheld, conditioned or delayed. In any event, Tenant shall be entitled to building standard signage in the lobby directory of the North Complex and the South Complex throughout the Lease Term.</w:t>
      </w:r>
    </w:p>
    <w:p>
      <w:pPr>
        <w:spacing w:after="0" w:line="7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u w:val="single" w:color="auto"/>
          <w:color w:val="auto"/>
        </w:rPr>
        <w:t>Exterior Signage</w:t>
      </w:r>
      <w:r>
        <w:rPr>
          <w:rFonts w:ascii="Arial" w:cs="Arial" w:eastAsia="Arial" w:hAnsi="Arial"/>
          <w:sz w:val="18"/>
          <w:szCs w:val="18"/>
          <w:color w:val="auto"/>
        </w:rPr>
        <w:t xml:space="preserve">. Throughout the Lease Term, as the same may be extended, so long as Tenant satisfies the Minimum Signage Threshold, Original Tenant and any Permitted Transferee Assignee, at Tenant’s sole cost and expense, shall have the non-exclusive right (except to the extent provided below) to install, repair and maintain (i) its name and logo on any monument sign installed by Landlord (in Landlord’s sole discretion) and associated with a particular Building in which all or a portion of the Premises is located (provided that Tenant hereby acknowledges and agrees that no monument sign exists as of the date of this Lease, and Landlord has no obligation to install any monument sign for any Building), and (ii) Tenant’s prorata share of signs applicable to the office space of the Project generally, and exclusive signage rights for exterior signage that pertains to a particular Building, which Tenant is then leasing the entirety of, which exterior signs may be Tenant’s name and/or logo. The location of all exterior signs available for office tenants of the Project are shown on </w:t>
      </w:r>
      <w:r>
        <w:rPr>
          <w:rFonts w:ascii="Arial" w:cs="Arial" w:eastAsia="Arial" w:hAnsi="Arial"/>
          <w:sz w:val="18"/>
          <w:szCs w:val="18"/>
          <w:b w:val="1"/>
          <w:bCs w:val="1"/>
          <w:u w:val="single" w:color="auto"/>
          <w:color w:val="auto"/>
        </w:rPr>
        <w:t>Exhibit J</w:t>
      </w:r>
      <w:r>
        <w:rPr>
          <w:rFonts w:ascii="Arial" w:cs="Arial" w:eastAsia="Arial" w:hAnsi="Arial"/>
          <w:sz w:val="18"/>
          <w:szCs w:val="18"/>
          <w:color w:val="auto"/>
        </w:rPr>
        <w:t xml:space="preserve"> attached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491" w:name="page492"/>
    <w:bookmarkEnd w:id="49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hereto. Landlord shall work with Tenant to obtain City and other required approvals of such monument and exterior signs. Any such installation, repair and/or maintenance (including the exact location thereof) shall be subject to compliance with Applicable Laws, the Underlying Documents and Landlord’s prior approval, which approval shall not be unreasonably withheld, conditioned or delayed. Notwithstanding anything to the contrary set forth herein, Landlord shall be entitled to grant any retail tenants the rights to install their standard building sign package, including, eyebrow signage, blade signage, and store front signage, on or about their premises, and may grant such retail tenants monument signage rights, with the name and/or logo of such tenant located below Tenant’s name and logo on any shared monument sign. The anticipated size, types and locations of retail signage are set forth on </w:t>
      </w:r>
      <w:r>
        <w:rPr>
          <w:rFonts w:ascii="Arial" w:cs="Arial" w:eastAsia="Arial" w:hAnsi="Arial"/>
          <w:sz w:val="17"/>
          <w:szCs w:val="17"/>
          <w:b w:val="1"/>
          <w:bCs w:val="1"/>
          <w:u w:val="single" w:color="auto"/>
          <w:color w:val="auto"/>
        </w:rPr>
        <w:t>Exhibit J-1</w:t>
      </w:r>
      <w:r>
        <w:rPr>
          <w:rFonts w:ascii="Arial" w:cs="Arial" w:eastAsia="Arial" w:hAnsi="Arial"/>
          <w:sz w:val="17"/>
          <w:szCs w:val="17"/>
          <w:color w:val="auto"/>
        </w:rPr>
        <w:t xml:space="preserve"> attached hereto; provided that the exact size, types and locations of such signage shall be reasonably determined by Landlord in consultation with Tenant (but such consultation shall not be required if Landlord does not depart from the signage shown on </w:t>
      </w:r>
      <w:r>
        <w:rPr>
          <w:rFonts w:ascii="Arial" w:cs="Arial" w:eastAsia="Arial" w:hAnsi="Arial"/>
          <w:sz w:val="17"/>
          <w:szCs w:val="17"/>
          <w:b w:val="1"/>
          <w:bCs w:val="1"/>
          <w:u w:val="single" w:color="auto"/>
          <w:color w:val="auto"/>
        </w:rPr>
        <w:t>Exhibit J-1</w:t>
      </w:r>
      <w:r>
        <w:rPr>
          <w:rFonts w:ascii="Arial" w:cs="Arial" w:eastAsia="Arial" w:hAnsi="Arial"/>
          <w:sz w:val="17"/>
          <w:szCs w:val="17"/>
          <w:color w:val="auto"/>
        </w:rPr>
        <w:t xml:space="preserve">) and subject to City and other required approvals and the Underlying Documents. In addition, Landlord may grant exterior signage rights to other tenants of the Project, based on the locations of signage shown on </w:t>
      </w:r>
      <w:r>
        <w:rPr>
          <w:rFonts w:ascii="Arial" w:cs="Arial" w:eastAsia="Arial" w:hAnsi="Arial"/>
          <w:sz w:val="17"/>
          <w:szCs w:val="17"/>
          <w:b w:val="1"/>
          <w:bCs w:val="1"/>
          <w:u w:val="single" w:color="auto"/>
          <w:color w:val="auto"/>
        </w:rPr>
        <w:t>Exhibit J</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The term “</w:t>
      </w:r>
      <w:r>
        <w:rPr>
          <w:rFonts w:ascii="Arial" w:cs="Arial" w:eastAsia="Arial" w:hAnsi="Arial"/>
          <w:sz w:val="17"/>
          <w:szCs w:val="17"/>
          <w:b w:val="1"/>
          <w:bCs w:val="1"/>
          <w:color w:val="auto"/>
        </w:rPr>
        <w:t>Minimum Signage Threshold</w:t>
      </w:r>
      <w:r>
        <w:rPr>
          <w:rFonts w:ascii="Arial" w:cs="Arial" w:eastAsia="Arial" w:hAnsi="Arial"/>
          <w:sz w:val="17"/>
          <w:szCs w:val="17"/>
          <w:color w:val="auto"/>
        </w:rPr>
        <w:t>” shall mean that the Original Tenant and/or its Permitted Transferee Assignee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have, in the aggregate, subleased (pursuant to a sublease or subleases then in effect) more than, twenty-five percent (25%) of the rentable square footage of the then-existing Premises.</w:t>
      </w:r>
    </w:p>
    <w:p>
      <w:pPr>
        <w:spacing w:after="0" w:line="68" w:lineRule="exact"/>
        <w:rPr>
          <w:sz w:val="20"/>
          <w:szCs w:val="20"/>
          <w:color w:val="auto"/>
        </w:rPr>
      </w:pPr>
    </w:p>
    <w:p>
      <w:pPr>
        <w:ind w:right="260" w:firstLine="464"/>
        <w:spacing w:after="0" w:line="266" w:lineRule="auto"/>
        <w:tabs>
          <w:tab w:leader="none" w:pos="636"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Tenant Parking</w:t>
      </w:r>
      <w:r>
        <w:rPr>
          <w:rFonts w:ascii="Arial" w:cs="Arial" w:eastAsia="Arial" w:hAnsi="Arial"/>
          <w:sz w:val="18"/>
          <w:szCs w:val="18"/>
          <w:color w:val="auto"/>
        </w:rPr>
        <w:t>. Section 28.1 of this Lease shall be modified to proportionately reduce to the total resulting from multiplying the total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Give-Back Parking Passes and Subleased Parking Passes by a ratio based on the number of rentable square feet in the then-existing Premises compared to the number of rentable square feet in the entire initial Premises.</w:t>
      </w:r>
    </w:p>
    <w:p>
      <w:pPr>
        <w:spacing w:after="0" w:line="68" w:lineRule="exact"/>
        <w:rPr>
          <w:rFonts w:ascii="Arial" w:cs="Arial" w:eastAsia="Arial" w:hAnsi="Arial"/>
          <w:sz w:val="18"/>
          <w:szCs w:val="18"/>
          <w:color w:val="auto"/>
        </w:rPr>
      </w:pPr>
    </w:p>
    <w:p>
      <w:pPr>
        <w:ind w:left="740" w:hanging="276"/>
        <w:spacing w:after="0"/>
        <w:tabs>
          <w:tab w:leader="none" w:pos="74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Shuttle Service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29.40</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Lease shall be deleted and replaced with the following.</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29.40 </w:t>
      </w:r>
      <w:r>
        <w:rPr>
          <w:rFonts w:ascii="Arial" w:cs="Arial" w:eastAsia="Arial" w:hAnsi="Arial"/>
          <w:sz w:val="17"/>
          <w:szCs w:val="17"/>
          <w:b w:val="1"/>
          <w:bCs w:val="1"/>
          <w:u w:val="single" w:color="auto"/>
          <w:color w:val="auto"/>
        </w:rPr>
        <w:t>Shuttle Service</w:t>
      </w:r>
      <w:r>
        <w:rPr>
          <w:rFonts w:ascii="Arial" w:cs="Arial" w:eastAsia="Arial" w:hAnsi="Arial"/>
          <w:sz w:val="17"/>
          <w:szCs w:val="17"/>
          <w:color w:val="auto"/>
        </w:rPr>
        <w:t xml:space="preserve">. Subject to the provisions of this </w:t>
      </w:r>
      <w:r>
        <w:rPr>
          <w:rFonts w:ascii="Arial" w:cs="Arial" w:eastAsia="Arial" w:hAnsi="Arial"/>
          <w:sz w:val="17"/>
          <w:szCs w:val="17"/>
          <w:u w:val="single" w:color="auto"/>
          <w:color w:val="auto"/>
        </w:rPr>
        <w:t>Section 29.40</w:t>
      </w:r>
      <w:r>
        <w:rPr>
          <w:rFonts w:ascii="Arial" w:cs="Arial" w:eastAsia="Arial" w:hAnsi="Arial"/>
          <w:sz w:val="17"/>
          <w:szCs w:val="17"/>
          <w:color w:val="auto"/>
        </w:rPr>
        <w:t>, so long as no Default is continuing, Landlord shall operate (or provide for the operation of), throughout the Lease Term, a shuttle service (the “</w:t>
      </w:r>
      <w:r>
        <w:rPr>
          <w:rFonts w:ascii="Arial" w:cs="Arial" w:eastAsia="Arial" w:hAnsi="Arial"/>
          <w:sz w:val="17"/>
          <w:szCs w:val="17"/>
          <w:b w:val="1"/>
          <w:bCs w:val="1"/>
          <w:color w:val="auto"/>
        </w:rPr>
        <w:t>Shuttle Service</w:t>
      </w:r>
      <w:r>
        <w:rPr>
          <w:rFonts w:ascii="Arial" w:cs="Arial" w:eastAsia="Arial" w:hAnsi="Arial"/>
          <w:sz w:val="17"/>
          <w:szCs w:val="17"/>
          <w:color w:val="auto"/>
        </w:rPr>
        <w:t>”) at the Project, for non-exclusive use by Tenant’s employees at the Project (“</w:t>
      </w:r>
      <w:r>
        <w:rPr>
          <w:rFonts w:ascii="Arial" w:cs="Arial" w:eastAsia="Arial" w:hAnsi="Arial"/>
          <w:sz w:val="17"/>
          <w:szCs w:val="17"/>
          <w:b w:val="1"/>
          <w:bCs w:val="1"/>
          <w:color w:val="auto"/>
        </w:rPr>
        <w:t>Shuttle Service Riders</w:t>
      </w:r>
      <w:r>
        <w:rPr>
          <w:rFonts w:ascii="Arial" w:cs="Arial" w:eastAsia="Arial" w:hAnsi="Arial"/>
          <w:sz w:val="17"/>
          <w:szCs w:val="17"/>
          <w:color w:val="auto"/>
        </w:rPr>
        <w:t xml:space="preserve">”) in common with other tenants and occupants of the Project. The use of the Shuttle Service shall be subject to the reasonable rules and regulations reasonably established from time to time by Landlord, and/or the operator of the Shuttle Service, provided that any such rules and regulations do not expressly contradict any of the terms set forth in this </w:t>
      </w:r>
      <w:r>
        <w:rPr>
          <w:rFonts w:ascii="Arial" w:cs="Arial" w:eastAsia="Arial" w:hAnsi="Arial"/>
          <w:sz w:val="17"/>
          <w:szCs w:val="17"/>
          <w:u w:val="single" w:color="auto"/>
          <w:color w:val="auto"/>
        </w:rPr>
        <w:t>Section 29.40</w:t>
      </w:r>
      <w:r>
        <w:rPr>
          <w:rFonts w:ascii="Arial" w:cs="Arial" w:eastAsia="Arial" w:hAnsi="Arial"/>
          <w:sz w:val="17"/>
          <w:szCs w:val="17"/>
          <w:color w:val="auto"/>
        </w:rPr>
        <w:t>. Landlord will reasonably designate (a) the hours of operation of the Shuttle Service, which shall at least include the hours of 8 a.m. through 10:30 a.m. and 4:30 p.m. through 7:30 p.m., five (5) days a week (excluding weekends and holidays) (the “</w:t>
      </w:r>
      <w:r>
        <w:rPr>
          <w:rFonts w:ascii="Arial" w:cs="Arial" w:eastAsia="Arial" w:hAnsi="Arial"/>
          <w:sz w:val="17"/>
          <w:szCs w:val="17"/>
          <w:b w:val="1"/>
          <w:bCs w:val="1"/>
          <w:color w:val="auto"/>
        </w:rPr>
        <w:t>Shuttle Service Hours</w:t>
      </w:r>
      <w:r>
        <w:rPr>
          <w:rFonts w:ascii="Arial" w:cs="Arial" w:eastAsia="Arial" w:hAnsi="Arial"/>
          <w:sz w:val="17"/>
          <w:szCs w:val="17"/>
          <w:color w:val="auto"/>
        </w:rPr>
        <w:t>”), (b) the frequency of stops, and (c) designated routes, which shall include stops at the nearest BART Station and CalTrain Station. Landlord and Tenant acknowledge that the use of the Shuttle Service by the Shuttle Service Riders shall be at their own risk. Landlord agrees that, if Tenant so elects and appoints a representative, Landlord shall meet and confer with Tenant’s representative from time to time regarding the manner in which the Shuttle Service is operated, including the Shuttle Service Hours, the number and capacity of shuttles, and the designated routes of the Shuttle Service; provided, however, any suggestions or requests made by Tenant’s representative shall not be binding on Landlord, but shall be taken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92" w:name="page493"/>
    <w:bookmarkEnd w:id="49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into reasonable consideration. Subject to Tenant’s obligation to reimburse Landlord for after-Shuttle Service Hours costs, as set forth above, there shall be no fee payable by the Shuttle Service Riders for use of the Shuttle Service and the cost of the Shuttle Service shall be excluded from the Operating Expenses of the Project, as set forth in </w:t>
      </w:r>
      <w:r>
        <w:rPr>
          <w:rFonts w:ascii="Arial" w:cs="Arial" w:eastAsia="Arial" w:hAnsi="Arial"/>
          <w:sz w:val="18"/>
          <w:szCs w:val="18"/>
          <w:u w:val="single" w:color="auto"/>
          <w:color w:val="auto"/>
        </w:rPr>
        <w:t>Section 4.2.4(l)</w:t>
      </w:r>
      <w:r>
        <w:rPr>
          <w:rFonts w:ascii="Arial" w:cs="Arial" w:eastAsia="Arial" w:hAnsi="Arial"/>
          <w:sz w:val="18"/>
          <w:szCs w:val="18"/>
          <w:color w:val="auto"/>
        </w:rPr>
        <w:t xml:space="preserve"> above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K</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sectPr>
      <w:pgSz w:w="11900" w:h="16838" w:orient="portrait"/>
      <w:cols w:equalWidth="0" w:num="1">
        <w:col w:w="11320"/>
      </w:cols>
      <w:pgMar w:left="240" w:top="2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1)"/>
      <w:numFmt w:val="decimal"/>
      <w:start w:val="1"/>
    </w:lvl>
  </w:abstractNum>
  <w:abstractNum w:abstractNumId="1">
    <w:nsid w:val="1849C29B"/>
    <w:multiLevelType w:val="hybridMultilevel"/>
    <w:lvl w:ilvl="0">
      <w:lvlJc w:val="left"/>
      <w:lvlText w:val="(%1)"/>
      <w:numFmt w:val="decimal"/>
      <w:start w:val="1"/>
    </w:lvl>
  </w:abstractNum>
  <w:abstractNum w:abstractNumId="2">
    <w:nsid w:val="7DFF9D09"/>
    <w:multiLevelType w:val="hybridMultilevel"/>
    <w:lvl w:ilvl="0">
      <w:lvlJc w:val="left"/>
      <w:lvlText w:val="•"/>
      <w:numFmt w:val="bullet"/>
      <w:start w:val="1"/>
    </w:lvl>
  </w:abstractNum>
  <w:abstractNum w:abstractNumId="3">
    <w:nsid w:val="754342"/>
    <w:multiLevelType w:val="hybridMultilevel"/>
    <w:lvl w:ilvl="0">
      <w:lvlJc w:val="left"/>
      <w:lvlText w:val="•"/>
      <w:numFmt w:val="bullet"/>
      <w:start w:val="1"/>
    </w:lvl>
  </w:abstractNum>
  <w:abstractNum w:abstractNumId="4">
    <w:nsid w:val="69E7F3E5"/>
    <w:multiLevelType w:val="hybridMultilevel"/>
    <w:lvl w:ilvl="0">
      <w:lvlJc w:val="left"/>
      <w:lvlText w:val="•"/>
      <w:numFmt w:val="bullet"/>
      <w:start w:val="1"/>
    </w:lvl>
  </w:abstractNum>
  <w:abstractNum w:abstractNumId="5">
    <w:nsid w:val="2A6DE806"/>
    <w:multiLevelType w:val="hybridMultilevel"/>
    <w:lvl w:ilvl="0">
      <w:lvlJc w:val="left"/>
      <w:lvlText w:val="•"/>
      <w:numFmt w:val="bullet"/>
      <w:start w:val="1"/>
    </w:lvl>
  </w:abstractNum>
  <w:abstractNum w:abstractNumId="6">
    <w:nsid w:val="1816F8C4"/>
    <w:multiLevelType w:val="hybridMultilevel"/>
    <w:lvl w:ilvl="0">
      <w:lvlJc w:val="left"/>
      <w:lvlText w:val="•"/>
      <w:numFmt w:val="bullet"/>
      <w:start w:val="1"/>
    </w:lvl>
  </w:abstractNum>
  <w:abstractNum w:abstractNumId="7">
    <w:nsid w:val="37DF2233"/>
    <w:multiLevelType w:val="hybridMultilevel"/>
    <w:lvl w:ilvl="0">
      <w:lvlJc w:val="left"/>
      <w:lvlText w:val="$"/>
      <w:numFmt w:val="bullet"/>
      <w:start w:val="1"/>
    </w:lvl>
  </w:abstractNum>
  <w:abstractNum w:abstractNumId="8">
    <w:nsid w:val="7AB49DAF"/>
    <w:multiLevelType w:val="hybridMultilevel"/>
    <w:lvl w:ilvl="0">
      <w:lvlJc w:val="left"/>
      <w:lvlText w:val="%"/>
      <w:numFmt w:val="bullet"/>
      <w:start w:val="1"/>
    </w:lvl>
  </w:abstractNum>
  <w:abstractNum w:abstractNumId="9">
    <w:nsid w:val="759F82CD"/>
    <w:multiLevelType w:val="hybridMultilevel"/>
    <w:lvl w:ilvl="0">
      <w:lvlJc w:val="left"/>
      <w:lvlText w:val="•"/>
      <w:numFmt w:val="bullet"/>
      <w:start w:val="1"/>
    </w:lvl>
  </w:abstractNum>
  <w:abstractNum w:abstractNumId="10">
    <w:nsid w:val="61E74EA3"/>
    <w:multiLevelType w:val="hybridMultilevel"/>
    <w:lvl w:ilvl="0">
      <w:lvlJc w:val="left"/>
      <w:lvlText w:val="•"/>
      <w:numFmt w:val="bullet"/>
      <w:start w:val="1"/>
    </w:lvl>
    <w:lvl w:ilvl="1">
      <w:lvlJc w:val="left"/>
      <w:lvlText w:val="•"/>
      <w:numFmt w:val="bullet"/>
      <w:start w:val="1"/>
    </w:lvl>
  </w:abstractNum>
  <w:abstractNum w:abstractNumId="11">
    <w:nsid w:val="597B4D84"/>
    <w:multiLevelType w:val="hybridMultilevel"/>
    <w:lvl w:ilvl="0">
      <w:lvlJc w:val="left"/>
      <w:lvlText w:val="•"/>
      <w:numFmt w:val="bullet"/>
      <w:start w:val="1"/>
    </w:lvl>
  </w:abstractNum>
  <w:abstractNum w:abstractNumId="12">
    <w:nsid w:val="F819E7F"/>
    <w:multiLevelType w:val="hybridMultilevel"/>
    <w:lvl w:ilvl="0">
      <w:lvlJc w:val="left"/>
      <w:lvlText w:val="•"/>
      <w:numFmt w:val="bullet"/>
      <w:start w:val="1"/>
    </w:lvl>
  </w:abstractNum>
  <w:abstractNum w:abstractNumId="13">
    <w:nsid w:val="57C7D42D"/>
    <w:multiLevelType w:val="hybridMultilevel"/>
    <w:lvl w:ilvl="0">
      <w:lvlJc w:val="left"/>
      <w:lvlText w:val="(%1)"/>
      <w:numFmt w:val="decimal"/>
      <w:start w:val="1"/>
    </w:lvl>
  </w:abstractNum>
  <w:abstractNum w:abstractNumId="14">
    <w:nsid w:val="312167AD"/>
    <w:multiLevelType w:val="hybridMultilevel"/>
    <w:lvl w:ilvl="0">
      <w:lvlJc w:val="left"/>
      <w:lvlText w:val="(%1)"/>
      <w:numFmt w:val="decimal"/>
      <w:start w:val="2"/>
    </w:lvl>
  </w:abstractNum>
  <w:abstractNum w:abstractNumId="15">
    <w:nsid w:val="631B64D4"/>
    <w:multiLevelType w:val="hybridMultilevel"/>
    <w:lvl w:ilvl="0">
      <w:lvlJc w:val="left"/>
      <w:lvlText w:val="(%1)"/>
      <w:numFmt w:val="decimal"/>
      <w:start w:val="1"/>
    </w:lvl>
  </w:abstractNum>
  <w:abstractNum w:abstractNumId="16">
    <w:nsid w:val="78B5E776"/>
    <w:multiLevelType w:val="hybridMultilevel"/>
    <w:lvl w:ilvl="0">
      <w:lvlJc w:val="left"/>
      <w:lvlText w:val="(%1)"/>
      <w:numFmt w:val="decimal"/>
      <w:start w:val="2"/>
    </w:lvl>
  </w:abstractNum>
  <w:abstractNum w:abstractNumId="17">
    <w:nsid w:val="75486E47"/>
    <w:multiLevelType w:val="hybridMultilevel"/>
    <w:lvl w:ilvl="0">
      <w:lvlJc w:val="left"/>
      <w:lvlText w:val="$"/>
      <w:numFmt w:val="bullet"/>
      <w:start w:val="1"/>
    </w:lvl>
  </w:abstractNum>
  <w:abstractNum w:abstractNumId="18">
    <w:nsid w:val="6E534CDE"/>
    <w:multiLevelType w:val="hybridMultilevel"/>
    <w:lvl w:ilvl="0">
      <w:lvlJc w:val="left"/>
      <w:lvlText w:val="•"/>
      <w:numFmt w:val="bullet"/>
      <w:start w:val="1"/>
    </w:lvl>
  </w:abstractNum>
  <w:abstractNum w:abstractNumId="19">
    <w:nsid w:val="1A0DDE32"/>
    <w:multiLevelType w:val="hybridMultilevel"/>
    <w:lvl w:ilvl="0">
      <w:lvlJc w:val="left"/>
      <w:lvlText w:val="•"/>
      <w:numFmt w:val="bullet"/>
      <w:start w:val="1"/>
    </w:lvl>
  </w:abstractNum>
  <w:abstractNum w:abstractNumId="20">
    <w:nsid w:val="65968C1C"/>
    <w:multiLevelType w:val="hybridMultilevel"/>
    <w:lvl w:ilvl="0">
      <w:lvlJc w:val="left"/>
      <w:lvlText w:val="•"/>
      <w:numFmt w:val="bullet"/>
      <w:start w:val="1"/>
    </w:lvl>
  </w:abstractNum>
  <w:abstractNum w:abstractNumId="21">
    <w:nsid w:val="46263DEC"/>
    <w:multiLevelType w:val="hybridMultilevel"/>
    <w:lvl w:ilvl="0">
      <w:lvlJc w:val="left"/>
      <w:lvlText w:val="•"/>
      <w:numFmt w:val="bullet"/>
      <w:start w:val="1"/>
    </w:lvl>
  </w:abstractNum>
  <w:abstractNum w:abstractNumId="22">
    <w:nsid w:val="260D8C4A"/>
    <w:multiLevelType w:val="hybridMultilevel"/>
    <w:lvl w:ilvl="0">
      <w:lvlJc w:val="left"/>
      <w:lvlText w:val="•"/>
      <w:numFmt w:val="bullet"/>
      <w:start w:val="1"/>
    </w:lvl>
  </w:abstractNum>
  <w:abstractNum w:abstractNumId="23">
    <w:nsid w:val="73D4D3C4"/>
    <w:multiLevelType w:val="hybridMultilevel"/>
    <w:lvl w:ilvl="0">
      <w:lvlJc w:val="left"/>
      <w:lvlText w:val="•"/>
      <w:numFmt w:val="bullet"/>
      <w:start w:val="1"/>
    </w:lvl>
  </w:abstractNum>
  <w:abstractNum w:abstractNumId="24">
    <w:nsid w:val="746F2E30"/>
    <w:multiLevelType w:val="hybridMultilevel"/>
    <w:lvl w:ilvl="0">
      <w:lvlJc w:val="left"/>
      <w:lvlText w:val="•"/>
      <w:numFmt w:val="bullet"/>
      <w:start w:val="1"/>
    </w:lvl>
  </w:abstractNum>
  <w:abstractNum w:abstractNumId="25">
    <w:nsid w:val="6FDE8AF6"/>
    <w:multiLevelType w:val="hybridMultilevel"/>
    <w:lvl w:ilvl="0">
      <w:lvlJc w:val="left"/>
      <w:lvlText w:val="•"/>
      <w:numFmt w:val="bullet"/>
      <w:start w:val="1"/>
    </w:lvl>
  </w:abstractNum>
  <w:abstractNum w:abstractNumId="26">
    <w:nsid w:val="3FC32E20"/>
    <w:multiLevelType w:val="hybridMultilevel"/>
    <w:lvl w:ilvl="0">
      <w:lvlJc w:val="left"/>
      <w:lvlText w:val="•"/>
      <w:numFmt w:val="bullet"/>
      <w:start w:val="1"/>
    </w:lvl>
  </w:abstractNum>
  <w:abstractNum w:abstractNumId="27">
    <w:nsid w:val="49C0E823"/>
    <w:multiLevelType w:val="hybridMultilevel"/>
    <w:lvl w:ilvl="0">
      <w:lvlJc w:val="left"/>
      <w:lvlText w:val="•"/>
      <w:numFmt w:val="bullet"/>
      <w:start w:val="1"/>
    </w:lvl>
  </w:abstractNum>
  <w:abstractNum w:abstractNumId="28">
    <w:nsid w:val="14D53685"/>
    <w:multiLevelType w:val="hybridMultilevel"/>
    <w:lvl w:ilvl="0">
      <w:lvlJc w:val="left"/>
      <w:lvlText w:val="•"/>
      <w:numFmt w:val="bullet"/>
      <w:start w:val="1"/>
    </w:lvl>
  </w:abstractNum>
  <w:abstractNum w:abstractNumId="29">
    <w:nsid w:val="230F856C"/>
    <w:multiLevelType w:val="hybridMultilevel"/>
    <w:lvl w:ilvl="0">
      <w:lvlJc w:val="left"/>
      <w:lvlText w:val="•"/>
      <w:numFmt w:val="bullet"/>
      <w:start w:val="1"/>
    </w:lvl>
    <w:lvl w:ilvl="1">
      <w:lvlJc w:val="left"/>
      <w:lvlText w:val="•"/>
      <w:numFmt w:val="bullet"/>
      <w:start w:val="1"/>
    </w:lvl>
  </w:abstractNum>
  <w:abstractNum w:abstractNumId="30">
    <w:nsid w:val="6EAA85FB"/>
    <w:multiLevelType w:val="hybridMultilevel"/>
    <w:lvl w:ilvl="0">
      <w:lvlJc w:val="left"/>
      <w:lvlText w:val="•"/>
      <w:numFmt w:val="bullet"/>
      <w:start w:val="1"/>
    </w:lvl>
  </w:abstractNum>
  <w:abstractNum w:abstractNumId="31">
    <w:nsid w:val="3F06ECB2"/>
    <w:multiLevelType w:val="hybridMultilevel"/>
    <w:lvl w:ilvl="0">
      <w:lvlJc w:val="left"/>
      <w:lvlText w:val="*"/>
      <w:numFmt w:val="bullet"/>
      <w:start w:val="1"/>
    </w:lvl>
    <w:lvl w:ilvl="1">
      <w:lvlJc w:val="left"/>
      <w:lvlText w:val="•"/>
      <w:numFmt w:val="bullet"/>
      <w:start w:val="1"/>
    </w:lvl>
  </w:abstractNum>
  <w:abstractNum w:abstractNumId="32">
    <w:nsid w:val="3B594807"/>
    <w:multiLevelType w:val="hybridMultilevel"/>
    <w:lvl w:ilvl="0">
      <w:lvlJc w:val="left"/>
      <w:lvlText w:val="$"/>
      <w:numFmt w:val="bullet"/>
      <w:start w:val="1"/>
    </w:lvl>
  </w:abstractNum>
  <w:abstractNum w:abstractNumId="33">
    <w:nsid w:val="6CAA2304"/>
    <w:multiLevelType w:val="hybridMultilevel"/>
    <w:lvl w:ilvl="0">
      <w:lvlJc w:val="left"/>
      <w:lvlText w:val="•"/>
      <w:numFmt w:val="bullet"/>
      <w:start w:val="1"/>
    </w:lvl>
  </w:abstractNum>
  <w:abstractNum w:abstractNumId="34">
    <w:nsid w:val="3F7C2FF4"/>
    <w:multiLevelType w:val="hybridMultilevel"/>
    <w:lvl w:ilvl="0">
      <w:lvlJc w:val="left"/>
      <w:lvlText w:val="$"/>
      <w:numFmt w:val="bullet"/>
      <w:start w:val="1"/>
    </w:lvl>
  </w:abstractNum>
  <w:abstractNum w:abstractNumId="35">
    <w:nsid w:val="25413BEC"/>
    <w:multiLevelType w:val="hybridMultilevel"/>
    <w:lvl w:ilvl="0">
      <w:lvlJc w:val="left"/>
      <w:lvlText w:val="(%1)"/>
      <w:numFmt w:val="decimal"/>
      <w:start w:val="1"/>
    </w:lvl>
  </w:abstractNum>
  <w:abstractNum w:abstractNumId="36">
    <w:nsid w:val="17180B0B"/>
    <w:multiLevelType w:val="hybridMultilevel"/>
    <w:lvl w:ilvl="0">
      <w:lvlJc w:val="left"/>
      <w:lvlText w:val="•"/>
      <w:numFmt w:val="bullet"/>
      <w:start w:val="1"/>
    </w:lvl>
    <w:lvl w:ilvl="1">
      <w:lvlJc w:val="left"/>
      <w:lvlText w:val="•"/>
      <w:numFmt w:val="bullet"/>
      <w:start w:val="1"/>
    </w:lvl>
  </w:abstractNum>
  <w:abstractNum w:abstractNumId="37">
    <w:nsid w:val="579328B9"/>
    <w:multiLevelType w:val="hybridMultilevel"/>
    <w:lvl w:ilvl="0">
      <w:lvlJc w:val="left"/>
      <w:lvlText w:val="$"/>
      <w:numFmt w:val="bullet"/>
      <w:start w:val="1"/>
    </w:lvl>
  </w:abstractNum>
  <w:abstractNum w:abstractNumId="38">
    <w:nsid w:val="5D205E20"/>
    <w:multiLevelType w:val="hybridMultilevel"/>
    <w:lvl w:ilvl="0">
      <w:lvlJc w:val="left"/>
      <w:lvlText w:val="•"/>
      <w:numFmt w:val="bullet"/>
      <w:start w:val="1"/>
    </w:lvl>
  </w:abstractNum>
  <w:abstractNum w:abstractNumId="39">
    <w:nsid w:val="11CCA8BA"/>
    <w:multiLevelType w:val="hybridMultilevel"/>
    <w:lvl w:ilvl="0">
      <w:lvlJc w:val="left"/>
      <w:lvlText w:val="•"/>
      <w:numFmt w:val="bullet"/>
      <w:start w:val="1"/>
    </w:lvl>
    <w:lvl w:ilvl="1">
      <w:lvlJc w:val="left"/>
      <w:lvlText w:val="•"/>
      <w:numFmt w:val="bullet"/>
      <w:start w:val="1"/>
    </w:lvl>
  </w:abstractNum>
  <w:abstractNum w:abstractNumId="40">
    <w:nsid w:val="4D32AB86"/>
    <w:multiLevelType w:val="hybridMultilevel"/>
    <w:lvl w:ilvl="0">
      <w:lvlJc w:val="left"/>
      <w:lvlText w:val="(%1)"/>
      <w:numFmt w:val="decimal"/>
      <w:start w:val="1"/>
    </w:lvl>
  </w:abstractNum>
  <w:abstractNum w:abstractNumId="41">
    <w:nsid w:val="3F07ACC3"/>
    <w:multiLevelType w:val="hybridMultilevel"/>
    <w:lvl w:ilvl="0">
      <w:lvlJc w:val="left"/>
      <w:lvlText w:val="(%1)"/>
      <w:numFmt w:val="decimal"/>
      <w:start w:val="2"/>
    </w:lvl>
  </w:abstractNum>
  <w:abstractNum w:abstractNumId="42">
    <w:nsid w:val="6B47F63E"/>
    <w:multiLevelType w:val="hybridMultilevel"/>
    <w:lvl w:ilvl="0">
      <w:lvlJc w:val="left"/>
      <w:lvlText w:val="(%1)"/>
      <w:numFmt w:val="decimal"/>
      <w:start w:val="1"/>
    </w:lvl>
  </w:abstractNum>
  <w:abstractNum w:abstractNumId="43">
    <w:nsid w:val="5CB44A05"/>
    <w:multiLevelType w:val="hybridMultilevel"/>
    <w:lvl w:ilvl="0">
      <w:lvlJc w:val="left"/>
      <w:lvlText w:val="(%1)"/>
      <w:numFmt w:val="decimal"/>
      <w:start w:val="1"/>
    </w:lvl>
  </w:abstractNum>
  <w:abstractNum w:abstractNumId="44">
    <w:nsid w:val="16CF80F1"/>
    <w:multiLevelType w:val="hybridMultilevel"/>
    <w:lvl w:ilvl="0">
      <w:lvlJc w:val="left"/>
      <w:lvlText w:val="(%1)"/>
      <w:numFmt w:val="lowerLetter"/>
      <w:start w:val="1"/>
    </w:lvl>
  </w:abstractNum>
  <w:abstractNum w:abstractNumId="45">
    <w:nsid w:val="1C695DEC"/>
    <w:multiLevelType w:val="hybridMultilevel"/>
    <w:lvl w:ilvl="0">
      <w:lvlJc w:val="left"/>
      <w:lvlText w:val="(%1)"/>
      <w:numFmt w:val="decimal"/>
      <w:start w:val="1"/>
    </w:lvl>
  </w:abstractNum>
  <w:abstractNum w:abstractNumId="46">
    <w:nsid w:val="3FCFAED9"/>
    <w:multiLevelType w:val="hybridMultilevel"/>
    <w:lvl w:ilvl="0">
      <w:lvlJc w:val="left"/>
      <w:lvlText w:val="•"/>
      <w:numFmt w:val="bullet"/>
      <w:start w:val="1"/>
    </w:lvl>
  </w:abstractNum>
  <w:abstractNum w:abstractNumId="47">
    <w:nsid w:val="F856867"/>
    <w:multiLevelType w:val="hybridMultilevel"/>
    <w:lvl w:ilvl="0">
      <w:lvlJc w:val="left"/>
      <w:lvlText w:val="•"/>
      <w:numFmt w:val="bullet"/>
      <w:start w:val="1"/>
    </w:lvl>
  </w:abstractNum>
  <w:abstractNum w:abstractNumId="48">
    <w:nsid w:val="11B1CC33"/>
    <w:multiLevelType w:val="hybridMultilevel"/>
    <w:lvl w:ilvl="0">
      <w:lvlJc w:val="left"/>
      <w:lvlText w:val="•"/>
      <w:numFmt w:val="bullet"/>
      <w:start w:val="1"/>
    </w:lvl>
  </w:abstractNum>
  <w:abstractNum w:abstractNumId="49">
    <w:nsid w:val="2E22FBB7"/>
    <w:multiLevelType w:val="hybridMultilevel"/>
    <w:lvl w:ilvl="0">
      <w:lvlJc w:val="left"/>
      <w:lvlText w:val="•"/>
      <w:numFmt w:val="bullet"/>
      <w:start w:val="1"/>
    </w:lvl>
  </w:abstractNum>
  <w:abstractNum w:abstractNumId="50">
    <w:nsid w:val="29934699"/>
    <w:multiLevelType w:val="hybridMultilevel"/>
    <w:lvl w:ilvl="0">
      <w:lvlJc w:val="left"/>
      <w:lvlText w:val="•"/>
      <w:numFmt w:val="bullet"/>
      <w:start w:val="1"/>
    </w:lvl>
  </w:abstractNum>
  <w:abstractNum w:abstractNumId="51">
    <w:nsid w:val="77485850"/>
    <w:multiLevelType w:val="hybridMultilevel"/>
    <w:lvl w:ilvl="0">
      <w:lvlJc w:val="left"/>
      <w:lvlText w:val="•"/>
      <w:numFmt w:val="bullet"/>
      <w:start w:val="1"/>
    </w:lvl>
  </w:abstractNum>
  <w:abstractNum w:abstractNumId="52">
    <w:nsid w:val="744939A3"/>
    <w:multiLevelType w:val="hybridMultilevel"/>
    <w:lvl w:ilvl="0">
      <w:lvlJc w:val="left"/>
      <w:lvlText w:val="•"/>
      <w:numFmt w:val="bullet"/>
      <w:start w:val="1"/>
    </w:lvl>
  </w:abstractNum>
  <w:abstractNum w:abstractNumId="53">
    <w:nsid w:val="4FA0D2E3"/>
    <w:multiLevelType w:val="hybridMultilevel"/>
    <w:lvl w:ilvl="0">
      <w:lvlJc w:val="left"/>
      <w:lvlText w:val="•"/>
      <w:numFmt w:val="bullet"/>
      <w:start w:val="1"/>
    </w:lvl>
  </w:abstractNum>
  <w:abstractNum w:abstractNumId="54">
    <w:nsid w:val="6B1D2C14"/>
    <w:multiLevelType w:val="hybridMultilevel"/>
    <w:lvl w:ilvl="0">
      <w:lvlJc w:val="left"/>
      <w:lvlText w:val="•"/>
      <w:numFmt w:val="bullet"/>
      <w:start w:val="1"/>
    </w:lvl>
  </w:abstractNum>
  <w:abstractNum w:abstractNumId="55">
    <w:nsid w:val="68B867D3"/>
    <w:multiLevelType w:val="hybridMultilevel"/>
    <w:lvl w:ilvl="0">
      <w:lvlJc w:val="left"/>
      <w:lvlText w:val="•"/>
      <w:numFmt w:val="bullet"/>
      <w:start w:val="1"/>
    </w:lvl>
  </w:abstractNum>
  <w:abstractNum w:abstractNumId="56">
    <w:nsid w:val="3F7F5DD9"/>
    <w:multiLevelType w:val="hybridMultilevel"/>
    <w:lvl w:ilvl="0">
      <w:lvlJc w:val="left"/>
      <w:lvlText w:val="•"/>
      <w:numFmt w:val="bullet"/>
      <w:start w:val="1"/>
    </w:lvl>
  </w:abstractNum>
  <w:abstractNum w:abstractNumId="57">
    <w:nsid w:val="2AE05A34"/>
    <w:multiLevelType w:val="hybridMultilevel"/>
    <w:lvl w:ilvl="0">
      <w:lvlJc w:val="left"/>
      <w:lvlText w:val="•"/>
      <w:numFmt w:val="bullet"/>
      <w:start w:val="1"/>
    </w:lvl>
  </w:abstractNum>
  <w:abstractNum w:abstractNumId="58">
    <w:nsid w:val="32794FF7"/>
    <w:multiLevelType w:val="hybridMultilevel"/>
    <w:lvl w:ilvl="0">
      <w:lvlJc w:val="left"/>
      <w:lvlText w:val="•"/>
      <w:numFmt w:val="bullet"/>
      <w:start w:val="1"/>
    </w:lvl>
  </w:abstractNum>
  <w:abstractNum w:abstractNumId="59">
    <w:nsid w:val="5454945E"/>
    <w:multiLevelType w:val="hybridMultilevel"/>
    <w:lvl w:ilvl="0">
      <w:lvlJc w:val="left"/>
      <w:lvlText w:val="•"/>
      <w:numFmt w:val="bullet"/>
      <w:start w:val="1"/>
    </w:lvl>
  </w:abstractNum>
  <w:abstractNum w:abstractNumId="60">
    <w:nsid w:val="4DEFDFA0"/>
    <w:multiLevelType w:val="hybridMultilevel"/>
    <w:lvl w:ilvl="0">
      <w:lvlJc w:val="left"/>
      <w:lvlText w:val="•"/>
      <w:numFmt w:val="bullet"/>
      <w:start w:val="1"/>
    </w:lvl>
  </w:abstractNum>
  <w:abstractNum w:abstractNumId="61">
    <w:nsid w:val="2123D5F2"/>
    <w:multiLevelType w:val="hybridMultilevel"/>
    <w:lvl w:ilvl="0">
      <w:lvlJc w:val="left"/>
      <w:lvlText w:val="•"/>
      <w:numFmt w:val="bullet"/>
      <w:start w:val="1"/>
    </w:lvl>
    <w:lvl w:ilvl="1">
      <w:lvlJc w:val="left"/>
      <w:lvlText w:val="•"/>
      <w:numFmt w:val="bullet"/>
      <w:start w:val="1"/>
    </w:lvl>
  </w:abstractNum>
  <w:abstractNum w:abstractNumId="62">
    <w:nsid w:val="135B8110"/>
    <w:multiLevelType w:val="hybridMultilevel"/>
    <w:lvl w:ilvl="0">
      <w:lvlJc w:val="left"/>
      <w:lvlText w:val="•"/>
      <w:numFmt w:val="bullet"/>
      <w:start w:val="1"/>
    </w:lvl>
  </w:abstractNum>
  <w:abstractNum w:abstractNumId="63">
    <w:nsid w:val="94927A8"/>
    <w:multiLevelType w:val="hybridMultilevel"/>
    <w:lvl w:ilvl="0">
      <w:lvlJc w:val="left"/>
      <w:lvlText w:val="•"/>
      <w:numFmt w:val="bullet"/>
      <w:start w:val="1"/>
    </w:lvl>
  </w:abstractNum>
  <w:abstractNum w:abstractNumId="64">
    <w:nsid w:val="DCDF8F6"/>
    <w:multiLevelType w:val="hybridMultilevel"/>
    <w:lvl w:ilvl="0">
      <w:lvlJc w:val="left"/>
      <w:lvlText w:val="•"/>
      <w:numFmt w:val="bullet"/>
      <w:start w:val="1"/>
    </w:lvl>
  </w:abstractNum>
  <w:abstractNum w:abstractNumId="65">
    <w:nsid w:val="52D7B105"/>
    <w:multiLevelType w:val="hybridMultilevel"/>
    <w:lvl w:ilvl="0">
      <w:lvlJc w:val="left"/>
      <w:lvlText w:val="•"/>
      <w:numFmt w:val="bullet"/>
      <w:start w:val="1"/>
    </w:lvl>
  </w:abstractNum>
  <w:abstractNum w:abstractNumId="66">
    <w:nsid w:val="2E8A6394"/>
    <w:multiLevelType w:val="hybridMultilevel"/>
    <w:lvl w:ilvl="0">
      <w:lvlJc w:val="left"/>
      <w:lvlText w:val="•"/>
      <w:numFmt w:val="bullet"/>
      <w:start w:val="1"/>
    </w:lvl>
  </w:abstractNum>
  <w:abstractNum w:abstractNumId="67">
    <w:nsid w:val="24E60401"/>
    <w:multiLevelType w:val="hybridMultilevel"/>
    <w:lvl w:ilvl="0">
      <w:lvlJc w:val="left"/>
      <w:lvlText w:val="•"/>
      <w:numFmt w:val="bullet"/>
      <w:start w:val="1"/>
    </w:lvl>
  </w:abstractNum>
  <w:abstractNum w:abstractNumId="68">
    <w:nsid w:val="2A6AD9BE"/>
    <w:multiLevelType w:val="hybridMultilevel"/>
    <w:lvl w:ilvl="0">
      <w:lvlJc w:val="left"/>
      <w:lvlText w:val="•"/>
      <w:numFmt w:val="bullet"/>
      <w:start w:val="1"/>
    </w:lvl>
  </w:abstractNum>
  <w:abstractNum w:abstractNumId="69">
    <w:nsid w:val="BAAC1B4"/>
    <w:multiLevelType w:val="hybridMultilevel"/>
    <w:lvl w:ilvl="0">
      <w:lvlJc w:val="left"/>
      <w:lvlText w:val="•"/>
      <w:numFmt w:val="bullet"/>
      <w:start w:val="1"/>
    </w:lvl>
  </w:abstractNum>
  <w:abstractNum w:abstractNumId="70">
    <w:nsid w:val="36B2ACBC"/>
    <w:multiLevelType w:val="hybridMultilevel"/>
    <w:lvl w:ilvl="0">
      <w:lvlJc w:val="left"/>
      <w:lvlText w:val="(%1)"/>
      <w:numFmt w:val="decimal"/>
      <w:start w:val="1"/>
    </w:lvl>
  </w:abstractNum>
  <w:abstractNum w:abstractNumId="71">
    <w:nsid w:val="779D8544"/>
    <w:multiLevelType w:val="hybridMultilevel"/>
    <w:lvl w:ilvl="0">
      <w:lvlJc w:val="left"/>
      <w:lvlText w:val="(%1)"/>
      <w:numFmt w:val="decimal"/>
      <w:start w:val="1"/>
    </w:lvl>
  </w:abstractNum>
  <w:abstractNum w:abstractNumId="72">
    <w:nsid w:val="4AB26E78"/>
    <w:multiLevelType w:val="hybridMultilevel"/>
    <w:lvl w:ilvl="0">
      <w:lvlJc w:val="left"/>
      <w:lvlText w:val="(%1)"/>
      <w:numFmt w:val="decimal"/>
      <w:start w:val="2"/>
    </w:lvl>
  </w:abstractNum>
  <w:abstractNum w:abstractNumId="73">
    <w:nsid w:val="21FAA2FA"/>
    <w:multiLevelType w:val="hybridMultilevel"/>
    <w:lvl w:ilvl="0">
      <w:lvlJc w:val="left"/>
      <w:lvlText w:val="•"/>
      <w:numFmt w:val="bullet"/>
      <w:start w:val="1"/>
    </w:lvl>
  </w:abstractNum>
  <w:abstractNum w:abstractNumId="74">
    <w:nsid w:val="5451CF49"/>
    <w:multiLevelType w:val="hybridMultilevel"/>
    <w:lvl w:ilvl="0">
      <w:lvlJc w:val="left"/>
      <w:lvlText w:val="(%1)"/>
      <w:numFmt w:val="decimal"/>
      <w:start w:val="1"/>
    </w:lvl>
  </w:abstractNum>
  <w:abstractNum w:abstractNumId="75">
    <w:nsid w:val="6181EF69"/>
    <w:multiLevelType w:val="hybridMultilevel"/>
    <w:lvl w:ilvl="0">
      <w:lvlJc w:val="left"/>
      <w:lvlText w:val="(%1)"/>
      <w:numFmt w:val="decimal"/>
      <w:start w:val="2"/>
    </w:lvl>
  </w:abstractNum>
  <w:abstractNum w:abstractNumId="76">
    <w:nsid w:val="3E6400E6"/>
    <w:multiLevelType w:val="hybridMultilevel"/>
    <w:lvl w:ilvl="0">
      <w:lvlJc w:val="left"/>
      <w:lvlText w:val="•"/>
      <w:numFmt w:val="bullet"/>
      <w:start w:val="1"/>
    </w:lvl>
  </w:abstractNum>
  <w:abstractNum w:abstractNumId="77">
    <w:nsid w:val="14217E23"/>
    <w:multiLevelType w:val="hybridMultilevel"/>
    <w:lvl w:ilvl="0">
      <w:lvlJc w:val="left"/>
      <w:lvlText w:val="•"/>
      <w:numFmt w:val="bullet"/>
      <w:start w:val="1"/>
    </w:lvl>
  </w:abstractNum>
  <w:abstractNum w:abstractNumId="78">
    <w:nsid w:val="710757D0"/>
    <w:multiLevelType w:val="hybridMultilevel"/>
    <w:lvl w:ilvl="0">
      <w:lvlJc w:val="left"/>
      <w:lvlText w:val="•"/>
      <w:numFmt w:val="bullet"/>
      <w:start w:val="1"/>
    </w:lvl>
  </w:abstractNum>
  <w:abstractNum w:abstractNumId="79">
    <w:nsid w:val="5015CD1A"/>
    <w:multiLevelType w:val="hybridMultilevel"/>
    <w:lvl w:ilvl="0">
      <w:lvlJc w:val="left"/>
      <w:lvlText w:val="•"/>
      <w:numFmt w:val="bullet"/>
      <w:start w:val="1"/>
    </w:lvl>
  </w:abstractNum>
  <w:abstractNum w:abstractNumId="80">
    <w:nsid w:val="424479DA"/>
    <w:multiLevelType w:val="hybridMultilevel"/>
    <w:lvl w:ilvl="0">
      <w:lvlJc w:val="left"/>
      <w:lvlText w:val="•"/>
      <w:numFmt w:val="bullet"/>
      <w:start w:val="1"/>
    </w:lvl>
  </w:abstractNum>
  <w:abstractNum w:abstractNumId="81">
    <w:nsid w:val="1A9A9E69"/>
    <w:multiLevelType w:val="hybridMultilevel"/>
    <w:lvl w:ilvl="0">
      <w:lvlJc w:val="left"/>
      <w:lvlText w:val="•"/>
      <w:numFmt w:val="bullet"/>
      <w:start w:val="1"/>
    </w:lvl>
  </w:abstractNum>
  <w:abstractNum w:abstractNumId="82">
    <w:nsid w:val="475E256A"/>
    <w:multiLevelType w:val="hybridMultilevel"/>
    <w:lvl w:ilvl="0">
      <w:lvlJc w:val="left"/>
      <w:lvlText w:val="†"/>
      <w:numFmt w:val="bullet"/>
      <w:start w:val="1"/>
    </w:lvl>
  </w:abstractNum>
  <w:abstractNum w:abstractNumId="83">
    <w:nsid w:val="368DB37E"/>
    <w:multiLevelType w:val="hybridMultilevel"/>
    <w:lvl w:ilvl="0">
      <w:lvlJc w:val="left"/>
      <w:lvlText w:val="#"/>
      <w:numFmt w:val="bullet"/>
      <w:start w:val="1"/>
    </w:lvl>
  </w:abstractNum>
  <w:abstractNum w:abstractNumId="84">
    <w:nsid w:val="6A3B714C"/>
    <w:multiLevelType w:val="hybridMultilevel"/>
    <w:lvl w:ilvl="0">
      <w:lvlJc w:val="left"/>
      <w:lvlText w:val="*"/>
      <w:numFmt w:val="bullet"/>
      <w:start w:val="1"/>
    </w:lvl>
  </w:abstractNum>
  <w:abstractNum w:abstractNumId="85">
    <w:nsid w:val="327B517E"/>
    <w:multiLevelType w:val="hybridMultilevel"/>
    <w:lvl w:ilvl="0">
      <w:lvlJc w:val="left"/>
      <w:lvlText w:val="(%1)"/>
      <w:numFmt w:val="decimal"/>
      <w:start w:val="1"/>
    </w:lvl>
  </w:abstractNum>
  <w:abstractNum w:abstractNumId="86">
    <w:nsid w:val="1F461B51"/>
    <w:multiLevelType w:val="hybridMultilevel"/>
    <w:lvl w:ilvl="0">
      <w:lvlJc w:val="left"/>
      <w:lvlText w:val="(%1)"/>
      <w:numFmt w:val="decimal"/>
      <w:start w:val="7"/>
    </w:lvl>
  </w:abstractNum>
  <w:abstractNum w:abstractNumId="87">
    <w:nsid w:val="29BACF25"/>
    <w:multiLevelType w:val="hybridMultilevel"/>
    <w:lvl w:ilvl="0">
      <w:lvlJc w:val="left"/>
      <w:lvlText w:val="•"/>
      <w:numFmt w:val="bullet"/>
      <w:start w:val="1"/>
    </w:lvl>
  </w:abstractNum>
  <w:abstractNum w:abstractNumId="88">
    <w:nsid w:val="5D5BABB3"/>
    <w:multiLevelType w:val="hybridMultilevel"/>
    <w:lvl w:ilvl="0">
      <w:lvlJc w:val="left"/>
      <w:lvlText w:val="•"/>
      <w:numFmt w:val="bullet"/>
      <w:start w:val="1"/>
    </w:lvl>
  </w:abstractNum>
  <w:abstractNum w:abstractNumId="89">
    <w:nsid w:val="51BF6B48"/>
    <w:multiLevelType w:val="hybridMultilevel"/>
    <w:lvl w:ilvl="0">
      <w:lvlJc w:val="left"/>
      <w:lvlText w:val="(%1)"/>
      <w:numFmt w:val="lowerLetter"/>
      <w:start w:val="2"/>
    </w:lvl>
  </w:abstractNum>
  <w:abstractNum w:abstractNumId="90">
    <w:nsid w:val="7E0F6384"/>
    <w:multiLevelType w:val="hybridMultilevel"/>
    <w:lvl w:ilvl="0">
      <w:lvlJc w:val="left"/>
      <w:lvlText w:val="•"/>
      <w:numFmt w:val="bullet"/>
      <w:start w:val="1"/>
    </w:lvl>
  </w:abstractNum>
  <w:abstractNum w:abstractNumId="91">
    <w:nsid w:val="2B4B8B53"/>
    <w:multiLevelType w:val="hybridMultilevel"/>
    <w:lvl w:ilvl="0">
      <w:lvlJc w:val="left"/>
      <w:lvlText w:val="•"/>
      <w:numFmt w:val="bullet"/>
      <w:start w:val="1"/>
    </w:lvl>
  </w:abstractNum>
  <w:abstractNum w:abstractNumId="92">
    <w:nsid w:val="72E3413A"/>
    <w:multiLevelType w:val="hybridMultilevel"/>
    <w:lvl w:ilvl="0">
      <w:lvlJc w:val="left"/>
      <w:lvlText w:val="•"/>
      <w:numFmt w:val="bullet"/>
      <w:start w:val="1"/>
    </w:lvl>
  </w:abstractNum>
  <w:abstractNum w:abstractNumId="93">
    <w:nsid w:val="116AE494"/>
    <w:multiLevelType w:val="hybridMultilevel"/>
    <w:lvl w:ilvl="0">
      <w:lvlJc w:val="left"/>
      <w:lvlText w:val="•"/>
      <w:numFmt w:val="bullet"/>
      <w:start w:val="1"/>
    </w:lvl>
  </w:abstractNum>
  <w:abstractNum w:abstractNumId="94">
    <w:nsid w:val="3494B2FB"/>
    <w:multiLevelType w:val="hybridMultilevel"/>
    <w:lvl w:ilvl="0">
      <w:lvlJc w:val="left"/>
      <w:lvlText w:val="•"/>
      <w:numFmt w:val="bullet"/>
      <w:start w:val="1"/>
    </w:lvl>
  </w:abstractNum>
  <w:abstractNum w:abstractNumId="95">
    <w:nsid w:val="B13A31"/>
    <w:multiLevelType w:val="hybridMultilevel"/>
    <w:lvl w:ilvl="0">
      <w:lvlJc w:val="left"/>
      <w:lvlText w:val="•"/>
      <w:numFmt w:val="bullet"/>
      <w:start w:val="1"/>
    </w:lvl>
  </w:abstractNum>
  <w:abstractNum w:abstractNumId="96">
    <w:nsid w:val="64429599"/>
    <w:multiLevelType w:val="hybridMultilevel"/>
    <w:lvl w:ilvl="0">
      <w:lvlJc w:val="left"/>
      <w:lvlText w:val="(%1)"/>
      <w:numFmt w:val="lowerLetter"/>
      <w:start w:val="1"/>
    </w:lvl>
  </w:abstractNum>
  <w:abstractNum w:abstractNumId="97">
    <w:nsid w:val="631F1690"/>
    <w:multiLevelType w:val="hybridMultilevel"/>
    <w:lvl w:ilvl="0">
      <w:lvlJc w:val="left"/>
      <w:lvlText w:val="•"/>
      <w:numFmt w:val="bullet"/>
      <w:start w:val="1"/>
    </w:lvl>
  </w:abstractNum>
  <w:abstractNum w:abstractNumId="98">
    <w:nsid w:val="25973E32"/>
    <w:multiLevelType w:val="hybridMultilevel"/>
    <w:lvl w:ilvl="0">
      <w:lvlJc w:val="left"/>
      <w:lvlText w:val="(%1)"/>
      <w:numFmt w:val="lowerLetter"/>
      <w:start w:val="9"/>
    </w:lvl>
    <w:lvl w:ilvl="1">
      <w:lvlJc w:val="left"/>
      <w:lvlText w:val="(%2)"/>
      <w:numFmt w:val="lowerLetter"/>
      <w:start w:val="1"/>
    </w:lvl>
  </w:abstractNum>
  <w:abstractNum w:abstractNumId="99">
    <w:nsid w:val="EAD6F57"/>
    <w:multiLevelType w:val="hybridMultilevel"/>
    <w:lvl w:ilvl="0">
      <w:lvlJc w:val="left"/>
      <w:lvlText w:val="(%1)"/>
      <w:numFmt w:val="lowerLetter"/>
      <w:start w:val="35"/>
    </w:lvl>
  </w:abstractNum>
  <w:abstractNum w:abstractNumId="100">
    <w:nsid w:val="6EC9D844"/>
    <w:multiLevelType w:val="hybridMultilevel"/>
    <w:lvl w:ilvl="0">
      <w:lvlJc w:val="left"/>
      <w:lvlText w:val="(%1)"/>
      <w:numFmt w:val="decimal"/>
      <w:start w:val="1"/>
    </w:lvl>
  </w:abstractNum>
  <w:abstractNum w:abstractNumId="101">
    <w:nsid w:val="5C49EAEE"/>
    <w:multiLevelType w:val="hybridMultilevel"/>
    <w:lvl w:ilvl="0">
      <w:lvlJc w:val="left"/>
      <w:lvlText w:val="(%1)"/>
      <w:numFmt w:val="decimal"/>
      <w:start w:val="1"/>
    </w:lvl>
  </w:abstractNum>
  <w:abstractNum w:abstractNumId="102">
    <w:nsid w:val="64AF49B"/>
    <w:multiLevelType w:val="hybridMultilevel"/>
    <w:lvl w:ilvl="0">
      <w:lvlJc w:val="left"/>
      <w:lvlText w:val="(%1)"/>
      <w:numFmt w:val="decimal"/>
      <w:start w:val="1"/>
    </w:lvl>
  </w:abstractNum>
  <w:abstractNum w:abstractNumId="103">
    <w:nsid w:val="397C46BC"/>
    <w:multiLevelType w:val="hybridMultilevel"/>
    <w:lvl w:ilvl="0">
      <w:lvlJc w:val="left"/>
      <w:lvlText w:val="•"/>
      <w:numFmt w:val="bullet"/>
      <w:start w:val="1"/>
    </w:lvl>
  </w:abstractNum>
  <w:abstractNum w:abstractNumId="104">
    <w:nsid w:val="7E448DE9"/>
    <w:multiLevelType w:val="hybridMultilevel"/>
    <w:lvl w:ilvl="0">
      <w:lvlJc w:val="left"/>
      <w:lvlText w:val="•"/>
      <w:numFmt w:val="bullet"/>
      <w:start w:val="1"/>
    </w:lvl>
  </w:abstractNum>
  <w:abstractNum w:abstractNumId="105">
    <w:nsid w:val="5A9CC3E5"/>
    <w:multiLevelType w:val="hybridMultilevel"/>
    <w:lvl w:ilvl="0">
      <w:lvlJc w:val="left"/>
      <w:lvlText w:val="•"/>
      <w:numFmt w:val="bullet"/>
      <w:start w:val="1"/>
    </w:lvl>
  </w:abstractNum>
  <w:abstractNum w:abstractNumId="106">
    <w:nsid w:val="1AFE3625"/>
    <w:multiLevelType w:val="hybridMultilevel"/>
    <w:lvl w:ilvl="0">
      <w:lvlJc w:val="left"/>
      <w:lvlText w:val="•"/>
      <w:numFmt w:val="bullet"/>
      <w:start w:val="1"/>
    </w:lvl>
    <w:lvl w:ilvl="1">
      <w:lvlJc w:val="left"/>
      <w:lvlText w:val="•"/>
      <w:numFmt w:val="bullet"/>
      <w:start w:val="1"/>
    </w:lvl>
  </w:abstractNum>
  <w:abstractNum w:abstractNumId="107">
    <w:nsid w:val="3CA88ECF"/>
    <w:multiLevelType w:val="hybridMultilevel"/>
    <w:lvl w:ilvl="0">
      <w:lvlJc w:val="left"/>
      <w:lvlText w:val="(%1)"/>
      <w:numFmt w:val="decimal"/>
      <w:start w:val="1"/>
    </w:lvl>
  </w:abstractNum>
  <w:abstractNum w:abstractNumId="108">
    <w:nsid w:val="6EBE4208"/>
    <w:multiLevelType w:val="hybridMultilevel"/>
    <w:lvl w:ilvl="0">
      <w:lvlJc w:val="left"/>
      <w:lvlText w:val="(%1)"/>
      <w:numFmt w:val="decimal"/>
      <w:start w:val="1"/>
    </w:lvl>
  </w:abstractNum>
  <w:abstractNum w:abstractNumId="109">
    <w:nsid w:val="C058DF5"/>
    <w:multiLevelType w:val="hybridMultilevel"/>
    <w:lvl w:ilvl="0">
      <w:lvlJc w:val="left"/>
      <w:lvlText w:val="(%1)"/>
      <w:numFmt w:val="decimal"/>
      <w:start w:val="1"/>
    </w:lvl>
  </w:abstractNum>
  <w:abstractNum w:abstractNumId="110">
    <w:nsid w:val="CBE5BE9"/>
    <w:multiLevelType w:val="hybridMultilevel"/>
    <w:lvl w:ilvl="0">
      <w:lvlJc w:val="left"/>
      <w:lvlText w:val="(%1)"/>
      <w:numFmt w:val="decimal"/>
      <w:start w:val="1"/>
    </w:lvl>
  </w:abstractNum>
  <w:abstractNum w:abstractNumId="111">
    <w:nsid w:val="3102BBE2"/>
    <w:multiLevelType w:val="hybridMultilevel"/>
    <w:lvl w:ilvl="0">
      <w:lvlJc w:val="left"/>
      <w:lvlText w:val="•"/>
      <w:numFmt w:val="bullet"/>
      <w:start w:val="1"/>
    </w:lvl>
  </w:abstractNum>
  <w:abstractNum w:abstractNumId="112">
    <w:nsid w:val="26A02C5E"/>
    <w:multiLevelType w:val="hybridMultilevel"/>
    <w:lvl w:ilvl="0">
      <w:lvlJc w:val="left"/>
      <w:lvlText w:val="(%1)"/>
      <w:numFmt w:val="lowerLetter"/>
      <w:start w:val="1"/>
    </w:lvl>
  </w:abstractNum>
  <w:abstractNum w:abstractNumId="113">
    <w:nsid w:val="541C8153"/>
    <w:multiLevelType w:val="hybridMultilevel"/>
    <w:lvl w:ilvl="0">
      <w:lvlJc w:val="left"/>
      <w:lvlText w:val="(%1)"/>
      <w:numFmt w:val="lowerLetter"/>
      <w:start w:val="2"/>
    </w:lvl>
  </w:abstractNum>
  <w:abstractNum w:abstractNumId="114">
    <w:nsid w:val="67906F60"/>
    <w:multiLevelType w:val="hybridMultilevel"/>
    <w:lvl w:ilvl="0">
      <w:lvlJc w:val="left"/>
      <w:lvlText w:val="(%1)"/>
      <w:numFmt w:val="decimal"/>
      <w:start w:val="1"/>
    </w:lvl>
  </w:abstractNum>
  <w:abstractNum w:abstractNumId="115">
    <w:nsid w:val="10DB9DAA"/>
    <w:multiLevelType w:val="hybridMultilevel"/>
    <w:lvl w:ilvl="0">
      <w:lvlJc w:val="left"/>
      <w:lvlText w:val="#"/>
      <w:numFmt w:val="bullet"/>
      <w:start w:val="1"/>
    </w:lvl>
  </w:abstractNum>
  <w:abstractNum w:abstractNumId="116">
    <w:nsid w:val="697D2D2"/>
    <w:multiLevelType w:val="hybridMultilevel"/>
    <w:lvl w:ilvl="0">
      <w:lvlJc w:val="left"/>
      <w:lvlText w:val="%1."/>
      <w:numFmt w:val="upperLetter"/>
      <w:start w:val="9"/>
    </w:lvl>
  </w:abstractNum>
  <w:abstractNum w:abstractNumId="117">
    <w:nsid w:val="6D68AB2"/>
    <w:multiLevelType w:val="hybridMultilevel"/>
    <w:lvl w:ilvl="0">
      <w:lvlJc w:val="left"/>
      <w:lvlText w:val="%1."/>
      <w:numFmt w:val="upperLetter"/>
      <w:start w:val="35"/>
    </w:lvl>
  </w:abstractNum>
  <w:abstractNum w:abstractNumId="118">
    <w:nsid w:val="3A966CD0"/>
    <w:multiLevelType w:val="hybridMultilevel"/>
    <w:lvl w:ilvl="0">
      <w:lvlJc w:val="left"/>
      <w:lvlText w:val="%1."/>
      <w:numFmt w:val="decimal"/>
      <w:start w:val="1"/>
    </w:lvl>
    <w:lvl w:ilvl="1">
      <w:lvlJc w:val="left"/>
      <w:lvlText w:val="(%2)"/>
      <w:numFmt w:val="lowerLetter"/>
      <w:start w:val="1"/>
    </w:lvl>
  </w:abstractNum>
  <w:abstractNum w:abstractNumId="119">
    <w:nsid w:val="63F37E85"/>
    <w:multiLevelType w:val="hybridMultilevel"/>
    <w:lvl w:ilvl="0">
      <w:lvlJc w:val="left"/>
      <w:lvlText w:val="(%1)"/>
      <w:numFmt w:val="lowerLetter"/>
      <w:start w:val="3"/>
    </w:lvl>
    <w:lvl w:ilvl="1">
      <w:lvlJc w:val="left"/>
      <w:lvlText w:val="(%2)"/>
      <w:numFmt w:val="lowerRoman"/>
      <w:start w:val="1"/>
    </w:lvl>
  </w:abstractNum>
  <w:abstractNum w:abstractNumId="120">
    <w:nsid w:val="5895F5FA"/>
    <w:multiLevelType w:val="hybridMultilevel"/>
    <w:lvl w:ilvl="0">
      <w:lvlJc w:val="left"/>
      <w:lvlText w:val="%1"/>
      <w:numFmt w:val="lowerLetter"/>
      <w:start w:val="1"/>
    </w:lvl>
    <w:lvl w:ilvl="1">
      <w:lvlJc w:val="left"/>
      <w:lvlText w:val="(%2)"/>
      <w:numFmt w:val="lowerLetter"/>
      <w:start w:val="4"/>
    </w:lvl>
  </w:abstractNum>
  <w:abstractNum w:abstractNumId="121">
    <w:nsid w:val="38A5D054"/>
    <w:multiLevelType w:val="hybridMultilevel"/>
    <w:lvl w:ilvl="0">
      <w:lvlJc w:val="left"/>
      <w:lvlText w:val="(%1)"/>
      <w:numFmt w:val="lowerLetter"/>
      <w:start w:val="61"/>
    </w:lvl>
    <w:lvl w:ilvl="1">
      <w:lvlJc w:val="left"/>
      <w:lvlText w:val="%2"/>
      <w:numFmt w:val="lowerLetter"/>
      <w:start w:val="1"/>
    </w:lvl>
  </w:abstractNum>
  <w:abstractNum w:abstractNumId="122">
    <w:nsid w:val="F3F09D8"/>
    <w:multiLevelType w:val="hybridMultilevel"/>
    <w:lvl w:ilvl="0">
      <w:lvlJc w:val="left"/>
      <w:lvlText w:val="(%1)"/>
      <w:numFmt w:val="decimal"/>
      <w:start w:val="30"/>
    </w:lvl>
    <w:lvl w:ilvl="1">
      <w:lvlJc w:val="left"/>
      <w:lvlText w:val="(%2)"/>
      <w:numFmt w:val="lowerLetter"/>
      <w:start w:val="7"/>
    </w:lvl>
  </w:abstractNum>
  <w:abstractNum w:abstractNumId="123">
    <w:nsid w:val="4B793735"/>
    <w:multiLevelType w:val="hybridMultilevel"/>
    <w:lvl w:ilvl="0">
      <w:lvlJc w:val="left"/>
      <w:lvlText w:val="%1"/>
      <w:numFmt w:val="decimal"/>
      <w:start w:val="1"/>
    </w:lvl>
    <w:lvl w:ilvl="1">
      <w:lvlJc w:val="left"/>
      <w:lvlText w:val="(%2)"/>
      <w:numFmt w:val="lowerLetter"/>
      <w:start w:val="19"/>
    </w:lvl>
  </w:abstractNum>
  <w:abstractNum w:abstractNumId="124">
    <w:nsid w:val="4A10B4E8"/>
    <w:multiLevelType w:val="hybridMultilevel"/>
    <w:lvl w:ilvl="0">
      <w:lvlJc w:val="left"/>
      <w:lvlText w:val="%1."/>
      <w:numFmt w:val="decimal"/>
      <w:start w:val="2"/>
    </w:lvl>
    <w:lvl w:ilvl="1">
      <w:lvlJc w:val="left"/>
      <w:lvlText w:val="(%2)"/>
      <w:numFmt w:val="lowerLetter"/>
      <w:start w:val="1"/>
    </w:lvl>
  </w:abstractNum>
  <w:abstractNum w:abstractNumId="125">
    <w:nsid w:val="43D3BCD4"/>
    <w:multiLevelType w:val="hybridMultilevel"/>
    <w:lvl w:ilvl="0">
      <w:lvlJc w:val="left"/>
      <w:lvlText w:val="%1"/>
      <w:numFmt w:val="decimal"/>
      <w:start w:val="1"/>
    </w:lvl>
    <w:lvl w:ilvl="1">
      <w:lvlJc w:val="left"/>
      <w:lvlText w:val="(%2)"/>
      <w:numFmt w:val="lowerLetter"/>
      <w:start w:val="4"/>
    </w:lvl>
  </w:abstractNum>
  <w:abstractNum w:abstractNumId="126">
    <w:nsid w:val="4C2A7166"/>
    <w:multiLevelType w:val="hybridMultilevel"/>
    <w:lvl w:ilvl="0">
      <w:lvlJc w:val="left"/>
      <w:lvlText w:val="%1."/>
      <w:numFmt w:val="decimal"/>
      <w:start w:val="4"/>
    </w:lvl>
    <w:lvl w:ilvl="1">
      <w:lvlJc w:val="left"/>
      <w:lvlText w:val="%2"/>
      <w:numFmt w:val="lowerLetter"/>
      <w:start w:val="1"/>
    </w:lvl>
  </w:abstractNum>
  <w:abstractNum w:abstractNumId="127">
    <w:nsid w:val="2E534A82"/>
    <w:multiLevelType w:val="hybridMultilevel"/>
    <w:lvl w:ilvl="0">
      <w:lvlJc w:val="left"/>
      <w:lvlText w:val="%1."/>
      <w:numFmt w:val="decimal"/>
      <w:start w:val="8"/>
    </w:lvl>
    <w:lvl w:ilvl="1">
      <w:lvlJc w:val="left"/>
      <w:lvlText w:val="(%2)"/>
      <w:numFmt w:val="lowerLetter"/>
      <w:start w:val="1"/>
    </w:lvl>
  </w:abstractNum>
  <w:abstractNum w:abstractNumId="128">
    <w:nsid w:val="26F2D364"/>
    <w:multiLevelType w:val="hybridMultilevel"/>
    <w:lvl w:ilvl="0">
      <w:lvlJc w:val="left"/>
      <w:lvlText w:val="%1."/>
      <w:numFmt w:val="decimal"/>
      <w:start w:val="12"/>
    </w:lvl>
  </w:abstractNum>
  <w:abstractNum w:abstractNumId="129">
    <w:nsid w:val="71C1AF98"/>
    <w:multiLevelType w:val="hybridMultilevel"/>
    <w:lvl w:ilvl="0">
      <w:lvlJc w:val="left"/>
      <w:lvlText w:val="%1."/>
      <w:numFmt w:val="decimal"/>
      <w:start w:val="19"/>
    </w:lvl>
  </w:abstractNum>
  <w:abstractNum w:abstractNumId="130">
    <w:nsid w:val="3D00B9D9"/>
    <w:multiLevelType w:val="hybridMultilevel"/>
    <w:lvl w:ilvl="0">
      <w:lvlJc w:val="left"/>
      <w:lvlText w:val="%1."/>
      <w:numFmt w:val="decimal"/>
      <w:start w:val="1"/>
    </w:lvl>
  </w:abstractNum>
  <w:abstractNum w:abstractNumId="131">
    <w:nsid w:val="15BCABA8"/>
    <w:multiLevelType w:val="hybridMultilevel"/>
    <w:lvl w:ilvl="0">
      <w:lvlJc w:val="left"/>
      <w:lvlText w:val="%1."/>
      <w:numFmt w:val="decimal"/>
      <w:start w:val="2"/>
    </w:lvl>
  </w:abstractNum>
  <w:abstractNum w:abstractNumId="132">
    <w:nsid w:val="4E0B9A87"/>
    <w:multiLevelType w:val="hybridMultilevel"/>
    <w:lvl w:ilvl="0">
      <w:lvlJc w:val="left"/>
      <w:lvlText w:val="*"/>
      <w:numFmt w:val="bullet"/>
      <w:start w:val="1"/>
    </w:lvl>
  </w:abstractNum>
  <w:abstractNum w:abstractNumId="133">
    <w:nsid w:val="434BAE75"/>
    <w:multiLevelType w:val="hybridMultilevel"/>
    <w:lvl w:ilvl="0">
      <w:lvlJc w:val="left"/>
      <w:lvlText w:val="%1."/>
      <w:numFmt w:val="decimal"/>
      <w:start w:val="3"/>
    </w:lvl>
  </w:abstractNum>
  <w:abstractNum w:abstractNumId="134">
    <w:nsid w:val="4F38F265"/>
    <w:multiLevelType w:val="hybridMultilevel"/>
    <w:lvl w:ilvl="0">
      <w:lvlJc w:val="left"/>
      <w:lvlText w:val="%1."/>
      <w:numFmt w:val="lowerLetter"/>
      <w:start w:val="1"/>
    </w:lvl>
  </w:abstractNum>
  <w:abstractNum w:abstractNumId="135">
    <w:nsid w:val="4C502870"/>
    <w:multiLevelType w:val="hybridMultilevel"/>
    <w:lvl w:ilvl="0">
      <w:lvlJc w:val="left"/>
      <w:lvlText w:val="%1."/>
      <w:numFmt w:val="lowerLetter"/>
      <w:start w:val="3"/>
    </w:lvl>
    <w:lvl w:ilvl="1">
      <w:lvlJc w:val="left"/>
      <w:lvlText w:val="%2."/>
      <w:numFmt w:val="lowerRoman"/>
      <w:start w:val="1"/>
    </w:lvl>
  </w:abstractNum>
  <w:abstractNum w:abstractNumId="136">
    <w:nsid w:val="1DE8725A"/>
    <w:multiLevelType w:val="hybridMultilevel"/>
    <w:lvl w:ilvl="0">
      <w:lvlJc w:val="left"/>
      <w:lvlText w:val="•"/>
      <w:numFmt w:val="bullet"/>
      <w:start w:val="1"/>
    </w:lvl>
  </w:abstractNum>
  <w:abstractNum w:abstractNumId="137">
    <w:nsid w:val="6A37288A"/>
    <w:multiLevelType w:val="hybridMultilevel"/>
    <w:lvl w:ilvl="0">
      <w:lvlJc w:val="left"/>
      <w:lvlText w:val="%1."/>
      <w:numFmt w:val="upperLetter"/>
      <w:start w:val="9"/>
    </w:lvl>
  </w:abstractNum>
  <w:abstractNum w:abstractNumId="138">
    <w:nsid w:val="8F8B73F"/>
    <w:multiLevelType w:val="hybridMultilevel"/>
    <w:lvl w:ilvl="0">
      <w:lvlJc w:val="left"/>
      <w:lvlText w:val="%1."/>
      <w:numFmt w:val="upperLetter"/>
      <w:start w:val="35"/>
    </w:lvl>
  </w:abstractNum>
  <w:abstractNum w:abstractNumId="139">
    <w:nsid w:val="CA6B462"/>
    <w:multiLevelType w:val="hybridMultilevel"/>
    <w:lvl w:ilvl="0">
      <w:lvlJc w:val="left"/>
      <w:lvlText w:val="%1."/>
      <w:numFmt w:val="decimal"/>
      <w:start w:val="1"/>
    </w:lvl>
    <w:lvl w:ilvl="1">
      <w:lvlJc w:val="left"/>
      <w:lvlText w:val="(%2)"/>
      <w:numFmt w:val="lowerLetter"/>
      <w:start w:val="1"/>
    </w:lvl>
  </w:abstractNum>
  <w:abstractNum w:abstractNumId="140">
    <w:nsid w:val="763CB680"/>
    <w:multiLevelType w:val="hybridMultilevel"/>
    <w:lvl w:ilvl="0">
      <w:lvlJc w:val="left"/>
      <w:lvlText w:val="(%1)"/>
      <w:numFmt w:val="lowerLetter"/>
      <w:start w:val="3"/>
    </w:lvl>
    <w:lvl w:ilvl="1">
      <w:lvlJc w:val="left"/>
      <w:lvlText w:val="(%2)"/>
      <w:numFmt w:val="lowerRoman"/>
      <w:start w:val="1"/>
    </w:lvl>
  </w:abstractNum>
  <w:abstractNum w:abstractNumId="141">
    <w:nsid w:val="15B71329"/>
    <w:multiLevelType w:val="hybridMultilevel"/>
    <w:lvl w:ilvl="0">
      <w:lvlJc w:val="left"/>
      <w:lvlText w:val="%1"/>
      <w:numFmt w:val="lowerLetter"/>
      <w:start w:val="1"/>
    </w:lvl>
    <w:lvl w:ilvl="1">
      <w:lvlJc w:val="left"/>
      <w:lvlText w:val="(%2)"/>
      <w:numFmt w:val="lowerLetter"/>
      <w:start w:val="4"/>
    </w:lvl>
  </w:abstractNum>
  <w:abstractNum w:abstractNumId="142">
    <w:nsid w:val="3DA97044"/>
    <w:multiLevelType w:val="hybridMultilevel"/>
    <w:lvl w:ilvl="0">
      <w:lvlJc w:val="left"/>
      <w:lvlText w:val="(%1)"/>
      <w:numFmt w:val="lowerLetter"/>
      <w:start w:val="61"/>
    </w:lvl>
    <w:lvl w:ilvl="1">
      <w:lvlJc w:val="left"/>
      <w:lvlText w:val="%2"/>
      <w:numFmt w:val="lowerLetter"/>
      <w:start w:val="1"/>
    </w:lvl>
  </w:abstractNum>
  <w:abstractNum w:abstractNumId="143">
    <w:nsid w:val="1CDCE2DE"/>
    <w:multiLevelType w:val="hybridMultilevel"/>
    <w:lvl w:ilvl="0">
      <w:lvlJc w:val="left"/>
      <w:lvlText w:val="(%1)"/>
      <w:numFmt w:val="decimal"/>
      <w:start w:val="30"/>
    </w:lvl>
    <w:lvl w:ilvl="1">
      <w:lvlJc w:val="left"/>
      <w:lvlText w:val="(%2)"/>
      <w:numFmt w:val="lowerLetter"/>
      <w:start w:val="7"/>
    </w:lvl>
  </w:abstractNum>
  <w:abstractNum w:abstractNumId="144">
    <w:nsid w:val="69D3947C"/>
    <w:multiLevelType w:val="hybridMultilevel"/>
    <w:lvl w:ilvl="0">
      <w:lvlJc w:val="left"/>
      <w:lvlText w:val="%1"/>
      <w:numFmt w:val="decimal"/>
      <w:start w:val="1"/>
    </w:lvl>
    <w:lvl w:ilvl="1">
      <w:lvlJc w:val="left"/>
      <w:lvlText w:val="(%2)"/>
      <w:numFmt w:val="lowerLetter"/>
      <w:start w:val="20"/>
    </w:lvl>
  </w:abstractNum>
  <w:abstractNum w:abstractNumId="145">
    <w:nsid w:val="2539DFA5"/>
    <w:multiLevelType w:val="hybridMultilevel"/>
    <w:lvl w:ilvl="0">
      <w:lvlJc w:val="left"/>
      <w:lvlText w:val="%1."/>
      <w:numFmt w:val="decimal"/>
      <w:start w:val="2"/>
    </w:lvl>
    <w:lvl w:ilvl="1">
      <w:lvlJc w:val="left"/>
      <w:lvlText w:val="(%2)"/>
      <w:numFmt w:val="lowerLetter"/>
      <w:start w:val="1"/>
    </w:lvl>
  </w:abstractNum>
  <w:abstractNum w:abstractNumId="146">
    <w:nsid w:val="2DB88089"/>
    <w:multiLevelType w:val="hybridMultilevel"/>
    <w:lvl w:ilvl="0">
      <w:lvlJc w:val="left"/>
      <w:lvlText w:val="%1"/>
      <w:numFmt w:val="decimal"/>
      <w:start w:val="1"/>
    </w:lvl>
    <w:lvl w:ilvl="1">
      <w:lvlJc w:val="left"/>
      <w:lvlText w:val="(%2)"/>
      <w:numFmt w:val="lowerLetter"/>
      <w:start w:val="4"/>
    </w:lvl>
  </w:abstractNum>
  <w:abstractNum w:abstractNumId="147">
    <w:nsid w:val="706B674E"/>
    <w:multiLevelType w:val="hybridMultilevel"/>
    <w:lvl w:ilvl="0">
      <w:lvlJc w:val="left"/>
      <w:lvlText w:val="%1."/>
      <w:numFmt w:val="decimal"/>
      <w:start w:val="4"/>
    </w:lvl>
    <w:lvl w:ilvl="1">
      <w:lvlJc w:val="left"/>
      <w:lvlText w:val="%2"/>
      <w:numFmt w:val="lowerLetter"/>
      <w:start w:val="1"/>
    </w:lvl>
  </w:abstractNum>
  <w:abstractNum w:abstractNumId="148">
    <w:nsid w:val="2C106A57"/>
    <w:multiLevelType w:val="hybridMultilevel"/>
    <w:lvl w:ilvl="0">
      <w:lvlJc w:val="left"/>
      <w:lvlText w:val="%1."/>
      <w:numFmt w:val="decimal"/>
      <w:start w:val="8"/>
    </w:lvl>
    <w:lvl w:ilvl="1">
      <w:lvlJc w:val="left"/>
      <w:lvlText w:val="(%2)"/>
      <w:numFmt w:val="lowerLetter"/>
      <w:start w:val="1"/>
    </w:lvl>
  </w:abstractNum>
  <w:abstractNum w:abstractNumId="149">
    <w:nsid w:val="684EED59"/>
    <w:multiLevelType w:val="hybridMultilevel"/>
    <w:lvl w:ilvl="0">
      <w:lvlJc w:val="left"/>
      <w:lvlText w:val="%1."/>
      <w:numFmt w:val="decimal"/>
      <w:start w:val="13"/>
    </w:lvl>
  </w:abstractNum>
  <w:abstractNum w:abstractNumId="150">
    <w:nsid w:val="545EE5D3"/>
    <w:multiLevelType w:val="hybridMultilevel"/>
    <w:lvl w:ilvl="0">
      <w:lvlJc w:val="left"/>
      <w:lvlText w:val="%1."/>
      <w:numFmt w:val="decimal"/>
      <w:start w:val="20"/>
    </w:lvl>
  </w:abstractNum>
  <w:abstractNum w:abstractNumId="151">
    <w:nsid w:val="4A66051"/>
    <w:multiLevelType w:val="hybridMultilevel"/>
    <w:lvl w:ilvl="0">
      <w:lvlJc w:val="left"/>
      <w:lvlText w:val="%1."/>
      <w:numFmt w:val="decimal"/>
      <w:start w:val="1"/>
    </w:lvl>
  </w:abstractNum>
  <w:abstractNum w:abstractNumId="152">
    <w:nsid w:val="20F4BDAD"/>
    <w:multiLevelType w:val="hybridMultilevel"/>
    <w:lvl w:ilvl="0">
      <w:lvlJc w:val="left"/>
      <w:lvlText w:val="%1."/>
      <w:numFmt w:val="decimal"/>
      <w:start w:val="2"/>
    </w:lvl>
  </w:abstractNum>
  <w:abstractNum w:abstractNumId="153">
    <w:nsid w:val="639DEFAC"/>
    <w:multiLevelType w:val="hybridMultilevel"/>
    <w:lvl w:ilvl="0">
      <w:lvlJc w:val="left"/>
      <w:lvlText w:val="*"/>
      <w:numFmt w:val="bullet"/>
      <w:start w:val="1"/>
    </w:lvl>
  </w:abstractNum>
  <w:abstractNum w:abstractNumId="154">
    <w:nsid w:val="501F9786"/>
    <w:multiLevelType w:val="hybridMultilevel"/>
    <w:lvl w:ilvl="0">
      <w:lvlJc w:val="left"/>
      <w:lvlText w:val="%1."/>
      <w:numFmt w:val="decimal"/>
      <w:start w:val="3"/>
    </w:lvl>
  </w:abstractNum>
  <w:abstractNum w:abstractNumId="155">
    <w:nsid w:val="6B057295"/>
    <w:multiLevelType w:val="hybridMultilevel"/>
    <w:lvl w:ilvl="0">
      <w:lvlJc w:val="left"/>
      <w:lvlText w:val="%1."/>
      <w:numFmt w:val="lowerLetter"/>
      <w:start w:val="1"/>
    </w:lvl>
  </w:abstractNum>
  <w:abstractNum w:abstractNumId="156">
    <w:nsid w:val="2771AC80"/>
    <w:multiLevelType w:val="hybridMultilevel"/>
    <w:lvl w:ilvl="0">
      <w:lvlJc w:val="left"/>
      <w:lvlText w:val="%1."/>
      <w:numFmt w:val="lowerLetter"/>
      <w:start w:val="3"/>
    </w:lvl>
    <w:lvl w:ilvl="1">
      <w:lvlJc w:val="left"/>
      <w:lvlText w:val="%2."/>
      <w:numFmt w:val="lowerRoman"/>
      <w:start w:val="1"/>
    </w:lvl>
  </w:abstractNum>
  <w:abstractNum w:abstractNumId="157">
    <w:nsid w:val="1C4A08EC"/>
    <w:multiLevelType w:val="hybridMultilevel"/>
    <w:lvl w:ilvl="0">
      <w:lvlJc w:val="left"/>
      <w:lvlText w:val="•"/>
      <w:numFmt w:val="bullet"/>
      <w:start w:val="1"/>
    </w:lvl>
  </w:abstractNum>
  <w:abstractNum w:abstractNumId="158">
    <w:nsid w:val="1958BD17"/>
    <w:multiLevelType w:val="hybridMultilevel"/>
    <w:lvl w:ilvl="0">
      <w:lvlJc w:val="left"/>
      <w:lvlText w:val="%1."/>
      <w:numFmt w:val="decimal"/>
      <w:start w:val="1"/>
    </w:lvl>
  </w:abstractNum>
  <w:abstractNum w:abstractNumId="159">
    <w:nsid w:val="4E647FE4"/>
    <w:multiLevelType w:val="hybridMultilevel"/>
    <w:lvl w:ilvl="0">
      <w:lvlJc w:val="left"/>
      <w:lvlText w:val="%1."/>
      <w:numFmt w:val="decimal"/>
      <w:start w:val="3"/>
    </w:lvl>
  </w:abstractNum>
  <w:abstractNum w:abstractNumId="160">
    <w:nsid w:val="E0BB885"/>
    <w:multiLevelType w:val="hybridMultilevel"/>
    <w:lvl w:ilvl="0">
      <w:lvlJc w:val="left"/>
      <w:lvlText w:val="*"/>
      <w:numFmt w:val="bullet"/>
      <w:start w:val="1"/>
    </w:lvl>
  </w:abstractNum>
  <w:abstractNum w:abstractNumId="161">
    <w:nsid w:val="565976F1"/>
    <w:multiLevelType w:val="hybridMultilevel"/>
    <w:lvl w:ilvl="0">
      <w:lvlJc w:val="left"/>
      <w:lvlText w:val="**"/>
      <w:numFmt w:val="bullet"/>
      <w:start w:val="1"/>
    </w:lvl>
  </w:abstractNum>
  <w:abstractNum w:abstractNumId="162">
    <w:nsid w:val="64212B8C"/>
    <w:multiLevelType w:val="hybridMultilevel"/>
    <w:lvl w:ilvl="0">
      <w:lvlJc w:val="left"/>
      <w:lvlText w:val="(%1)"/>
      <w:numFmt w:val="lowerRoman"/>
      <w:start w:val="3"/>
    </w:lvl>
  </w:abstractNum>
  <w:abstractNum w:abstractNumId="163">
    <w:nsid w:val="5C17530C"/>
    <w:multiLevelType w:val="hybridMultilevel"/>
    <w:lvl w:ilvl="0">
      <w:lvlJc w:val="left"/>
      <w:lvlText w:val="(%1)"/>
      <w:numFmt w:val="decimal"/>
      <w:start w:val="180"/>
    </w:lvl>
  </w:abstractNum>
  <w:abstractNum w:abstractNumId="164">
    <w:nsid w:val="19A52566"/>
    <w:multiLevelType w:val="hybridMultilevel"/>
    <w:lvl w:ilvl="0">
      <w:lvlJc w:val="left"/>
      <w:lvlText w:val="(%1)"/>
      <w:numFmt w:val="decimal"/>
      <w:start w:val="5"/>
    </w:lvl>
  </w:abstractNum>
  <w:abstractNum w:abstractNumId="165">
    <w:nsid w:val="335A1DF1"/>
    <w:multiLevelType w:val="hybridMultilevel"/>
    <w:lvl w:ilvl="0">
      <w:lvlJc w:val="left"/>
      <w:lvlText w:val="(%1)"/>
      <w:numFmt w:val="lowerRoman"/>
      <w:start w:val="1"/>
    </w:lvl>
  </w:abstractNum>
  <w:abstractNum w:abstractNumId="166">
    <w:nsid w:val="28677B7C"/>
    <w:multiLevelType w:val="hybridMultilevel"/>
    <w:lvl w:ilvl="0">
      <w:lvlJc w:val="left"/>
      <w:lvlText w:val="(%1)"/>
      <w:numFmt w:val="decimal"/>
      <w:start w:val="15"/>
    </w:lvl>
  </w:abstractNum>
  <w:abstractNum w:abstractNumId="167">
    <w:nsid w:val="378D97C0"/>
    <w:multiLevelType w:val="hybridMultilevel"/>
    <w:lvl w:ilvl="0">
      <w:lvlJc w:val="left"/>
      <w:lvlText w:val="(%1)"/>
      <w:numFmt w:val="decimal"/>
      <w:start w:val="12"/>
    </w:lvl>
  </w:abstractNum>
  <w:abstractNum w:abstractNumId="168">
    <w:nsid w:val="1D91467C"/>
    <w:multiLevelType w:val="hybridMultilevel"/>
    <w:lvl w:ilvl="0">
      <w:lvlJc w:val="left"/>
      <w:lvlText w:val="(%1)"/>
      <w:numFmt w:val="lowerRoman"/>
      <w:start w:val="2"/>
    </w:lvl>
  </w:abstractNum>
  <w:abstractNum w:abstractNumId="169">
    <w:nsid w:val="316032BB"/>
    <w:multiLevelType w:val="hybridMultilevel"/>
    <w:lvl w:ilvl="0">
      <w:lvlJc w:val="left"/>
      <w:lvlText w:val="(%1)"/>
      <w:numFmt w:val="lowerLetter"/>
      <w:start w:val="1"/>
    </w:lvl>
  </w:abstractNum>
  <w:abstractNum w:abstractNumId="170">
    <w:nsid w:val="44344C22"/>
    <w:multiLevelType w:val="hybridMultilevel"/>
    <w:lvl w:ilvl="0">
      <w:lvlJc w:val="left"/>
      <w:lvlText w:val="(%1)"/>
      <w:numFmt w:val="lowerLetter"/>
      <w:start w:val="8"/>
    </w:lvl>
  </w:abstractNum>
  <w:abstractNum w:abstractNumId="171">
    <w:nsid w:val="13CDFCFC"/>
    <w:multiLevelType w:val="hybridMultilevel"/>
    <w:lvl w:ilvl="0">
      <w:lvlJc w:val="left"/>
      <w:lvlText w:val="(%1)"/>
      <w:numFmt w:val="lowerLetter"/>
      <w:start w:val="17"/>
    </w:lvl>
  </w:abstractNum>
  <w:abstractNum w:abstractNumId="172">
    <w:nsid w:val="471745E4"/>
    <w:multiLevelType w:val="hybridMultilevel"/>
    <w:lvl w:ilvl="0">
      <w:lvlJc w:val="left"/>
      <w:lvlText w:val="(%1)"/>
      <w:numFmt w:val="lowerLetter"/>
      <w:start w:val="27"/>
    </w:lvl>
  </w:abstractNum>
  <w:abstractNum w:abstractNumId="173">
    <w:nsid w:val="1DDBC66"/>
    <w:multiLevelType w:val="hybridMultilevel"/>
    <w:lvl w:ilvl="0">
      <w:lvlJc w:val="left"/>
      <w:lvlText w:val="(%1)"/>
      <w:numFmt w:val="lowerLetter"/>
      <w:start w:val="32"/>
    </w:lvl>
  </w:abstractNum>
  <w:abstractNum w:abstractNumId="174">
    <w:nsid w:val="30AADFDA"/>
    <w:multiLevelType w:val="hybridMultilevel"/>
    <w:lvl w:ilvl="0">
      <w:lvlJc w:val="left"/>
      <w:lvlText w:val="(%1)"/>
      <w:numFmt w:val="lowerRoman"/>
      <w:start w:val="1"/>
    </w:lvl>
  </w:abstractNum>
  <w:abstractNum w:abstractNumId="175">
    <w:nsid w:val="30EADA61"/>
    <w:multiLevelType w:val="hybridMultilevel"/>
    <w:lvl w:ilvl="0">
      <w:lvlJc w:val="left"/>
      <w:lvlText w:val="(%1)"/>
      <w:numFmt w:val="decimal"/>
      <w:start w:val="30"/>
    </w:lvl>
  </w:abstractNum>
  <w:abstractNum w:abstractNumId="176">
    <w:nsid w:val="27179C0B"/>
    <w:multiLevelType w:val="hybridMultilevel"/>
    <w:lvl w:ilvl="0">
      <w:lvlJc w:val="left"/>
      <w:lvlText w:val="(%1)"/>
      <w:numFmt w:val="decimal"/>
      <w:start w:val="30"/>
    </w:lvl>
  </w:abstractNum>
  <w:abstractNum w:abstractNumId="177">
    <w:nsid w:val="5E636063"/>
    <w:multiLevelType w:val="hybridMultilevel"/>
    <w:lvl w:ilvl="0">
      <w:lvlJc w:val="left"/>
      <w:lvlText w:val="(%1)"/>
      <w:numFmt w:val="lowerRoman"/>
      <w:start w:val="2"/>
    </w:lvl>
  </w:abstractNum>
  <w:abstractNum w:abstractNumId="178">
    <w:nsid w:val="215641AF"/>
    <w:multiLevelType w:val="hybridMultilevel"/>
    <w:lvl w:ilvl="0">
      <w:lvlJc w:val="left"/>
      <w:lvlText w:val="(%1)"/>
      <w:numFmt w:val="decimal"/>
      <w:start w:val="10"/>
    </w:lvl>
  </w:abstractNum>
  <w:abstractNum w:abstractNumId="179">
    <w:nsid w:val="53280662"/>
    <w:multiLevelType w:val="hybridMultilevel"/>
    <w:lvl w:ilvl="0">
      <w:lvlJc w:val="left"/>
      <w:lvlText w:val="(%1)"/>
      <w:numFmt w:val="lowerRoman"/>
      <w:start w:val="3"/>
    </w:lvl>
  </w:abstractNum>
  <w:abstractNum w:abstractNumId="180">
    <w:nsid w:val="46B24DBC"/>
    <w:multiLevelType w:val="hybridMultilevel"/>
    <w:lvl w:ilvl="0">
      <w:lvlJc w:val="left"/>
      <w:lvlText w:val="(%1)"/>
      <w:numFmt w:val="lowerLetter"/>
      <w:start w:val="24"/>
    </w:lvl>
  </w:abstractNum>
  <w:abstractNum w:abstractNumId="181">
    <w:nsid w:val="75B52783"/>
    <w:multiLevelType w:val="hybridMultilevel"/>
    <w:lvl w:ilvl="0">
      <w:lvlJc w:val="left"/>
      <w:lvlText w:val="(%1)"/>
      <w:numFmt w:val="upperLetter"/>
      <w:start w:val="35"/>
    </w:lvl>
  </w:abstractNum>
  <w:abstractNum w:abstractNumId="182">
    <w:nsid w:val="57CE66B4"/>
    <w:multiLevelType w:val="hybridMultilevel"/>
    <w:lvl w:ilvl="0">
      <w:lvlJc w:val="left"/>
      <w:lvlText w:val="(%1)"/>
      <w:numFmt w:val="lowerLetter"/>
      <w:start w:val="2"/>
    </w:lvl>
  </w:abstractNum>
  <w:abstractNum w:abstractNumId="183">
    <w:nsid w:val="67A70B69"/>
    <w:multiLevelType w:val="hybridMultilevel"/>
    <w:lvl w:ilvl="0">
      <w:lvlJc w:val="left"/>
      <w:lvlText w:val="(%1)"/>
      <w:numFmt w:val="lowerRoman"/>
      <w:start w:val="1"/>
    </w:lvl>
  </w:abstractNum>
  <w:abstractNum w:abstractNumId="184">
    <w:nsid w:val="5953172F"/>
    <w:multiLevelType w:val="hybridMultilevel"/>
    <w:lvl w:ilvl="0">
      <w:lvlJc w:val="left"/>
      <w:lvlText w:val="(%1)"/>
      <w:numFmt w:val="decimal"/>
      <w:start w:val="12"/>
    </w:lvl>
  </w:abstractNum>
  <w:abstractNum w:abstractNumId="185">
    <w:nsid w:val="27EDFE3A"/>
    <w:multiLevelType w:val="hybridMultilevel"/>
    <w:lvl w:ilvl="0">
      <w:lvlJc w:val="left"/>
      <w:lvlText w:val="(%1)"/>
      <w:numFmt w:val="lowerRoman"/>
      <w:start w:val="1"/>
    </w:lvl>
  </w:abstractNum>
  <w:abstractNum w:abstractNumId="186">
    <w:nsid w:val="52AC7DFF"/>
    <w:multiLevelType w:val="hybridMultilevel"/>
    <w:lvl w:ilvl="0">
      <w:lvlJc w:val="left"/>
      <w:lvlText w:val="%1"/>
      <w:numFmt w:val="decimal"/>
      <w:start w:val="1"/>
    </w:lvl>
    <w:lvl w:ilvl="1">
      <w:lvlJc w:val="left"/>
      <w:lvlText w:val="(%2)"/>
      <w:numFmt w:val="lowerRoman"/>
      <w:start w:val="3"/>
    </w:lvl>
  </w:abstractNum>
  <w:abstractNum w:abstractNumId="187">
    <w:nsid w:val="C4C3AF"/>
    <w:multiLevelType w:val="hybridMultilevel"/>
    <w:lvl w:ilvl="0">
      <w:lvlJc w:val="left"/>
      <w:lvlText w:val="(%1)"/>
      <w:numFmt w:val="decimal"/>
      <w:start w:val="2"/>
    </w:lvl>
    <w:lvl w:ilvl="1">
      <w:lvlJc w:val="left"/>
      <w:lvlText w:val="(%2)"/>
      <w:numFmt w:val="lowerRoman"/>
      <w:start w:val="5"/>
    </w:lvl>
  </w:abstractNum>
  <w:abstractNum w:abstractNumId="188">
    <w:nsid w:val="44380727"/>
    <w:multiLevelType w:val="hybridMultilevel"/>
    <w:lvl w:ilvl="0">
      <w:lvlJc w:val="left"/>
      <w:lvlText w:val="(%1)"/>
      <w:numFmt w:val="lowerRoman"/>
      <w:start w:val="1"/>
    </w:lvl>
  </w:abstractNum>
  <w:abstractNum w:abstractNumId="189">
    <w:nsid w:val="6C053B16"/>
    <w:multiLevelType w:val="hybridMultilevel"/>
    <w:lvl w:ilvl="0">
      <w:lvlJc w:val="left"/>
      <w:lvlText w:val="(%1)"/>
      <w:numFmt w:val="upperLetter"/>
      <w:start w:val="4"/>
    </w:lvl>
  </w:abstractNum>
  <w:abstractNum w:abstractNumId="190">
    <w:nsid w:val="4F294393"/>
    <w:multiLevelType w:val="hybridMultilevel"/>
    <w:lvl w:ilvl="0">
      <w:lvlJc w:val="left"/>
      <w:lvlText w:val="(%1)"/>
      <w:numFmt w:val="lowerRoman"/>
      <w:start w:val="1"/>
    </w:lvl>
  </w:abstractNum>
  <w:abstractNum w:abstractNumId="191">
    <w:nsid w:val="5243BFAC"/>
    <w:multiLevelType w:val="hybridMultilevel"/>
    <w:lvl w:ilvl="0">
      <w:lvlJc w:val="left"/>
      <w:lvlText w:val="(%1)"/>
      <w:numFmt w:val="lowerRoman"/>
      <w:start w:val="2"/>
    </w:lvl>
  </w:abstractNum>
  <w:abstractNum w:abstractNumId="192">
    <w:nsid w:val="425EB207"/>
    <w:multiLevelType w:val="hybridMultilevel"/>
    <w:lvl w:ilvl="0">
      <w:lvlJc w:val="left"/>
      <w:lvlText w:val="(%1)"/>
      <w:numFmt w:val="lowerRoman"/>
      <w:start w:val="2"/>
    </w:lvl>
  </w:abstractNum>
  <w:abstractNum w:abstractNumId="193">
    <w:nsid w:val="334A6F1F"/>
    <w:multiLevelType w:val="hybridMultilevel"/>
    <w:lvl w:ilvl="0">
      <w:lvlJc w:val="left"/>
      <w:lvlText w:val="(%1)"/>
      <w:numFmt w:val="lowerRoman"/>
      <w:start w:val="5"/>
    </w:lvl>
  </w:abstractNum>
  <w:abstractNum w:abstractNumId="194">
    <w:nsid w:val="2E5B12B8"/>
    <w:multiLevelType w:val="hybridMultilevel"/>
    <w:lvl w:ilvl="0">
      <w:lvlJc w:val="left"/>
      <w:lvlText w:val="(%1)"/>
      <w:numFmt w:val="lowerRoman"/>
      <w:start w:val="1"/>
    </w:lvl>
  </w:abstractNum>
  <w:abstractNum w:abstractNumId="195">
    <w:nsid w:val="5C03D76D"/>
    <w:multiLevelType w:val="hybridMultilevel"/>
    <w:lvl w:ilvl="0">
      <w:lvlJc w:val="left"/>
      <w:lvlText w:val="(%1)"/>
      <w:numFmt w:val="upperLetter"/>
      <w:start w:val="61"/>
    </w:lvl>
  </w:abstractNum>
  <w:abstractNum w:abstractNumId="196">
    <w:nsid w:val="66A48D11"/>
    <w:multiLevelType w:val="hybridMultilevel"/>
    <w:lvl w:ilvl="0">
      <w:lvlJc w:val="left"/>
      <w:lvlText w:val="(%1)"/>
      <w:numFmt w:val="decimal"/>
      <w:start w:val="30"/>
    </w:lvl>
  </w:abstractNum>
  <w:abstractNum w:abstractNumId="197">
    <w:nsid w:val="56C28E34"/>
    <w:multiLevelType w:val="hybridMultilevel"/>
    <w:lvl w:ilvl="0">
      <w:lvlJc w:val="left"/>
      <w:lvlText w:val="(%1)"/>
      <w:numFmt w:val="lowerRoman"/>
      <w:start w:val="1"/>
    </w:lvl>
  </w:abstractNum>
  <w:abstractNum w:abstractNumId="198">
    <w:nsid w:val="13916F2D"/>
    <w:multiLevelType w:val="hybridMultilevel"/>
    <w:lvl w:ilvl="0">
      <w:lvlJc w:val="left"/>
      <w:lvlText w:val="(%1)"/>
      <w:numFmt w:val="upperLetter"/>
      <w:start w:val="2"/>
    </w:lvl>
  </w:abstractNum>
  <w:abstractNum w:abstractNumId="199">
    <w:nsid w:val="435D38D"/>
    <w:multiLevelType w:val="hybridMultilevel"/>
    <w:lvl w:ilvl="0">
      <w:lvlJc w:val="left"/>
      <w:lvlText w:val="(%1)"/>
      <w:numFmt w:val="decimal"/>
      <w:start w:val="30"/>
    </w:lvl>
  </w:abstractNum>
  <w:abstractNum w:abstractNumId="200">
    <w:nsid w:val="822C0EF"/>
    <w:multiLevelType w:val="hybridMultilevel"/>
    <w:lvl w:ilvl="0">
      <w:lvlJc w:val="left"/>
      <w:lvlText w:val="•"/>
      <w:numFmt w:val="bullet"/>
      <w:start w:val="1"/>
    </w:lvl>
  </w:abstractNum>
  <w:abstractNum w:abstractNumId="201">
    <w:nsid w:val="57C5BB4F"/>
    <w:multiLevelType w:val="hybridMultilevel"/>
    <w:lvl w:ilvl="0">
      <w:lvlJc w:val="left"/>
      <w:lvlText w:val="(%1)"/>
      <w:numFmt w:val="lowerRoman"/>
      <w:start w:val="3"/>
    </w:lvl>
  </w:abstractNum>
  <w:abstractNum w:abstractNumId="202">
    <w:nsid w:val="1803D089"/>
    <w:multiLevelType w:val="hybridMultilevel"/>
    <w:lvl w:ilvl="0">
      <w:lvlJc w:val="left"/>
      <w:lvlText w:val="(%1)"/>
      <w:numFmt w:val="decimal"/>
      <w:start w:val="1"/>
    </w:lvl>
  </w:abstractNum>
  <w:abstractNum w:abstractNumId="203">
    <w:nsid w:val="4F3A06D4"/>
    <w:multiLevelType w:val="hybridMultilevel"/>
    <w:lvl w:ilvl="0">
      <w:lvlJc w:val="left"/>
      <w:lvlText w:val="(%1)"/>
      <w:numFmt w:val="decimal"/>
      <w:start w:val="1"/>
    </w:lvl>
  </w:abstractNum>
  <w:abstractNum w:abstractNumId="204">
    <w:nsid w:val="59A377B6"/>
    <w:multiLevelType w:val="hybridMultilevel"/>
    <w:lvl w:ilvl="0">
      <w:lvlJc w:val="left"/>
      <w:lvlText w:val="(%1)"/>
      <w:numFmt w:val="decimal"/>
      <w:start w:val="5"/>
    </w:lvl>
  </w:abstractNum>
  <w:abstractNum w:abstractNumId="205">
    <w:nsid w:val="48AEB063"/>
    <w:multiLevelType w:val="hybridMultilevel"/>
    <w:lvl w:ilvl="0">
      <w:lvlJc w:val="left"/>
      <w:lvlText w:val="(%1)"/>
      <w:numFmt w:val="lowerLetter"/>
      <w:start w:val="1"/>
    </w:lvl>
  </w:abstractNum>
  <w:abstractNum w:abstractNumId="206">
    <w:nsid w:val="24E135"/>
    <w:multiLevelType w:val="hybridMultilevel"/>
    <w:lvl w:ilvl="0">
      <w:lvlJc w:val="left"/>
      <w:lvlText w:val="(%1)"/>
      <w:numFmt w:val="decimal"/>
      <w:start w:val="6"/>
    </w:lvl>
  </w:abstractNum>
  <w:abstractNum w:abstractNumId="207">
    <w:nsid w:val="BB13C1"/>
    <w:multiLevelType w:val="hybridMultilevel"/>
    <w:lvl w:ilvl="0">
      <w:lvlJc w:val="left"/>
      <w:lvlText w:val="7"/>
      <w:numFmt w:val="bullet"/>
      <w:start w:val="1"/>
    </w:lvl>
  </w:abstractNum>
  <w:abstractNum w:abstractNumId="208">
    <w:nsid w:val="271210C7"/>
    <w:multiLevelType w:val="hybridMultilevel"/>
    <w:lvl w:ilvl="0">
      <w:lvlJc w:val="left"/>
      <w:lvlText w:val="8"/>
      <w:numFmt w:val="bullet"/>
      <w:start w:val="1"/>
    </w:lvl>
  </w:abstractNum>
  <w:abstractNum w:abstractNumId="209">
    <w:nsid w:val="217B22E4"/>
    <w:multiLevelType w:val="hybridMultilevel"/>
    <w:lvl w:ilvl="0">
      <w:lvlJc w:val="left"/>
      <w:lvlText w:val="9"/>
      <w:numFmt w:val="bullet"/>
      <w:start w:val="1"/>
    </w:lvl>
  </w:abstractNum>
  <w:abstractNum w:abstractNumId="210">
    <w:nsid w:val="53E31A24"/>
    <w:multiLevelType w:val="hybridMultilevel"/>
    <w:lvl w:ilvl="0">
      <w:lvlJc w:val="left"/>
      <w:lvlText w:val="1"/>
      <w:numFmt w:val="bullet"/>
      <w:start w:val="1"/>
    </w:lvl>
  </w:abstractNum>
  <w:abstractNum w:abstractNumId="211">
    <w:nsid w:val="6DC45E83"/>
    <w:multiLevelType w:val="hybridMultilevel"/>
    <w:lvl w:ilvl="0">
      <w:lvlJc w:val="left"/>
      <w:lvlText w:val="2"/>
      <w:numFmt w:val="bullet"/>
      <w:start w:val="1"/>
    </w:lvl>
  </w:abstractNum>
  <w:abstractNum w:abstractNumId="212">
    <w:nsid w:val="17304A67"/>
    <w:multiLevelType w:val="hybridMultilevel"/>
    <w:lvl w:ilvl="0">
      <w:lvlJc w:val="left"/>
      <w:lvlText w:val="3"/>
      <w:numFmt w:val="bullet"/>
      <w:start w:val="1"/>
    </w:lvl>
  </w:abstractNum>
  <w:abstractNum w:abstractNumId="213">
    <w:nsid w:val="2BB180D8"/>
    <w:multiLevelType w:val="hybridMultilevel"/>
    <w:lvl w:ilvl="0">
      <w:lvlJc w:val="left"/>
      <w:lvlText w:val="4"/>
      <w:numFmt w:val="bullet"/>
      <w:start w:val="1"/>
    </w:lvl>
  </w:abstractNum>
  <w:abstractNum w:abstractNumId="214">
    <w:nsid w:val="556B69ED"/>
    <w:multiLevelType w:val="hybridMultilevel"/>
    <w:lvl w:ilvl="0">
      <w:lvlJc w:val="left"/>
      <w:lvlText w:val="1"/>
      <w:numFmt w:val="bullet"/>
      <w:start w:val="1"/>
    </w:lvl>
  </w:abstractNum>
  <w:abstractNum w:abstractNumId="215">
    <w:nsid w:val="70836196"/>
    <w:multiLevelType w:val="hybridMultilevel"/>
    <w:lvl w:ilvl="0">
      <w:lvlJc w:val="left"/>
      <w:lvlText w:val="2"/>
      <w:numFmt w:val="bullet"/>
      <w:start w:val="1"/>
    </w:lvl>
  </w:abstractNum>
  <w:abstractNum w:abstractNumId="216">
    <w:nsid w:val="539F7F12"/>
    <w:multiLevelType w:val="hybridMultilevel"/>
    <w:lvl w:ilvl="0">
      <w:lvlJc w:val="left"/>
      <w:lvlText w:val="3"/>
      <w:numFmt w:val="bullet"/>
      <w:start w:val="1"/>
    </w:lvl>
  </w:abstractNum>
  <w:abstractNum w:abstractNumId="217">
    <w:nsid w:val="2817E7EC"/>
    <w:multiLevelType w:val="hybridMultilevel"/>
    <w:lvl w:ilvl="0">
      <w:lvlJc w:val="left"/>
      <w:lvlText w:val="8"/>
      <w:numFmt w:val="bullet"/>
      <w:start w:val="1"/>
    </w:lvl>
  </w:abstractNum>
  <w:abstractNum w:abstractNumId="218">
    <w:nsid w:val="71482545"/>
    <w:multiLevelType w:val="hybridMultilevel"/>
    <w:lvl w:ilvl="0">
      <w:lvlJc w:val="left"/>
      <w:lvlText w:val="3"/>
      <w:numFmt w:val="bullet"/>
      <w:start w:val="1"/>
    </w:lvl>
  </w:abstractNum>
  <w:abstractNum w:abstractNumId="219">
    <w:nsid w:val="17D78639"/>
    <w:multiLevelType w:val="hybridMultilevel"/>
    <w:lvl w:ilvl="0">
      <w:lvlJc w:val="left"/>
      <w:lvlText w:val="4"/>
      <w:numFmt w:val="bullet"/>
      <w:start w:val="1"/>
    </w:lvl>
  </w:abstractNum>
  <w:abstractNum w:abstractNumId="220">
    <w:nsid w:val="141D2302"/>
    <w:multiLevelType w:val="hybridMultilevel"/>
    <w:lvl w:ilvl="0">
      <w:lvlJc w:val="left"/>
      <w:lvlText w:val="5"/>
      <w:numFmt w:val="bullet"/>
      <w:start w:val="1"/>
    </w:lvl>
  </w:abstractNum>
  <w:abstractNum w:abstractNumId="221">
    <w:nsid w:val="407168D8"/>
    <w:multiLevelType w:val="hybridMultilevel"/>
    <w:lvl w:ilvl="0">
      <w:lvlJc w:val="left"/>
      <w:lvlText w:val="6"/>
      <w:numFmt w:val="bullet"/>
      <w:start w:val="1"/>
    </w:lvl>
  </w:abstractNum>
  <w:abstractNum w:abstractNumId="222">
    <w:nsid w:val="6A1B45E5"/>
    <w:multiLevelType w:val="hybridMultilevel"/>
    <w:lvl w:ilvl="0">
      <w:lvlJc w:val="left"/>
      <w:lvlText w:val="7"/>
      <w:numFmt w:val="bullet"/>
      <w:start w:val="1"/>
    </w:lvl>
  </w:abstractNum>
  <w:abstractNum w:abstractNumId="223">
    <w:nsid w:val="567BD50A"/>
    <w:multiLevelType w:val="hybridMultilevel"/>
    <w:lvl w:ilvl="0">
      <w:lvlJc w:val="left"/>
      <w:lvlText w:val="8"/>
      <w:numFmt w:val="bullet"/>
      <w:start w:val="1"/>
    </w:lvl>
  </w:abstractNum>
  <w:abstractNum w:abstractNumId="224">
    <w:nsid w:val="73BBD7F8"/>
    <w:multiLevelType w:val="hybridMultilevel"/>
    <w:lvl w:ilvl="0">
      <w:lvlJc w:val="left"/>
      <w:lvlText w:val="9"/>
      <w:numFmt w:val="bullet"/>
      <w:start w:val="1"/>
    </w:lvl>
  </w:abstractNum>
  <w:abstractNum w:abstractNumId="225">
    <w:nsid w:val="1876589D"/>
    <w:multiLevelType w:val="hybridMultilevel"/>
    <w:lvl w:ilvl="0">
      <w:lvlJc w:val="left"/>
      <w:lvlText w:val="%1"/>
      <w:numFmt w:val="decimal"/>
      <w:start w:val="10"/>
    </w:lvl>
  </w:abstractNum>
  <w:abstractNum w:abstractNumId="226">
    <w:nsid w:val="327FAC77"/>
    <w:multiLevelType w:val="hybridMultilevel"/>
    <w:lvl w:ilvl="0">
      <w:lvlJc w:val="left"/>
      <w:lvlText w:val="%1"/>
      <w:numFmt w:val="decimal"/>
      <w:start w:val="15"/>
    </w:lvl>
  </w:abstractNum>
  <w:abstractNum w:abstractNumId="227">
    <w:nsid w:val="5A606509"/>
    <w:multiLevelType w:val="hybridMultilevel"/>
    <w:lvl w:ilvl="0">
      <w:lvlJc w:val="left"/>
      <w:lvlText w:val="2"/>
      <w:numFmt w:val="bullet"/>
      <w:start w:val="1"/>
    </w:lvl>
  </w:abstractNum>
  <w:abstractNum w:abstractNumId="228">
    <w:nsid w:val="6F38E6D1"/>
    <w:multiLevelType w:val="hybridMultilevel"/>
    <w:lvl w:ilvl="0">
      <w:lvlJc w:val="left"/>
      <w:lvlText w:val="3"/>
      <w:numFmt w:val="bullet"/>
      <w:start w:val="1"/>
    </w:lvl>
  </w:abstractNum>
  <w:abstractNum w:abstractNumId="229">
    <w:nsid w:val="46111BA5"/>
    <w:multiLevelType w:val="hybridMultilevel"/>
    <w:lvl w:ilvl="0">
      <w:lvlJc w:val="left"/>
      <w:lvlText w:val="4"/>
      <w:numFmt w:val="bullet"/>
      <w:start w:val="1"/>
    </w:lvl>
  </w:abstractNum>
  <w:abstractNum w:abstractNumId="230">
    <w:nsid w:val="5E963896"/>
    <w:multiLevelType w:val="hybridMultilevel"/>
    <w:lvl w:ilvl="0">
      <w:lvlJc w:val="left"/>
      <w:lvlText w:val="5"/>
      <w:numFmt w:val="bullet"/>
      <w:start w:val="1"/>
    </w:lvl>
  </w:abstractNum>
  <w:abstractNum w:abstractNumId="231">
    <w:nsid w:val="775BA7C1"/>
    <w:multiLevelType w:val="hybridMultilevel"/>
    <w:lvl w:ilvl="0">
      <w:lvlJc w:val="left"/>
      <w:lvlText w:val="6"/>
      <w:numFmt w:val="bullet"/>
      <w:start w:val="1"/>
    </w:lvl>
  </w:abstractNum>
  <w:abstractNum w:abstractNumId="232">
    <w:nsid w:val="1DD6D6F4"/>
    <w:multiLevelType w:val="hybridMultilevel"/>
    <w:lvl w:ilvl="0">
      <w:lvlJc w:val="left"/>
      <w:lvlText w:val="7"/>
      <w:numFmt w:val="bullet"/>
      <w:start w:val="1"/>
    </w:lvl>
  </w:abstractNum>
  <w:abstractNum w:abstractNumId="233">
    <w:nsid w:val="769A091F"/>
    <w:multiLevelType w:val="hybridMultilevel"/>
    <w:lvl w:ilvl="0">
      <w:lvlJc w:val="left"/>
      <w:lvlText w:val="8"/>
      <w:numFmt w:val="bullet"/>
      <w:start w:val="1"/>
    </w:lvl>
  </w:abstractNum>
  <w:abstractNum w:abstractNumId="234">
    <w:nsid w:val="4695AE95"/>
    <w:multiLevelType w:val="hybridMultilevel"/>
    <w:lvl w:ilvl="0">
      <w:lvlJc w:val="left"/>
      <w:lvlText w:val="9"/>
      <w:numFmt w:val="bullet"/>
      <w:start w:val="1"/>
    </w:lvl>
  </w:abstractNum>
  <w:abstractNum w:abstractNumId="235">
    <w:nsid w:val="777A4EAA"/>
    <w:multiLevelType w:val="hybridMultilevel"/>
    <w:lvl w:ilvl="0">
      <w:lvlJc w:val="left"/>
      <w:lvlText w:val="%1"/>
      <w:numFmt w:val="decimal"/>
      <w:start w:val="10"/>
    </w:lvl>
  </w:abstractNum>
  <w:abstractNum w:abstractNumId="236">
    <w:nsid w:val="3F48B982"/>
    <w:multiLevelType w:val="hybridMultilevel"/>
    <w:lvl w:ilvl="0">
      <w:lvlJc w:val="left"/>
      <w:lvlText w:val="1"/>
      <w:numFmt w:val="bullet"/>
      <w:start w:val="1"/>
    </w:lvl>
  </w:abstractNum>
  <w:abstractNum w:abstractNumId="237">
    <w:nsid w:val="46BA8FCA"/>
    <w:multiLevelType w:val="hybridMultilevel"/>
    <w:lvl w:ilvl="0">
      <w:lvlJc w:val="left"/>
      <w:lvlText w:val="%1)"/>
      <w:numFmt w:val="lowerLetter"/>
      <w:start w:val="1"/>
    </w:lvl>
  </w:abstractNum>
  <w:abstractNum w:abstractNumId="238">
    <w:nsid w:val="7835626C"/>
    <w:multiLevelType w:val="hybridMultilevel"/>
    <w:lvl w:ilvl="0">
      <w:lvlJc w:val="left"/>
      <w:lvlText w:val="%1."/>
      <w:numFmt w:val="decimal"/>
      <w:start w:val="1"/>
    </w:lvl>
    <w:lvl w:ilvl="1">
      <w:lvlJc w:val="left"/>
      <w:lvlText w:val="%2."/>
      <w:numFmt w:val="lowerLetter"/>
      <w:start w:val="1"/>
    </w:lvl>
  </w:abstractNum>
  <w:abstractNum w:abstractNumId="239">
    <w:nsid w:val="665ACA49"/>
    <w:multiLevelType w:val="hybridMultilevel"/>
    <w:lvl w:ilvl="0">
      <w:lvlJc w:val="left"/>
      <w:lvlText w:val="%1."/>
      <w:numFmt w:val="decimal"/>
      <w:start w:val="10"/>
    </w:lvl>
  </w:abstractNum>
  <w:abstractNum w:abstractNumId="240">
    <w:nsid w:val="6835B2AE"/>
    <w:multiLevelType w:val="hybridMultilevel"/>
    <w:lvl w:ilvl="0">
      <w:lvlJc w:val="left"/>
      <w:lvlText w:val="%1."/>
      <w:numFmt w:val="decimal"/>
      <w:start w:val="1"/>
    </w:lvl>
  </w:abstractNum>
  <w:abstractNum w:abstractNumId="241">
    <w:nsid w:val="4C187C90"/>
    <w:multiLevelType w:val="hybridMultilevel"/>
    <w:lvl w:ilvl="0">
      <w:lvlJc w:val="left"/>
      <w:lvlText w:val="%1."/>
      <w:numFmt w:val="decimal"/>
      <w:start w:val="1"/>
    </w:lvl>
  </w:abstractNum>
  <w:abstractNum w:abstractNumId="242">
    <w:nsid w:val="541F28CD"/>
    <w:multiLevelType w:val="hybridMultilevel"/>
    <w:lvl w:ilvl="0">
      <w:lvlJc w:val="left"/>
      <w:lvlText w:val="%1."/>
      <w:numFmt w:val="decimal"/>
      <w:start w:val="25"/>
    </w:lvl>
  </w:abstractNum>
  <w:abstractNum w:abstractNumId="243">
    <w:nsid w:val="7F65FD16"/>
    <w:multiLevelType w:val="hybridMultilevel"/>
    <w:lvl w:ilvl="0">
      <w:lvlJc w:val="left"/>
      <w:lvlText w:val="(%1)"/>
      <w:numFmt w:val="decimal"/>
      <w:start w:val="2"/>
    </w:lvl>
  </w:abstractNum>
  <w:abstractNum w:abstractNumId="244">
    <w:nsid w:val="77C9FD68"/>
    <w:multiLevelType w:val="hybridMultilevel"/>
    <w:lvl w:ilvl="0">
      <w:lvlJc w:val="left"/>
      <w:lvlText w:val="(%1)"/>
      <w:numFmt w:val="lowerLetter"/>
      <w:start w:val="1"/>
    </w:lvl>
  </w:abstractNum>
  <w:abstractNum w:abstractNumId="245">
    <w:nsid w:val="298A92BA"/>
    <w:multiLevelType w:val="hybridMultilevel"/>
    <w:lvl w:ilvl="0">
      <w:lvlJc w:val="left"/>
      <w:lvlText w:val="(%1)"/>
      <w:numFmt w:val="lowerLetter"/>
      <w:start w:val="1"/>
    </w:lvl>
  </w:abstractNum>
  <w:abstractNum w:abstractNumId="246">
    <w:nsid w:val="6FE95EAC"/>
    <w:multiLevelType w:val="hybridMultilevel"/>
    <w:lvl w:ilvl="0">
      <w:lvlJc w:val="left"/>
      <w:lvlText w:val="%1."/>
      <w:numFmt w:val="decimal"/>
      <w:start w:val="2"/>
    </w:lvl>
  </w:abstractNum>
  <w:abstractNum w:abstractNumId="247">
    <w:nsid w:val="4B697C7A"/>
    <w:multiLevelType w:val="hybridMultilevel"/>
    <w:lvl w:ilvl="0">
      <w:lvlJc w:val="left"/>
      <w:lvlText w:val="%1."/>
      <w:numFmt w:val="decimal"/>
      <w:start w:val="5"/>
    </w:lvl>
  </w:abstractNum>
  <w:abstractNum w:abstractNumId="248">
    <w:nsid w:val="51A27AA6"/>
    <w:multiLevelType w:val="hybridMultilevel"/>
    <w:lvl w:ilvl="0">
      <w:lvlJc w:val="left"/>
      <w:lvlText w:val="%1."/>
      <w:numFmt w:val="decimal"/>
      <w:start w:val="1"/>
    </w:lvl>
  </w:abstractNum>
  <w:abstractNum w:abstractNumId="249">
    <w:nsid w:val="613183F2"/>
    <w:multiLevelType w:val="hybridMultilevel"/>
    <w:lvl w:ilvl="0">
      <w:lvlJc w:val="left"/>
      <w:lvlText w:val="%1."/>
      <w:numFmt w:val="decimal"/>
      <w:start w:val="5"/>
    </w:lvl>
  </w:abstractNum>
  <w:abstractNum w:abstractNumId="250">
    <w:nsid w:val="634102B4"/>
    <w:multiLevelType w:val="hybridMultilevel"/>
    <w:lvl w:ilvl="0">
      <w:lvlJc w:val="left"/>
      <w:lvlText w:val="%1."/>
      <w:numFmt w:val="decimal"/>
      <w:start w:val="16"/>
    </w:lvl>
  </w:abstractNum>
  <w:abstractNum w:abstractNumId="251">
    <w:nsid w:val="65BF9DA8"/>
    <w:multiLevelType w:val="hybridMultilevel"/>
    <w:lvl w:ilvl="0">
      <w:lvlJc w:val="left"/>
      <w:lvlText w:val="%1."/>
      <w:numFmt w:val="decimal"/>
      <w:start w:val="22"/>
    </w:lvl>
  </w:abstractNum>
  <w:abstractNum w:abstractNumId="252">
    <w:nsid w:val="21A2ECCA"/>
    <w:multiLevelType w:val="hybridMultilevel"/>
    <w:lvl w:ilvl="0">
      <w:lvlJc w:val="left"/>
      <w:lvlText w:val="%1."/>
      <w:numFmt w:val="decimal"/>
      <w:start w:val="1"/>
    </w:lvl>
  </w:abstractNum>
  <w:abstractNum w:abstractNumId="253">
    <w:nsid w:val="4D5C4899"/>
    <w:multiLevelType w:val="hybridMultilevel"/>
    <w:lvl w:ilvl="0">
      <w:lvlJc w:val="left"/>
      <w:lvlText w:val="%1."/>
      <w:numFmt w:val="decimal"/>
      <w:start w:val="3"/>
    </w:lvl>
  </w:abstractNum>
  <w:abstractNum w:abstractNumId="254">
    <w:nsid w:val="3C3B72B2"/>
    <w:multiLevelType w:val="hybridMultilevel"/>
    <w:lvl w:ilvl="0">
      <w:lvlJc w:val="left"/>
      <w:lvlText w:val="%1."/>
      <w:numFmt w:val="decimal"/>
      <w:start w:val="8"/>
    </w:lvl>
  </w:abstractNum>
  <w:abstractNum w:abstractNumId="255">
    <w:nsid w:val="155EC4C2"/>
    <w:multiLevelType w:val="hybridMultilevel"/>
    <w:lvl w:ilvl="0">
      <w:lvlJc w:val="left"/>
      <w:lvlText w:val="%1."/>
      <w:numFmt w:val="decimal"/>
      <w:start w:val="10"/>
    </w:lvl>
  </w:abstractNum>
  <w:abstractNum w:abstractNumId="256">
    <w:nsid w:val="65D2A137"/>
    <w:multiLevelType w:val="hybridMultilevel"/>
    <w:lvl w:ilvl="0">
      <w:lvlJc w:val="left"/>
      <w:lvlText w:val="%1"/>
      <w:numFmt w:val="lowerRoman"/>
      <w:start w:val="1"/>
    </w:lvl>
    <w:lvl w:ilvl="1">
      <w:lvlJc w:val="left"/>
      <w:lvlText w:val="%2."/>
      <w:numFmt w:val="decimal"/>
      <w:start w:val="1"/>
    </w:lvl>
  </w:abstractNum>
  <w:abstractNum w:abstractNumId="257">
    <w:nsid w:val="6EBB1F2A"/>
    <w:multiLevelType w:val="hybridMultilevel"/>
    <w:lvl w:ilvl="0">
      <w:lvlJc w:val="left"/>
      <w:lvlText w:val="(%1)"/>
      <w:numFmt w:val="lowerRoman"/>
      <w:start w:val="2"/>
    </w:lvl>
    <w:lvl w:ilvl="1">
      <w:lvlJc w:val="left"/>
      <w:lvlText w:val="%2."/>
      <w:numFmt w:val="decimal"/>
      <w:start w:val="2"/>
    </w:lvl>
  </w:abstractNum>
  <w:abstractNum w:abstractNumId="258">
    <w:nsid w:val="6FBF29CB"/>
    <w:multiLevelType w:val="hybridMultilevel"/>
    <w:lvl w:ilvl="0">
      <w:lvlJc w:val="left"/>
      <w:lvlText w:val="%1"/>
      <w:numFmt w:val="lowerLetter"/>
      <w:start w:val="1"/>
    </w:lvl>
    <w:lvl w:ilvl="1">
      <w:lvlJc w:val="left"/>
      <w:lvlText w:val="%2."/>
      <w:numFmt w:val="decimal"/>
      <w:start w:val="3"/>
    </w:lvl>
  </w:abstractNum>
  <w:abstractNum w:abstractNumId="259">
    <w:nsid w:val="550B8808"/>
    <w:multiLevelType w:val="hybridMultilevel"/>
    <w:lvl w:ilvl="0">
      <w:lvlJc w:val="left"/>
      <w:lvlText w:val="(%1)"/>
      <w:numFmt w:val="lowerLetter"/>
      <w:start w:val="2"/>
    </w:lvl>
    <w:lvl w:ilvl="1">
      <w:lvlJc w:val="left"/>
      <w:lvlText w:val="%2"/>
      <w:numFmt w:val="decimal"/>
      <w:start w:val="1"/>
    </w:lvl>
  </w:abstractNum>
  <w:abstractNum w:abstractNumId="260">
    <w:nsid w:val="34CC3ACF"/>
    <w:multiLevelType w:val="hybridMultilevel"/>
    <w:lvl w:ilvl="0">
      <w:lvlJc w:val="left"/>
      <w:lvlText w:val="%1"/>
      <w:numFmt w:val="lowerLetter"/>
      <w:start w:val="1"/>
    </w:lvl>
    <w:lvl w:ilvl="1">
      <w:lvlJc w:val="left"/>
      <w:lvlText w:val="%2."/>
      <w:numFmt w:val="decimal"/>
      <w:start w:val="4"/>
    </w:lvl>
  </w:abstractNum>
  <w:abstractNum w:abstractNumId="261">
    <w:nsid w:val="4E556261"/>
    <w:multiLevelType w:val="hybridMultilevel"/>
    <w:lvl w:ilvl="0">
      <w:lvlJc w:val="left"/>
      <w:lvlText w:val="(%1)"/>
      <w:numFmt w:val="lowerLetter"/>
      <w:start w:val="1"/>
    </w:lvl>
    <w:lvl w:ilvl="1">
      <w:lvlJc w:val="left"/>
      <w:lvlText w:val="%2"/>
      <w:numFmt w:val="decimal"/>
      <w:start w:val="1"/>
    </w:lvl>
  </w:abstractNum>
  <w:abstractNum w:abstractNumId="262">
    <w:nsid w:val="4C672FC9"/>
    <w:multiLevelType w:val="hybridMultilevel"/>
    <w:lvl w:ilvl="0">
      <w:lvlJc w:val="left"/>
      <w:lvlText w:val="%1."/>
      <w:numFmt w:val="decimal"/>
      <w:start w:val="7"/>
    </w:lvl>
    <w:lvl w:ilvl="1">
      <w:lvlJc w:val="left"/>
      <w:lvlText w:val="(%2)"/>
      <w:numFmt w:val="lowerLetter"/>
      <w:start w:val="1"/>
    </w:lvl>
  </w:abstractNum>
  <w:abstractNum w:abstractNumId="263">
    <w:nsid w:val="52A311C3"/>
    <w:multiLevelType w:val="hybridMultilevel"/>
    <w:lvl w:ilvl="0">
      <w:lvlJc w:val="left"/>
      <w:lvlText w:val="(%1)"/>
      <w:numFmt w:val="lowerLetter"/>
      <w:start w:val="1"/>
    </w:lvl>
  </w:abstractNum>
  <w:abstractNum w:abstractNumId="264">
    <w:nsid w:val="44EF6B80"/>
    <w:multiLevelType w:val="hybridMultilevel"/>
    <w:lvl w:ilvl="0">
      <w:lvlJc w:val="left"/>
      <w:lvlText w:val="(%1)"/>
      <w:numFmt w:val="lowerLetter"/>
      <w:start w:val="1"/>
    </w:lvl>
  </w:abstractNum>
  <w:abstractNum w:abstractNumId="265">
    <w:nsid w:val="12FCDE5E"/>
    <w:multiLevelType w:val="hybridMultilevel"/>
    <w:lvl w:ilvl="0">
      <w:lvlJc w:val="left"/>
      <w:lvlText w:val="(%1)"/>
      <w:numFmt w:val="lowerLetter"/>
      <w:start w:val="4"/>
    </w:lvl>
  </w:abstractNum>
  <w:abstractNum w:abstractNumId="266">
    <w:nsid w:val="4A1D606E"/>
    <w:multiLevelType w:val="hybridMultilevel"/>
    <w:lvl w:ilvl="0">
      <w:lvlJc w:val="left"/>
      <w:lvlText w:val="(%1)"/>
      <w:numFmt w:val="lowerLetter"/>
      <w:start w:val="7"/>
    </w:lvl>
  </w:abstractNum>
  <w:abstractNum w:abstractNumId="267">
    <w:nsid w:val="4382503"/>
    <w:multiLevelType w:val="hybridMultilevel"/>
    <w:lvl w:ilvl="0">
      <w:lvlJc w:val="left"/>
      <w:lvlText w:val="%1"/>
      <w:numFmt w:val="lowerRoman"/>
      <w:start w:val="1"/>
    </w:lvl>
    <w:lvl w:ilvl="1">
      <w:lvlJc w:val="left"/>
      <w:lvlText w:val="%2."/>
      <w:numFmt w:val="decimal"/>
      <w:start w:val="1"/>
    </w:lvl>
  </w:abstractNum>
  <w:abstractNum w:abstractNumId="268">
    <w:nsid w:val="59B76E28"/>
    <w:multiLevelType w:val="hybridMultilevel"/>
    <w:lvl w:ilvl="0">
      <w:lvlJc w:val="left"/>
      <w:lvlText w:val="(%1)"/>
      <w:numFmt w:val="lowerRoman"/>
      <w:start w:val="4"/>
    </w:lvl>
    <w:lvl w:ilvl="1">
      <w:lvlJc w:val="left"/>
      <w:lvlText w:val="%2"/>
      <w:numFmt w:val="decimal"/>
      <w:start w:val="1"/>
    </w:lvl>
  </w:abstractNum>
  <w:abstractNum w:abstractNumId="269">
    <w:nsid w:val="4252C2DA"/>
    <w:multiLevelType w:val="hybridMultilevel"/>
    <w:lvl w:ilvl="0">
      <w:lvlJc w:val="left"/>
      <w:lvlText w:val="%1."/>
      <w:numFmt w:val="decimal"/>
      <w:start w:val="2"/>
    </w:lvl>
  </w:abstractNum>
  <w:abstractNum w:abstractNumId="270">
    <w:nsid w:val="6A92EF4C"/>
    <w:multiLevelType w:val="hybridMultilevel"/>
    <w:lvl w:ilvl="0">
      <w:lvlJc w:val="left"/>
      <w:lvlText w:val="%1."/>
      <w:numFmt w:val="decimal"/>
      <w:start w:val="6"/>
    </w:lvl>
  </w:abstractNum>
  <w:abstractNum w:abstractNumId="271">
    <w:nsid w:val="41ED20D7"/>
    <w:multiLevelType w:val="hybridMultilevel"/>
    <w:lvl w:ilvl="0">
      <w:lvlJc w:val="left"/>
      <w:lvlText w:val="%1."/>
      <w:numFmt w:val="decimal"/>
      <w:start w:val="1"/>
    </w:lvl>
  </w:abstractNum>
  <w:abstractNum w:abstractNumId="272">
    <w:nsid w:val="E6B3F6A"/>
    <w:multiLevelType w:val="hybridMultilevel"/>
    <w:lvl w:ilvl="0">
      <w:lvlJc w:val="left"/>
      <w:lvlText w:val="%1."/>
      <w:numFmt w:val="decimal"/>
      <w:start w:val="1"/>
    </w:lvl>
  </w:abstractNum>
  <w:abstractNum w:abstractNumId="273">
    <w:nsid w:val="3EB21819"/>
    <w:multiLevelType w:val="hybridMultilevel"/>
    <w:lvl w:ilvl="0">
      <w:lvlJc w:val="left"/>
      <w:lvlText w:val="%1."/>
      <w:numFmt w:val="decimal"/>
      <w:start w:val="1"/>
    </w:lvl>
  </w:abstractNum>
  <w:abstractNum w:abstractNumId="274">
    <w:nsid w:val="41531DED"/>
    <w:multiLevelType w:val="hybridMultilevel"/>
    <w:lvl w:ilvl="0">
      <w:lvlJc w:val="left"/>
      <w:lvlText w:val="%1."/>
      <w:numFmt w:val="decimal"/>
      <w:start w:val="1"/>
    </w:lvl>
  </w:abstractNum>
  <w:abstractNum w:abstractNumId="275">
    <w:nsid w:val="6353CD2"/>
    <w:multiLevelType w:val="hybridMultilevel"/>
    <w:lvl w:ilvl="0">
      <w:lvlJc w:val="left"/>
      <w:lvlText w:val="%1."/>
      <w:numFmt w:val="decimal"/>
      <w:start w:val="3"/>
    </w:lvl>
  </w:abstractNum>
  <w:abstractNum w:abstractNumId="276">
    <w:nsid w:val="683CAAD3"/>
    <w:multiLevelType w:val="hybridMultilevel"/>
    <w:lvl w:ilvl="0">
      <w:lvlJc w:val="left"/>
      <w:lvlText w:val="(%1)"/>
      <w:numFmt w:val="lowerRoman"/>
      <w:start w:val="2"/>
    </w:lvl>
  </w:abstractNum>
  <w:abstractNum w:abstractNumId="277">
    <w:nsid w:val="313C7C9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2019-12-07T16:37:09Z</dcterms:created>
  <dcterms:modified xsi:type="dcterms:W3CDTF">2019-12-07T16:37:09Z</dcterms:modified>
</cp:coreProperties>
</file>