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13G</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Dropbox Inc</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CUSIP Number: 26210C104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80" w:right="10500" w:firstLine="4"/>
        <w:spacing w:after="0" w:line="299" w:lineRule="auto"/>
        <w:tabs>
          <w:tab w:leader="none" w:pos="376"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2" w:lineRule="exact"/>
        <w:rPr>
          <w:sz w:val="24"/>
          <w:szCs w:val="24"/>
          <w:color w:val="auto"/>
        </w:rPr>
      </w:pPr>
    </w:p>
    <w:p>
      <w:pPr>
        <w:ind w:right="3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7" w:lineRule="exact"/>
        <w:rPr>
          <w:sz w:val="24"/>
          <w:szCs w:val="24"/>
          <w:color w:val="auto"/>
        </w:rPr>
      </w:pPr>
    </w:p>
    <w:p>
      <w:pPr>
        <w:ind w:firstLine="87"/>
        <w:spacing w:after="0" w:line="30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64667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900"/>
          </w:cols>
          <w:pgMar w:left="120" w:top="94" w:right="220" w:bottom="1440" w:gutter="0" w:footer="0" w:header="0"/>
        </w:sectPr>
      </w:pPr>
    </w:p>
    <w:bookmarkStart w:id="1" w:name="page2"/>
    <w:bookmarkEnd w:id="1"/>
    <w:p>
      <w:pPr>
        <w:ind w:left="5846"/>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CUSIP No.: 26210C104</w:t>
      </w:r>
    </w:p>
    <w:p>
      <w:pPr>
        <w:spacing w:after="0" w:line="200" w:lineRule="exact"/>
        <w:rPr>
          <w:sz w:val="20"/>
          <w:szCs w:val="20"/>
          <w:color w:val="auto"/>
        </w:rPr>
      </w:pPr>
    </w:p>
    <w:p>
      <w:pPr>
        <w:spacing w:after="0" w:line="219" w:lineRule="exact"/>
        <w:rPr>
          <w:sz w:val="20"/>
          <w:szCs w:val="20"/>
          <w:color w:val="auto"/>
        </w:rPr>
      </w:pPr>
    </w:p>
    <w:p>
      <w:pPr>
        <w:ind w:left="226" w:hanging="226"/>
        <w:spacing w:after="0"/>
        <w:tabs>
          <w:tab w:leader="none" w:pos="226"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0" w:lineRule="exact"/>
        <w:rPr>
          <w:rFonts w:ascii="Arial" w:cs="Arial" w:eastAsia="Arial" w:hAnsi="Arial"/>
          <w:sz w:val="18"/>
          <w:szCs w:val="18"/>
          <w:color w:val="auto"/>
        </w:rPr>
      </w:pPr>
    </w:p>
    <w:p>
      <w:pPr>
        <w:ind w:left="646" w:hanging="543"/>
        <w:spacing w:after="0"/>
        <w:tabs>
          <w:tab w:leader="none" w:pos="646"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2" w:lineRule="exact"/>
        <w:rPr>
          <w:rFonts w:ascii="Arial" w:cs="Arial" w:eastAsia="Arial" w:hAnsi="Arial"/>
          <w:sz w:val="18"/>
          <w:szCs w:val="18"/>
          <w:color w:val="auto"/>
        </w:rPr>
      </w:pPr>
    </w:p>
    <w:p>
      <w:pPr>
        <w:ind w:left="646"/>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04"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2" w:lineRule="exact"/>
        <w:rPr>
          <w:sz w:val="20"/>
          <w:szCs w:val="20"/>
          <w:color w:val="auto"/>
        </w:rPr>
      </w:pPr>
    </w:p>
    <w:p>
      <w:pPr>
        <w:ind w:left="86" w:right="86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18,329</w:t>
      </w:r>
    </w:p>
    <w:p>
      <w:pPr>
        <w:ind w:left="226" w:hanging="226"/>
        <w:spacing w:after="0"/>
        <w:tabs>
          <w:tab w:leader="none" w:pos="226"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86" w:right="82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11,407,487</w:t>
      </w:r>
    </w:p>
    <w:p>
      <w:pPr>
        <w:ind w:left="126" w:right="7920" w:hanging="126"/>
        <w:spacing w:after="0" w:line="496"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18,329</w:t>
      </w:r>
    </w:p>
    <w:p>
      <w:pPr>
        <w:ind w:left="86" w:right="3900" w:hanging="86"/>
        <w:spacing w:after="0" w:line="496" w:lineRule="auto"/>
        <w:tabs>
          <w:tab w:leader="none" w:pos="2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11,425,816</w:t>
      </w:r>
    </w:p>
    <w:p>
      <w:pPr>
        <w:ind w:left="86" w:right="3280" w:hanging="86"/>
        <w:spacing w:after="0" w:line="496" w:lineRule="auto"/>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06" w:hanging="306"/>
        <w:spacing w:after="0"/>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86"/>
        <w:spacing w:after="0"/>
        <w:rPr>
          <w:sz w:val="20"/>
          <w:szCs w:val="20"/>
          <w:color w:val="auto"/>
        </w:rPr>
      </w:pPr>
      <w:r>
        <w:rPr>
          <w:rFonts w:ascii="Arial" w:cs="Arial" w:eastAsia="Arial" w:hAnsi="Arial"/>
          <w:sz w:val="18"/>
          <w:szCs w:val="18"/>
          <w:color w:val="auto"/>
        </w:rPr>
        <w:t>6.80%</w:t>
      </w:r>
    </w:p>
    <w:p>
      <w:pPr>
        <w:spacing w:after="0" w:line="221" w:lineRule="exact"/>
        <w:rPr>
          <w:sz w:val="20"/>
          <w:szCs w:val="20"/>
          <w:color w:val="auto"/>
        </w:rPr>
      </w:pPr>
    </w:p>
    <w:p>
      <w:pPr>
        <w:ind w:left="306" w:hanging="306"/>
        <w:spacing w:after="0"/>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0"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87630</wp:posOffset>
            </wp:positionV>
            <wp:extent cx="76466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6"/>
          </w:cols>
          <w:pgMar w:left="114" w:top="236" w:right="1440" w:bottom="1440" w:gutter="0" w:footer="0" w:header="0"/>
        </w:sectPr>
      </w:pPr>
    </w:p>
    <w:bookmarkStart w:id="2" w:name="page3"/>
    <w:bookmarkEnd w:id="2"/>
    <w:p>
      <w:pPr>
        <w:jc w:val="center"/>
        <w:ind w:right="-13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319"/>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jc w:val="center"/>
        <w:ind w:right="-131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319"/>
        <w:spacing w:after="0"/>
        <w:rPr>
          <w:sz w:val="20"/>
          <w:szCs w:val="20"/>
          <w:color w:val="auto"/>
        </w:rPr>
      </w:pPr>
      <w:r>
        <w:rPr>
          <w:rFonts w:ascii="Arial" w:cs="Arial" w:eastAsia="Arial" w:hAnsi="Arial"/>
          <w:sz w:val="18"/>
          <w:szCs w:val="18"/>
          <w:color w:val="auto"/>
        </w:rPr>
        <w:t>Under the Securities Act of 1934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Dropbox Inc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333 Brannan Street</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San Francisco, California 94107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Vanguard Group - 23-1945930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Pennsylvania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26210C104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1" w:lineRule="exact"/>
        <w:rPr>
          <w:sz w:val="20"/>
          <w:szCs w:val="20"/>
          <w:color w:val="auto"/>
        </w:rPr>
      </w:pPr>
    </w:p>
    <w:p>
      <w:pPr>
        <w:ind w:left="80" w:right="8220" w:firstLine="4"/>
        <w:spacing w:after="0" w:line="496"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11,425,816</w:t>
      </w:r>
    </w:p>
    <w:p>
      <w:pPr>
        <w:ind w:left="340" w:hanging="25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6466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0"/>
          </w:cols>
          <w:pgMar w:left="120" w:top="236" w:right="1440" w:bottom="1440" w:gutter="0" w:footer="0" w:header="0"/>
        </w:sectPr>
      </w:pPr>
    </w:p>
    <w:bookmarkStart w:id="3" w:name="page4"/>
    <w:bookmarkEnd w:id="3"/>
    <w:p>
      <w:pPr>
        <w:ind w:left="380" w:hanging="296"/>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0" w:lineRule="exact"/>
        <w:rPr>
          <w:rFonts w:ascii="Arial" w:cs="Arial" w:eastAsia="Arial" w:hAnsi="Arial"/>
          <w:sz w:val="18"/>
          <w:szCs w:val="18"/>
          <w:color w:val="auto"/>
        </w:rPr>
      </w:pPr>
    </w:p>
    <w:p>
      <w:pPr>
        <w:ind w:left="340" w:hanging="25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18,329</w:t>
      </w:r>
    </w:p>
    <w:p>
      <w:pPr>
        <w:spacing w:after="0" w:line="220" w:lineRule="exact"/>
        <w:rPr>
          <w:rFonts w:ascii="Arial" w:cs="Arial" w:eastAsia="Arial" w:hAnsi="Arial"/>
          <w:sz w:val="18"/>
          <w:szCs w:val="18"/>
          <w:color w:val="auto"/>
        </w:rPr>
      </w:pPr>
    </w:p>
    <w:p>
      <w:pPr>
        <w:ind w:left="400" w:hanging="316"/>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0" w:lineRule="exact"/>
        <w:rPr>
          <w:rFonts w:ascii="Arial" w:cs="Arial" w:eastAsia="Arial" w:hAnsi="Arial"/>
          <w:sz w:val="18"/>
          <w:szCs w:val="18"/>
          <w:color w:val="auto"/>
        </w:rPr>
      </w:pPr>
    </w:p>
    <w:p>
      <w:pPr>
        <w:ind w:left="80" w:right="6540" w:firstLine="4"/>
        <w:spacing w:after="0" w:line="558"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11,407,487 (iv) shared power to dispose or to direct the disposition of: 18,329</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Attached 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1" w:lineRule="exact"/>
        <w:rPr>
          <w:sz w:val="20"/>
          <w:szCs w:val="20"/>
          <w:color w:val="auto"/>
        </w:rPr>
      </w:pPr>
    </w:p>
    <w:p>
      <w:pPr>
        <w:jc w:val="both"/>
        <w:ind w:firstLine="90"/>
        <w:spacing w:after="0" w:line="26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02/11/2019</w:t>
      </w:r>
    </w:p>
    <w:p>
      <w:pPr>
        <w:spacing w:after="0" w:line="2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-11430</wp:posOffset>
            </wp:positionV>
            <wp:extent cx="1297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Name: Christine M. Buchanan</w:t>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64667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820"/>
          </w:cols>
          <w:pgMar w:left="120" w:top="236" w:right="30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ind w:firstLine="42"/>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18,329 shares or .01% of the Common Stock outstanding of the Company as a result of its serving as investment manager of collective trust accounts.</w:t>
      </w:r>
    </w:p>
    <w:p>
      <w:pPr>
        <w:sectPr>
          <w:pgSz w:w="12240" w:h="15840" w:orient="portrait"/>
          <w:cols w:equalWidth="0" w:num="1">
            <w:col w:w="11700"/>
          </w:cols>
          <w:pgMar w:left="120" w:top="236" w:right="420" w:bottom="1440" w:gutter="0" w:footer="0" w:header="0"/>
        </w:sectPr>
      </w:pPr>
    </w:p>
    <w:p>
      <w:pPr>
        <w:spacing w:after="0" w:line="167"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Vanguard Investments Australia, Ltd. ("VIA"), a wholly-owned subsidiary of The Vanguard Group, Inc., is the beneficial owner of Common Stock outstanding of the Company as a result of its serving as investment manager of Australian investment offerings.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shares or .00% of the</w:t>
      </w:r>
    </w:p>
    <w:sectPr>
      <w:pgSz w:w="12240" w:h="15840" w:orient="portrait"/>
      <w:cols w:equalWidth="0" w:num="2">
        <w:col w:w="9420" w:space="320"/>
        <w:col w:w="1960"/>
      </w:cols>
      <w:pgMar w:left="120" w:top="236" w:right="42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2019-12-15T16:50:03Z</dcterms:created>
  <dcterms:modified xsi:type="dcterms:W3CDTF">2019-12-15T16:50:03Z</dcterms:modified>
</cp:coreProperties>
</file>