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February 19, 2021</w:t>
      </w:r>
    </w:p>
    <w:p>
      <w:pPr>
        <w:spacing w:after="0" w:line="55" w:lineRule="exact"/>
        <w:rPr>
          <w:sz w:val="24"/>
          <w:szCs w:val="24"/>
          <w:color w:val="auto"/>
        </w:rPr>
      </w:pPr>
    </w:p>
    <w:p>
      <w:pPr>
        <w:ind w:left="912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-74930</wp:posOffset>
            </wp:positionH>
            <wp:positionV relativeFrom="paragraph">
              <wp:posOffset>81280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2"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4"/>
          <w:szCs w:val="24"/>
          <w:color w:val="auto"/>
        </w:rPr>
      </w:pPr>
    </w:p>
    <w:p>
      <w:pPr>
        <w:jc w:val="center"/>
        <w:ind w:right="-19"/>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REGISTRATION STATEMENT</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UNDER</w:t>
      </w:r>
    </w:p>
    <w:p>
      <w:pPr>
        <w:jc w:val="center"/>
        <w:ind w:right="-1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1060"/>
          </w:cols>
          <w:pgMar w:left="460" w:top="697" w:right="379" w:bottom="1440" w:gutter="0" w:footer="0" w:header="0"/>
        </w:sectPr>
      </w:pPr>
    </w:p>
    <w:p>
      <w:pPr>
        <w:spacing w:after="0" w:line="294" w:lineRule="exact"/>
        <w:rPr>
          <w:sz w:val="24"/>
          <w:szCs w:val="24"/>
          <w:color w:val="auto"/>
        </w:rPr>
      </w:pPr>
    </w:p>
    <w:p>
      <w:pPr>
        <w:ind w:left="13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26-0138832</w:t>
      </w:r>
    </w:p>
    <w:p>
      <w:pPr>
        <w:spacing w:after="0" w:line="48" w:lineRule="exact"/>
        <w:rPr>
          <w:sz w:val="24"/>
          <w:szCs w:val="24"/>
          <w:color w:val="auto"/>
        </w:rPr>
      </w:pPr>
    </w:p>
    <w:p>
      <w:pPr>
        <w:sectPr>
          <w:pgSz w:w="11900" w:h="16838" w:orient="portrait"/>
          <w:cols w:equalWidth="0" w:num="2">
            <w:col w:w="8300" w:space="720"/>
            <w:col w:w="2040"/>
          </w:cols>
          <w:pgMar w:left="460" w:top="697" w:right="379" w:bottom="1440" w:gutter="0" w:footer="0" w:header="0"/>
          <w:type w:val="continuous"/>
        </w:sectPr>
      </w:pPr>
    </w:p>
    <w:p>
      <w:pPr>
        <w:spacing w:after="0" w:line="2" w:lineRule="exact"/>
        <w:rPr>
          <w:sz w:val="24"/>
          <w:szCs w:val="24"/>
          <w:color w:val="auto"/>
        </w:rPr>
      </w:pPr>
    </w:p>
    <w:p>
      <w:pPr>
        <w:ind w:left="840"/>
        <w:spacing w:after="0"/>
        <w:rPr>
          <w:sz w:val="20"/>
          <w:szCs w:val="20"/>
          <w:color w:val="auto"/>
        </w:rPr>
      </w:pPr>
      <w:r>
        <w:rPr>
          <w:rFonts w:ascii="Arial" w:cs="Arial" w:eastAsia="Arial" w:hAnsi="Arial"/>
          <w:sz w:val="10"/>
          <w:szCs w:val="10"/>
          <w:b w:val="1"/>
          <w:bCs w:val="1"/>
          <w:color w:val="auto"/>
        </w:rPr>
        <w:t>(State or other jurisdiction of</w:t>
      </w:r>
    </w:p>
    <w:p>
      <w:pPr>
        <w:spacing w:after="0" w:line="21" w:lineRule="exact"/>
        <w:rPr>
          <w:sz w:val="24"/>
          <w:szCs w:val="24"/>
          <w:color w:val="auto"/>
        </w:rPr>
      </w:pPr>
    </w:p>
    <w:p>
      <w:pPr>
        <w:ind w:left="82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55" w:lineRule="exact"/>
        <w:rPr>
          <w:sz w:val="24"/>
          <w:szCs w:val="24"/>
          <w:color w:val="auto"/>
        </w:rPr>
      </w:pPr>
    </w:p>
    <w:p>
      <w:pPr>
        <w:sectPr>
          <w:pgSz w:w="11900" w:h="16838" w:orient="portrait"/>
          <w:cols w:equalWidth="0" w:num="2">
            <w:col w:w="8200" w:space="720"/>
            <w:col w:w="2140"/>
          </w:cols>
          <w:pgMar w:left="460" w:top="697"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Dropbox, Inc.</w:t>
      </w:r>
    </w:p>
    <w:p>
      <w:pPr>
        <w:jc w:val="center"/>
        <w:ind w:right="-19"/>
        <w:spacing w:after="0" w:line="211" w:lineRule="auto"/>
        <w:rPr>
          <w:sz w:val="20"/>
          <w:szCs w:val="20"/>
          <w:color w:val="auto"/>
        </w:rPr>
      </w:pPr>
      <w:r>
        <w:rPr>
          <w:rFonts w:ascii="Arial" w:cs="Arial" w:eastAsia="Arial" w:hAnsi="Arial"/>
          <w:sz w:val="16"/>
          <w:szCs w:val="16"/>
          <w:b w:val="1"/>
          <w:bCs w:val="1"/>
          <w:color w:val="auto"/>
        </w:rPr>
        <w:t>1800 Owens Street</w:t>
      </w:r>
    </w:p>
    <w:p>
      <w:pPr>
        <w:jc w:val="center"/>
        <w:ind w:right="-19"/>
        <w:spacing w:after="0" w:line="211" w:lineRule="auto"/>
        <w:rPr>
          <w:sz w:val="20"/>
          <w:szCs w:val="20"/>
          <w:color w:val="auto"/>
        </w:rPr>
      </w:pPr>
      <w:r>
        <w:rPr>
          <w:rFonts w:ascii="Arial" w:cs="Arial" w:eastAsia="Arial" w:hAnsi="Arial"/>
          <w:sz w:val="16"/>
          <w:szCs w:val="16"/>
          <w:b w:val="1"/>
          <w:bCs w:val="1"/>
          <w:color w:val="auto"/>
        </w:rPr>
        <w:t>San Francisco, California 94158</w:t>
      </w:r>
    </w:p>
    <w:p>
      <w:pPr>
        <w:jc w:val="center"/>
        <w:ind w:right="-19"/>
        <w:spacing w:after="0"/>
        <w:rPr>
          <w:sz w:val="20"/>
          <w:szCs w:val="20"/>
          <w:color w:val="auto"/>
        </w:rPr>
      </w:pPr>
      <w:r>
        <w:rPr>
          <w:rFonts w:ascii="Arial" w:cs="Arial" w:eastAsia="Arial" w:hAnsi="Arial"/>
          <w:sz w:val="16"/>
          <w:szCs w:val="16"/>
          <w:b w:val="1"/>
          <w:bCs w:val="1"/>
          <w:color w:val="auto"/>
        </w:rPr>
        <w:t>(415) 857-6800</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 including zip code)</w:t>
      </w:r>
    </w:p>
    <w:p>
      <w:pPr>
        <w:sectPr>
          <w:pgSz w:w="11900" w:h="16838" w:orient="portrait"/>
          <w:cols w:equalWidth="0" w:num="1">
            <w:col w:w="11060"/>
          </w:cols>
          <w:pgMar w:left="460" w:top="697" w:right="379" w:bottom="1440" w:gutter="0" w:footer="0" w:header="0"/>
          <w:type w:val="continuous"/>
        </w:sect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Andrew W. Houston</w:t>
      </w:r>
    </w:p>
    <w:p>
      <w:pPr>
        <w:jc w:val="center"/>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spacing w:after="0" w:line="211" w:lineRule="auto"/>
        <w:rPr>
          <w:sz w:val="20"/>
          <w:szCs w:val="20"/>
          <w:color w:val="auto"/>
        </w:rPr>
      </w:pPr>
      <w:r>
        <w:rPr>
          <w:rFonts w:ascii="Arial" w:cs="Arial" w:eastAsia="Arial" w:hAnsi="Arial"/>
          <w:sz w:val="16"/>
          <w:szCs w:val="16"/>
          <w:b w:val="1"/>
          <w:bCs w:val="1"/>
          <w:color w:val="auto"/>
        </w:rPr>
        <w:t>Dropbox, Inc.</w:t>
      </w:r>
    </w:p>
    <w:p>
      <w:pPr>
        <w:jc w:val="center"/>
        <w:spacing w:after="0" w:line="211" w:lineRule="auto"/>
        <w:rPr>
          <w:sz w:val="20"/>
          <w:szCs w:val="20"/>
          <w:color w:val="auto"/>
        </w:rPr>
      </w:pPr>
      <w:r>
        <w:rPr>
          <w:rFonts w:ascii="Arial" w:cs="Arial" w:eastAsia="Arial" w:hAnsi="Arial"/>
          <w:sz w:val="16"/>
          <w:szCs w:val="16"/>
          <w:b w:val="1"/>
          <w:bCs w:val="1"/>
          <w:color w:val="auto"/>
        </w:rPr>
        <w:t>1800 Owens Street</w:t>
      </w:r>
    </w:p>
    <w:p>
      <w:pPr>
        <w:jc w:val="center"/>
        <w:spacing w:after="0" w:line="212" w:lineRule="auto"/>
        <w:rPr>
          <w:sz w:val="20"/>
          <w:szCs w:val="20"/>
          <w:color w:val="auto"/>
        </w:rPr>
      </w:pPr>
      <w:r>
        <w:rPr>
          <w:rFonts w:ascii="Arial" w:cs="Arial" w:eastAsia="Arial" w:hAnsi="Arial"/>
          <w:sz w:val="16"/>
          <w:szCs w:val="16"/>
          <w:b w:val="1"/>
          <w:bCs w:val="1"/>
          <w:color w:val="auto"/>
        </w:rPr>
        <w:t>San Francisco, California 94158</w:t>
      </w:r>
    </w:p>
    <w:p>
      <w:pPr>
        <w:jc w:val="center"/>
        <w:spacing w:after="0"/>
        <w:rPr>
          <w:sz w:val="20"/>
          <w:szCs w:val="20"/>
          <w:color w:val="auto"/>
        </w:rPr>
      </w:pPr>
      <w:r>
        <w:rPr>
          <w:rFonts w:ascii="Arial" w:cs="Arial" w:eastAsia="Arial" w:hAnsi="Arial"/>
          <w:sz w:val="16"/>
          <w:szCs w:val="16"/>
          <w:b w:val="1"/>
          <w:bCs w:val="1"/>
          <w:color w:val="auto"/>
        </w:rPr>
        <w:t>(415) 857-6800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304" w:lineRule="exact"/>
        <w:rPr>
          <w:sz w:val="24"/>
          <w:szCs w:val="24"/>
          <w:color w:val="auto"/>
        </w:rPr>
      </w:pPr>
    </w:p>
    <w:tbl>
      <w:tblPr>
        <w:tblLayout w:type="fixed"/>
        <w:tblInd w:w="116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4660" w:type="dxa"/>
            <w:vAlign w:val="bottom"/>
          </w:tcPr>
          <w:p>
            <w:pPr>
              <w:ind w:left="640"/>
              <w:spacing w:after="0"/>
              <w:rPr>
                <w:sz w:val="20"/>
                <w:szCs w:val="20"/>
                <w:color w:val="auto"/>
              </w:rPr>
            </w:pPr>
            <w:r>
              <w:rPr>
                <w:rFonts w:ascii="Arial" w:cs="Arial" w:eastAsia="Arial" w:hAnsi="Arial"/>
                <w:sz w:val="16"/>
                <w:szCs w:val="16"/>
                <w:i w:val="1"/>
                <w:iCs w:val="1"/>
                <w:color w:val="auto"/>
              </w:rPr>
              <w:t>Copies to:</w:t>
            </w:r>
          </w:p>
        </w:tc>
      </w:tr>
      <w:tr>
        <w:trPr>
          <w:trHeight w:val="181"/>
        </w:trPr>
        <w:tc>
          <w:tcPr>
            <w:tcW w:w="3380" w:type="dxa"/>
            <w:vAlign w:val="bottom"/>
          </w:tcPr>
          <w:p>
            <w:pPr>
              <w:jc w:val="center"/>
              <w:ind w:right="539"/>
              <w:spacing w:after="0" w:line="181" w:lineRule="exact"/>
              <w:rPr>
                <w:sz w:val="20"/>
                <w:szCs w:val="20"/>
                <w:color w:val="auto"/>
              </w:rPr>
            </w:pPr>
            <w:r>
              <w:rPr>
                <w:rFonts w:ascii="Arial" w:cs="Arial" w:eastAsia="Arial" w:hAnsi="Arial"/>
                <w:sz w:val="16"/>
                <w:szCs w:val="16"/>
                <w:b w:val="1"/>
                <w:bCs w:val="1"/>
                <w:color w:val="auto"/>
                <w:w w:val="89"/>
              </w:rPr>
              <w:t>Tony Jeffries, Esq.</w:t>
            </w:r>
          </w:p>
        </w:tc>
        <w:tc>
          <w:tcPr>
            <w:tcW w:w="4660" w:type="dxa"/>
            <w:vAlign w:val="bottom"/>
          </w:tcPr>
          <w:p>
            <w:pPr>
              <w:spacing w:after="0"/>
              <w:rPr>
                <w:sz w:val="15"/>
                <w:szCs w:val="15"/>
                <w:color w:val="auto"/>
              </w:rPr>
            </w:pPr>
          </w:p>
        </w:tc>
      </w:tr>
      <w:tr>
        <w:trPr>
          <w:trHeight w:val="189"/>
        </w:trPr>
        <w:tc>
          <w:tcPr>
            <w:tcW w:w="3380" w:type="dxa"/>
            <w:vAlign w:val="bottom"/>
          </w:tcPr>
          <w:p>
            <w:pPr>
              <w:jc w:val="center"/>
              <w:ind w:right="539"/>
              <w:spacing w:after="0"/>
              <w:rPr>
                <w:sz w:val="20"/>
                <w:szCs w:val="20"/>
                <w:color w:val="auto"/>
              </w:rPr>
            </w:pPr>
            <w:r>
              <w:rPr>
                <w:rFonts w:ascii="Arial" w:cs="Arial" w:eastAsia="Arial" w:hAnsi="Arial"/>
                <w:sz w:val="16"/>
                <w:szCs w:val="16"/>
                <w:b w:val="1"/>
                <w:bCs w:val="1"/>
                <w:color w:val="auto"/>
                <w:w w:val="92"/>
              </w:rPr>
              <w:t>Lisa L. Stimmell, Esq.</w:t>
            </w:r>
          </w:p>
        </w:tc>
        <w:tc>
          <w:tcPr>
            <w:tcW w:w="4660" w:type="dxa"/>
            <w:vAlign w:val="bottom"/>
          </w:tcPr>
          <w:p>
            <w:pPr>
              <w:jc w:val="center"/>
              <w:ind w:left="2379"/>
              <w:spacing w:after="0"/>
              <w:rPr>
                <w:sz w:val="20"/>
                <w:szCs w:val="20"/>
                <w:color w:val="auto"/>
              </w:rPr>
            </w:pPr>
            <w:r>
              <w:rPr>
                <w:rFonts w:ascii="Arial" w:cs="Arial" w:eastAsia="Arial" w:hAnsi="Arial"/>
                <w:sz w:val="16"/>
                <w:szCs w:val="16"/>
                <w:b w:val="1"/>
                <w:bCs w:val="1"/>
                <w:color w:val="auto"/>
                <w:w w:val="93"/>
              </w:rPr>
              <w:t>Bart E. Volkmer, Esq.</w:t>
            </w:r>
          </w:p>
        </w:tc>
      </w:tr>
      <w:tr>
        <w:trPr>
          <w:trHeight w:val="176"/>
        </w:trPr>
        <w:tc>
          <w:tcPr>
            <w:tcW w:w="3380" w:type="dxa"/>
            <w:vAlign w:val="bottom"/>
          </w:tcPr>
          <w:p>
            <w:pPr>
              <w:jc w:val="center"/>
              <w:ind w:right="539"/>
              <w:spacing w:after="0" w:line="175" w:lineRule="exact"/>
              <w:rPr>
                <w:sz w:val="20"/>
                <w:szCs w:val="20"/>
                <w:color w:val="auto"/>
              </w:rPr>
            </w:pPr>
            <w:r>
              <w:rPr>
                <w:rFonts w:ascii="Arial" w:cs="Arial" w:eastAsia="Arial" w:hAnsi="Arial"/>
                <w:sz w:val="16"/>
                <w:szCs w:val="16"/>
                <w:b w:val="1"/>
                <w:bCs w:val="1"/>
                <w:color w:val="auto"/>
                <w:w w:val="91"/>
              </w:rPr>
              <w:t>Shannon R. Delahaye, Esq.</w:t>
            </w:r>
          </w:p>
        </w:tc>
        <w:tc>
          <w:tcPr>
            <w:tcW w:w="4660" w:type="dxa"/>
            <w:vAlign w:val="bottom"/>
          </w:tcPr>
          <w:p>
            <w:pPr>
              <w:jc w:val="center"/>
              <w:ind w:left="2379"/>
              <w:spacing w:after="0" w:line="175" w:lineRule="exact"/>
              <w:rPr>
                <w:sz w:val="20"/>
                <w:szCs w:val="20"/>
                <w:color w:val="auto"/>
              </w:rPr>
            </w:pPr>
            <w:r>
              <w:rPr>
                <w:rFonts w:ascii="Arial" w:cs="Arial" w:eastAsia="Arial" w:hAnsi="Arial"/>
                <w:sz w:val="16"/>
                <w:szCs w:val="16"/>
                <w:b w:val="1"/>
                <w:bCs w:val="1"/>
                <w:color w:val="auto"/>
                <w:w w:val="93"/>
              </w:rPr>
              <w:t>Cara M. Angelmar, Esq.</w:t>
            </w:r>
          </w:p>
        </w:tc>
      </w:tr>
      <w:tr>
        <w:trPr>
          <w:trHeight w:val="175"/>
        </w:trPr>
        <w:tc>
          <w:tcPr>
            <w:tcW w:w="3380" w:type="dxa"/>
            <w:vAlign w:val="bottom"/>
          </w:tcPr>
          <w:p>
            <w:pPr>
              <w:jc w:val="center"/>
              <w:ind w:right="539"/>
              <w:spacing w:after="0" w:line="175" w:lineRule="exact"/>
              <w:rPr>
                <w:sz w:val="20"/>
                <w:szCs w:val="20"/>
                <w:color w:val="auto"/>
              </w:rPr>
            </w:pPr>
            <w:r>
              <w:rPr>
                <w:rFonts w:ascii="Arial" w:cs="Arial" w:eastAsia="Arial" w:hAnsi="Arial"/>
                <w:sz w:val="16"/>
                <w:szCs w:val="16"/>
                <w:b w:val="1"/>
                <w:bCs w:val="1"/>
                <w:color w:val="auto"/>
                <w:w w:val="92"/>
              </w:rPr>
              <w:t>Wilson Sonsini Goodrich &amp; Rosati, P.C.</w:t>
            </w:r>
          </w:p>
        </w:tc>
        <w:tc>
          <w:tcPr>
            <w:tcW w:w="4660" w:type="dxa"/>
            <w:vAlign w:val="bottom"/>
          </w:tcPr>
          <w:p>
            <w:pPr>
              <w:jc w:val="center"/>
              <w:ind w:left="2379"/>
              <w:spacing w:after="0" w:line="175" w:lineRule="exact"/>
              <w:rPr>
                <w:sz w:val="20"/>
                <w:szCs w:val="20"/>
                <w:color w:val="auto"/>
              </w:rPr>
            </w:pPr>
            <w:r>
              <w:rPr>
                <w:rFonts w:ascii="Arial" w:cs="Arial" w:eastAsia="Arial" w:hAnsi="Arial"/>
                <w:sz w:val="16"/>
                <w:szCs w:val="16"/>
                <w:b w:val="1"/>
                <w:bCs w:val="1"/>
                <w:color w:val="auto"/>
                <w:w w:val="93"/>
              </w:rPr>
              <w:t>Dropbox, Inc.</w:t>
            </w:r>
          </w:p>
        </w:tc>
      </w:tr>
      <w:tr>
        <w:trPr>
          <w:trHeight w:val="175"/>
        </w:trPr>
        <w:tc>
          <w:tcPr>
            <w:tcW w:w="3380" w:type="dxa"/>
            <w:vAlign w:val="bottom"/>
          </w:tcPr>
          <w:p>
            <w:pPr>
              <w:jc w:val="center"/>
              <w:ind w:right="539"/>
              <w:spacing w:after="0" w:line="175" w:lineRule="exact"/>
              <w:rPr>
                <w:sz w:val="20"/>
                <w:szCs w:val="20"/>
                <w:color w:val="auto"/>
              </w:rPr>
            </w:pPr>
            <w:r>
              <w:rPr>
                <w:rFonts w:ascii="Arial" w:cs="Arial" w:eastAsia="Arial" w:hAnsi="Arial"/>
                <w:sz w:val="16"/>
                <w:szCs w:val="16"/>
                <w:b w:val="1"/>
                <w:bCs w:val="1"/>
                <w:color w:val="auto"/>
                <w:w w:val="93"/>
              </w:rPr>
              <w:t>650 Page Mill Road</w:t>
            </w:r>
          </w:p>
        </w:tc>
        <w:tc>
          <w:tcPr>
            <w:tcW w:w="4660" w:type="dxa"/>
            <w:vAlign w:val="bottom"/>
          </w:tcPr>
          <w:p>
            <w:pPr>
              <w:jc w:val="center"/>
              <w:ind w:left="2379"/>
              <w:spacing w:after="0" w:line="175" w:lineRule="exact"/>
              <w:rPr>
                <w:sz w:val="20"/>
                <w:szCs w:val="20"/>
                <w:color w:val="auto"/>
              </w:rPr>
            </w:pPr>
            <w:r>
              <w:rPr>
                <w:rFonts w:ascii="Arial" w:cs="Arial" w:eastAsia="Arial" w:hAnsi="Arial"/>
                <w:sz w:val="16"/>
                <w:szCs w:val="16"/>
                <w:b w:val="1"/>
                <w:bCs w:val="1"/>
                <w:color w:val="auto"/>
                <w:w w:val="89"/>
              </w:rPr>
              <w:t>1800 Owens Street</w:t>
            </w:r>
          </w:p>
        </w:tc>
      </w:tr>
      <w:tr>
        <w:trPr>
          <w:trHeight w:val="175"/>
        </w:trPr>
        <w:tc>
          <w:tcPr>
            <w:tcW w:w="3380" w:type="dxa"/>
            <w:vAlign w:val="bottom"/>
          </w:tcPr>
          <w:p>
            <w:pPr>
              <w:jc w:val="center"/>
              <w:ind w:right="539"/>
              <w:spacing w:after="0" w:line="175" w:lineRule="exact"/>
              <w:rPr>
                <w:sz w:val="20"/>
                <w:szCs w:val="20"/>
                <w:color w:val="auto"/>
              </w:rPr>
            </w:pPr>
            <w:r>
              <w:rPr>
                <w:rFonts w:ascii="Arial" w:cs="Arial" w:eastAsia="Arial" w:hAnsi="Arial"/>
                <w:sz w:val="16"/>
                <w:szCs w:val="16"/>
                <w:b w:val="1"/>
                <w:bCs w:val="1"/>
                <w:color w:val="auto"/>
                <w:w w:val="93"/>
              </w:rPr>
              <w:t>Palo Alto, California 94304</w:t>
            </w:r>
          </w:p>
        </w:tc>
        <w:tc>
          <w:tcPr>
            <w:tcW w:w="4660" w:type="dxa"/>
            <w:vAlign w:val="bottom"/>
          </w:tcPr>
          <w:p>
            <w:pPr>
              <w:jc w:val="center"/>
              <w:ind w:left="2359"/>
              <w:spacing w:after="0" w:line="175" w:lineRule="exact"/>
              <w:rPr>
                <w:sz w:val="20"/>
                <w:szCs w:val="20"/>
                <w:color w:val="auto"/>
              </w:rPr>
            </w:pPr>
            <w:r>
              <w:rPr>
                <w:rFonts w:ascii="Arial" w:cs="Arial" w:eastAsia="Arial" w:hAnsi="Arial"/>
                <w:sz w:val="16"/>
                <w:szCs w:val="16"/>
                <w:b w:val="1"/>
                <w:bCs w:val="1"/>
                <w:color w:val="auto"/>
                <w:w w:val="92"/>
              </w:rPr>
              <w:t>San Francisco, California 94158</w:t>
            </w:r>
          </w:p>
        </w:tc>
      </w:tr>
      <w:tr>
        <w:trPr>
          <w:trHeight w:val="223"/>
        </w:trPr>
        <w:tc>
          <w:tcPr>
            <w:tcW w:w="3380" w:type="dxa"/>
            <w:vAlign w:val="bottom"/>
          </w:tcPr>
          <w:p>
            <w:pPr>
              <w:jc w:val="center"/>
              <w:ind w:right="539"/>
              <w:spacing w:after="0"/>
              <w:rPr>
                <w:sz w:val="20"/>
                <w:szCs w:val="20"/>
                <w:color w:val="auto"/>
              </w:rPr>
            </w:pPr>
            <w:r>
              <w:rPr>
                <w:rFonts w:ascii="Arial" w:cs="Arial" w:eastAsia="Arial" w:hAnsi="Arial"/>
                <w:sz w:val="16"/>
                <w:szCs w:val="16"/>
                <w:b w:val="1"/>
                <w:bCs w:val="1"/>
                <w:color w:val="auto"/>
                <w:w w:val="91"/>
              </w:rPr>
              <w:t>(650) 493-9300</w:t>
            </w:r>
          </w:p>
        </w:tc>
        <w:tc>
          <w:tcPr>
            <w:tcW w:w="4660" w:type="dxa"/>
            <w:vAlign w:val="bottom"/>
          </w:tcPr>
          <w:p>
            <w:pPr>
              <w:jc w:val="center"/>
              <w:ind w:left="2379"/>
              <w:spacing w:after="0"/>
              <w:rPr>
                <w:sz w:val="20"/>
                <w:szCs w:val="20"/>
                <w:color w:val="auto"/>
              </w:rPr>
            </w:pPr>
            <w:r>
              <w:rPr>
                <w:rFonts w:ascii="Arial" w:cs="Arial" w:eastAsia="Arial" w:hAnsi="Arial"/>
                <w:sz w:val="16"/>
                <w:szCs w:val="16"/>
                <w:b w:val="1"/>
                <w:bCs w:val="1"/>
                <w:color w:val="auto"/>
                <w:w w:val="91"/>
              </w:rPr>
              <w:t>(415) 857-6800</w:t>
            </w:r>
          </w:p>
        </w:tc>
      </w:tr>
    </w:tbl>
    <w:p>
      <w:pPr>
        <w:spacing w:after="0" w:line="392" w:lineRule="exact"/>
        <w:rPr>
          <w:sz w:val="24"/>
          <w:szCs w:val="24"/>
          <w:color w:val="auto"/>
        </w:rPr>
      </w:pPr>
    </w:p>
    <w:p>
      <w:pPr>
        <w:ind w:right="30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60"/>
          </w:cols>
          <w:pgMar w:left="460" w:top="697" w:right="379" w:bottom="1440" w:gutter="0" w:footer="0" w:header="0"/>
          <w:type w:val="continuous"/>
        </w:sectPr>
      </w:pPr>
    </w:p>
    <w:p>
      <w:pPr>
        <w:spacing w:after="0" w:line="48"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1258570</wp:posOffset>
            </wp:positionH>
            <wp:positionV relativeFrom="paragraph">
              <wp:posOffset>-58420</wp:posOffset>
            </wp:positionV>
            <wp:extent cx="69215" cy="70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5" w:lineRule="exact"/>
        <w:rPr>
          <w:sz w:val="24"/>
          <w:szCs w:val="24"/>
          <w:color w:val="auto"/>
        </w:rPr>
      </w:pPr>
    </w:p>
    <w:p>
      <w:pPr>
        <w:sectPr>
          <w:pgSz w:w="11900" w:h="16838" w:orient="portrait"/>
          <w:cols w:equalWidth="0" w:num="2">
            <w:col w:w="5560" w:space="720"/>
            <w:col w:w="4780"/>
          </w:cols>
          <w:pgMar w:left="460" w:top="697" w:right="379" w:bottom="1440" w:gutter="0" w:footer="0" w:header="0"/>
          <w:type w:val="continuous"/>
        </w:sectPr>
      </w:pPr>
    </w:p>
    <w:p>
      <w:pPr>
        <w:ind w:left="6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 w:lineRule="exact"/>
        <w:rPr>
          <w:sz w:val="24"/>
          <w:szCs w:val="24"/>
          <w:color w:val="auto"/>
        </w:rPr>
      </w:pPr>
    </w:p>
    <w:p>
      <w:pPr>
        <w:sectPr>
          <w:pgSz w:w="11900" w:h="16838" w:orient="portrait"/>
          <w:cols w:equalWidth="0" w:num="2">
            <w:col w:w="5560" w:space="720"/>
            <w:col w:w="4780"/>
          </w:cols>
          <w:pgMar w:left="460" w:top="697" w:right="379" w:bottom="1440" w:gutter="0" w:footer="0" w:header="0"/>
          <w:type w:val="continuous"/>
        </w:sect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060"/>
          </w:cols>
          <w:pgMar w:left="460" w:top="697" w:right="379" w:bottom="1440" w:gutter="0" w:footer="0" w:header="0"/>
          <w:type w:val="continuous"/>
        </w:sectPr>
      </w:pPr>
    </w:p>
    <w:p>
      <w:pPr>
        <w:spacing w:after="0" w:line="206"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60"/>
          </w:cols>
          <w:pgMar w:left="460" w:top="697"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0" w:type="dxa"/>
            <w:vAlign w:val="bottom"/>
            <w:tcBorders>
              <w:top w:val="single" w:sz="8" w:color="00000A"/>
            </w:tcBorders>
          </w:tcPr>
          <w:p>
            <w:pPr>
              <w:spacing w:after="0"/>
              <w:rPr>
                <w:sz w:val="12"/>
                <w:szCs w:val="12"/>
                <w:color w:val="auto"/>
              </w:rPr>
            </w:pPr>
          </w:p>
        </w:tc>
        <w:tc>
          <w:tcPr>
            <w:tcW w:w="3540" w:type="dxa"/>
            <w:vAlign w:val="bottom"/>
            <w:tcBorders>
              <w:top w:val="single" w:sz="8" w:color="00000A"/>
              <w:right w:val="single" w:sz="8" w:color="auto"/>
            </w:tcBorders>
          </w:tcPr>
          <w:p>
            <w:pPr>
              <w:spacing w:after="0"/>
              <w:rPr>
                <w:sz w:val="12"/>
                <w:szCs w:val="12"/>
                <w:color w:val="auto"/>
              </w:rPr>
            </w:pPr>
          </w:p>
        </w:tc>
        <w:tc>
          <w:tcPr>
            <w:tcW w:w="40" w:type="dxa"/>
            <w:vAlign w:val="bottom"/>
            <w:tcBorders>
              <w:top w:val="single" w:sz="8" w:color="00000A"/>
              <w:right w:val="single" w:sz="8" w:color="auto"/>
            </w:tcBorders>
          </w:tcPr>
          <w:p>
            <w:pPr>
              <w:spacing w:after="0"/>
              <w:rPr>
                <w:sz w:val="12"/>
                <w:szCs w:val="12"/>
                <w:color w:val="auto"/>
              </w:rPr>
            </w:pPr>
          </w:p>
        </w:tc>
        <w:tc>
          <w:tcPr>
            <w:tcW w:w="1500" w:type="dxa"/>
            <w:vAlign w:val="bottom"/>
            <w:tcBorders>
              <w:top w:val="single" w:sz="8" w:color="00000A"/>
              <w:right w:val="single" w:sz="8" w:color="auto"/>
            </w:tcBorders>
            <w:vMerge w:val="restart"/>
          </w:tcPr>
          <w:p>
            <w:pPr>
              <w:jc w:val="center"/>
              <w:ind w:right="33"/>
              <w:spacing w:after="0"/>
              <w:rPr>
                <w:sz w:val="20"/>
                <w:szCs w:val="20"/>
                <w:color w:val="auto"/>
              </w:rPr>
            </w:pPr>
            <w:r>
              <w:rPr>
                <w:rFonts w:ascii="Arial" w:cs="Arial" w:eastAsia="Arial" w:hAnsi="Arial"/>
                <w:sz w:val="13"/>
                <w:szCs w:val="13"/>
                <w:b w:val="1"/>
                <w:bCs w:val="1"/>
                <w:color w:val="auto"/>
                <w:w w:val="97"/>
              </w:rPr>
              <w:t>Amount</w:t>
            </w:r>
          </w:p>
        </w:tc>
        <w:tc>
          <w:tcPr>
            <w:tcW w:w="2140" w:type="dxa"/>
            <w:vAlign w:val="bottom"/>
            <w:tcBorders>
              <w:top w:val="single" w:sz="8" w:color="00000A"/>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Proposed</w:t>
            </w:r>
          </w:p>
        </w:tc>
        <w:tc>
          <w:tcPr>
            <w:tcW w:w="40" w:type="dxa"/>
            <w:vAlign w:val="bottom"/>
            <w:tcBorders>
              <w:top w:val="single" w:sz="8" w:color="00000A"/>
              <w:right w:val="single" w:sz="8" w:color="auto"/>
            </w:tcBorders>
          </w:tcPr>
          <w:p>
            <w:pPr>
              <w:spacing w:after="0"/>
              <w:rPr>
                <w:sz w:val="12"/>
                <w:szCs w:val="12"/>
                <w:color w:val="auto"/>
              </w:rPr>
            </w:pPr>
          </w:p>
        </w:tc>
        <w:tc>
          <w:tcPr>
            <w:tcW w:w="1520" w:type="dxa"/>
            <w:vAlign w:val="bottom"/>
            <w:tcBorders>
              <w:top w:val="single" w:sz="8" w:color="00000A"/>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Proposed</w:t>
            </w:r>
          </w:p>
        </w:tc>
        <w:tc>
          <w:tcPr>
            <w:tcW w:w="40" w:type="dxa"/>
            <w:vAlign w:val="bottom"/>
            <w:tcBorders>
              <w:top w:val="single" w:sz="8" w:color="00000A"/>
              <w:right w:val="single" w:sz="8" w:color="auto"/>
            </w:tcBorders>
          </w:tcPr>
          <w:p>
            <w:pPr>
              <w:spacing w:after="0"/>
              <w:rPr>
                <w:sz w:val="12"/>
                <w:szCs w:val="12"/>
                <w:color w:val="auto"/>
              </w:rPr>
            </w:pPr>
          </w:p>
        </w:tc>
        <w:tc>
          <w:tcPr>
            <w:tcW w:w="1660" w:type="dxa"/>
            <w:vAlign w:val="bottom"/>
            <w:tcBorders>
              <w:top w:val="single" w:sz="8" w:color="00000A"/>
              <w:right w:val="single" w:sz="8" w:color="auto"/>
            </w:tcBorders>
            <w:vMerge w:val="restart"/>
          </w:tcPr>
          <w:p>
            <w:pPr>
              <w:jc w:val="center"/>
              <w:ind w:right="13"/>
              <w:spacing w:after="0"/>
              <w:rPr>
                <w:sz w:val="20"/>
                <w:szCs w:val="20"/>
                <w:color w:val="auto"/>
              </w:rPr>
            </w:pPr>
            <w:r>
              <w:rPr>
                <w:rFonts w:ascii="Arial" w:cs="Arial" w:eastAsia="Arial" w:hAnsi="Arial"/>
                <w:sz w:val="13"/>
                <w:szCs w:val="13"/>
                <w:b w:val="1"/>
                <w:bCs w:val="1"/>
                <w:color w:val="auto"/>
                <w:w w:val="95"/>
              </w:rPr>
              <w:t>Amount of</w:t>
            </w:r>
          </w:p>
        </w:tc>
        <w:tc>
          <w:tcPr>
            <w:tcW w:w="40" w:type="dxa"/>
            <w:vAlign w:val="bottom"/>
            <w:tcBorders>
              <w:top w:val="single" w:sz="8" w:color="00000A"/>
              <w:right w:val="single" w:sz="8" w:color="auto"/>
            </w:tcBorders>
          </w:tcPr>
          <w:p>
            <w:pPr>
              <w:spacing w:after="0"/>
              <w:rPr>
                <w:sz w:val="12"/>
                <w:szCs w:val="12"/>
                <w:color w:val="auto"/>
              </w:rPr>
            </w:pPr>
          </w:p>
        </w:tc>
        <w:tc>
          <w:tcPr>
            <w:tcW w:w="60" w:type="dxa"/>
            <w:vAlign w:val="bottom"/>
            <w:tcBorders>
              <w:top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540" w:type="dxa"/>
            <w:vAlign w:val="bottom"/>
            <w:tcBorders>
              <w:right w:val="single" w:sz="8" w:color="auto"/>
            </w:tcBorders>
            <w:vMerge w:val="restart"/>
          </w:tcPr>
          <w:p>
            <w:pPr>
              <w:ind w:left="760"/>
              <w:spacing w:after="0"/>
              <w:rPr>
                <w:sz w:val="20"/>
                <w:szCs w:val="20"/>
                <w:color w:val="auto"/>
              </w:rPr>
            </w:pPr>
            <w:r>
              <w:rPr>
                <w:rFonts w:ascii="Arial" w:cs="Arial" w:eastAsia="Arial" w:hAnsi="Arial"/>
                <w:sz w:val="13"/>
                <w:szCs w:val="13"/>
                <w:b w:val="1"/>
                <w:bCs w:val="1"/>
                <w:color w:val="auto"/>
              </w:rPr>
              <w:t>Title of Securities to be Registered</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21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9"/>
              </w:rPr>
              <w:t>Maximum Offering</w:t>
            </w: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Maximum Aggregate</w:t>
            </w: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0" w:type="dxa"/>
            <w:vAlign w:val="bottom"/>
            <w:tcBorders>
              <w:bottom w:val="single" w:sz="8" w:color="auto"/>
            </w:tcBorders>
          </w:tcPr>
          <w:p>
            <w:pPr>
              <w:spacing w:after="0"/>
              <w:rPr>
                <w:sz w:val="21"/>
                <w:szCs w:val="21"/>
                <w:color w:val="auto"/>
              </w:rPr>
            </w:pPr>
          </w:p>
        </w:tc>
        <w:tc>
          <w:tcPr>
            <w:tcW w:w="3540" w:type="dxa"/>
            <w:vAlign w:val="bottom"/>
            <w:tcBorders>
              <w:bottom w:val="single" w:sz="8" w:color="auto"/>
              <w:right w:val="single" w:sz="8" w:color="auto"/>
            </w:tcBorders>
            <w:vMerge w:val="continue"/>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 be Registered</w:t>
            </w:r>
            <w:r>
              <w:rPr>
                <w:rFonts w:ascii="Arial" w:cs="Arial" w:eastAsia="Arial" w:hAnsi="Arial"/>
                <w:sz w:val="17"/>
                <w:szCs w:val="17"/>
                <w:b w:val="1"/>
                <w:bCs w:val="1"/>
                <w:color w:val="auto"/>
                <w:w w:val="89"/>
                <w:vertAlign w:val="superscript"/>
              </w:rPr>
              <w:t>(1)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 Per Share</w:t>
            </w:r>
          </w:p>
        </w:tc>
        <w:tc>
          <w:tcPr>
            <w:tcW w:w="4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Offering Price</w:t>
            </w:r>
          </w:p>
        </w:tc>
        <w:tc>
          <w:tcPr>
            <w:tcW w:w="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Registration Fee</w:t>
            </w:r>
          </w:p>
        </w:tc>
        <w:tc>
          <w:tcPr>
            <w:tcW w:w="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60" w:type="dxa"/>
            <w:vAlign w:val="bottom"/>
            <w:tcBorders>
              <w:left w:val="single" w:sz="8" w:color="auto"/>
              <w:right w:val="single" w:sz="8" w:color="auto"/>
            </w:tcBorders>
          </w:tcPr>
          <w:p>
            <w:pPr>
              <w:spacing w:after="0"/>
              <w:rPr>
                <w:sz w:val="11"/>
                <w:szCs w:val="11"/>
                <w:color w:val="auto"/>
              </w:rPr>
            </w:pPr>
          </w:p>
        </w:tc>
        <w:tc>
          <w:tcPr>
            <w:tcW w:w="3540" w:type="dxa"/>
            <w:vAlign w:val="bottom"/>
            <w:tcBorders>
              <w:right w:val="single" w:sz="8" w:color="auto"/>
            </w:tcBorders>
          </w:tcPr>
          <w:p>
            <w:pPr>
              <w:ind w:left="60"/>
              <w:spacing w:after="0" w:line="131" w:lineRule="exact"/>
              <w:rPr>
                <w:sz w:val="20"/>
                <w:szCs w:val="20"/>
                <w:color w:val="auto"/>
              </w:rPr>
            </w:pPr>
            <w:r>
              <w:rPr>
                <w:rFonts w:ascii="Arial" w:cs="Arial" w:eastAsia="Arial" w:hAnsi="Arial"/>
                <w:sz w:val="13"/>
                <w:szCs w:val="13"/>
                <w:color w:val="auto"/>
                <w:w w:val="99"/>
              </w:rPr>
              <w:t>Class  A  Common  Stock,  $0.00001  par  value  per  share,</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Borders>
              <w:left w:val="single" w:sz="8" w:color="auto"/>
              <w:right w:val="single" w:sz="8" w:color="auto"/>
            </w:tcBorders>
          </w:tcPr>
          <w:p>
            <w:pPr>
              <w:spacing w:after="0"/>
              <w:rPr>
                <w:sz w:val="11"/>
                <w:szCs w:val="11"/>
                <w:color w:val="auto"/>
              </w:rPr>
            </w:pPr>
          </w:p>
        </w:tc>
        <w:tc>
          <w:tcPr>
            <w:tcW w:w="3540" w:type="dxa"/>
            <w:vAlign w:val="bottom"/>
            <w:tcBorders>
              <w:right w:val="single" w:sz="8" w:color="auto"/>
            </w:tcBorders>
          </w:tcPr>
          <w:p>
            <w:pPr>
              <w:ind w:left="220"/>
              <w:spacing w:after="0" w:line="135" w:lineRule="exact"/>
              <w:rPr>
                <w:sz w:val="20"/>
                <w:szCs w:val="20"/>
                <w:color w:val="auto"/>
              </w:rPr>
            </w:pPr>
            <w:r>
              <w:rPr>
                <w:rFonts w:ascii="Arial" w:cs="Arial" w:eastAsia="Arial" w:hAnsi="Arial"/>
                <w:sz w:val="13"/>
                <w:szCs w:val="13"/>
                <w:color w:val="auto"/>
                <w:w w:val="95"/>
              </w:rPr>
              <w:t>reserved for issuance pursuant to the 2018 Equity Incentive</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60" w:type="dxa"/>
            <w:vAlign w:val="bottom"/>
            <w:tcBorders>
              <w:left w:val="single" w:sz="8" w:color="auto"/>
              <w:bottom w:val="single" w:sz="8" w:color="auto"/>
              <w:right w:val="single" w:sz="8" w:color="auto"/>
            </w:tcBorders>
          </w:tcPr>
          <w:p>
            <w:pPr>
              <w:spacing w:after="0"/>
              <w:rPr>
                <w:sz w:val="19"/>
                <w:szCs w:val="19"/>
                <w:color w:val="auto"/>
              </w:rPr>
            </w:pPr>
          </w:p>
        </w:tc>
        <w:tc>
          <w:tcPr>
            <w:tcW w:w="35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Plan</w:t>
            </w:r>
          </w:p>
        </w:tc>
        <w:tc>
          <w:tcPr>
            <w:tcW w:w="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center"/>
              <w:ind w:right="313"/>
              <w:spacing w:after="0"/>
              <w:rPr>
                <w:sz w:val="20"/>
                <w:szCs w:val="20"/>
                <w:color w:val="auto"/>
              </w:rPr>
            </w:pPr>
            <w:r>
              <w:rPr>
                <w:rFonts w:ascii="Arial" w:cs="Arial" w:eastAsia="Arial" w:hAnsi="Arial"/>
                <w:sz w:val="13"/>
                <w:szCs w:val="13"/>
                <w:color w:val="auto"/>
              </w:rPr>
              <w:t xml:space="preserve">20,287,746 </w:t>
            </w:r>
            <w:r>
              <w:rPr>
                <w:rFonts w:ascii="Arial" w:cs="Arial" w:eastAsia="Arial" w:hAnsi="Arial"/>
                <w:sz w:val="17"/>
                <w:szCs w:val="17"/>
                <w:color w:val="auto"/>
                <w:vertAlign w:val="superscript"/>
              </w:rPr>
              <w:t>(2)</w:t>
            </w:r>
          </w:p>
        </w:tc>
        <w:tc>
          <w:tcPr>
            <w:tcW w:w="2140" w:type="dxa"/>
            <w:vAlign w:val="bottom"/>
            <w:tcBorders>
              <w:bottom w:val="single" w:sz="8" w:color="auto"/>
              <w:right w:val="single" w:sz="8" w:color="auto"/>
            </w:tcBorders>
          </w:tcPr>
          <w:p>
            <w:pPr>
              <w:jc w:val="center"/>
              <w:ind w:right="733"/>
              <w:spacing w:after="0"/>
              <w:rPr>
                <w:sz w:val="20"/>
                <w:szCs w:val="20"/>
                <w:color w:val="auto"/>
              </w:rPr>
            </w:pPr>
            <w:r>
              <w:rPr>
                <w:rFonts w:ascii="Arial" w:cs="Arial" w:eastAsia="Arial" w:hAnsi="Arial"/>
                <w:sz w:val="13"/>
                <w:szCs w:val="13"/>
                <w:color w:val="auto"/>
              </w:rPr>
              <w:t xml:space="preserve">$24.02 </w:t>
            </w:r>
            <w:r>
              <w:rPr>
                <w:rFonts w:ascii="Arial" w:cs="Arial" w:eastAsia="Arial" w:hAnsi="Arial"/>
                <w:sz w:val="17"/>
                <w:szCs w:val="17"/>
                <w:color w:val="auto"/>
                <w:vertAlign w:val="superscript"/>
              </w:rPr>
              <w:t>(3)</w:t>
            </w:r>
          </w:p>
        </w:tc>
        <w:tc>
          <w:tcPr>
            <w:tcW w:w="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$487,311,658.92</w:t>
            </w:r>
          </w:p>
        </w:tc>
        <w:tc>
          <w:tcPr>
            <w:tcW w:w="4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$53,166.00</w:t>
            </w:r>
          </w:p>
        </w:tc>
        <w:tc>
          <w:tcPr>
            <w:tcW w:w="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413"/>
              <w:spacing w:after="0"/>
              <w:rPr>
                <w:sz w:val="20"/>
                <w:szCs w:val="20"/>
                <w:color w:val="auto"/>
              </w:rPr>
            </w:pPr>
            <w:r>
              <w:rPr>
                <w:rFonts w:ascii="Arial" w:cs="Arial" w:eastAsia="Arial" w:hAnsi="Arial"/>
                <w:sz w:val="13"/>
                <w:szCs w:val="13"/>
                <w:color w:val="auto"/>
              </w:rPr>
              <w:t>20,287,746</w:t>
            </w:r>
          </w:p>
        </w:tc>
        <w:tc>
          <w:tcPr>
            <w:tcW w:w="2140" w:type="dxa"/>
            <w:vAlign w:val="bottom"/>
            <w:tcBorders>
              <w:bottom w:val="single" w:sz="8" w:color="auto"/>
              <w:right w:val="single" w:sz="8" w:color="auto"/>
            </w:tcBorders>
          </w:tcPr>
          <w:p>
            <w:pPr>
              <w:jc w:val="right"/>
              <w:ind w:right="833"/>
              <w:spacing w:after="0"/>
              <w:rPr>
                <w:sz w:val="20"/>
                <w:szCs w:val="20"/>
                <w:color w:val="auto"/>
              </w:rPr>
            </w:pPr>
            <w:r>
              <w:rPr>
                <w:rFonts w:ascii="Arial" w:cs="Arial" w:eastAsia="Arial" w:hAnsi="Arial"/>
                <w:sz w:val="13"/>
                <w:szCs w:val="13"/>
                <w:color w:val="auto"/>
              </w:rPr>
              <w:t>$24.02</w:t>
            </w:r>
          </w:p>
        </w:tc>
        <w:tc>
          <w:tcPr>
            <w:tcW w:w="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$487,311,658.92</w:t>
            </w:r>
          </w:p>
        </w:tc>
        <w:tc>
          <w:tcPr>
            <w:tcW w:w="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$53,166.00</w:t>
            </w:r>
          </w:p>
        </w:tc>
        <w:tc>
          <w:tcPr>
            <w:tcW w:w="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700" w:right="240" w:hanging="330"/>
        <w:spacing w:after="0" w:line="221" w:lineRule="auto"/>
        <w:tabs>
          <w:tab w:leader="none" w:pos="687"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Pursuant to Rule 416(a) of the Securities Act of 1933, as amended, this Registration Statement covers any additional shares of the Registrant’s Class A common stock (“</w:t>
      </w:r>
      <w:r>
        <w:rPr>
          <w:rFonts w:ascii="Arial" w:cs="Arial" w:eastAsia="Arial" w:hAnsi="Arial"/>
          <w:sz w:val="14"/>
          <w:szCs w:val="14"/>
          <w:b w:val="1"/>
          <w:bCs w:val="1"/>
          <w:color w:val="auto"/>
        </w:rPr>
        <w:t>Class A Common Stock</w:t>
      </w:r>
      <w:r>
        <w:rPr>
          <w:rFonts w:ascii="Arial" w:cs="Arial" w:eastAsia="Arial" w:hAnsi="Arial"/>
          <w:sz w:val="14"/>
          <w:szCs w:val="14"/>
          <w:color w:val="auto"/>
        </w:rPr>
        <w:t>”) that become issuable under the Registrant’s 2018 Equity Incentive Plan (the “</w:t>
      </w:r>
      <w:r>
        <w:rPr>
          <w:rFonts w:ascii="Arial" w:cs="Arial" w:eastAsia="Arial" w:hAnsi="Arial"/>
          <w:sz w:val="14"/>
          <w:szCs w:val="14"/>
          <w:b w:val="1"/>
          <w:bCs w:val="1"/>
          <w:color w:val="auto"/>
        </w:rPr>
        <w:t>2018 Plan</w:t>
      </w:r>
      <w:r>
        <w:rPr>
          <w:rFonts w:ascii="Arial" w:cs="Arial" w:eastAsia="Arial" w:hAnsi="Arial"/>
          <w:sz w:val="14"/>
          <w:szCs w:val="14"/>
          <w:color w:val="auto"/>
        </w:rPr>
        <w:t>”) by reason of any stock dividend, stock split, recapitalization or other similar transaction effected without the Registrant’s receipt of consideration which results in an increase in the number of the outstanding shares of Class A Common Stock.</w:t>
      </w:r>
    </w:p>
    <w:p>
      <w:pPr>
        <w:spacing w:after="0" w:line="142" w:lineRule="exact"/>
        <w:rPr>
          <w:rFonts w:ascii="Arial" w:cs="Arial" w:eastAsia="Arial" w:hAnsi="Arial"/>
          <w:sz w:val="21"/>
          <w:szCs w:val="21"/>
          <w:color w:val="auto"/>
          <w:vertAlign w:val="superscript"/>
        </w:rPr>
      </w:pPr>
    </w:p>
    <w:p>
      <w:pPr>
        <w:ind w:left="700" w:right="240" w:hanging="330"/>
        <w:spacing w:after="0" w:line="217" w:lineRule="auto"/>
        <w:tabs>
          <w:tab w:leader="none" w:pos="687"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Represents an automatic increase of 20,287,746 shares of the Registrant’s Class A common stock reserved for issuance under, and which annual increase is provided for, in the 2018 Plan.</w:t>
      </w:r>
    </w:p>
    <w:p>
      <w:pPr>
        <w:spacing w:after="0" w:line="142" w:lineRule="exact"/>
        <w:rPr>
          <w:rFonts w:ascii="Arial" w:cs="Arial" w:eastAsia="Arial" w:hAnsi="Arial"/>
          <w:sz w:val="19"/>
          <w:szCs w:val="19"/>
          <w:color w:val="auto"/>
          <w:vertAlign w:val="superscript"/>
        </w:rPr>
      </w:pPr>
    </w:p>
    <w:p>
      <w:pPr>
        <w:ind w:left="700" w:right="300" w:hanging="330"/>
        <w:spacing w:after="0" w:line="217" w:lineRule="auto"/>
        <w:tabs>
          <w:tab w:leader="none" w:pos="687"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Estimated in accordance with Rule 457(h) solely for the purpose of calculating the registration fee on the basis of $24.02 per share, the average of the high and low sale prices of the Registrant’s Class A common stock as reported on the NASDAQ Global Select Stock Market on 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6737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42545</wp:posOffset>
            </wp:positionV>
            <wp:extent cx="6737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ectPr>
          <w:pgSz w:w="11900" w:h="16838" w:orient="portrait"/>
          <w:cols w:equalWidth="0" w:num="1">
            <w:col w:w="10640"/>
          </w:cols>
          <w:pgMar w:left="300" w:top="657" w:right="959" w:bottom="1440" w:gutter="0" w:footer="0" w:header="0"/>
        </w:sectPr>
      </w:pPr>
    </w:p>
    <w:bookmarkStart w:id="2" w:name="page3"/>
    <w:bookmarkEnd w:id="2"/>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0"/>
          <w:szCs w:val="20"/>
          <w:color w:val="auto"/>
        </w:rPr>
      </w:pPr>
    </w:p>
    <w:p>
      <w:pPr>
        <w:ind w:right="180" w:firstLine="648"/>
        <w:spacing w:after="0" w:line="280" w:lineRule="auto"/>
        <w:rPr>
          <w:sz w:val="20"/>
          <w:szCs w:val="20"/>
          <w:color w:val="auto"/>
        </w:rPr>
      </w:pPr>
      <w:r>
        <w:rPr>
          <w:rFonts w:ascii="Arial" w:cs="Arial" w:eastAsia="Arial" w:hAnsi="Arial"/>
          <w:sz w:val="16"/>
          <w:szCs w:val="16"/>
          <w:color w:val="auto"/>
        </w:rPr>
        <w:t>This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registers additional shares of Class A common stock of Dropbox, Inc. (the “</w:t>
      </w:r>
      <w:r>
        <w:rPr>
          <w:rFonts w:ascii="Arial" w:cs="Arial" w:eastAsia="Arial" w:hAnsi="Arial"/>
          <w:sz w:val="16"/>
          <w:szCs w:val="16"/>
          <w:b w:val="1"/>
          <w:bCs w:val="1"/>
          <w:color w:val="auto"/>
        </w:rPr>
        <w:t>Registrant</w:t>
      </w:r>
      <w:r>
        <w:rPr>
          <w:rFonts w:ascii="Arial" w:cs="Arial" w:eastAsia="Arial" w:hAnsi="Arial"/>
          <w:sz w:val="16"/>
          <w:szCs w:val="16"/>
          <w:color w:val="auto"/>
        </w:rPr>
        <w:t>”) reserved for issuance under the Registrant’s 2018 Equity Incentive Plan (the “</w:t>
      </w:r>
      <w:r>
        <w:rPr>
          <w:rFonts w:ascii="Arial" w:cs="Arial" w:eastAsia="Arial" w:hAnsi="Arial"/>
          <w:sz w:val="16"/>
          <w:szCs w:val="16"/>
          <w:b w:val="1"/>
          <w:bCs w:val="1"/>
          <w:color w:val="auto"/>
        </w:rPr>
        <w:t>2018 Plan</w:t>
      </w:r>
      <w:r>
        <w:rPr>
          <w:rFonts w:ascii="Arial" w:cs="Arial" w:eastAsia="Arial" w:hAnsi="Arial"/>
          <w:sz w:val="16"/>
          <w:szCs w:val="16"/>
          <w:color w:val="auto"/>
        </w:rPr>
        <w:t>”). The number of shares of the Registrant’s Class A common stock available for grant and issuance under the 2018 Plan is subject to an annual increase on the first day of each fiscal year starting on January 1, 2019, by an amount equal to the least of (i) 41,368,326 shares, (ii) five percent (5%) of the outstanding shares of all classes of the Registrant’s common stock on the last day of the immediately preceding fiscal year or (iii) such number of shares determined by the Registrant’s board of directors.</w:t>
      </w:r>
    </w:p>
    <w:p>
      <w:pPr>
        <w:spacing w:after="0" w:line="18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This Registration Statement registers an aggregate of 20,287,746 shares of the Registrant’s Class A common stock available for grant and issuance under the 2018 Plan, all of which became available for grant and issuance under the 2018 Plan on January 1, 2021.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56"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238"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2020, filed with the Commission on February 19, 2021;</w:t>
      </w:r>
    </w:p>
    <w:p>
      <w:pPr>
        <w:spacing w:after="0" w:line="257" w:lineRule="exact"/>
        <w:rPr>
          <w:rFonts w:ascii="Arial" w:cs="Arial" w:eastAsia="Arial" w:hAnsi="Arial"/>
          <w:sz w:val="16"/>
          <w:szCs w:val="16"/>
          <w:color w:val="auto"/>
        </w:rPr>
      </w:pPr>
    </w:p>
    <w:p>
      <w:pPr>
        <w:ind w:right="20" w:firstLine="656"/>
        <w:spacing w:after="0" w:line="250"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of the Registrant filed pursuant to Section 13(a) or 15(d) of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since the end of the fiscal year covered by the Registrant’s Annual Report referred to in (1) above (other than the portions of these documents not</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filed); and</w:t>
      </w:r>
    </w:p>
    <w:p>
      <w:pPr>
        <w:spacing w:after="0" w:line="207" w:lineRule="exact"/>
        <w:rPr>
          <w:rFonts w:ascii="Arial" w:cs="Arial" w:eastAsia="Arial" w:hAnsi="Arial"/>
          <w:sz w:val="18"/>
          <w:szCs w:val="18"/>
          <w:color w:val="auto"/>
        </w:rPr>
      </w:pPr>
    </w:p>
    <w:p>
      <w:pPr>
        <w:ind w:right="400" w:firstLine="656"/>
        <w:spacing w:after="0" w:line="248"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Class A Common Stock filed as Exhibit 4.1 to its Quarterly Report on Form 10-Q for the fiscal quarter ended June 30, 2020, filed with the Commission on August 7, 2020, and any subsequent amendment or report filed for the purpose of updating such description.</w:t>
      </w:r>
    </w:p>
    <w:p>
      <w:pPr>
        <w:spacing w:after="0" w:line="35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w:t>
      </w:r>
    </w:p>
    <w:p>
      <w:pPr>
        <w:sectPr>
          <w:pgSz w:w="11900" w:h="16838" w:orient="portrait"/>
          <w:cols w:equalWidth="0" w:num="1">
            <w:col w:w="11240"/>
          </w:cols>
          <w:pgMar w:left="320" w:top="1440" w:right="339" w:bottom="1440" w:gutter="0" w:footer="0" w:header="0"/>
        </w:sectPr>
      </w:pPr>
    </w:p>
    <w:bookmarkStart w:id="3" w:name="page4"/>
    <w:bookmarkEnd w:id="3"/>
    <w:p>
      <w:pPr>
        <w:spacing w:after="0" w:line="3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modifies or supersedes such statement. Any such statement so modified or superseded shall not be deemed, except as so modified or superseded, to constitute a part of this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200" w:lineRule="exact"/>
        <w:rPr>
          <w:sz w:val="20"/>
          <w:szCs w:val="20"/>
          <w:color w:val="auto"/>
        </w:rPr>
      </w:pPr>
    </w:p>
    <w:p>
      <w:pPr>
        <w:spacing w:after="0" w:line="23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any breach of their duty of loyalty to the Registrant or its stockholders;</w:t>
      </w:r>
    </w:p>
    <w:p>
      <w:pPr>
        <w:spacing w:after="0" w:line="242"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9" w:lineRule="exact"/>
        <w:rPr>
          <w:rFonts w:ascii="Arial" w:cs="Arial" w:eastAsia="Arial" w:hAnsi="Arial"/>
          <w:sz w:val="20"/>
          <w:szCs w:val="20"/>
          <w:color w:val="auto"/>
        </w:rPr>
      </w:pPr>
    </w:p>
    <w:p>
      <w:pPr>
        <w:ind w:left="660" w:right="540" w:firstLine="320"/>
        <w:spacing w:after="0" w:line="237" w:lineRule="auto"/>
        <w:tabs>
          <w:tab w:leader="none" w:pos="1296" w:val="left"/>
        </w:tabs>
        <w:numPr>
          <w:ilvl w:val="0"/>
          <w:numId w:val="3"/>
        </w:numPr>
        <w:rPr>
          <w:rFonts w:ascii="Arial" w:cs="Arial" w:eastAsia="Arial" w:hAnsi="Arial"/>
          <w:sz w:val="20"/>
          <w:szCs w:val="20"/>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216"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00" w:lineRule="exact"/>
        <w:rPr>
          <w:sz w:val="20"/>
          <w:szCs w:val="20"/>
          <w:color w:val="auto"/>
        </w:rPr>
      </w:pPr>
    </w:p>
    <w:p>
      <w:pPr>
        <w:spacing w:after="0" w:line="282" w:lineRule="exact"/>
        <w:rPr>
          <w:sz w:val="20"/>
          <w:szCs w:val="20"/>
          <w:color w:val="auto"/>
        </w:rPr>
      </w:pPr>
    </w:p>
    <w:p>
      <w:pPr>
        <w:ind w:right="80" w:firstLine="972"/>
        <w:spacing w:after="0" w:line="243"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215" w:lineRule="exact"/>
        <w:rPr>
          <w:sz w:val="20"/>
          <w:szCs w:val="20"/>
          <w:color w:val="auto"/>
        </w:rPr>
      </w:pPr>
    </w:p>
    <w:p>
      <w:pPr>
        <w:ind w:firstLine="441"/>
        <w:spacing w:after="0" w:line="254" w:lineRule="auto"/>
        <w:rPr>
          <w:sz w:val="20"/>
          <w:szCs w:val="20"/>
          <w:color w:val="auto"/>
        </w:rPr>
      </w:pPr>
      <w:r>
        <w:rPr>
          <w:rFonts w:ascii="Arial" w:cs="Arial" w:eastAsia="Arial" w:hAnsi="Arial"/>
          <w:sz w:val="17"/>
          <w:szCs w:val="17"/>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208" w:lineRule="exact"/>
        <w:rPr>
          <w:sz w:val="20"/>
          <w:szCs w:val="20"/>
          <w:color w:val="auto"/>
        </w:rPr>
      </w:pPr>
    </w:p>
    <w:p>
      <w:pPr>
        <w:ind w:right="140" w:firstLine="441"/>
        <w:spacing w:after="0" w:line="248" w:lineRule="auto"/>
        <w:rPr>
          <w:sz w:val="20"/>
          <w:szCs w:val="20"/>
          <w:color w:val="auto"/>
        </w:rPr>
      </w:pPr>
      <w:r>
        <w:rPr>
          <w:rFonts w:ascii="Arial" w:cs="Arial" w:eastAsia="Arial" w:hAnsi="Arial"/>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w:t>
      </w:r>
    </w:p>
    <w:p>
      <w:pPr>
        <w:sectPr>
          <w:pgSz w:w="11900" w:h="16838" w:orient="portrait"/>
          <w:cols w:equalWidth="0" w:num="1">
            <w:col w:w="11240"/>
          </w:cols>
          <w:pgMar w:left="320" w:top="1440" w:right="339" w:bottom="1440" w:gutter="0" w:footer="0" w:header="0"/>
        </w:sectPr>
      </w:pPr>
    </w:p>
    <w:bookmarkStart w:id="4" w:name="page5"/>
    <w:bookmarkEnd w:id="4"/>
    <w:p>
      <w:pPr>
        <w:spacing w:after="0" w:line="225" w:lineRule="exact"/>
        <w:rPr>
          <w:sz w:val="20"/>
          <w:szCs w:val="20"/>
          <w:color w:val="auto"/>
        </w:rPr>
      </w:pPr>
    </w:p>
    <w:p>
      <w:pPr>
        <w:jc w:val="both"/>
        <w:ind w:right="420"/>
        <w:spacing w:after="0" w:line="294" w:lineRule="auto"/>
        <w:rPr>
          <w:sz w:val="20"/>
          <w:szCs w:val="20"/>
          <w:color w:val="auto"/>
        </w:rPr>
      </w:pPr>
      <w:r>
        <w:rPr>
          <w:rFonts w:ascii="Arial" w:cs="Arial" w:eastAsia="Arial" w:hAnsi="Arial"/>
          <w:sz w:val="16"/>
          <w:szCs w:val="16"/>
          <w:color w:val="auto"/>
        </w:rPr>
        <w:t>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174" w:lineRule="exact"/>
        <w:rPr>
          <w:sz w:val="20"/>
          <w:szCs w:val="20"/>
          <w:color w:val="auto"/>
        </w:rPr>
      </w:pPr>
    </w:p>
    <w:p>
      <w:pPr>
        <w:ind w:right="100" w:firstLine="441"/>
        <w:spacing w:after="0" w:line="271" w:lineRule="auto"/>
        <w:rPr>
          <w:sz w:val="20"/>
          <w:szCs w:val="20"/>
          <w:color w:val="auto"/>
        </w:rPr>
      </w:pPr>
      <w:r>
        <w:rPr>
          <w:rFonts w:ascii="Arial" w:cs="Arial" w:eastAsia="Arial" w:hAnsi="Arial"/>
          <w:sz w:val="16"/>
          <w:szCs w:val="16"/>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96" w:lineRule="exact"/>
        <w:rPr>
          <w:sz w:val="20"/>
          <w:szCs w:val="20"/>
          <w:color w:val="auto"/>
        </w:rPr>
      </w:pPr>
    </w:p>
    <w:p>
      <w:pPr>
        <w:ind w:firstLine="441"/>
        <w:spacing w:after="0" w:line="262" w:lineRule="auto"/>
        <w:rPr>
          <w:sz w:val="20"/>
          <w:szCs w:val="20"/>
          <w:color w:val="auto"/>
        </w:rPr>
      </w:pPr>
      <w:r>
        <w:rPr>
          <w:rFonts w:ascii="Arial" w:cs="Arial" w:eastAsia="Arial" w:hAnsi="Arial"/>
          <w:sz w:val="17"/>
          <w:szCs w:val="17"/>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99" w:lineRule="exact"/>
        <w:rPr>
          <w:sz w:val="20"/>
          <w:szCs w:val="20"/>
          <w:color w:val="auto"/>
        </w:rPr>
      </w:pPr>
    </w:p>
    <w:p>
      <w:pPr>
        <w:ind w:right="480" w:firstLine="441"/>
        <w:spacing w:after="0" w:line="261"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Item 8. Exhibits.</w:t>
            </w:r>
          </w:p>
        </w:tc>
        <w:tc>
          <w:tcPr>
            <w:tcW w:w="9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440" w:type="dxa"/>
            <w:vAlign w:val="bottom"/>
          </w:tcPr>
          <w:p>
            <w:pPr>
              <w:ind w:left="420"/>
              <w:spacing w:after="0"/>
              <w:rPr>
                <w:sz w:val="20"/>
                <w:szCs w:val="20"/>
                <w:color w:val="auto"/>
              </w:rPr>
            </w:pPr>
            <w:r>
              <w:rPr>
                <w:rFonts w:ascii="Arial" w:cs="Arial" w:eastAsia="Arial" w:hAnsi="Arial"/>
                <w:sz w:val="18"/>
                <w:szCs w:val="18"/>
                <w:b w:val="1"/>
                <w:bCs w:val="1"/>
                <w:color w:val="auto"/>
              </w:rPr>
              <w:t>Exhibit</w:t>
            </w:r>
          </w:p>
        </w:tc>
        <w:tc>
          <w:tcPr>
            <w:tcW w:w="9800" w:type="dxa"/>
            <w:vAlign w:val="bottom"/>
            <w:vMerge w:val="restart"/>
          </w:tcPr>
          <w:p>
            <w:pPr>
              <w:ind w:left="44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1440" w:type="dxa"/>
            <w:vAlign w:val="bottom"/>
          </w:tcPr>
          <w:p>
            <w:pPr>
              <w:ind w:left="400"/>
              <w:spacing w:after="0"/>
              <w:rPr>
                <w:sz w:val="20"/>
                <w:szCs w:val="20"/>
                <w:color w:val="auto"/>
              </w:rPr>
            </w:pPr>
            <w:r>
              <w:rPr>
                <w:rFonts w:ascii="Arial" w:cs="Arial" w:eastAsia="Arial" w:hAnsi="Arial"/>
                <w:sz w:val="18"/>
                <w:szCs w:val="18"/>
                <w:b w:val="1"/>
                <w:bCs w:val="1"/>
                <w:color w:val="auto"/>
              </w:rPr>
              <w:t>Number</w:t>
            </w:r>
          </w:p>
        </w:tc>
        <w:tc>
          <w:tcPr>
            <w:tcW w:w="9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4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440" w:type="dxa"/>
            <w:vAlign w:val="bottom"/>
          </w:tcPr>
          <w:p>
            <w:pPr>
              <w:jc w:val="center"/>
              <w:spacing w:after="0"/>
              <w:rPr>
                <w:sz w:val="20"/>
                <w:szCs w:val="20"/>
                <w:color w:val="auto"/>
              </w:rPr>
            </w:pPr>
            <w:r>
              <w:rPr>
                <w:rFonts w:ascii="Arial" w:cs="Arial" w:eastAsia="Arial" w:hAnsi="Arial"/>
                <w:sz w:val="18"/>
                <w:szCs w:val="18"/>
                <w:color w:val="auto"/>
                <w:w w:val="82"/>
              </w:rPr>
              <w:t>4.1</w:t>
            </w:r>
            <w:r>
              <w:rPr>
                <w:rFonts w:ascii="Arial" w:cs="Arial" w:eastAsia="Arial" w:hAnsi="Arial"/>
                <w:sz w:val="23"/>
                <w:szCs w:val="23"/>
                <w:color w:val="auto"/>
                <w:w w:val="82"/>
                <w:vertAlign w:val="superscript"/>
              </w:rPr>
              <w:t>(1)</w:t>
            </w:r>
          </w:p>
        </w:tc>
        <w:tc>
          <w:tcPr>
            <w:tcW w:w="9800" w:type="dxa"/>
            <w:vAlign w:val="bottom"/>
          </w:tcPr>
          <w:p>
            <w:pPr>
              <w:ind w:left="20"/>
              <w:spacing w:after="0"/>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Form of Class A common stock certificate.</w:t>
              </w:r>
            </w:hyperlink>
          </w:p>
        </w:tc>
        <w:tc>
          <w:tcPr>
            <w:tcW w:w="0" w:type="dxa"/>
            <w:vAlign w:val="bottom"/>
          </w:tcPr>
          <w:p>
            <w:pPr>
              <w:spacing w:after="0"/>
              <w:rPr>
                <w:sz w:val="1"/>
                <w:szCs w:val="1"/>
                <w:color w:val="auto"/>
              </w:rPr>
            </w:pPr>
          </w:p>
        </w:tc>
      </w:tr>
      <w:tr>
        <w:trPr>
          <w:trHeight w:val="297"/>
        </w:trPr>
        <w:tc>
          <w:tcPr>
            <w:tcW w:w="1440" w:type="dxa"/>
            <w:vAlign w:val="bottom"/>
          </w:tcPr>
          <w:p>
            <w:pPr>
              <w:jc w:val="center"/>
              <w:spacing w:after="0"/>
              <w:rPr>
                <w:sz w:val="20"/>
                <w:szCs w:val="20"/>
                <w:color w:val="auto"/>
              </w:rPr>
            </w:pPr>
            <w:r>
              <w:rPr>
                <w:rFonts w:ascii="Arial" w:cs="Arial" w:eastAsia="Arial" w:hAnsi="Arial"/>
                <w:sz w:val="18"/>
                <w:szCs w:val="18"/>
                <w:color w:val="auto"/>
                <w:w w:val="82"/>
              </w:rPr>
              <w:t>4.2</w:t>
            </w:r>
            <w:r>
              <w:rPr>
                <w:rFonts w:ascii="Arial" w:cs="Arial" w:eastAsia="Arial" w:hAnsi="Arial"/>
                <w:sz w:val="23"/>
                <w:szCs w:val="23"/>
                <w:color w:val="auto"/>
                <w:w w:val="82"/>
                <w:vertAlign w:val="superscript"/>
              </w:rPr>
              <w:t>(2)</w:t>
            </w:r>
          </w:p>
        </w:tc>
        <w:tc>
          <w:tcPr>
            <w:tcW w:w="9800" w:type="dxa"/>
            <w:vAlign w:val="bottom"/>
          </w:tcPr>
          <w:p>
            <w:pPr>
              <w:ind w:left="20"/>
              <w:spacing w:after="0"/>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Dropbox, Inc. 2018 Equity Incentive Plan and related form agreements.</w:t>
              </w:r>
            </w:hyperlink>
          </w:p>
        </w:tc>
        <w:tc>
          <w:tcPr>
            <w:tcW w:w="0" w:type="dxa"/>
            <w:vAlign w:val="bottom"/>
          </w:tcPr>
          <w:p>
            <w:pPr>
              <w:spacing w:after="0"/>
              <w:rPr>
                <w:sz w:val="1"/>
                <w:szCs w:val="1"/>
                <w:color w:val="auto"/>
              </w:rPr>
            </w:pPr>
          </w:p>
        </w:tc>
      </w:tr>
      <w:tr>
        <w:trPr>
          <w:trHeight w:val="230"/>
        </w:trPr>
        <w:tc>
          <w:tcPr>
            <w:tcW w:w="14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9800" w:type="dxa"/>
            <w:vAlign w:val="bottom"/>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Opinion of Wilson Sonsini Goodrich &amp; Rosati, P.C.</w:t>
              </w:r>
            </w:hyperlink>
          </w:p>
        </w:tc>
        <w:tc>
          <w:tcPr>
            <w:tcW w:w="0" w:type="dxa"/>
            <w:vAlign w:val="bottom"/>
          </w:tcPr>
          <w:p>
            <w:pPr>
              <w:spacing w:after="0"/>
              <w:rPr>
                <w:sz w:val="1"/>
                <w:szCs w:val="1"/>
                <w:color w:val="auto"/>
              </w:rPr>
            </w:pPr>
          </w:p>
        </w:tc>
      </w:tr>
      <w:tr>
        <w:trPr>
          <w:trHeight w:val="297"/>
        </w:trPr>
        <w:tc>
          <w:tcPr>
            <w:tcW w:w="14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9800" w:type="dxa"/>
            <w:vAlign w:val="bottom"/>
          </w:tcPr>
          <w:p>
            <w:pPr>
              <w:ind w:left="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Consent of Independent Registered Public Accounting Firm</w:t>
              </w:r>
            </w:hyperlink>
          </w:p>
        </w:tc>
        <w:tc>
          <w:tcPr>
            <w:tcW w:w="0" w:type="dxa"/>
            <w:vAlign w:val="bottom"/>
          </w:tcPr>
          <w:p>
            <w:pPr>
              <w:spacing w:after="0"/>
              <w:rPr>
                <w:sz w:val="1"/>
                <w:szCs w:val="1"/>
                <w:color w:val="auto"/>
              </w:rPr>
            </w:pPr>
          </w:p>
        </w:tc>
      </w:tr>
      <w:tr>
        <w:trPr>
          <w:trHeight w:val="297"/>
        </w:trPr>
        <w:tc>
          <w:tcPr>
            <w:tcW w:w="144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9800" w:type="dxa"/>
            <w:vAlign w:val="bottom"/>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Consent of Wilson Sonsini Goodrich &amp; Rosati, Professional Corporation (included in Exhibit 5.1).</w:t>
              </w:r>
            </w:hyperlink>
          </w:p>
        </w:tc>
        <w:tc>
          <w:tcPr>
            <w:tcW w:w="0" w:type="dxa"/>
            <w:vAlign w:val="bottom"/>
          </w:tcPr>
          <w:p>
            <w:pPr>
              <w:spacing w:after="0"/>
              <w:rPr>
                <w:sz w:val="1"/>
                <w:szCs w:val="1"/>
                <w:color w:val="auto"/>
              </w:rPr>
            </w:pPr>
          </w:p>
        </w:tc>
      </w:tr>
      <w:tr>
        <w:trPr>
          <w:trHeight w:val="297"/>
        </w:trPr>
        <w:tc>
          <w:tcPr>
            <w:tcW w:w="144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9800" w:type="dxa"/>
            <w:vAlign w:val="bottom"/>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Power of Attorney (contained on signature page hereto).</w:t>
              </w:r>
            </w:hyperlink>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180" w:right="120" w:hanging="172"/>
        <w:spacing w:after="0" w:line="251" w:lineRule="auto"/>
        <w:tabs>
          <w:tab w:leader="none" w:pos="18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Incorporated by reference to Exhibit 4.1 filed with the Registrant’s Registration Statement on Form S-1/A (Registration No. 333-223182), filed with the Commission on March 12, 2018.</w:t>
      </w:r>
    </w:p>
    <w:p>
      <w:pPr>
        <w:spacing w:after="0" w:line="1" w:lineRule="exact"/>
        <w:rPr>
          <w:rFonts w:ascii="Arial" w:cs="Arial" w:eastAsia="Arial" w:hAnsi="Arial"/>
          <w:sz w:val="21"/>
          <w:szCs w:val="21"/>
          <w:color w:val="auto"/>
          <w:vertAlign w:val="superscript"/>
        </w:rPr>
      </w:pPr>
    </w:p>
    <w:p>
      <w:pPr>
        <w:ind w:left="180" w:hanging="172"/>
        <w:spacing w:after="0" w:line="214"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Incorporated by reference to Exhibit 10.2 filed with the Registrant’s Annual Report on Form 10-K, filed with the Commission on February 19, 2021.</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040" w:hanging="384"/>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660" w:hanging="356"/>
        <w:spacing w:after="0"/>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76" w:lineRule="exact"/>
        <w:rPr>
          <w:rFonts w:ascii="Arial" w:cs="Arial" w:eastAsia="Arial" w:hAnsi="Arial"/>
          <w:sz w:val="18"/>
          <w:szCs w:val="18"/>
          <w:color w:val="auto"/>
        </w:rPr>
      </w:pPr>
    </w:p>
    <w:p>
      <w:pPr>
        <w:ind w:left="1960" w:hanging="656"/>
        <w:spacing w:after="0" w:line="291" w:lineRule="auto"/>
        <w:tabs>
          <w:tab w:leader="none" w:pos="1708"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 w:lineRule="exact"/>
        <w:rPr>
          <w:rFonts w:ascii="Arial" w:cs="Arial" w:eastAsia="Arial" w:hAnsi="Arial"/>
          <w:sz w:val="16"/>
          <w:szCs w:val="16"/>
          <w:color w:val="auto"/>
        </w:rPr>
      </w:pPr>
    </w:p>
    <w:p>
      <w:pPr>
        <w:ind w:left="1960" w:right="100" w:hanging="656"/>
        <w:spacing w:after="0" w:line="277" w:lineRule="auto"/>
        <w:tabs>
          <w:tab w:leader="none" w:pos="1758"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35" w:lineRule="exact"/>
        <w:rPr>
          <w:sz w:val="20"/>
          <w:szCs w:val="20"/>
          <w:color w:val="auto"/>
        </w:rPr>
      </w:pPr>
    </w:p>
    <w:p>
      <w:pPr>
        <w:ind w:left="1140" w:right="360" w:hanging="484"/>
        <w:spacing w:after="0" w:line="263" w:lineRule="auto"/>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5" w:lineRule="exact"/>
        <w:rPr>
          <w:rFonts w:ascii="Arial" w:cs="Arial" w:eastAsia="Arial" w:hAnsi="Arial"/>
          <w:sz w:val="18"/>
          <w:szCs w:val="18"/>
          <w:color w:val="auto"/>
        </w:rPr>
      </w:pPr>
    </w:p>
    <w:p>
      <w:pPr>
        <w:ind w:left="1140" w:right="200" w:hanging="484"/>
        <w:spacing w:after="0" w:line="277" w:lineRule="auto"/>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652"/>
        <w:spacing w:after="0" w:line="257" w:lineRule="auto"/>
        <w:tabs>
          <w:tab w:leader="none" w:pos="3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660" w:right="20" w:hanging="652"/>
        <w:spacing w:after="0" w:line="271" w:lineRule="auto"/>
        <w:tabs>
          <w:tab w:leader="none" w:pos="357"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80"/>
          </w:cols>
          <w:pgMar w:left="320" w:top="1440" w:right="399" w:bottom="1440" w:gutter="0" w:footer="0" w:header="0"/>
        </w:sectPr>
      </w:pPr>
    </w:p>
    <w:bookmarkStart w:id="6" w:name="page7"/>
    <w:bookmarkEnd w:id="6"/>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San Francisco, California, on the 19th day of February, 2021.</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DROPBOX, INC.</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-10160</wp:posOffset>
            </wp:positionV>
            <wp:extent cx="1090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8"/>
          <w:szCs w:val="18"/>
          <w:color w:val="auto"/>
        </w:rPr>
        <w:t>Timothy J. Regan</w:t>
      </w:r>
    </w:p>
    <w:p>
      <w:pPr>
        <w:ind w:left="4720"/>
        <w:spacing w:after="0"/>
        <w:rPr>
          <w:sz w:val="20"/>
          <w:szCs w:val="20"/>
          <w:color w:val="auto"/>
        </w:rPr>
      </w:pPr>
      <w:r>
        <w:rPr>
          <w:rFonts w:ascii="Arial" w:cs="Arial" w:eastAsia="Arial" w:hAnsi="Arial"/>
          <w:sz w:val="18"/>
          <w:szCs w:val="18"/>
          <w:color w:val="auto"/>
        </w:rPr>
        <w:t>Chief Financial Officer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Timothy J. Regan,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pacing w:after="0" w:line="17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 in the capacities and on the dates indicated:</w:t>
      </w:r>
    </w:p>
    <w:p>
      <w:pPr>
        <w:sectPr>
          <w:pgSz w:w="11900" w:h="16838" w:orient="portrait"/>
          <w:cols w:equalWidth="0" w:num="1">
            <w:col w:w="11220"/>
          </w:cols>
          <w:pgMar w:left="320" w:top="1440" w:right="359" w:bottom="1440" w:gutter="0" w:footer="0" w:header="0"/>
        </w:sectPr>
      </w:pPr>
    </w:p>
    <w:bookmarkStart w:id="7" w:name="page8"/>
    <w:bookmarkEnd w:id="7"/>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18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780" w:type="dxa"/>
            <w:vAlign w:val="bottom"/>
            <w:gridSpan w:val="3"/>
          </w:tcPr>
          <w:p>
            <w:pPr>
              <w:ind w:left="460"/>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79"/>
        </w:trPr>
        <w:tc>
          <w:tcPr>
            <w:tcW w:w="3920" w:type="dxa"/>
            <w:vAlign w:val="bottom"/>
            <w:gridSpan w:val="11"/>
          </w:tcPr>
          <w:p>
            <w:pPr>
              <w:spacing w:after="0"/>
              <w:rPr>
                <w:sz w:val="20"/>
                <w:szCs w:val="20"/>
                <w:color w:val="auto"/>
              </w:rPr>
            </w:pPr>
            <w:r>
              <w:rPr>
                <w:rFonts w:ascii="Arial" w:cs="Arial" w:eastAsia="Arial" w:hAnsi="Arial"/>
                <w:sz w:val="18"/>
                <w:szCs w:val="18"/>
                <w:color w:val="auto"/>
              </w:rPr>
              <w:t>/s/ Andrew W. Houston______________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Chief Executive Officer and Chairman</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6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Andrew W. Houston</w:t>
            </w:r>
          </w:p>
        </w:tc>
        <w:tc>
          <w:tcPr>
            <w:tcW w:w="2240" w:type="dxa"/>
            <w:vAlign w:val="bottom"/>
          </w:tcPr>
          <w:p>
            <w:pPr>
              <w:spacing w:after="0"/>
              <w:rPr>
                <w:sz w:val="19"/>
                <w:szCs w:val="19"/>
                <w:color w:val="auto"/>
              </w:rPr>
            </w:pPr>
          </w:p>
        </w:tc>
        <w:tc>
          <w:tcPr>
            <w:tcW w:w="4620" w:type="dxa"/>
            <w:vAlign w:val="bottom"/>
            <w:gridSpan w:val="3"/>
          </w:tcPr>
          <w:p>
            <w:pPr>
              <w:ind w:left="860"/>
              <w:spacing w:after="0"/>
              <w:rPr>
                <w:sz w:val="20"/>
                <w:szCs w:val="20"/>
                <w:color w:val="auto"/>
              </w:rPr>
            </w:pPr>
            <w:r>
              <w:rPr>
                <w:rFonts w:ascii="Arial" w:cs="Arial" w:eastAsia="Arial" w:hAnsi="Arial"/>
                <w:sz w:val="18"/>
                <w:szCs w:val="18"/>
                <w:i w:val="1"/>
                <w:iCs w:val="1"/>
                <w:color w:val="auto"/>
              </w:rPr>
              <w:t>(Principal Executive Officer)</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Timothy J. Regan</w:t>
            </w:r>
            <w:r>
              <w:rPr>
                <w:rFonts w:ascii="Arial" w:cs="Arial" w:eastAsia="Arial" w:hAnsi="Arial"/>
                <w:sz w:val="12"/>
                <w:szCs w:val="12"/>
                <w:color w:val="auto"/>
              </w:rPr>
              <w:t>_______________________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Chief Financial Officer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4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Timothy J. Regan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4620" w:type="dxa"/>
            <w:vAlign w:val="bottom"/>
            <w:gridSpan w:val="3"/>
          </w:tcPr>
          <w:p>
            <w:pPr>
              <w:ind w:left="860"/>
              <w:spacing w:after="0"/>
              <w:rPr>
                <w:sz w:val="20"/>
                <w:szCs w:val="20"/>
                <w:color w:val="auto"/>
              </w:rPr>
            </w:pPr>
            <w:r>
              <w:rPr>
                <w:rFonts w:ascii="Arial" w:cs="Arial" w:eastAsia="Arial" w:hAnsi="Arial"/>
                <w:sz w:val="18"/>
                <w:szCs w:val="18"/>
                <w:i w:val="1"/>
                <w:iCs w:val="1"/>
                <w:color w:val="auto"/>
              </w:rPr>
              <w:t>(Principal Accounting and Financial Officer)</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Donald W. Blair__________________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3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Donald W. Blair</w:t>
            </w:r>
          </w:p>
        </w:tc>
        <w:tc>
          <w:tcPr>
            <w:tcW w:w="1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Lisa Campbell___________________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Lisa Campbell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1"/>
        </w:trPr>
        <w:tc>
          <w:tcPr>
            <w:tcW w:w="3920" w:type="dxa"/>
            <w:vAlign w:val="bottom"/>
            <w:gridSpan w:val="11"/>
          </w:tcPr>
          <w:p>
            <w:pPr>
              <w:spacing w:after="0"/>
              <w:rPr>
                <w:sz w:val="20"/>
                <w:szCs w:val="20"/>
                <w:color w:val="auto"/>
              </w:rPr>
            </w:pPr>
            <w:r>
              <w:rPr>
                <w:rFonts w:ascii="Arial" w:cs="Arial" w:eastAsia="Arial" w:hAnsi="Arial"/>
                <w:sz w:val="18"/>
                <w:szCs w:val="18"/>
                <w:color w:val="auto"/>
              </w:rPr>
              <w:t>/s/ Paul E. Jacobs___________________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Paul E. Jacobs</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Robert J. Mylod, Jr._______________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6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Robert J. Mylod, Jr.</w:t>
            </w:r>
          </w:p>
        </w:tc>
        <w:tc>
          <w:tcPr>
            <w:tcW w:w="22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Karen Peacock___________________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3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Karen Peacock</w:t>
            </w:r>
          </w:p>
        </w:tc>
        <w:tc>
          <w:tcPr>
            <w:tcW w:w="2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240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Condoleezza Rice_________________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5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Condoleezza Rice</w:t>
            </w:r>
          </w:p>
        </w:tc>
        <w:tc>
          <w:tcPr>
            <w:tcW w:w="240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Michael Seibel_________________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19, 2021</w:t>
            </w:r>
          </w:p>
        </w:tc>
      </w:tr>
      <w:tr>
        <w:trPr>
          <w:trHeight w:val="224"/>
        </w:trPr>
        <w:tc>
          <w:tcPr>
            <w:tcW w:w="13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Michael Seibel</w:t>
            </w:r>
          </w:p>
        </w:tc>
        <w:tc>
          <w:tcPr>
            <w:tcW w:w="2600" w:type="dxa"/>
            <w:vAlign w:val="bottom"/>
            <w:gridSpan w:val="6"/>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ectPr>
          <w:pgSz w:w="11900" w:h="16838" w:orient="portrait"/>
          <w:cols w:equalWidth="0" w:num="1">
            <w:col w:w="10320"/>
          </w:cols>
          <w:pgMar w:left="400" w:top="1440" w:right="1179" w:bottom="1440" w:gutter="0" w:footer="0" w:header="0"/>
        </w:sectPr>
      </w:pPr>
    </w:p>
    <w:bookmarkStart w:id="8" w:name="page9"/>
    <w:bookmarkEnd w:id="8"/>
    <w:p>
      <w:pPr>
        <w:ind w:left="1040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109220</wp:posOffset>
            </wp:positionV>
            <wp:extent cx="109728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173"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003D4C"/>
        </w:rPr>
        <w:t>WILSON SONSINI GOODRICH &amp; ROSATI</w:t>
      </w:r>
    </w:p>
    <w:p>
      <w:pPr>
        <w:jc w:val="right"/>
        <w:ind w:right="100"/>
        <w:spacing w:after="0" w:line="201" w:lineRule="auto"/>
        <w:rPr>
          <w:sz w:val="20"/>
          <w:szCs w:val="20"/>
          <w:color w:val="auto"/>
        </w:rPr>
      </w:pPr>
      <w:r>
        <w:rPr>
          <w:rFonts w:ascii="Arial" w:cs="Arial" w:eastAsia="Arial" w:hAnsi="Arial"/>
          <w:sz w:val="14"/>
          <w:szCs w:val="14"/>
          <w:color w:val="003D4C"/>
        </w:rPr>
        <w:t>PROFESSIONAL CORPORATION</w:t>
      </w:r>
    </w:p>
    <w:p>
      <w:pPr>
        <w:jc w:val="right"/>
        <w:ind w:right="140"/>
        <w:spacing w:after="0" w:line="201" w:lineRule="auto"/>
        <w:rPr>
          <w:sz w:val="20"/>
          <w:szCs w:val="20"/>
          <w:color w:val="auto"/>
        </w:rPr>
      </w:pPr>
      <w:r>
        <w:rPr>
          <w:rFonts w:ascii="Arial" w:cs="Arial" w:eastAsia="Arial" w:hAnsi="Arial"/>
          <w:sz w:val="14"/>
          <w:szCs w:val="14"/>
          <w:color w:val="003D4C"/>
        </w:rPr>
        <w:t>650 PAGE MILL ROAD</w:t>
      </w:r>
    </w:p>
    <w:p>
      <w:pPr>
        <w:jc w:val="right"/>
        <w:ind w:right="100"/>
        <w:spacing w:after="0" w:line="201" w:lineRule="auto"/>
        <w:rPr>
          <w:sz w:val="20"/>
          <w:szCs w:val="20"/>
          <w:color w:val="auto"/>
        </w:rPr>
      </w:pPr>
      <w:r>
        <w:rPr>
          <w:rFonts w:ascii="Arial" w:cs="Arial" w:eastAsia="Arial" w:hAnsi="Arial"/>
          <w:sz w:val="14"/>
          <w:szCs w:val="14"/>
          <w:color w:val="003D4C"/>
        </w:rPr>
        <w:t>PALO ALTO, CA 94304-1050</w:t>
      </w:r>
    </w:p>
    <w:p>
      <w:pPr>
        <w:jc w:val="right"/>
        <w:ind w:right="140"/>
        <w:spacing w:after="0" w:line="202" w:lineRule="auto"/>
        <w:rPr>
          <w:sz w:val="20"/>
          <w:szCs w:val="20"/>
          <w:color w:val="auto"/>
        </w:rPr>
      </w:pPr>
      <w:r>
        <w:rPr>
          <w:rFonts w:ascii="Arial" w:cs="Arial" w:eastAsia="Arial" w:hAnsi="Arial"/>
          <w:sz w:val="14"/>
          <w:szCs w:val="14"/>
          <w:color w:val="003D4C"/>
        </w:rPr>
        <w:t>O: 650.493.9300</w:t>
      </w:r>
    </w:p>
    <w:p>
      <w:pPr>
        <w:jc w:val="right"/>
        <w:ind w:right="10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19, 2021</w:t>
      </w:r>
    </w:p>
    <w:p>
      <w:pPr>
        <w:spacing w:after="0" w:line="238" w:lineRule="auto"/>
        <w:rPr>
          <w:sz w:val="20"/>
          <w:szCs w:val="20"/>
          <w:color w:val="auto"/>
        </w:rPr>
      </w:pPr>
      <w:r>
        <w:rPr>
          <w:rFonts w:ascii="Arial" w:cs="Arial" w:eastAsia="Arial" w:hAnsi="Arial"/>
          <w:sz w:val="22"/>
          <w:szCs w:val="22"/>
          <w:color w:val="auto"/>
        </w:rPr>
        <w:t>Dropbox, Inc.</w:t>
      </w:r>
    </w:p>
    <w:p>
      <w:pPr>
        <w:spacing w:after="0" w:line="230" w:lineRule="auto"/>
        <w:rPr>
          <w:sz w:val="20"/>
          <w:szCs w:val="20"/>
          <w:color w:val="auto"/>
        </w:rPr>
      </w:pPr>
      <w:r>
        <w:rPr>
          <w:rFonts w:ascii="Arial" w:cs="Arial" w:eastAsia="Arial" w:hAnsi="Arial"/>
          <w:sz w:val="22"/>
          <w:szCs w:val="22"/>
          <w:color w:val="auto"/>
        </w:rPr>
        <w:t>1800 Owens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94158</w:t>
      </w:r>
    </w:p>
    <w:p>
      <w:pPr>
        <w:spacing w:after="0" w:line="209"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b w:val="1"/>
          <w:bCs w:val="1"/>
          <w:color w:val="auto"/>
        </w:rPr>
        <w:t>Re: Registration Statement on Form S</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0"/>
          <w:szCs w:val="20"/>
          <w:color w:val="auto"/>
        </w:rPr>
      </w:pPr>
    </w:p>
    <w:p>
      <w:pPr>
        <w:ind w:right="20" w:firstLine="648"/>
        <w:spacing w:after="0" w:line="237" w:lineRule="auto"/>
        <w:rPr>
          <w:sz w:val="20"/>
          <w:szCs w:val="20"/>
          <w:color w:val="auto"/>
        </w:rPr>
      </w:pPr>
      <w:r>
        <w:rPr>
          <w:rFonts w:ascii="Arial" w:cs="Arial" w:eastAsia="Arial" w:hAnsi="Arial"/>
          <w:sz w:val="22"/>
          <w:szCs w:val="22"/>
          <w:color w:val="auto"/>
        </w:rPr>
        <w:t>We have examined the Registration Statement on Form S-8 (the “</w:t>
      </w:r>
      <w:r>
        <w:rPr>
          <w:rFonts w:ascii="Arial" w:cs="Arial" w:eastAsia="Arial" w:hAnsi="Arial"/>
          <w:sz w:val="22"/>
          <w:szCs w:val="22"/>
          <w:b w:val="1"/>
          <w:bCs w:val="1"/>
          <w:color w:val="auto"/>
        </w:rPr>
        <w:t>Registration Statement</w:t>
      </w:r>
      <w:r>
        <w:rPr>
          <w:rFonts w:ascii="Arial" w:cs="Arial" w:eastAsia="Arial" w:hAnsi="Arial"/>
          <w:sz w:val="22"/>
          <w:szCs w:val="22"/>
          <w:color w:val="auto"/>
        </w:rPr>
        <w:t>”) to be filed by Dropbox,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with the Securities and Exchange Commission on or about the date hereof, relating to the registration under the Securities Act of 1933, as amended, of 20,287,746 shares of the Company’s Class A common stock, par value $0.00001 per share (the “</w:t>
      </w:r>
      <w:r>
        <w:rPr>
          <w:rFonts w:ascii="Arial" w:cs="Arial" w:eastAsia="Arial" w:hAnsi="Arial"/>
          <w:sz w:val="22"/>
          <w:szCs w:val="22"/>
          <w:b w:val="1"/>
          <w:bCs w:val="1"/>
          <w:color w:val="auto"/>
        </w:rPr>
        <w:t>Shares</w:t>
      </w:r>
      <w:r>
        <w:rPr>
          <w:rFonts w:ascii="Arial" w:cs="Arial" w:eastAsia="Arial" w:hAnsi="Arial"/>
          <w:sz w:val="22"/>
          <w:szCs w:val="22"/>
          <w:color w:val="auto"/>
        </w:rPr>
        <w:t>”), reserved for issuance pursuant to the Dropbox, Inc. 2018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215"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213"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/s/ Wilson Sonsini Goodrich &amp; Rosati</w:t>
      </w:r>
    </w:p>
    <w:p>
      <w:pPr>
        <w:spacing w:after="0" w:line="160"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WILSON SONSINI GOODRICH &amp;</w:t>
      </w:r>
    </w:p>
    <w:p>
      <w:pPr>
        <w:ind w:left="4480"/>
        <w:spacing w:after="0" w:line="204" w:lineRule="auto"/>
        <w:rPr>
          <w:sz w:val="20"/>
          <w:szCs w:val="20"/>
          <w:color w:val="auto"/>
        </w:rPr>
      </w:pPr>
      <w:r>
        <w:rPr>
          <w:rFonts w:ascii="Arial" w:cs="Arial" w:eastAsia="Arial" w:hAnsi="Arial"/>
          <w:sz w:val="22"/>
          <w:szCs w:val="22"/>
          <w:color w:val="auto"/>
        </w:rPr>
        <w:t>ROSATI</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4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333333"/>
        </w:rPr>
        <w:t>We consent to the incorporation by reference in the Registration Statement (Form S-8) pertaining to the 2018 Equity Incentive Plan of Dropbox, Inc. of our reports dated February 19, 2021, with respect to the consolidated financial statements of Dropbox, Inc. and the effectiveness of internal control over financial reporting of Dropbox, Inc. included in its Annual Report (Form 10-K) for the year ended December 31, 2020,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333333"/>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333333"/>
        </w:rPr>
        <w:t>February 19, 2021</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upperLetter"/>
      <w:start w:val="1"/>
    </w:lvl>
    <w:lvl w:ilvl="1">
      <w:lvlJc w:val="left"/>
      <w:lvlText w:val="(%2)"/>
      <w:numFmt w:val="decimal"/>
      <w:start w:val="2"/>
    </w:lvl>
  </w:abstractNum>
  <w:abstractNum w:abstractNumId="6">
    <w:nsid w:val="41B71EF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2" Type="http://schemas.openxmlformats.org/officeDocument/2006/relationships/hyperlink" Target="http://www.sec.gov/Archives/edgar/data/1467623/000119312518078140/d451946dex41.htm" TargetMode="External"/><Relationship Id="rId13" Type="http://schemas.openxmlformats.org/officeDocument/2006/relationships/hyperlink" Target="https://www.sec.gov/Archives/edgar/data/1467623/000146762321000012/dbx202010-k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2021-02-19T15:32:04Z</dcterms:created>
  <dcterms:modified xsi:type="dcterms:W3CDTF">2021-02-19T15:32:04Z</dcterms:modified>
</cp:coreProperties>
</file>