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February 16, 2023</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5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968" w:right="239" w:bottom="1440" w:gutter="0" w:footer="0" w:header="0"/>
        </w:sectPr>
      </w:pPr>
    </w:p>
    <w:p>
      <w:pPr>
        <w:spacing w:after="0" w:line="2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7" w:lineRule="exact"/>
        <w:rPr>
          <w:sz w:val="24"/>
          <w:szCs w:val="24"/>
          <w:color w:val="auto"/>
        </w:rPr>
      </w:pPr>
    </w:p>
    <w:p>
      <w:pPr>
        <w:sectPr>
          <w:pgSz w:w="11900" w:h="16838" w:orient="portrait"/>
          <w:cols w:equalWidth="0" w:num="3">
            <w:col w:w="3860" w:space="720"/>
            <w:col w:w="2200" w:space="720"/>
            <w:col w:w="3840"/>
          </w:cols>
          <w:pgMar w:left="320" w:top="968"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968"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64"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90805</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61"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77"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92" w:lineRule="exact"/>
        <w:rPr>
          <w:sz w:val="24"/>
          <w:szCs w:val="24"/>
          <w:color w:val="auto"/>
        </w:rPr>
      </w:pPr>
    </w:p>
    <w:p>
      <w:pPr>
        <w:ind w:right="260"/>
        <w:spacing w:after="0" w:line="25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666750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8"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4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On February 16, 2023, Dropbox, Inc. (“Dropbox” or the "Company") issued a press release and will hold a conference call announcing its financial results for the quarter and fiscal year ended December 31, 2022. A copy of the press release is attached as Exhibit 99.1 to this current report on Form 8-K and is incorporated by reference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2.06 – Material Impairments</w:t>
      </w:r>
    </w:p>
    <w:p>
      <w:pPr>
        <w:spacing w:after="0" w:line="24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 the fourth quarter of 2022, the Company determined that there were adverse changes in the corporate real estate markets where it plans to sublease office space. These changes have reduced demand for corporate office real estate, which the Company expects will result in increased real estate vacancy periods and reduced sublease rent rates. As a result, the Company recorded additional impairment charges related to its corporate office real estate assets of $162.5 million and $175.2 million during the fourth quarter and full-year 2022, respectively. This brings the Company's cumulative impairment charge to $604 million, since its decision to shift to a Virtual First strategy.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24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On February 16, 2023,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7"/>
          <w:szCs w:val="17"/>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9"/>
        </w:trPr>
        <w:tc>
          <w:tcPr>
            <w:tcW w:w="20" w:type="dxa"/>
            <w:vAlign w:val="bottom"/>
          </w:tcPr>
          <w:p>
            <w:pPr>
              <w:spacing w:after="0"/>
              <w:rPr>
                <w:sz w:val="15"/>
                <w:szCs w:val="15"/>
                <w:color w:val="auto"/>
              </w:rPr>
            </w:pPr>
          </w:p>
        </w:tc>
        <w:tc>
          <w:tcPr>
            <w:tcW w:w="1080" w:type="dxa"/>
            <w:vAlign w:val="bottom"/>
            <w:tcBorders>
              <w:top w:val="single" w:sz="8" w:color="auto"/>
            </w:tcBorders>
          </w:tcPr>
          <w:p>
            <w:pPr>
              <w:jc w:val="right"/>
              <w:ind w:right="292"/>
              <w:spacing w:after="0" w:line="17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60" w:type="dxa"/>
            <w:vAlign w:val="bottom"/>
            <w:tcBorders>
              <w:top w:val="single" w:sz="8" w:color="auto"/>
            </w:tcBorders>
            <w:gridSpan w:val="2"/>
          </w:tcPr>
          <w:p>
            <w:pPr>
              <w:spacing w:after="0" w:line="179" w:lineRule="exact"/>
              <w:rPr>
                <w:sz w:val="20"/>
                <w:szCs w:val="20"/>
                <w:color w:val="auto"/>
              </w:rPr>
            </w:pPr>
            <w:r>
              <w:rPr>
                <w:rFonts w:ascii="Times New Roman" w:cs="Times New Roman" w:eastAsia="Times New Roman" w:hAnsi="Times New Roman"/>
                <w:sz w:val="18"/>
                <w:szCs w:val="18"/>
                <w:color w:val="0000FF"/>
              </w:rPr>
              <w:t>Press Release entitled "Dropbox Announces Fourth Quarter and Fiscal 2022 Results" dated February 16, 2023</w:t>
            </w:r>
          </w:p>
        </w:tc>
        <w:tc>
          <w:tcPr>
            <w:tcW w:w="20" w:type="dxa"/>
            <w:vAlign w:val="bottom"/>
          </w:tcPr>
          <w:p>
            <w:pPr>
              <w:spacing w:after="0"/>
              <w:rPr>
                <w:sz w:val="15"/>
                <w:szCs w:val="15"/>
                <w:color w:val="auto"/>
              </w:rPr>
            </w:pPr>
          </w:p>
        </w:tc>
      </w:tr>
      <w:tr>
        <w:trPr>
          <w:trHeight w:val="1207"/>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0" w:type="dxa"/>
            <w:vAlign w:val="bottom"/>
            <w:tcBorders>
              <w:top w:val="single" w:sz="8" w:color="0000FF"/>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16, 2023</w:t>
      </w:r>
    </w:p>
    <w:p>
      <w:pPr>
        <w:spacing w:after="0" w:line="34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11430</wp:posOffset>
            </wp:positionV>
            <wp:extent cx="278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Timothy J. Regan</w:t>
      </w:r>
    </w:p>
    <w:p>
      <w:pPr>
        <w:spacing w:after="0" w:line="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80"/>
          </w:cols>
          <w:pgMar w:left="320" w:top="875" w:right="499" w:bottom="1440" w:gutter="0" w:footer="0" w:header="0"/>
        </w:sectPr>
      </w:pPr>
    </w:p>
    <w:bookmarkStart w:id="3" w:name="page4"/>
    <w:bookmarkEnd w:id="3"/>
    <w:p>
      <w:pPr>
        <w:ind w:left="3640"/>
        <w:spacing w:after="0"/>
        <w:rPr>
          <w:sz w:val="20"/>
          <w:szCs w:val="20"/>
          <w:color w:val="auto"/>
        </w:rPr>
      </w:pPr>
      <w:r>
        <w:rPr>
          <w:rFonts w:ascii="Times New Roman" w:cs="Times New Roman" w:eastAsia="Times New Roman" w:hAnsi="Times New Roman"/>
          <w:sz w:val="18"/>
          <w:szCs w:val="18"/>
          <w:b w:val="1"/>
          <w:bCs w:val="1"/>
          <w:color w:val="auto"/>
        </w:rPr>
        <w:t>Dropbox Announces Fourth Quarter and Fiscal 2022 Results</w:t>
      </w: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Fourth Quarter Revenue of $598.8 Million, up 5.9% year-over-year; on a constant currency basis, up 9.2% year-over-year</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Net Cash Provided by Operating Activities of $194.6 Million and Free Cash Flow of $181.7 Million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Fiscal 2022 Revenue of $2.325 Billion, up 7.7% year-over-year; on a constant currency basis, up 9.4% year-over-year</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Net Cash Provided by Operating Activities of $797.3 Million and Free Cash Flow of $763.5 Million</w:t>
      </w:r>
    </w:p>
    <w:p>
      <w:pPr>
        <w:spacing w:after="0" w:line="223"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SAN FRANCISCO, Calif. </w:t>
      </w:r>
      <w:r>
        <w:rPr>
          <w:rFonts w:ascii="Times New Roman" w:cs="Times New Roman" w:eastAsia="Times New Roman" w:hAnsi="Times New Roman"/>
          <w:sz w:val="18"/>
          <w:szCs w:val="18"/>
          <w:color w:val="auto"/>
        </w:rPr>
        <w:t>- February 16, 2023 - Dropbox, Inc. (NASDAQ: DBX), today announced financial results for its fourth quarter and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2022.</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"2022 was a solid year for Dropbox amidst a challenging macroeconomic environment,” said Dropbox Co-Founder and Chief Executive Officer Drew Houston. "We increased our profitability and free cash flow and continued to use M&amp;A as an engine for growth, welcoming FormSwift to Dropbox. Looking ahead to 2023, we remain focused on executing against our strategic objectives, improving our operational efficiency, and continuing to leverage advancements in AI and ML into our product roadmap as we work towards our mission of designing a more enlightened way of working."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Fiscal 2022 Results</w:t>
      </w:r>
    </w:p>
    <w:p>
      <w:pPr>
        <w:spacing w:after="0" w:line="246" w:lineRule="exact"/>
        <w:rPr>
          <w:sz w:val="20"/>
          <w:szCs w:val="20"/>
          <w:color w:val="auto"/>
        </w:rPr>
      </w:pPr>
    </w:p>
    <w:p>
      <w:pPr>
        <w:ind w:left="640" w:right="280" w:hanging="316"/>
        <w:spacing w:after="0" w:line="288"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$598.8 million, an increase of 5.9% from the same period last year. On a constant currency basis, year-over-year growth would have been 9.2%.</w:t>
      </w:r>
      <w:r>
        <w:rPr>
          <w:rFonts w:ascii="Times New Roman" w:cs="Times New Roman" w:eastAsia="Times New Roman" w:hAnsi="Times New Roman"/>
          <w:sz w:val="22"/>
          <w:szCs w:val="22"/>
          <w:color w:val="auto"/>
          <w:vertAlign w:val="superscript"/>
        </w:rPr>
        <w:t>(1)</w:t>
      </w:r>
    </w:p>
    <w:p>
      <w:pPr>
        <w:spacing w:after="0" w:line="111" w:lineRule="exact"/>
        <w:rPr>
          <w:rFonts w:ascii="Times New Roman" w:cs="Times New Roman" w:eastAsia="Times New Roman" w:hAnsi="Times New Roman"/>
          <w:sz w:val="18"/>
          <w:szCs w:val="18"/>
          <w:color w:val="auto"/>
        </w:rPr>
      </w:pPr>
    </w:p>
    <w:p>
      <w:pPr>
        <w:ind w:left="640" w:hanging="316"/>
        <w:spacing w:after="0" w:line="288"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ARR ended at $2.514 billion, an increase of $82.8 million quarter-over-quarter and an increase of 11.2% year-over-year. On a constant currency basis, year-over-year growth would have been 11.8%.</w:t>
      </w:r>
      <w:r>
        <w:rPr>
          <w:rFonts w:ascii="Times New Roman" w:cs="Times New Roman" w:eastAsia="Times New Roman" w:hAnsi="Times New Roman"/>
          <w:sz w:val="22"/>
          <w:szCs w:val="22"/>
          <w:color w:val="auto"/>
          <w:vertAlign w:val="superscript"/>
        </w:rPr>
        <w:t>(2)</w:t>
      </w:r>
    </w:p>
    <w:p>
      <w:pPr>
        <w:spacing w:after="0" w:line="111" w:lineRule="exact"/>
        <w:rPr>
          <w:rFonts w:ascii="Times New Roman" w:cs="Times New Roman" w:eastAsia="Times New Roman" w:hAnsi="Times New Roman"/>
          <w:sz w:val="18"/>
          <w:szCs w:val="18"/>
          <w:color w:val="auto"/>
        </w:rPr>
      </w:pPr>
    </w:p>
    <w:p>
      <w:pPr>
        <w:ind w:left="640" w:right="26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users ended at 17.77 million, as compared to 16.79 million for the same period last year. Average revenue per paying user was $134.53, as compared to $134.78 for the same period last year.</w:t>
      </w:r>
    </w:p>
    <w:p>
      <w:pPr>
        <w:spacing w:after="0" w:line="190" w:lineRule="exact"/>
        <w:rPr>
          <w:rFonts w:ascii="Times New Roman" w:cs="Times New Roman" w:eastAsia="Times New Roman" w:hAnsi="Times New Roman"/>
          <w:sz w:val="18"/>
          <w:szCs w:val="18"/>
          <w:color w:val="auto"/>
        </w:rPr>
      </w:pPr>
    </w:p>
    <w:p>
      <w:pPr>
        <w:ind w:left="640" w:right="14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80.7%, as compared to 79.5% in the same period last year. Non-GAAP gross margin was 82.0%, as compared to 80.9% in the same period last year.</w:t>
      </w:r>
    </w:p>
    <w:p>
      <w:pPr>
        <w:spacing w:after="0" w:line="190" w:lineRule="exact"/>
        <w:rPr>
          <w:rFonts w:ascii="Times New Roman" w:cs="Times New Roman" w:eastAsia="Times New Roman" w:hAnsi="Times New Roman"/>
          <w:sz w:val="18"/>
          <w:szCs w:val="18"/>
          <w:color w:val="auto"/>
        </w:rPr>
      </w:pPr>
    </w:p>
    <w:p>
      <w:pPr>
        <w:ind w:left="640" w:right="20" w:hanging="316"/>
        <w:spacing w:after="0" w:line="253" w:lineRule="auto"/>
        <w:tabs>
          <w:tab w:leader="none" w:pos="636"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GAAP operating margin was (13.4%), as compared to 12.4% in the same period last year. In the fourth quarter of 2022, the Company recorded impairment charges related to real estate assets of $162.5 million as a result of adverse changes in the corporate real estate market in the San Francisco Bay area, which has impacted its subleasing strategy in conjunction with its shift to Virtual First. In the fourth quarter of 2021, the Company recorded impairment charges related to real estate assets of $14.0 million. Non-GAAP operating margin was 29.9%, as compared to 29.7% in the same period last year.</w:t>
      </w:r>
    </w:p>
    <w:p>
      <w:pPr>
        <w:spacing w:after="0" w:line="209" w:lineRule="exact"/>
        <w:rPr>
          <w:rFonts w:ascii="Times New Roman" w:cs="Times New Roman" w:eastAsia="Times New Roman" w:hAnsi="Times New Roman"/>
          <w:sz w:val="10"/>
          <w:szCs w:val="10"/>
          <w:color w:val="auto"/>
        </w:rPr>
      </w:pPr>
    </w:p>
    <w:p>
      <w:pPr>
        <w:ind w:left="640" w:right="180" w:hanging="316"/>
        <w:spacing w:after="0" w:line="253" w:lineRule="auto"/>
        <w:tabs>
          <w:tab w:leader="none" w:pos="636"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GAAP net income was $328.3 million, as compared to $124.6 million in the same period last year due to a one-time income tax benefit from the release of a valuation allowance of $420.2 million on the Company's U.S. federal and certain state deferred tax assets in the fourth quarter of 2022, offset by the aforementioned impairment charge. In the fourth quarter of 2021, the Company released a valuation allowance of $38.1 million, resulting in a one-time income tax benefit on the Company's Irish deferred tax assets. Non-GAAP net income was $141.2 million, as compared to $159.9 million in the same period last year.</w:t>
      </w:r>
    </w:p>
    <w:p>
      <w:pPr>
        <w:spacing w:after="0" w:line="209" w:lineRule="exact"/>
        <w:rPr>
          <w:rFonts w:ascii="Times New Roman" w:cs="Times New Roman" w:eastAsia="Times New Roman" w:hAnsi="Times New Roman"/>
          <w:sz w:val="10"/>
          <w:szCs w:val="10"/>
          <w:color w:val="auto"/>
        </w:rPr>
      </w:pPr>
    </w:p>
    <w:p>
      <w:pPr>
        <w:ind w:left="640" w:right="80" w:hanging="316"/>
        <w:spacing w:after="0" w:line="255" w:lineRule="auto"/>
        <w:tabs>
          <w:tab w:leader="none" w:pos="632"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Net cash provided by operating activities was $194.6 million, as compared to $162.7 million in the same period last year. Free cash flow was $181.7 million, as compared to $161.4 million in the same period last year. For the fourth quarter of 2022, payments were made in the amount of $34.7 million related to deal consideration holdbacks pertaining to acquisitions, including $32.7 million of holdbacks paid to escrow related to two acquisitions completed within the quarter, including FormSwift.</w:t>
      </w:r>
    </w:p>
    <w:p>
      <w:pPr>
        <w:spacing w:after="0" w:line="208" w:lineRule="exact"/>
        <w:rPr>
          <w:rFonts w:ascii="Times New Roman" w:cs="Times New Roman" w:eastAsia="Times New Roman" w:hAnsi="Times New Roman"/>
          <w:sz w:val="9"/>
          <w:szCs w:val="9"/>
          <w:color w:val="auto"/>
        </w:rPr>
      </w:pPr>
    </w:p>
    <w:p>
      <w:pPr>
        <w:ind w:left="640" w:right="160" w:hanging="316"/>
        <w:spacing w:after="0" w:line="288" w:lineRule="auto"/>
        <w:tabs>
          <w:tab w:leader="none" w:pos="636"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GAAP diluted net income per share attributable to common stockholders was $0.93, as compared to $0.32 in the same period last year. Non-GAAP diluted net income per share attributable to common stockholders was $0.40, as compared to $0.41 in the same period last year.</w:t>
      </w:r>
      <w:r>
        <w:rPr>
          <w:rFonts w:ascii="Times New Roman" w:cs="Times New Roman" w:eastAsia="Times New Roman" w:hAnsi="Times New Roman"/>
          <w:sz w:val="22"/>
          <w:szCs w:val="22"/>
          <w:color w:val="auto"/>
          <w:vertAlign w:val="superscript"/>
        </w:rPr>
        <w:t>(3)</w:t>
      </w:r>
    </w:p>
    <w:p>
      <w:pPr>
        <w:spacing w:after="0" w:line="111" w:lineRule="exact"/>
        <w:rPr>
          <w:rFonts w:ascii="Times New Roman" w:cs="Times New Roman" w:eastAsia="Times New Roman" w:hAnsi="Times New Roman"/>
          <w:sz w:val="10"/>
          <w:szCs w:val="10"/>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ended at $1.343 billion.</w:t>
      </w:r>
    </w:p>
    <w:p>
      <w:pPr>
        <w:sectPr>
          <w:pgSz w:w="11900" w:h="16838" w:orient="portrait"/>
          <w:cols w:equalWidth="0" w:num="1">
            <w:col w:w="11220"/>
          </w:cols>
          <w:pgMar w:left="320" w:top="87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Full Year Fiscal 2022 Results</w:t>
      </w:r>
    </w:p>
    <w:p>
      <w:pPr>
        <w:spacing w:after="0" w:line="243" w:lineRule="exact"/>
        <w:rPr>
          <w:sz w:val="20"/>
          <w:szCs w:val="20"/>
          <w:color w:val="auto"/>
        </w:rPr>
      </w:pPr>
    </w:p>
    <w:p>
      <w:pPr>
        <w:ind w:left="640" w:hanging="316"/>
        <w:spacing w:after="0"/>
        <w:tabs>
          <w:tab w:leader="none" w:pos="640" w:val="left"/>
        </w:tabs>
        <w:numPr>
          <w:ilvl w:val="1"/>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Total revenue was $2.325 billion, an increase of 7.7% year over year. On a constant currency basis, year-over-year growth would have been 9.4%.</w:t>
      </w:r>
      <w:r>
        <w:rPr>
          <w:rFonts w:ascii="Times New Roman" w:cs="Times New Roman" w:eastAsia="Times New Roman" w:hAnsi="Times New Roman"/>
          <w:sz w:val="21"/>
          <w:szCs w:val="21"/>
          <w:color w:val="auto"/>
          <w:vertAlign w:val="superscript"/>
        </w:rPr>
        <w:t>(1)</w:t>
      </w:r>
    </w:p>
    <w:p>
      <w:pPr>
        <w:spacing w:after="0" w:line="212" w:lineRule="exact"/>
        <w:rPr>
          <w:rFonts w:ascii="Times New Roman" w:cs="Times New Roman" w:eastAsia="Times New Roman" w:hAnsi="Times New Roman"/>
          <w:sz w:val="17"/>
          <w:szCs w:val="17"/>
          <w:b w:val="1"/>
          <w:bCs w:val="1"/>
          <w:color w:val="auto"/>
        </w:rPr>
      </w:pPr>
    </w:p>
    <w:p>
      <w:pPr>
        <w:ind w:left="640" w:hanging="316"/>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paying user was $134.51, as compared to $133.73 in the prior year.</w:t>
      </w:r>
    </w:p>
    <w:p>
      <w:pPr>
        <w:spacing w:after="0" w:line="244"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3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80.9%, as compared to 79.4% in the prior year. Non-GAAP gross margin was 82.3%, as compared to 80.8% in the prior year.</w:t>
      </w:r>
    </w:p>
    <w:p>
      <w:pPr>
        <w:spacing w:after="0" w:line="190" w:lineRule="exact"/>
        <w:rPr>
          <w:rFonts w:ascii="Times New Roman" w:cs="Times New Roman" w:eastAsia="Times New Roman" w:hAnsi="Times New Roman"/>
          <w:sz w:val="18"/>
          <w:szCs w:val="18"/>
          <w:color w:val="auto"/>
        </w:rPr>
      </w:pPr>
    </w:p>
    <w:p>
      <w:pPr>
        <w:ind w:left="640" w:hanging="316"/>
        <w:spacing w:after="0" w:line="253" w:lineRule="auto"/>
        <w:tabs>
          <w:tab w:leader="none" w:pos="636" w:val="left"/>
        </w:tabs>
        <w:numPr>
          <w:ilvl w:val="1"/>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GAAP operating margin was 7.8%, as compared to 12.7% in the prior year. During the fiscal year of 2022, the Company recorded impairment charges related to real estate assets of $175.2 million as a result of adverse changes in the corporate real estate market in the San Francisco Bay area, which has impacted its subleasing strategy in conjunction with its shift to Virtual First, as well as an increase in common area fees for its San Francisco headquarters. During the fiscal year of 2021, the Company recorded impairment charges related to real estate assets of $31.3 million. Non-GAAP operating margin was 30.9%, as compared to 30.0% in the prior year.</w:t>
      </w:r>
    </w:p>
    <w:p>
      <w:pPr>
        <w:spacing w:after="0" w:line="209" w:lineRule="exact"/>
        <w:rPr>
          <w:rFonts w:ascii="Times New Roman" w:cs="Times New Roman" w:eastAsia="Times New Roman" w:hAnsi="Times New Roman"/>
          <w:sz w:val="10"/>
          <w:szCs w:val="10"/>
          <w:color w:val="auto"/>
        </w:rPr>
      </w:pPr>
    </w:p>
    <w:p>
      <w:pPr>
        <w:ind w:left="640" w:hanging="316"/>
        <w:spacing w:after="0" w:line="253" w:lineRule="auto"/>
        <w:tabs>
          <w:tab w:leader="none" w:pos="636" w:val="left"/>
        </w:tabs>
        <w:numPr>
          <w:ilvl w:val="1"/>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GAAP net income was $553.2 million, as compared to $335.8 million in the prior year due to a one-time income tax benefit from the release of a valuation allowance of $420.2 million on the Company's U.S. federal and certain state deferred tax assets in the fourth quarter of 2022, offset by the aforementioned impairment charge. In the fourth quarter of 2021, the Company released a valuation allowance of $38.1 million, resulting in a one-time income tax benefit on the Company's Irish deferred tax assets. Non-GAAP net income was $573.9 million, as compared to $609.3 million in the prior year.</w:t>
      </w:r>
    </w:p>
    <w:p>
      <w:pPr>
        <w:spacing w:after="0" w:line="209" w:lineRule="exact"/>
        <w:rPr>
          <w:rFonts w:ascii="Times New Roman" w:cs="Times New Roman" w:eastAsia="Times New Roman" w:hAnsi="Times New Roman"/>
          <w:sz w:val="10"/>
          <w:szCs w:val="10"/>
          <w:color w:val="auto"/>
        </w:rPr>
      </w:pPr>
    </w:p>
    <w:p>
      <w:pPr>
        <w:ind w:left="640" w:right="100" w:hanging="316"/>
        <w:spacing w:after="0" w:line="255" w:lineRule="auto"/>
        <w:tabs>
          <w:tab w:leader="none" w:pos="632" w:val="left"/>
        </w:tabs>
        <w:numPr>
          <w:ilvl w:val="1"/>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Net cash provided by operating activities was $797.3 million as compared to $729.8 million in the prior year. Free cash flow was $763.5 million as compared to $707.7 million in the prior year. For the fiscal year of 2022, payments were made in the amount of $49.0 million related to deal consideration holdbacks pertaining to acquisitions, including $32.7 million of holdbacks paid to escrow related to two acquisitions completed in the fourth quarter of 2022, including FormSwift.</w:t>
      </w:r>
    </w:p>
    <w:p>
      <w:pPr>
        <w:spacing w:after="0" w:line="208" w:lineRule="exact"/>
        <w:rPr>
          <w:rFonts w:ascii="Times New Roman" w:cs="Times New Roman" w:eastAsia="Times New Roman" w:hAnsi="Times New Roman"/>
          <w:sz w:val="9"/>
          <w:szCs w:val="9"/>
          <w:color w:val="auto"/>
        </w:rPr>
      </w:pPr>
    </w:p>
    <w:p>
      <w:pPr>
        <w:ind w:left="640" w:right="140" w:hanging="316"/>
        <w:spacing w:after="0" w:line="288" w:lineRule="auto"/>
        <w:tabs>
          <w:tab w:leader="none" w:pos="636" w:val="left"/>
        </w:tabs>
        <w:numPr>
          <w:ilvl w:val="1"/>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GAAP diluted net income per share attributable to common stockholders was $1.52, as compared to $0.85 in the prior year. Non-GAAP diluted net income per share attributable to common stockholders was $1.58, as compared to $1.54 in the prior year.</w:t>
      </w:r>
      <w:r>
        <w:rPr>
          <w:rFonts w:ascii="Times New Roman" w:cs="Times New Roman" w:eastAsia="Times New Roman" w:hAnsi="Times New Roman"/>
          <w:sz w:val="22"/>
          <w:szCs w:val="22"/>
          <w:color w:val="auto"/>
          <w:vertAlign w:val="superscript"/>
        </w:rPr>
        <w:t>(4)</w:t>
      </w:r>
    </w:p>
    <w:p>
      <w:pPr>
        <w:spacing w:after="0" w:line="343" w:lineRule="exact"/>
        <w:rPr>
          <w:rFonts w:ascii="Times New Roman" w:cs="Times New Roman" w:eastAsia="Times New Roman" w:hAnsi="Times New Roman"/>
          <w:sz w:val="10"/>
          <w:szCs w:val="10"/>
          <w:color w:val="auto"/>
        </w:rPr>
      </w:pPr>
    </w:p>
    <w:p>
      <w:pPr>
        <w:ind w:left="160" w:hanging="154"/>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constant currency revenue growth rates by applying the prior period weighted average exchange rates to current period results.</w:t>
      </w:r>
    </w:p>
    <w:p>
      <w:pPr>
        <w:spacing w:after="0" w:line="216" w:lineRule="exact"/>
        <w:rPr>
          <w:rFonts w:ascii="Times New Roman" w:cs="Times New Roman" w:eastAsia="Times New Roman" w:hAnsi="Times New Roman"/>
          <w:sz w:val="19"/>
          <w:szCs w:val="19"/>
          <w:color w:val="auto"/>
          <w:vertAlign w:val="superscript"/>
        </w:rPr>
      </w:pPr>
    </w:p>
    <w:p>
      <w:pPr>
        <w:ind w:right="120" w:firstLine="6"/>
        <w:spacing w:after="0" w:line="281" w:lineRule="auto"/>
        <w:tabs>
          <w:tab w:leader="none" w:pos="146"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rate to prior period results.</w:t>
      </w:r>
    </w:p>
    <w:p>
      <w:pPr>
        <w:spacing w:after="0" w:line="203" w:lineRule="exact"/>
        <w:rPr>
          <w:rFonts w:ascii="Times New Roman" w:cs="Times New Roman" w:eastAsia="Times New Roman" w:hAnsi="Times New Roman"/>
          <w:sz w:val="18"/>
          <w:szCs w:val="18"/>
          <w:color w:val="auto"/>
          <w:vertAlign w:val="superscript"/>
        </w:rPr>
      </w:pPr>
    </w:p>
    <w:p>
      <w:pPr>
        <w:ind w:right="140" w:firstLine="6"/>
        <w:spacing w:after="0" w:line="243" w:lineRule="auto"/>
        <w:tabs>
          <w:tab w:leader="none" w:pos="162"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Non-GAAP diluted net income per share attributable to common stockholders is calculated based upon 354.0 million and 386.5 million diluted weighted-average shares of common stock for the three months ended December 31, 2022 and 2021, respectively.</w:t>
      </w:r>
    </w:p>
    <w:p>
      <w:pPr>
        <w:spacing w:after="0" w:line="214" w:lineRule="exact"/>
        <w:rPr>
          <w:rFonts w:ascii="Times New Roman" w:cs="Times New Roman" w:eastAsia="Times New Roman" w:hAnsi="Times New Roman"/>
          <w:sz w:val="20"/>
          <w:szCs w:val="20"/>
          <w:color w:val="auto"/>
          <w:vertAlign w:val="superscript"/>
        </w:rPr>
      </w:pPr>
    </w:p>
    <w:p>
      <w:pPr>
        <w:ind w:right="140" w:firstLine="6"/>
        <w:spacing w:after="0" w:line="263" w:lineRule="auto"/>
        <w:tabs>
          <w:tab w:leader="none" w:pos="162"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Non-GAAP diluted net income per share attributable to common stockholders is calculated based upon 363.3 million and 395.8 million diluted weighted-average shares of common stock for the fiscal year ended December 31, 2022 and 2021, respectively.</w:t>
      </w:r>
    </w:p>
    <w:p>
      <w:pPr>
        <w:sectPr>
          <w:pgSz w:w="11900" w:h="16838" w:orient="portrait"/>
          <w:cols w:equalWidth="0" w:num="1">
            <w:col w:w="11200"/>
          </w:cols>
          <w:pgMar w:left="320" w:top="1114"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FormSwift Acquisition</w:t>
      </w:r>
    </w:p>
    <w:p>
      <w:pPr>
        <w:spacing w:after="0" w:line="24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Dropbox completed the acquisition of FormSwift, a cloud-based service that gives individuals and businesses a simple solution to create, complete, edit and save critical business forms and agreements, on December 15, 2022 for approximately $95 million, consisting primarily of cash payments, subject to customary purchase price adjustments. Of the approximately $95 million of consideration, $25.7 million is subject to ongoing employee service. The combination of Dropbox, Dropbox Sign, DocSend and FormSwift will help customers across industries manage end-to-end document workflows—from closing deals to onboarding teams—giving them more control over their business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 xml:space="preserve">Dropbox will provide forward-looking guidance in connection with this quarterly earnings announcement on its conference call, webcast, and on its investor relations website at </w:t>
      </w:r>
      <w:r>
        <w:rPr>
          <w:rFonts w:ascii="Times New Roman" w:cs="Times New Roman" w:eastAsia="Times New Roman" w:hAnsi="Times New Roman"/>
          <w:sz w:val="18"/>
          <w:szCs w:val="18"/>
          <w:u w:val="single" w:color="auto"/>
          <w:color w:val="auto"/>
        </w:rPr>
        <w:t>http://investors.dropbox.com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Dropbox plans to host a conference call today to review its fourth quarter financial results and to discuss its financial outlook. This call is scheduled to begin at 2:00 p.m. PT / 5:00 p.m. ET and can be accessed by using the web link at http://investors.dropbox.com.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Upcoming Events</w:t>
      </w:r>
    </w:p>
    <w:p>
      <w:pPr>
        <w:spacing w:after="0" w:line="246"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 Regan, Chief Financial Officer, will be presenting at the JMP Securities Technology Conference on Monday, March 6th.</w:t>
      </w:r>
    </w:p>
    <w:p>
      <w:pPr>
        <w:spacing w:after="0" w:line="244"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Dropbox</w:t>
      </w:r>
    </w:p>
    <w:p>
      <w:pPr>
        <w:spacing w:after="0" w:line="2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 w:cs="Times New Roman" w:eastAsia="Times New Roman" w:hAnsi="Times New Roman"/>
          <w:sz w:val="18"/>
          <w:szCs w:val="18"/>
          <w:u w:val="single" w:color="auto"/>
          <w:color w:val="auto"/>
        </w:rPr>
        <w:t>http://dropbox.com</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4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including, among other things, our expectations regarding distributed work trends, related market opportunities and our ability to capitalize on those opportunities.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 (vi) our ability to achieve or maintain profitability; (vii) our liability for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w:t>
      </w:r>
    </w:p>
    <w:p>
      <w:pPr>
        <w:sectPr>
          <w:pgSz w:w="11900" w:h="16838" w:orient="portrait"/>
          <w:cols w:equalWidth="0" w:num="1">
            <w:col w:w="11240"/>
          </w:cols>
          <w:pgMar w:left="320" w:top="875" w:right="339" w:bottom="1440" w:gutter="0" w:footer="0" w:header="0"/>
        </w:sectPr>
      </w:pPr>
    </w:p>
    <w:bookmarkStart w:id="6" w:name="page7"/>
    <w:bookmarkEnd w:id="6"/>
    <w:p>
      <w:pPr>
        <w:spacing w:after="0" w:line="248" w:lineRule="auto"/>
        <w:rPr>
          <w:sz w:val="20"/>
          <w:szCs w:val="20"/>
          <w:color w:val="auto"/>
        </w:rPr>
      </w:pPr>
      <w:r>
        <w:rPr>
          <w:rFonts w:ascii="Times New Roman" w:cs="Times New Roman" w:eastAsia="Times New Roman" w:hAnsi="Times New Roman"/>
          <w:sz w:val="18"/>
          <w:szCs w:val="18"/>
          <w:color w:val="auto"/>
        </w:rPr>
        <w:t>operating systems, and third-party applications that we do not control; (xi) competition in our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 (xvi) our ability to attract, retain, integrate, and manage key and other highly qualified personnel, including as a result of our transition to a Virtual First model with an increasingly distributed workforce; (xvii) our capital allocation plans with respect to our stock repurchase program and other investments; and (xviii)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September 30, 2022. Additional information will be made available in our annual report on Form 10-K for the year ended December 31, 2022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00"/>
          </w:cols>
          <w:pgMar w:left="320" w:top="877" w:right="379" w:bottom="1440" w:gutter="0" w:footer="0" w:header="0"/>
        </w:sectPr>
      </w:pPr>
    </w:p>
    <w:bookmarkStart w:id="7" w:name="page8"/>
    <w:bookmarkEnd w:id="7"/>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Operations</w:t>
      </w:r>
    </w:p>
    <w:p>
      <w:pPr>
        <w:spacing w:after="0" w:line="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89"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3060" w:type="dxa"/>
            <w:vAlign w:val="bottom"/>
            <w:gridSpan w:val="4"/>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gridSpan w:val="4"/>
          </w:tcPr>
          <w:p>
            <w:pPr>
              <w:jc w:val="right"/>
              <w:ind w:right="912"/>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6"/>
        </w:trPr>
        <w:tc>
          <w:tcPr>
            <w:tcW w:w="37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7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0" w:type="dxa"/>
            <w:vAlign w:val="bottom"/>
          </w:tcPr>
          <w:p>
            <w:pPr>
              <w:spacing w:after="0"/>
              <w:rPr>
                <w:sz w:val="1"/>
                <w:szCs w:val="1"/>
                <w:color w:val="auto"/>
              </w:rPr>
            </w:pPr>
          </w:p>
        </w:tc>
      </w:tr>
      <w:tr>
        <w:trPr>
          <w:trHeight w:val="226"/>
        </w:trPr>
        <w:tc>
          <w:tcPr>
            <w:tcW w:w="3740" w:type="dxa"/>
            <w:vAlign w:val="bottom"/>
            <w:tcBorders>
              <w:bottom w:val="single" w:sz="8" w:color="CCEEFF"/>
            </w:tcBorders>
          </w:tcPr>
          <w:p>
            <w:pPr>
              <w:ind w:left="260"/>
              <w:spacing w:after="0" w:line="225"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0" w:type="dxa"/>
            <w:vAlign w:val="bottom"/>
          </w:tcPr>
          <w:p>
            <w:pPr>
              <w:spacing w:after="0"/>
              <w:rPr>
                <w:sz w:val="1"/>
                <w:szCs w:val="1"/>
                <w:color w:val="auto"/>
              </w:rPr>
            </w:pPr>
          </w:p>
        </w:tc>
      </w:tr>
      <w:tr>
        <w:trPr>
          <w:trHeight w:val="226"/>
        </w:trPr>
        <w:tc>
          <w:tcPr>
            <w:tcW w:w="37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0" w:type="dxa"/>
            <w:vAlign w:val="bottom"/>
          </w:tcPr>
          <w:p>
            <w:pPr>
              <w:spacing w:after="0"/>
              <w:rPr>
                <w:sz w:val="1"/>
                <w:szCs w:val="1"/>
                <w:color w:val="auto"/>
              </w:rPr>
            </w:pPr>
          </w:p>
        </w:tc>
      </w:tr>
      <w:tr>
        <w:trPr>
          <w:trHeight w:val="226"/>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26"/>
        </w:trPr>
        <w:tc>
          <w:tcPr>
            <w:tcW w:w="3740" w:type="dxa"/>
            <w:vAlign w:val="bottom"/>
            <w:tcBorders>
              <w:bottom w:val="single" w:sz="8" w:color="CCEEFF"/>
            </w:tcBorders>
          </w:tcPr>
          <w:p>
            <w:pPr>
              <w:ind w:left="220"/>
              <w:spacing w:after="0" w:line="225" w:lineRule="exact"/>
              <w:rPr>
                <w:sz w:val="20"/>
                <w:szCs w:val="20"/>
                <w:color w:val="auto"/>
              </w:rPr>
            </w:pPr>
            <w:r>
              <w:rPr>
                <w:rFonts w:ascii="Times New Roman" w:cs="Times New Roman" w:eastAsia="Times New Roman" w:hAnsi="Times New Roman"/>
                <w:sz w:val="18"/>
                <w:szCs w:val="18"/>
                <w:color w:val="auto"/>
              </w:rPr>
              <w:t>Impairment related to real estate assets</w:t>
            </w:r>
            <w:r>
              <w:rPr>
                <w:rFonts w:ascii="Times New Roman" w:cs="Times New Roman" w:eastAsia="Times New Roman" w:hAnsi="Times New Roman"/>
                <w:sz w:val="22"/>
                <w:szCs w:val="22"/>
                <w:color w:val="auto"/>
                <w:vertAlign w:val="superscript"/>
              </w:rPr>
              <w:t>(2)</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0" w:type="dxa"/>
            <w:vAlign w:val="bottom"/>
          </w:tcPr>
          <w:p>
            <w:pPr>
              <w:spacing w:after="0"/>
              <w:rPr>
                <w:sz w:val="1"/>
                <w:szCs w:val="1"/>
                <w:color w:val="auto"/>
              </w:rPr>
            </w:pPr>
          </w:p>
        </w:tc>
      </w:tr>
      <w:tr>
        <w:trPr>
          <w:trHeight w:val="21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6"/>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26"/>
        </w:trPr>
        <w:tc>
          <w:tcPr>
            <w:tcW w:w="374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Benefit from income taxes</w:t>
            </w:r>
            <w:r>
              <w:rPr>
                <w:rFonts w:ascii="Times New Roman" w:cs="Times New Roman" w:eastAsia="Times New Roman" w:hAnsi="Times New Roman"/>
                <w:sz w:val="22"/>
                <w:szCs w:val="22"/>
                <w:color w:val="auto"/>
                <w:vertAlign w:val="superscript"/>
              </w:rPr>
              <w:t>(3)</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4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ind w:right="99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99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14"/>
          </w:cols>
          <w:pgMar w:left="326" w:top="877" w:right="359" w:bottom="1440" w:gutter="0" w:footer="0" w:header="0"/>
        </w:sectPr>
      </w:pPr>
    </w:p>
    <w:p>
      <w:pPr>
        <w:ind w:left="214" w:hanging="158"/>
        <w:spacing w:after="0" w:line="216" w:lineRule="auto"/>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p>
      <w:pPr>
        <w:ind w:left="214"/>
        <w:spacing w:after="0"/>
        <w:rPr>
          <w:sz w:val="20"/>
          <w:szCs w:val="20"/>
          <w:color w:val="auto"/>
        </w:rPr>
      </w:pPr>
      <w:r>
        <w:rPr>
          <w:rFonts w:ascii="Times New Roman" w:cs="Times New Roman" w:eastAsia="Times New Roman" w:hAnsi="Times New Roman"/>
          <w:sz w:val="18"/>
          <w:szCs w:val="18"/>
          <w:color w:val="auto"/>
        </w:rPr>
        <w:t>stockholders, basic</w:t>
      </w:r>
    </w:p>
    <w:p>
      <w:pPr>
        <w:spacing w:after="0" w:line="5" w:lineRule="exact"/>
        <w:rPr>
          <w:sz w:val="20"/>
          <w:szCs w:val="20"/>
          <w:color w:val="auto"/>
        </w:rPr>
      </w:pPr>
    </w:p>
    <w:p>
      <w:pPr>
        <w:ind w:left="214" w:hanging="158"/>
        <w:spacing w:after="0" w:line="215" w:lineRule="auto"/>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p>
      <w:pPr>
        <w:spacing w:after="0" w:line="1" w:lineRule="exact"/>
        <w:rPr>
          <w:sz w:val="20"/>
          <w:szCs w:val="20"/>
          <w:color w:val="auto"/>
        </w:rPr>
      </w:pPr>
    </w:p>
    <w:p>
      <w:pPr>
        <w:ind w:left="214"/>
        <w:spacing w:after="0"/>
        <w:rPr>
          <w:sz w:val="20"/>
          <w:szCs w:val="20"/>
          <w:color w:val="auto"/>
        </w:rPr>
      </w:pPr>
      <w:r>
        <w:rPr>
          <w:rFonts w:ascii="Times New Roman" w:cs="Times New Roman" w:eastAsia="Times New Roman" w:hAnsi="Times New Roman"/>
          <w:sz w:val="18"/>
          <w:szCs w:val="18"/>
          <w:color w:val="auto"/>
        </w:rPr>
        <w:t>stockholders, diluted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524"/>
        </w:trPr>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-386715</wp:posOffset>
            </wp:positionV>
            <wp:extent cx="7092315" cy="370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315" cy="3708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-749300</wp:posOffset>
            </wp:positionV>
            <wp:extent cx="4725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256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34" w:space="340"/>
            <w:col w:w="7440"/>
          </w:cols>
          <w:pgMar w:left="326" w:top="877" w:right="359" w:bottom="1440" w:gutter="0" w:footer="0" w:header="0"/>
          <w:type w:val="continuous"/>
        </w:sectPr>
      </w:pPr>
    </w:p>
    <w:p>
      <w:pPr>
        <w:spacing w:after="0" w:line="86" w:lineRule="exact"/>
        <w:rPr>
          <w:sz w:val="20"/>
          <w:szCs w:val="20"/>
          <w:color w:val="auto"/>
        </w:rPr>
      </w:pPr>
    </w:p>
    <w:p>
      <w:pPr>
        <w:ind w:left="174" w:hanging="174"/>
        <w:spacing w:after="0"/>
        <w:tabs>
          <w:tab w:leader="none" w:pos="174"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stock-based compensation expense as follows (in millions):</w:t>
      </w:r>
    </w:p>
    <w:p>
      <w:pPr>
        <w:spacing w:after="0" w:line="83"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3100" w:type="dxa"/>
            <w:vAlign w:val="bottom"/>
            <w:gridSpan w:val="4"/>
          </w:tcPr>
          <w:p>
            <w:pPr>
              <w:jc w:val="center"/>
              <w:ind w:left="45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4"/>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33"/>
        </w:trPr>
        <w:tc>
          <w:tcPr>
            <w:tcW w:w="37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55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0" w:type="dxa"/>
            <w:vAlign w:val="bottom"/>
            <w:tcBorders>
              <w:bottom w:val="single" w:sz="8" w:color="auto"/>
            </w:tcBorders>
          </w:tcPr>
          <w:p>
            <w:pPr>
              <w:spacing w:after="0"/>
              <w:rPr>
                <w:sz w:val="20"/>
                <w:szCs w:val="20"/>
                <w:color w:val="auto"/>
              </w:rPr>
            </w:pPr>
          </w:p>
        </w:tc>
      </w:tr>
      <w:tr>
        <w:trPr>
          <w:trHeight w:val="219"/>
        </w:trPr>
        <w:tc>
          <w:tcPr>
            <w:tcW w:w="37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6"/>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2"/>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bl>
    <w:p>
      <w:pPr>
        <w:spacing w:after="0" w:line="312" w:lineRule="exact"/>
        <w:rPr>
          <w:sz w:val="20"/>
          <w:szCs w:val="20"/>
          <w:color w:val="auto"/>
        </w:rPr>
      </w:pPr>
    </w:p>
    <w:p>
      <w:pPr>
        <w:ind w:left="-6" w:right="80" w:firstLine="6"/>
        <w:spacing w:after="0" w:line="261" w:lineRule="auto"/>
        <w:tabs>
          <w:tab w:leader="none" w:pos="154"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impairment charges related to real estate assets as a result of adverse changes in the corporate real estate market in the San Francisco Bay area, which has impacted the Company's subleasing strategy in conjunction with its shift to Virtual First.</w:t>
      </w:r>
    </w:p>
    <w:p>
      <w:pPr>
        <w:spacing w:after="0" w:line="210" w:lineRule="exact"/>
        <w:rPr>
          <w:rFonts w:ascii="Times New Roman" w:cs="Times New Roman" w:eastAsia="Times New Roman" w:hAnsi="Times New Roman"/>
          <w:sz w:val="19"/>
          <w:szCs w:val="19"/>
          <w:color w:val="auto"/>
          <w:vertAlign w:val="superscript"/>
        </w:rPr>
      </w:pPr>
    </w:p>
    <w:p>
      <w:pPr>
        <w:ind w:left="-6" w:right="140" w:firstLine="6"/>
        <w:spacing w:after="0" w:line="272" w:lineRule="auto"/>
        <w:tabs>
          <w:tab w:leader="none" w:pos="154"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Fourth quarter and full-year 2022 benefit from income taxes include a $420.2 million one-time income tax benefit from the release of a valuation allowance on the Company's U.S. federal and certain state deferred tax assets. Fourth quarter and full-year 2021 benefit from income taxes include a $38.1 million one-time income tax benefit from the release of a valuation allowance on the Company's Irish deferred tax assets.</w:t>
      </w:r>
    </w:p>
    <w:p>
      <w:pPr>
        <w:sectPr>
          <w:pgSz w:w="11900" w:h="16838" w:orient="portrait"/>
          <w:cols w:equalWidth="0" w:num="1">
            <w:col w:w="11214"/>
          </w:cols>
          <w:pgMar w:left="326" w:top="877"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00" w:type="dxa"/>
            <w:vAlign w:val="bottom"/>
            <w:tcBorders>
              <w:bottom w:val="single" w:sz="8" w:color="auto"/>
            </w:tcBorders>
          </w:tcPr>
          <w:p>
            <w:pPr>
              <w:spacing w:after="0"/>
              <w:rPr>
                <w:sz w:val="20"/>
                <w:szCs w:val="20"/>
                <w:color w:val="auto"/>
              </w:rPr>
            </w:pPr>
          </w:p>
        </w:tc>
      </w:tr>
      <w:tr>
        <w:trPr>
          <w:trHeight w:val="219"/>
        </w:trPr>
        <w:tc>
          <w:tcPr>
            <w:tcW w:w="66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6"/>
        </w:trPr>
        <w:tc>
          <w:tcPr>
            <w:tcW w:w="66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1,185.1</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1,849.8</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3,091.3</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2"/>
        </w:trPr>
        <w:tc>
          <w:tcPr>
            <w:tcW w:w="66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obligation</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r>
      <w:tr>
        <w:trPr>
          <w:trHeight w:val="22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22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obligation, non-current</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1,370.3</w:t>
            </w:r>
          </w:p>
        </w:tc>
      </w:tr>
      <w:tr>
        <w:trPr>
          <w:trHeight w:val="22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3,419.5</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3,385.2</w:t>
            </w:r>
          </w:p>
        </w:tc>
      </w:tr>
      <w:tr>
        <w:trPr>
          <w:trHeight w:val="206"/>
        </w:trPr>
        <w:tc>
          <w:tcPr>
            <w:tcW w:w="66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Stockholders' deficit:</w:t>
            </w: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2,448.1</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(2,739.4)</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40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3,091.3</w:t>
            </w:r>
          </w:p>
        </w:tc>
      </w:tr>
      <w:tr>
        <w:trPr>
          <w:trHeight w:val="20"/>
        </w:trPr>
        <w:tc>
          <w:tcPr>
            <w:tcW w:w="6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7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Cash Flows</w:t>
      </w:r>
    </w:p>
    <w:p>
      <w:pPr>
        <w:spacing w:after="0" w:line="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18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1"/>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86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6"/>
        </w:trPr>
        <w:tc>
          <w:tcPr>
            <w:tcW w:w="70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related to real estate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gains on equity investments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gains on lease termination</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Tenant improvement allowance reimbursement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lease termination</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0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797.3</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729.8</w:t>
            </w:r>
          </w:p>
        </w:tc>
      </w:tr>
      <w:tr>
        <w:trPr>
          <w:trHeight w:val="19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(1,138.4)</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of equity investments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0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(524.8)</w:t>
            </w:r>
          </w:p>
        </w:tc>
      </w:tr>
      <w:tr>
        <w:trPr>
          <w:trHeight w:val="19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convertible senior notes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1,389.1</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convertible note hedge in connection with issuance of convertible senior notes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warrants in connection with issuance of convertible senior notes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r>
      <w:tr>
        <w:trPr>
          <w:trHeight w:val="20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533.0</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15"/>
        </w:trPr>
        <w:tc>
          <w:tcPr>
            <w:tcW w:w="70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r>
        <w:trPr>
          <w:trHeight w:val="21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30"/>
        </w:trPr>
        <w:tc>
          <w:tcPr>
            <w:tcW w:w="70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77" w:right="339" w:bottom="1440" w:gutter="0" w:footer="0" w:header="0"/>
        </w:sectPr>
      </w:pPr>
    </w:p>
    <w:bookmarkStart w:id="10" w:name="page11"/>
    <w:bookmarkEnd w:id="10"/>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Three Months Ended December 31, 2022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Acquisition-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b w:val="1"/>
                <w:bCs w:val="1"/>
                <w:color w:val="auto"/>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700" w:type="dxa"/>
            <w:vAlign w:val="bottom"/>
            <w:gridSpan w:val="5"/>
          </w:tcPr>
          <w:p>
            <w:pPr>
              <w:jc w:val="center"/>
              <w:ind w:right="192"/>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related and other</w:t>
            </w: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40"/>
              <w:spacing w:after="0" w:line="172" w:lineRule="exact"/>
              <w:rPr>
                <w:sz w:val="20"/>
                <w:szCs w:val="20"/>
                <w:color w:val="auto"/>
              </w:rPr>
            </w:pPr>
            <w:r>
              <w:rPr>
                <w:rFonts w:ascii="Times New Roman" w:cs="Times New Roman" w:eastAsia="Times New Roman" w:hAnsi="Times New Roman"/>
                <w:sz w:val="18"/>
                <w:szCs w:val="18"/>
                <w:b w:val="1"/>
                <w:bCs w:val="1"/>
                <w:color w:val="auto"/>
                <w:w w:val="96"/>
              </w:rPr>
              <w:t>related to real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ind w:left="40"/>
              <w:spacing w:after="0" w:line="239" w:lineRule="exact"/>
              <w:rPr>
                <w:sz w:val="20"/>
                <w:szCs w:val="20"/>
                <w:color w:val="auto"/>
              </w:rPr>
            </w:pPr>
            <w:r>
              <w:rPr>
                <w:rFonts w:ascii="Times New Roman" w:cs="Times New Roman" w:eastAsia="Times New Roman" w:hAnsi="Times New Roman"/>
                <w:sz w:val="18"/>
                <w:szCs w:val="18"/>
                <w:b w:val="1"/>
                <w:bCs w:val="1"/>
                <w:color w:val="auto"/>
                <w:w w:val="94"/>
              </w:rPr>
              <w:t>estate assets</w:t>
            </w:r>
            <w:r>
              <w:rPr>
                <w:rFonts w:ascii="Times New Roman" w:cs="Times New Roman" w:eastAsia="Times New Roman" w:hAnsi="Times New Roman"/>
                <w:sz w:val="22"/>
                <w:szCs w:val="22"/>
                <w:b w:val="1"/>
                <w:bCs w:val="1"/>
                <w:color w:val="auto"/>
                <w:w w:val="94"/>
                <w:vertAlign w:val="superscript"/>
              </w:rPr>
              <w:t>(1)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2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82.0 %</w:t>
            </w: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Impairment related to real estate</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(162.5)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Impairment related to real</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estate assets margin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52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3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00" w:firstLine="6"/>
        <w:spacing w:after="0" w:line="263" w:lineRule="auto"/>
        <w:tabs>
          <w:tab w:leader="none" w:pos="162"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impairment charges related to real estate assets as a result of adverse changes in the corporate real estate market in the San Francisco Bay area, which has impacted the Company's subleasing strategy in conjunction with its shift to Virtual First.</w:t>
      </w:r>
    </w:p>
    <w:p>
      <w:pPr>
        <w:sectPr>
          <w:pgSz w:w="11900" w:h="16838" w:orient="portrait"/>
          <w:cols w:equalWidth="0" w:num="1">
            <w:col w:w="11240"/>
          </w:cols>
          <w:pgMar w:left="320" w:top="869" w:right="339" w:bottom="1440" w:gutter="0" w:footer="0" w:header="0"/>
        </w:sectPr>
      </w:pPr>
    </w:p>
    <w:bookmarkStart w:id="11" w:name="page12"/>
    <w:bookmarkEnd w:id="11"/>
    <w:p>
      <w:pPr>
        <w:ind w:left="5054"/>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934"/>
        <w:spacing w:after="0"/>
        <w:rPr>
          <w:sz w:val="20"/>
          <w:szCs w:val="20"/>
          <w:color w:val="auto"/>
        </w:rPr>
      </w:pPr>
      <w:r>
        <w:rPr>
          <w:rFonts w:ascii="Times New Roman" w:cs="Times New Roman" w:eastAsia="Times New Roman" w:hAnsi="Times New Roman"/>
          <w:sz w:val="19"/>
          <w:szCs w:val="19"/>
          <w:b w:val="1"/>
          <w:bCs w:val="1"/>
          <w:color w:val="auto"/>
        </w:rPr>
        <w:t>Three Months Ended December 31, 2021</w:t>
      </w:r>
    </w:p>
    <w:p>
      <w:pPr>
        <w:spacing w:after="0" w:line="1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34"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Acquisition-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b w:val="1"/>
                <w:bCs w:val="1"/>
                <w:color w:val="auto"/>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20" w:type="dxa"/>
            <w:vAlign w:val="bottom"/>
            <w:gridSpan w:val="5"/>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related and other</w:t>
            </w: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w w:val="96"/>
              </w:rPr>
              <w:t>related to real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39"/>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6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ind w:left="40"/>
              <w:spacing w:after="0" w:line="239" w:lineRule="exact"/>
              <w:rPr>
                <w:sz w:val="20"/>
                <w:szCs w:val="20"/>
                <w:color w:val="auto"/>
              </w:rPr>
            </w:pPr>
            <w:r>
              <w:rPr>
                <w:rFonts w:ascii="Times New Roman" w:cs="Times New Roman" w:eastAsia="Times New Roman" w:hAnsi="Times New Roman"/>
                <w:sz w:val="18"/>
                <w:szCs w:val="18"/>
                <w:b w:val="1"/>
                <w:bCs w:val="1"/>
                <w:color w:val="auto"/>
                <w:w w:val="93"/>
              </w:rPr>
              <w:t>estate assets</w:t>
            </w:r>
            <w:r>
              <w:rPr>
                <w:rFonts w:ascii="Times New Roman" w:cs="Times New Roman" w:eastAsia="Times New Roman" w:hAnsi="Times New Roman"/>
                <w:sz w:val="22"/>
                <w:szCs w:val="22"/>
                <w:b w:val="1"/>
                <w:bCs w:val="1"/>
                <w:color w:val="auto"/>
                <w:w w:val="93"/>
                <w:vertAlign w:val="superscript"/>
              </w:rPr>
              <w:t>(1)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26"/>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457.4</w:t>
            </w:r>
          </w:p>
        </w:tc>
        <w:tc>
          <w:tcPr>
            <w:tcW w:w="0" w:type="dxa"/>
            <w:vAlign w:val="bottom"/>
          </w:tcPr>
          <w:p>
            <w:pPr>
              <w:spacing w:after="0"/>
              <w:rPr>
                <w:sz w:val="1"/>
                <w:szCs w:val="1"/>
                <w:color w:val="auto"/>
              </w:rPr>
            </w:pPr>
          </w:p>
        </w:tc>
      </w:tr>
      <w:tr>
        <w:trPr>
          <w:trHeight w:val="226"/>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26"/>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6"/>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6"/>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Impairment related to real estate</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660" w:type="dxa"/>
            <w:vAlign w:val="bottom"/>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Impairment related to real estate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assets margin</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460" w:type="dxa"/>
            <w:vAlign w:val="bottom"/>
            <w:gridSpan w:val="4"/>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 w:right="80" w:firstLine="6"/>
        <w:spacing w:after="0" w:line="263" w:lineRule="auto"/>
        <w:tabs>
          <w:tab w:leader="none" w:pos="156"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impairment charges related to real estate assets as a result of adverse changes in the corporate real estate market in the San Francisco Bay area, which has impacted the Company's subleasing strategy in conjunction with its shift to Virtual First.</w:t>
      </w:r>
    </w:p>
    <w:p>
      <w:pPr>
        <w:sectPr>
          <w:pgSz w:w="11900" w:h="16838" w:orient="portrait"/>
          <w:cols w:equalWidth="0" w:num="1">
            <w:col w:w="11214"/>
          </w:cols>
          <w:pgMar w:left="326" w:top="869" w:right="359" w:bottom="1440" w:gutter="0" w:footer="0" w:header="0"/>
        </w:sectPr>
      </w:pPr>
    </w:p>
    <w:bookmarkStart w:id="12" w:name="page13"/>
    <w:bookmarkEnd w:id="12"/>
    <w:p>
      <w:pPr>
        <w:ind w:left="5054"/>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874"/>
        <w:spacing w:after="0"/>
        <w:rPr>
          <w:sz w:val="20"/>
          <w:szCs w:val="20"/>
          <w:color w:val="auto"/>
        </w:rPr>
      </w:pPr>
      <w:r>
        <w:rPr>
          <w:rFonts w:ascii="Times New Roman" w:cs="Times New Roman" w:eastAsia="Times New Roman" w:hAnsi="Times New Roman"/>
          <w:sz w:val="19"/>
          <w:szCs w:val="19"/>
          <w:b w:val="1"/>
          <w:bCs w:val="1"/>
          <w:color w:val="auto"/>
        </w:rPr>
        <w:t>Twelve Months Ended December 31, 2022</w:t>
      </w:r>
    </w:p>
    <w:p>
      <w:pPr>
        <w:spacing w:after="0" w:line="15"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94"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Acquisition-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b w:val="1"/>
                <w:bCs w:val="1"/>
                <w:color w:val="auto"/>
                <w:w w:val="98"/>
              </w:rPr>
              <w:t>Impairment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related and other</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related to real</w:t>
            </w:r>
          </w:p>
        </w:tc>
        <w:tc>
          <w:tcPr>
            <w:tcW w:w="10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39"/>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4"/>
          </w:tcPr>
          <w:p>
            <w:pPr>
              <w:ind w:left="20"/>
              <w:spacing w:after="0" w:line="239" w:lineRule="exact"/>
              <w:rPr>
                <w:sz w:val="20"/>
                <w:szCs w:val="20"/>
                <w:color w:val="auto"/>
              </w:rPr>
            </w:pPr>
            <w:r>
              <w:rPr>
                <w:rFonts w:ascii="Times New Roman" w:cs="Times New Roman" w:eastAsia="Times New Roman" w:hAnsi="Times New Roman"/>
                <w:sz w:val="18"/>
                <w:szCs w:val="18"/>
                <w:b w:val="1"/>
                <w:bCs w:val="1"/>
                <w:color w:val="auto"/>
              </w:rPr>
              <w:t>estate assets</w:t>
            </w:r>
            <w:r>
              <w:rPr>
                <w:rFonts w:ascii="Times New Roman" w:cs="Times New Roman" w:eastAsia="Times New Roman" w:hAnsi="Times New Roman"/>
                <w:sz w:val="22"/>
                <w:szCs w:val="22"/>
                <w:b w:val="1"/>
                <w:bCs w:val="1"/>
                <w:color w:val="auto"/>
                <w:vertAlign w:val="superscript"/>
              </w:rPr>
              <w:t>(1)</w:t>
            </w: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2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1,913.7</w:t>
            </w:r>
          </w:p>
        </w:tc>
        <w:tc>
          <w:tcPr>
            <w:tcW w:w="0" w:type="dxa"/>
            <w:vAlign w:val="bottom"/>
          </w:tcPr>
          <w:p>
            <w:pPr>
              <w:spacing w:after="0"/>
              <w:rPr>
                <w:sz w:val="1"/>
                <w:szCs w:val="1"/>
                <w:color w:val="auto"/>
              </w:rPr>
            </w:pPr>
          </w:p>
        </w:tc>
      </w:tr>
      <w:tr>
        <w:trPr>
          <w:trHeight w:val="22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651.4</w:t>
            </w:r>
          </w:p>
        </w:tc>
        <w:tc>
          <w:tcPr>
            <w:tcW w:w="0" w:type="dxa"/>
            <w:vAlign w:val="bottom"/>
          </w:tcPr>
          <w:p>
            <w:pPr>
              <w:spacing w:after="0"/>
              <w:rPr>
                <w:sz w:val="1"/>
                <w:szCs w:val="1"/>
                <w:color w:val="auto"/>
              </w:rPr>
            </w:pPr>
          </w:p>
        </w:tc>
      </w:tr>
      <w:tr>
        <w:trPr>
          <w:trHeight w:val="22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2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2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Impairment related to real estate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(175.2)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6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Impairment related to real estate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assets margin</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4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34"/>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 w:firstLine="6"/>
        <w:spacing w:after="0" w:line="235" w:lineRule="auto"/>
        <w:tabs>
          <w:tab w:leader="none" w:pos="167"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impairment charges related to real estate assets as a result of adverse changes in the corporate real estate market in the San Francisco Bay area, which has impacted the Company's subleasing strategy in conjunction with its shift to Virtual First.</w:t>
      </w:r>
    </w:p>
    <w:p>
      <w:pPr>
        <w:sectPr>
          <w:pgSz w:w="11900" w:h="16838" w:orient="portrait"/>
          <w:cols w:equalWidth="0" w:num="1">
            <w:col w:w="11154"/>
          </w:cols>
          <w:pgMar w:left="326" w:top="869" w:right="419" w:bottom="1440" w:gutter="0" w:footer="0" w:header="0"/>
        </w:sectPr>
      </w:pPr>
    </w:p>
    <w:bookmarkStart w:id="13" w:name="page14"/>
    <w:bookmarkEnd w:id="13"/>
    <w:p>
      <w:pPr>
        <w:ind w:left="5054"/>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874"/>
        <w:spacing w:after="0"/>
        <w:rPr>
          <w:sz w:val="20"/>
          <w:szCs w:val="20"/>
          <w:color w:val="auto"/>
        </w:rPr>
      </w:pPr>
      <w:r>
        <w:rPr>
          <w:rFonts w:ascii="Times New Roman" w:cs="Times New Roman" w:eastAsia="Times New Roman" w:hAnsi="Times New Roman"/>
          <w:sz w:val="19"/>
          <w:szCs w:val="19"/>
          <w:b w:val="1"/>
          <w:bCs w:val="1"/>
          <w:color w:val="auto"/>
        </w:rPr>
        <w:t>Twelve Months Ended December 31, 2021</w:t>
      </w:r>
    </w:p>
    <w:p>
      <w:pPr>
        <w:spacing w:after="0" w:line="15"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54"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Acquisition-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18"/>
                <w:szCs w:val="18"/>
                <w:b w:val="1"/>
                <w:bCs w:val="1"/>
                <w:color w:val="auto"/>
                <w:w w:val="97"/>
              </w:rPr>
              <w:t>Workforce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related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252"/>
              <w:spacing w:after="0" w:line="172" w:lineRule="exact"/>
              <w:rPr>
                <w:sz w:val="20"/>
                <w:szCs w:val="20"/>
                <w:color w:val="auto"/>
              </w:rPr>
            </w:pPr>
            <w:r>
              <w:rPr>
                <w:rFonts w:ascii="Times New Roman" w:cs="Times New Roman" w:eastAsia="Times New Roman" w:hAnsi="Times New Roman"/>
                <w:sz w:val="18"/>
                <w:szCs w:val="18"/>
                <w:b w:val="1"/>
                <w:bCs w:val="1"/>
                <w:color w:val="auto"/>
                <w:w w:val="98"/>
              </w:rPr>
              <w:t>related to real</w:t>
            </w:r>
          </w:p>
        </w:tc>
        <w:tc>
          <w:tcPr>
            <w:tcW w:w="112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reduction</w:t>
            </w:r>
          </w:p>
        </w:tc>
        <w:tc>
          <w:tcPr>
            <w:tcW w:w="108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39"/>
        </w:trPr>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4"/>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7"/>
              </w:rPr>
              <w:t>other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4"/>
          </w:tcPr>
          <w:p>
            <w:pPr>
              <w:jc w:val="center"/>
              <w:ind w:right="272"/>
              <w:spacing w:after="0" w:line="239" w:lineRule="exact"/>
              <w:rPr>
                <w:sz w:val="20"/>
                <w:szCs w:val="20"/>
                <w:color w:val="auto"/>
              </w:rPr>
            </w:pPr>
            <w:r>
              <w:rPr>
                <w:rFonts w:ascii="Times New Roman" w:cs="Times New Roman" w:eastAsia="Times New Roman" w:hAnsi="Times New Roman"/>
                <w:sz w:val="18"/>
                <w:szCs w:val="18"/>
                <w:b w:val="1"/>
                <w:bCs w:val="1"/>
                <w:color w:val="auto"/>
                <w:w w:val="94"/>
              </w:rPr>
              <w:t>estate assets</w:t>
            </w:r>
            <w:r>
              <w:rPr>
                <w:rFonts w:ascii="Times New Roman" w:cs="Times New Roman" w:eastAsia="Times New Roman" w:hAnsi="Times New Roman"/>
                <w:sz w:val="22"/>
                <w:szCs w:val="22"/>
                <w:b w:val="1"/>
                <w:bCs w:val="1"/>
                <w:color w:val="auto"/>
                <w:w w:val="94"/>
                <w:vertAlign w:val="superscript"/>
              </w:rPr>
              <w:t>(1)</w:t>
            </w:r>
          </w:p>
        </w:tc>
        <w:tc>
          <w:tcPr>
            <w:tcW w:w="1120" w:type="dxa"/>
            <w:vAlign w:val="bottom"/>
            <w:gridSpan w:val="2"/>
          </w:tcPr>
          <w:p>
            <w:pPr>
              <w:jc w:val="center"/>
              <w:ind w:right="240"/>
              <w:spacing w:after="0" w:line="239" w:lineRule="exact"/>
              <w:rPr>
                <w:sz w:val="20"/>
                <w:szCs w:val="20"/>
                <w:color w:val="auto"/>
              </w:rPr>
            </w:pPr>
            <w:r>
              <w:rPr>
                <w:rFonts w:ascii="Times New Roman" w:cs="Times New Roman" w:eastAsia="Times New Roman" w:hAnsi="Times New Roman"/>
                <w:sz w:val="18"/>
                <w:szCs w:val="18"/>
                <w:b w:val="1"/>
                <w:bCs w:val="1"/>
                <w:color w:val="auto"/>
                <w:w w:val="93"/>
              </w:rPr>
              <w:t>expense</w:t>
            </w:r>
            <w:r>
              <w:rPr>
                <w:rFonts w:ascii="Times New Roman" w:cs="Times New Roman" w:eastAsia="Times New Roman" w:hAnsi="Times New Roman"/>
                <w:sz w:val="22"/>
                <w:szCs w:val="22"/>
                <w:b w:val="1"/>
                <w:bCs w:val="1"/>
                <w:color w:val="auto"/>
                <w:w w:val="93"/>
                <w:vertAlign w:val="superscript"/>
              </w:rPr>
              <w:t>(2)</w:t>
            </w: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444.2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26"/>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2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1,713.7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1,744.6</w:t>
            </w:r>
          </w:p>
        </w:tc>
        <w:tc>
          <w:tcPr>
            <w:tcW w:w="0" w:type="dxa"/>
            <w:vAlign w:val="bottom"/>
          </w:tcPr>
          <w:p>
            <w:pPr>
              <w:spacing w:after="0"/>
              <w:rPr>
                <w:sz w:val="1"/>
                <w:szCs w:val="1"/>
                <w:color w:val="auto"/>
              </w:rPr>
            </w:pPr>
          </w:p>
        </w:tc>
      </w:tr>
      <w:tr>
        <w:trPr>
          <w:trHeight w:val="226"/>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0" w:type="dxa"/>
            <w:vAlign w:val="bottom"/>
          </w:tcPr>
          <w:p>
            <w:pPr>
              <w:spacing w:after="0"/>
              <w:rPr>
                <w:sz w:val="1"/>
                <w:szCs w:val="1"/>
                <w:color w:val="auto"/>
              </w:rPr>
            </w:pPr>
          </w:p>
        </w:tc>
      </w:tr>
      <w:tr>
        <w:trPr>
          <w:trHeight w:val="172"/>
        </w:trPr>
        <w:tc>
          <w:tcPr>
            <w:tcW w:w="19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Research and</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755.9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172"/>
        </w:trPr>
        <w:tc>
          <w:tcPr>
            <w:tcW w:w="19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w w:val="97"/>
              </w:rPr>
              <w:t>Research and development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2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427.5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172"/>
        </w:trPr>
        <w:tc>
          <w:tcPr>
            <w:tcW w:w="19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172"/>
        </w:trPr>
        <w:tc>
          <w:tcPr>
            <w:tcW w:w="19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General and</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224.6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172"/>
        </w:trPr>
        <w:tc>
          <w:tcPr>
            <w:tcW w:w="19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administrative margin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172"/>
        </w:trPr>
        <w:tc>
          <w:tcPr>
            <w:tcW w:w="19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Impairment related to real</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assets</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9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w w:val="99"/>
              </w:rPr>
              <w:t>Impairment related to real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estate assets margin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4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 w:right="60" w:firstLine="6"/>
        <w:spacing w:after="0" w:line="263" w:lineRule="auto"/>
        <w:tabs>
          <w:tab w:leader="none" w:pos="156"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impairment charges related to real estate assets as a result of adverse changes in the corporate real estate market in the San Francisco Bay area, which has impacted the Company's subleasing strategy in conjunction with its shift to Virtual First.</w:t>
      </w:r>
    </w:p>
    <w:p>
      <w:pPr>
        <w:spacing w:after="0" w:line="184" w:lineRule="exact"/>
        <w:rPr>
          <w:rFonts w:ascii="Times New Roman" w:cs="Times New Roman" w:eastAsia="Times New Roman" w:hAnsi="Times New Roman"/>
          <w:sz w:val="20"/>
          <w:szCs w:val="20"/>
          <w:color w:val="auto"/>
          <w:vertAlign w:val="superscript"/>
        </w:rPr>
      </w:pPr>
    </w:p>
    <w:p>
      <w:pPr>
        <w:ind w:left="154" w:hanging="154"/>
        <w:spacing w:after="0"/>
        <w:tabs>
          <w:tab w:leader="none" w:pos="154"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payments made related to workforce reduction such as severance, benefits, and other related items.</w:t>
      </w:r>
    </w:p>
    <w:p>
      <w:pPr>
        <w:sectPr>
          <w:pgSz w:w="11900" w:h="16838" w:orient="portrait"/>
          <w:cols w:equalWidth="0" w:num="1">
            <w:col w:w="11194"/>
          </w:cols>
          <w:pgMar w:left="326" w:top="869" w:right="379" w:bottom="1440" w:gutter="0" w:footer="0" w:header="0"/>
        </w:sectPr>
      </w:pPr>
    </w:p>
    <w:bookmarkStart w:id="14" w:name="page15"/>
    <w:bookmarkEnd w:id="14"/>
    <w:p>
      <w:pPr>
        <w:ind w:left="5054"/>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034"/>
        <w:spacing w:after="0"/>
        <w:rPr>
          <w:sz w:val="20"/>
          <w:szCs w:val="20"/>
          <w:color w:val="auto"/>
        </w:rPr>
      </w:pPr>
      <w:r>
        <w:rPr>
          <w:rFonts w:ascii="Times New Roman" w:cs="Times New Roman" w:eastAsia="Times New Roman" w:hAnsi="Times New Roman"/>
          <w:sz w:val="19"/>
          <w:szCs w:val="19"/>
          <w:b w:val="1"/>
          <w:bCs w:val="1"/>
          <w:color w:val="auto"/>
        </w:rPr>
        <w:t>Three and Twelve Months Ended December 31, 2022 and 2021</w:t>
      </w:r>
    </w:p>
    <w:p>
      <w:pPr>
        <w:spacing w:after="0" w:line="15"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9"/>
          <w:szCs w:val="19"/>
          <w:b w:val="1"/>
          <w:bCs w:val="1"/>
          <w:color w:val="auto"/>
        </w:rPr>
        <w:t>Reconciliation of GAAP net income to Non-GAAP net income and Non-GAAP diluted net income per share</w:t>
      </w:r>
    </w:p>
    <w:p>
      <w:pPr>
        <w:spacing w:after="0" w:line="13"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15"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154"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740" w:type="dxa"/>
            <w:vAlign w:val="bottom"/>
            <w:gridSpan w:val="4"/>
          </w:tcPr>
          <w:p>
            <w:pPr>
              <w:jc w:val="right"/>
              <w:ind w:right="212"/>
              <w:spacing w:after="0" w:line="203"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712"/>
              <w:spacing w:after="0" w:line="203" w:lineRule="exact"/>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and other expenses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related to real estate assets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Workforce reduction expense</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on equity investments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lease termination</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of non-GAAP adjustments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172"/>
        </w:trPr>
        <w:tc>
          <w:tcPr>
            <w:tcW w:w="426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Income tax benefit from the release of a valuation</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on deferred tax assets</w:t>
            </w: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Non-GAAP diluted net income per share</w:t>
            </w:r>
          </w:p>
        </w:tc>
        <w:tc>
          <w:tcPr>
            <w:tcW w:w="1000" w:type="dxa"/>
            <w:vAlign w:val="bottom"/>
            <w:tcBorders>
              <w:bottom w:val="single" w:sz="8" w:color="auto"/>
            </w:tcBorders>
          </w:tcPr>
          <w:p>
            <w:pPr>
              <w:jc w:val="right"/>
              <w:ind w:right="81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5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2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Weighted-average shares used to compute Non-GAAP</w:t>
            </w:r>
          </w:p>
        </w:tc>
        <w:tc>
          <w:tcPr>
            <w:tcW w:w="10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32"/>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9"/>
          <w:szCs w:val="19"/>
          <w:b w:val="1"/>
          <w:bCs w:val="1"/>
          <w:color w:val="auto"/>
        </w:rPr>
        <w:t>Three and Twelve Months Ended December 31, 2022 and 2021</w:t>
      </w:r>
    </w:p>
    <w:p>
      <w:pPr>
        <w:spacing w:after="0" w:line="20"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9"/>
          <w:szCs w:val="19"/>
          <w:b w:val="1"/>
          <w:bCs w:val="1"/>
          <w:color w:val="auto"/>
        </w:rPr>
        <w:t>Reconciliation of free cash flow and supplemental cash flow disclosure</w:t>
      </w:r>
    </w:p>
    <w:p>
      <w:pPr>
        <w:spacing w:after="0" w:line="17"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8"/>
          <w:szCs w:val="18"/>
          <w:i w:val="1"/>
          <w:iCs w:val="1"/>
          <w:color w:val="auto"/>
        </w:rPr>
        <w:t>(In millions, except for percentages)</w:t>
      </w:r>
    </w:p>
    <w:p>
      <w:pPr>
        <w:spacing w:after="0" w:line="5"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 w:lineRule="exact"/>
        <w:rPr>
          <w:sz w:val="20"/>
          <w:szCs w:val="20"/>
          <w:color w:val="auto"/>
        </w:rPr>
      </w:pPr>
    </w:p>
    <w:tbl>
      <w:tblPr>
        <w:tblLayout w:type="fixed"/>
        <w:tblInd w:w="154"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278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4"/>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3"/>
        </w:trPr>
        <w:tc>
          <w:tcPr>
            <w:tcW w:w="40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8"/>
              </w:rPr>
              <w:t>194.6</w:t>
            </w:r>
          </w:p>
        </w:tc>
        <w:tc>
          <w:tcPr>
            <w:tcW w:w="10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8"/>
              </w:rPr>
              <w:t>162.7</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797.3</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729.8</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181.7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161.4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707.7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Free cash flow margin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30.3 %</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28.5 %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32.8 %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2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Key employee holdback payments related to</w:t>
            </w:r>
          </w:p>
        </w:tc>
        <w:tc>
          <w:tcPr>
            <w:tcW w:w="1020" w:type="dxa"/>
            <w:vAlign w:val="bottom"/>
            <w:vMerge w:val="restart"/>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5"/>
                <w:szCs w:val="15"/>
                <w:color w:val="auto"/>
              </w:rPr>
            </w:pPr>
          </w:p>
        </w:tc>
        <w:tc>
          <w:tcPr>
            <w:tcW w:w="1020" w:type="dxa"/>
            <w:vAlign w:val="bottom"/>
            <w:vMerge w:val="restart"/>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5"/>
                <w:szCs w:val="15"/>
                <w:color w:val="auto"/>
              </w:rPr>
            </w:pPr>
          </w:p>
        </w:tc>
        <w:tc>
          <w:tcPr>
            <w:tcW w:w="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5"/>
                <w:szCs w:val="15"/>
                <w:color w:val="auto"/>
              </w:rPr>
            </w:pPr>
          </w:p>
        </w:tc>
        <w:tc>
          <w:tcPr>
            <w:tcW w:w="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2"/>
        </w:trPr>
        <w:tc>
          <w:tcPr>
            <w:tcW w:w="402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20" w:type="dxa"/>
            <w:vAlign w:val="bottom"/>
            <w:tcBorders>
              <w:bottom w:val="single" w:sz="8" w:color="CCEEFF"/>
            </w:tcBorders>
            <w:shd w:val="clear" w:color="auto" w:fill="CCEEFF"/>
          </w:tcPr>
          <w:p>
            <w:pPr>
              <w:ind w:left="200"/>
              <w:spacing w:after="0" w:line="219" w:lineRule="exact"/>
              <w:rPr>
                <w:sz w:val="20"/>
                <w:szCs w:val="20"/>
                <w:color w:val="auto"/>
              </w:rPr>
            </w:pPr>
            <w:r>
              <w:rPr>
                <w:rFonts w:ascii="Times New Roman" w:cs="Times New Roman" w:eastAsia="Times New Roman" w:hAnsi="Times New Roman"/>
                <w:sz w:val="18"/>
                <w:szCs w:val="18"/>
                <w:color w:val="auto"/>
              </w:rPr>
              <w:t>Payments related to workforce reduction</w:t>
            </w:r>
            <w:r>
              <w:rPr>
                <w:rFonts w:ascii="Times New Roman" w:cs="Times New Roman" w:eastAsia="Times New Roman" w:hAnsi="Times New Roman"/>
                <w:sz w:val="22"/>
                <w:szCs w:val="22"/>
                <w:color w:val="auto"/>
                <w:vertAlign w:val="superscript"/>
              </w:rPr>
              <w:t>(2)</w:t>
            </w: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20" w:type="dxa"/>
            <w:vAlign w:val="bottom"/>
          </w:tcPr>
          <w:p>
            <w:pPr>
              <w:ind w:left="200"/>
              <w:spacing w:after="0" w:line="199" w:lineRule="exact"/>
              <w:rPr>
                <w:sz w:val="20"/>
                <w:szCs w:val="20"/>
                <w:color w:val="auto"/>
              </w:rPr>
            </w:pPr>
            <w:r>
              <w:rPr>
                <w:rFonts w:ascii="Times New Roman" w:cs="Times New Roman" w:eastAsia="Times New Roman" w:hAnsi="Times New Roman"/>
                <w:sz w:val="18"/>
                <w:szCs w:val="18"/>
                <w:color w:val="auto"/>
              </w:rPr>
              <w:t>Cash paid for lease termination</w:t>
            </w:r>
            <w:r>
              <w:rPr>
                <w:rFonts w:ascii="Times New Roman" w:cs="Times New Roman" w:eastAsia="Times New Roman" w:hAnsi="Times New Roman"/>
                <w:sz w:val="22"/>
                <w:szCs w:val="22"/>
                <w:color w:val="auto"/>
                <w:vertAlign w:val="superscript"/>
              </w:rPr>
              <w:t>(3)</w:t>
            </w:r>
          </w:p>
        </w:tc>
        <w:tc>
          <w:tcPr>
            <w:tcW w:w="1020" w:type="dxa"/>
            <w:vAlign w:val="bottom"/>
            <w:tcBorders>
              <w:top w:val="single" w:sz="8" w:color="auto"/>
              <w:bottom w:val="single" w:sz="8" w:color="auto"/>
            </w:tcBorders>
          </w:tcPr>
          <w:p>
            <w:pPr>
              <w:jc w:val="right"/>
              <w:ind w:right="83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132"/>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3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132"/>
              <w:spacing w:after="0" w:line="199" w:lineRule="exact"/>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2"/>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32"/>
              <w:spacing w:after="0" w:line="199" w:lineRule="exact"/>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6" w:right="20" w:firstLine="6"/>
        <w:spacing w:after="0" w:line="272" w:lineRule="auto"/>
        <w:tabs>
          <w:tab w:leader="none" w:pos="154"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 ended December 31, 2022, payments were made in the amount of $49.0 million for the 2022 installments of deal consideration employee holdbacks pertaining to acquisitions, including $32.7 million of holdbacks paid to escrow related to two acquisitions completed in the fourth quarter of 2022, including FormSwift. The related expenses are recognized within research and development and sales and marketing expenses over the required service period.</w:t>
      </w:r>
    </w:p>
    <w:p>
      <w:pPr>
        <w:spacing w:after="0" w:line="186" w:lineRule="exact"/>
        <w:rPr>
          <w:rFonts w:ascii="Times New Roman" w:cs="Times New Roman" w:eastAsia="Times New Roman" w:hAnsi="Times New Roman"/>
          <w:sz w:val="19"/>
          <w:szCs w:val="19"/>
          <w:color w:val="auto"/>
          <w:vertAlign w:val="superscript"/>
        </w:rPr>
      </w:pPr>
    </w:p>
    <w:p>
      <w:pPr>
        <w:ind w:left="154" w:hanging="154"/>
        <w:spacing w:after="0"/>
        <w:tabs>
          <w:tab w:leader="none" w:pos="154"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payments made related to workforce reduction such as severance, benefits, and other related items.</w:t>
      </w:r>
    </w:p>
    <w:p>
      <w:pPr>
        <w:spacing w:after="0" w:line="206" w:lineRule="exact"/>
        <w:rPr>
          <w:rFonts w:ascii="Times New Roman" w:cs="Times New Roman" w:eastAsia="Times New Roman" w:hAnsi="Times New Roman"/>
          <w:sz w:val="19"/>
          <w:szCs w:val="19"/>
          <w:color w:val="auto"/>
          <w:vertAlign w:val="superscript"/>
        </w:rPr>
      </w:pPr>
    </w:p>
    <w:p>
      <w:pPr>
        <w:ind w:left="154" w:hanging="154"/>
        <w:spacing w:after="0"/>
        <w:tabs>
          <w:tab w:leader="none" w:pos="154"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Cash paid for lease termination related to a one-time payment for a lease buyout during the fourth quarter of 2021.</w:t>
      </w:r>
    </w:p>
    <w:p>
      <w:pPr>
        <w:sectPr>
          <w:pgSz w:w="11900" w:h="16838" w:orient="portrait"/>
          <w:cols w:equalWidth="0" w:num="1">
            <w:col w:w="11094"/>
          </w:cols>
          <w:pgMar w:left="326" w:top="869"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impairment charges related to real estate assets, expenses related to our reduction in force, net gains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In order to present revenue on a constant currency basis for the quarter ended December 31, 2022,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21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1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0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9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reduction in workforce and key employee holdback payments related to our various acquisitions.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40"/>
          </w:cols>
          <w:pgMar w:left="320" w:top="8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Kern Kapoor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ir@dropbox.com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Alissa Stewart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press@dropbox.com</w:t>
      </w:r>
    </w:p>
    <w:sectPr>
      <w:pgSz w:w="11900" w:h="16838" w:orient="portrait"/>
      <w:cols w:equalWidth="0" w:num="1">
        <w:col w:w="10139"/>
      </w:cols>
      <w:pgMar w:left="320" w:top="8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2023-02-16T15:18:30Z</dcterms:created>
  <dcterms:modified xsi:type="dcterms:W3CDTF">2023-02-16T15:18:30Z</dcterms:modified>
</cp:coreProperties>
</file>