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February 18, 2022</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49530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66675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34290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S-8</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26035</wp:posOffset>
            </wp:positionV>
            <wp:extent cx="1594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33020</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760"/>
          </w:cols>
          <w:pgMar w:left="560" w:top="535" w:right="579" w:bottom="1440" w:gutter="0" w:footer="0" w:header="0"/>
        </w:sectPr>
      </w:pPr>
    </w:p>
    <w:p>
      <w:pPr>
        <w:spacing w:after="0" w:line="186" w:lineRule="exact"/>
        <w:rPr>
          <w:sz w:val="24"/>
          <w:szCs w:val="24"/>
          <w:color w:val="auto"/>
        </w:rPr>
      </w:pPr>
    </w:p>
    <w:p>
      <w:pPr>
        <w:ind w:left="12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26-0138832</w:t>
      </w:r>
    </w:p>
    <w:p>
      <w:pPr>
        <w:spacing w:after="0" w:line="48" w:lineRule="exact"/>
        <w:rPr>
          <w:sz w:val="24"/>
          <w:szCs w:val="24"/>
          <w:color w:val="auto"/>
        </w:rPr>
      </w:pPr>
    </w:p>
    <w:p>
      <w:pPr>
        <w:sectPr>
          <w:pgSz w:w="11900" w:h="16838" w:orient="portrait"/>
          <w:cols w:equalWidth="0" w:num="2">
            <w:col w:w="8240" w:space="720"/>
            <w:col w:w="1800"/>
          </w:cols>
          <w:pgMar w:left="560" w:top="535" w:right="579" w:bottom="1440" w:gutter="0" w:footer="0" w:header="0"/>
          <w:type w:val="continuous"/>
        </w:sectPr>
      </w:pPr>
    </w:p>
    <w:p>
      <w:pPr>
        <w:spacing w:after="0" w:line="2" w:lineRule="exact"/>
        <w:rPr>
          <w:sz w:val="24"/>
          <w:szCs w:val="24"/>
          <w:color w:val="auto"/>
        </w:rPr>
      </w:pPr>
    </w:p>
    <w:p>
      <w:pPr>
        <w:ind w:left="740"/>
        <w:spacing w:after="0"/>
        <w:rPr>
          <w:sz w:val="20"/>
          <w:szCs w:val="20"/>
          <w:color w:val="auto"/>
        </w:rPr>
      </w:pPr>
      <w:r>
        <w:rPr>
          <w:rFonts w:ascii="Arial" w:cs="Arial" w:eastAsia="Arial" w:hAnsi="Arial"/>
          <w:sz w:val="10"/>
          <w:szCs w:val="10"/>
          <w:b w:val="1"/>
          <w:bCs w:val="1"/>
          <w:color w:val="auto"/>
        </w:rPr>
        <w:t>(State or other jurisdiction of</w:t>
      </w:r>
    </w:p>
    <w:p>
      <w:pPr>
        <w:spacing w:after="0" w:line="21" w:lineRule="exact"/>
        <w:rPr>
          <w:sz w:val="24"/>
          <w:szCs w:val="24"/>
          <w:color w:val="auto"/>
        </w:rPr>
      </w:pPr>
    </w:p>
    <w:p>
      <w:pPr>
        <w:ind w:left="7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47" w:lineRule="exact"/>
        <w:rPr>
          <w:sz w:val="24"/>
          <w:szCs w:val="24"/>
          <w:color w:val="auto"/>
        </w:rPr>
      </w:pPr>
    </w:p>
    <w:p>
      <w:pPr>
        <w:sectPr>
          <w:pgSz w:w="11900" w:h="16838" w:orient="portrait"/>
          <w:cols w:equalWidth="0" w:num="2">
            <w:col w:w="8140" w:space="720"/>
            <w:col w:w="1900"/>
          </w:cols>
          <w:pgMar w:left="560" w:top="535" w:right="5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Dropbox, Inc.</w:t>
      </w:r>
    </w:p>
    <w:p>
      <w:pPr>
        <w:jc w:val="center"/>
        <w:spacing w:after="0" w:line="211" w:lineRule="auto"/>
        <w:rPr>
          <w:sz w:val="20"/>
          <w:szCs w:val="20"/>
          <w:color w:val="auto"/>
        </w:rPr>
      </w:pPr>
      <w:r>
        <w:rPr>
          <w:rFonts w:ascii="Arial" w:cs="Arial" w:eastAsia="Arial" w:hAnsi="Arial"/>
          <w:sz w:val="16"/>
          <w:szCs w:val="16"/>
          <w:b w:val="1"/>
          <w:bCs w:val="1"/>
          <w:color w:val="auto"/>
        </w:rPr>
        <w:t>1800 Owens Street</w:t>
      </w:r>
    </w:p>
    <w:p>
      <w:pPr>
        <w:jc w:val="center"/>
        <w:spacing w:after="0" w:line="211" w:lineRule="auto"/>
        <w:rPr>
          <w:sz w:val="20"/>
          <w:szCs w:val="20"/>
          <w:color w:val="auto"/>
        </w:rPr>
      </w:pPr>
      <w:r>
        <w:rPr>
          <w:rFonts w:ascii="Arial" w:cs="Arial" w:eastAsia="Arial" w:hAnsi="Arial"/>
          <w:sz w:val="16"/>
          <w:szCs w:val="16"/>
          <w:b w:val="1"/>
          <w:bCs w:val="1"/>
          <w:color w:val="auto"/>
        </w:rPr>
        <w:t>San Francisco, California 94158</w:t>
      </w:r>
    </w:p>
    <w:p>
      <w:pPr>
        <w:jc w:val="center"/>
        <w:spacing w:after="0"/>
        <w:rPr>
          <w:sz w:val="20"/>
          <w:szCs w:val="20"/>
          <w:color w:val="auto"/>
        </w:rPr>
      </w:pPr>
      <w:r>
        <w:rPr>
          <w:rFonts w:ascii="Arial" w:cs="Arial" w:eastAsia="Arial" w:hAnsi="Arial"/>
          <w:sz w:val="16"/>
          <w:szCs w:val="16"/>
          <w:b w:val="1"/>
          <w:bCs w:val="1"/>
          <w:color w:val="auto"/>
        </w:rPr>
        <w:t>(415) 857-6800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58420</wp:posOffset>
            </wp:positionV>
            <wp:extent cx="1594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760"/>
          </w:cols>
          <w:pgMar w:left="560" w:top="535" w:right="579" w:bottom="1440" w:gutter="0" w:footer="0" w:header="0"/>
          <w:type w:val="continuous"/>
        </w:sect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36195</wp:posOffset>
            </wp:positionV>
            <wp:extent cx="1594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Andrew W. Houston</w:t>
      </w:r>
    </w:p>
    <w:p>
      <w:pPr>
        <w:jc w:val="center"/>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spacing w:after="0" w:line="211" w:lineRule="auto"/>
        <w:rPr>
          <w:sz w:val="20"/>
          <w:szCs w:val="20"/>
          <w:color w:val="auto"/>
        </w:rPr>
      </w:pPr>
      <w:r>
        <w:rPr>
          <w:rFonts w:ascii="Arial" w:cs="Arial" w:eastAsia="Arial" w:hAnsi="Arial"/>
          <w:sz w:val="16"/>
          <w:szCs w:val="16"/>
          <w:b w:val="1"/>
          <w:bCs w:val="1"/>
          <w:color w:val="auto"/>
        </w:rPr>
        <w:t>Dropbox, Inc.</w:t>
      </w:r>
    </w:p>
    <w:p>
      <w:pPr>
        <w:jc w:val="center"/>
        <w:spacing w:after="0" w:line="211" w:lineRule="auto"/>
        <w:rPr>
          <w:sz w:val="20"/>
          <w:szCs w:val="20"/>
          <w:color w:val="auto"/>
        </w:rPr>
      </w:pPr>
      <w:r>
        <w:rPr>
          <w:rFonts w:ascii="Arial" w:cs="Arial" w:eastAsia="Arial" w:hAnsi="Arial"/>
          <w:sz w:val="16"/>
          <w:szCs w:val="16"/>
          <w:b w:val="1"/>
          <w:bCs w:val="1"/>
          <w:color w:val="auto"/>
        </w:rPr>
        <w:t>1800 Owens Street</w:t>
      </w:r>
    </w:p>
    <w:p>
      <w:pPr>
        <w:jc w:val="center"/>
        <w:spacing w:after="0" w:line="212" w:lineRule="auto"/>
        <w:rPr>
          <w:sz w:val="20"/>
          <w:szCs w:val="20"/>
          <w:color w:val="auto"/>
        </w:rPr>
      </w:pPr>
      <w:r>
        <w:rPr>
          <w:rFonts w:ascii="Arial" w:cs="Arial" w:eastAsia="Arial" w:hAnsi="Arial"/>
          <w:sz w:val="16"/>
          <w:szCs w:val="16"/>
          <w:b w:val="1"/>
          <w:bCs w:val="1"/>
          <w:color w:val="auto"/>
        </w:rPr>
        <w:t>San Francisco, California 94158</w:t>
      </w:r>
    </w:p>
    <w:p>
      <w:pPr>
        <w:jc w:val="center"/>
        <w:spacing w:after="0"/>
        <w:rPr>
          <w:sz w:val="20"/>
          <w:szCs w:val="20"/>
          <w:color w:val="auto"/>
        </w:rPr>
      </w:pPr>
      <w:r>
        <w:rPr>
          <w:rFonts w:ascii="Arial" w:cs="Arial" w:eastAsia="Arial" w:hAnsi="Arial"/>
          <w:sz w:val="16"/>
          <w:szCs w:val="16"/>
          <w:b w:val="1"/>
          <w:bCs w:val="1"/>
          <w:color w:val="auto"/>
        </w:rPr>
        <w:t>(415) 857-6800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36830</wp:posOffset>
            </wp:positionV>
            <wp:extent cx="1594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76" w:lineRule="exact"/>
        <w:rPr>
          <w:sz w:val="24"/>
          <w:szCs w:val="24"/>
          <w:color w:val="auto"/>
        </w:rPr>
      </w:pPr>
    </w:p>
    <w:tbl>
      <w:tblPr>
        <w:tblLayout w:type="fixed"/>
        <w:tblInd w:w="1080" w:type="dxa"/>
        <w:tblCellMar>
          <w:top w:w="0" w:type="dxa"/>
          <w:left w:w="0" w:type="dxa"/>
          <w:bottom w:w="0" w:type="dxa"/>
          <w:right w:w="0" w:type="dxa"/>
        </w:tblCellMar>
      </w:tblPr>
      <w:tr>
        <w:trPr>
          <w:trHeight w:val="206"/>
        </w:trPr>
        <w:tc>
          <w:tcPr>
            <w:tcW w:w="3420" w:type="dxa"/>
            <w:vAlign w:val="bottom"/>
          </w:tcPr>
          <w:p>
            <w:pPr>
              <w:spacing w:after="0"/>
              <w:rPr>
                <w:sz w:val="17"/>
                <w:szCs w:val="17"/>
                <w:color w:val="auto"/>
              </w:rPr>
            </w:pPr>
          </w:p>
        </w:tc>
        <w:tc>
          <w:tcPr>
            <w:tcW w:w="4680" w:type="dxa"/>
            <w:vAlign w:val="bottom"/>
          </w:tcPr>
          <w:p>
            <w:pPr>
              <w:ind w:left="680"/>
              <w:spacing w:after="0"/>
              <w:rPr>
                <w:sz w:val="20"/>
                <w:szCs w:val="20"/>
                <w:color w:val="auto"/>
              </w:rPr>
            </w:pPr>
            <w:r>
              <w:rPr>
                <w:rFonts w:ascii="Arial" w:cs="Arial" w:eastAsia="Arial" w:hAnsi="Arial"/>
                <w:sz w:val="16"/>
                <w:szCs w:val="16"/>
                <w:i w:val="1"/>
                <w:iCs w:val="1"/>
                <w:color w:val="auto"/>
              </w:rPr>
              <w:t>Copies to:</w:t>
            </w:r>
          </w:p>
        </w:tc>
      </w:tr>
      <w:tr>
        <w:trPr>
          <w:trHeight w:val="168"/>
        </w:trPr>
        <w:tc>
          <w:tcPr>
            <w:tcW w:w="3420" w:type="dxa"/>
            <w:vAlign w:val="bottom"/>
          </w:tcPr>
          <w:p>
            <w:pPr>
              <w:jc w:val="center"/>
              <w:ind w:right="579"/>
              <w:spacing w:after="0" w:line="168" w:lineRule="exact"/>
              <w:rPr>
                <w:sz w:val="20"/>
                <w:szCs w:val="20"/>
                <w:color w:val="auto"/>
              </w:rPr>
            </w:pPr>
            <w:r>
              <w:rPr>
                <w:rFonts w:ascii="Arial" w:cs="Arial" w:eastAsia="Arial" w:hAnsi="Arial"/>
                <w:sz w:val="16"/>
                <w:szCs w:val="16"/>
                <w:b w:val="1"/>
                <w:bCs w:val="1"/>
                <w:color w:val="auto"/>
                <w:w w:val="89"/>
              </w:rPr>
              <w:t>Tony Jeffries, Esq.</w:t>
            </w:r>
          </w:p>
        </w:tc>
        <w:tc>
          <w:tcPr>
            <w:tcW w:w="4680" w:type="dxa"/>
            <w:vAlign w:val="bottom"/>
          </w:tcPr>
          <w:p>
            <w:pPr>
              <w:jc w:val="center"/>
              <w:ind w:left="2379"/>
              <w:spacing w:after="0" w:line="168" w:lineRule="exact"/>
              <w:rPr>
                <w:sz w:val="20"/>
                <w:szCs w:val="20"/>
                <w:color w:val="auto"/>
              </w:rPr>
            </w:pPr>
            <w:r>
              <w:rPr>
                <w:rFonts w:ascii="Arial" w:cs="Arial" w:eastAsia="Arial" w:hAnsi="Arial"/>
                <w:sz w:val="16"/>
                <w:szCs w:val="16"/>
                <w:b w:val="1"/>
                <w:bCs w:val="1"/>
                <w:color w:val="auto"/>
                <w:w w:val="92"/>
              </w:rPr>
              <w:t>Bart E. Volkmer, Esq.</w:t>
            </w:r>
          </w:p>
        </w:tc>
      </w:tr>
      <w:tr>
        <w:trPr>
          <w:trHeight w:val="162"/>
        </w:trPr>
        <w:tc>
          <w:tcPr>
            <w:tcW w:w="3420" w:type="dxa"/>
            <w:vAlign w:val="bottom"/>
          </w:tcPr>
          <w:p>
            <w:pPr>
              <w:jc w:val="center"/>
              <w:ind w:right="599"/>
              <w:spacing w:after="0" w:line="162" w:lineRule="exact"/>
              <w:rPr>
                <w:sz w:val="20"/>
                <w:szCs w:val="20"/>
                <w:color w:val="auto"/>
              </w:rPr>
            </w:pPr>
            <w:r>
              <w:rPr>
                <w:rFonts w:ascii="Arial" w:cs="Arial" w:eastAsia="Arial" w:hAnsi="Arial"/>
                <w:sz w:val="16"/>
                <w:szCs w:val="16"/>
                <w:b w:val="1"/>
                <w:bCs w:val="1"/>
                <w:color w:val="auto"/>
                <w:w w:val="93"/>
              </w:rPr>
              <w:t>Lisa L. Stimmell, Esq.</w:t>
            </w:r>
          </w:p>
        </w:tc>
        <w:tc>
          <w:tcPr>
            <w:tcW w:w="4680" w:type="dxa"/>
            <w:vAlign w:val="bottom"/>
          </w:tcPr>
          <w:p>
            <w:pPr>
              <w:jc w:val="center"/>
              <w:ind w:left="2379"/>
              <w:spacing w:after="0" w:line="162" w:lineRule="exact"/>
              <w:rPr>
                <w:sz w:val="20"/>
                <w:szCs w:val="20"/>
                <w:color w:val="auto"/>
              </w:rPr>
            </w:pPr>
            <w:r>
              <w:rPr>
                <w:rFonts w:ascii="Arial" w:cs="Arial" w:eastAsia="Arial" w:hAnsi="Arial"/>
                <w:sz w:val="16"/>
                <w:szCs w:val="16"/>
                <w:b w:val="1"/>
                <w:bCs w:val="1"/>
                <w:color w:val="auto"/>
                <w:w w:val="95"/>
              </w:rPr>
              <w:t>Cara M. Angelmar, Esq.</w:t>
            </w:r>
          </w:p>
        </w:tc>
      </w:tr>
      <w:tr>
        <w:trPr>
          <w:trHeight w:val="162"/>
        </w:trPr>
        <w:tc>
          <w:tcPr>
            <w:tcW w:w="3420" w:type="dxa"/>
            <w:vAlign w:val="bottom"/>
          </w:tcPr>
          <w:p>
            <w:pPr>
              <w:jc w:val="center"/>
              <w:ind w:right="579"/>
              <w:spacing w:after="0" w:line="162" w:lineRule="exact"/>
              <w:rPr>
                <w:sz w:val="20"/>
                <w:szCs w:val="20"/>
                <w:color w:val="auto"/>
              </w:rPr>
            </w:pPr>
            <w:r>
              <w:rPr>
                <w:rFonts w:ascii="Arial" w:cs="Arial" w:eastAsia="Arial" w:hAnsi="Arial"/>
                <w:sz w:val="16"/>
                <w:szCs w:val="16"/>
                <w:b w:val="1"/>
                <w:bCs w:val="1"/>
                <w:color w:val="auto"/>
                <w:w w:val="91"/>
              </w:rPr>
              <w:t>Shannon R. Delahaye, Esq.</w:t>
            </w:r>
          </w:p>
        </w:tc>
        <w:tc>
          <w:tcPr>
            <w:tcW w:w="4680" w:type="dxa"/>
            <w:vAlign w:val="bottom"/>
          </w:tcPr>
          <w:p>
            <w:pPr>
              <w:jc w:val="center"/>
              <w:ind w:left="2379"/>
              <w:spacing w:after="0" w:line="162" w:lineRule="exact"/>
              <w:rPr>
                <w:sz w:val="20"/>
                <w:szCs w:val="20"/>
                <w:color w:val="auto"/>
              </w:rPr>
            </w:pPr>
            <w:r>
              <w:rPr>
                <w:rFonts w:ascii="Arial" w:cs="Arial" w:eastAsia="Arial" w:hAnsi="Arial"/>
                <w:sz w:val="16"/>
                <w:szCs w:val="16"/>
                <w:b w:val="1"/>
                <w:bCs w:val="1"/>
                <w:color w:val="auto"/>
                <w:w w:val="91"/>
              </w:rPr>
              <w:t>Dropbox, Inc.</w:t>
            </w:r>
          </w:p>
        </w:tc>
      </w:tr>
      <w:tr>
        <w:trPr>
          <w:trHeight w:val="162"/>
        </w:trPr>
        <w:tc>
          <w:tcPr>
            <w:tcW w:w="3420" w:type="dxa"/>
            <w:vAlign w:val="bottom"/>
          </w:tcPr>
          <w:p>
            <w:pPr>
              <w:jc w:val="center"/>
              <w:ind w:right="599"/>
              <w:spacing w:after="0" w:line="162" w:lineRule="exact"/>
              <w:rPr>
                <w:sz w:val="20"/>
                <w:szCs w:val="20"/>
                <w:color w:val="auto"/>
              </w:rPr>
            </w:pPr>
            <w:r>
              <w:rPr>
                <w:rFonts w:ascii="Arial" w:cs="Arial" w:eastAsia="Arial" w:hAnsi="Arial"/>
                <w:sz w:val="16"/>
                <w:szCs w:val="16"/>
                <w:b w:val="1"/>
                <w:bCs w:val="1"/>
                <w:color w:val="auto"/>
                <w:w w:val="91"/>
              </w:rPr>
              <w:t>Wilson Sonsini Goodrich &amp; Rosati, P.C.</w:t>
            </w:r>
          </w:p>
        </w:tc>
        <w:tc>
          <w:tcPr>
            <w:tcW w:w="4680" w:type="dxa"/>
            <w:vAlign w:val="bottom"/>
          </w:tcPr>
          <w:p>
            <w:pPr>
              <w:jc w:val="center"/>
              <w:ind w:left="2379"/>
              <w:spacing w:after="0" w:line="162" w:lineRule="exact"/>
              <w:rPr>
                <w:sz w:val="20"/>
                <w:szCs w:val="20"/>
                <w:color w:val="auto"/>
              </w:rPr>
            </w:pPr>
            <w:r>
              <w:rPr>
                <w:rFonts w:ascii="Arial" w:cs="Arial" w:eastAsia="Arial" w:hAnsi="Arial"/>
                <w:sz w:val="16"/>
                <w:szCs w:val="16"/>
                <w:b w:val="1"/>
                <w:bCs w:val="1"/>
                <w:color w:val="auto"/>
                <w:w w:val="91"/>
              </w:rPr>
              <w:t>1800 Owens Street</w:t>
            </w:r>
          </w:p>
        </w:tc>
      </w:tr>
      <w:tr>
        <w:trPr>
          <w:trHeight w:val="162"/>
        </w:trPr>
        <w:tc>
          <w:tcPr>
            <w:tcW w:w="3420" w:type="dxa"/>
            <w:vAlign w:val="bottom"/>
          </w:tcPr>
          <w:p>
            <w:pPr>
              <w:jc w:val="center"/>
              <w:ind w:right="579"/>
              <w:spacing w:after="0" w:line="162" w:lineRule="exact"/>
              <w:rPr>
                <w:sz w:val="20"/>
                <w:szCs w:val="20"/>
                <w:color w:val="auto"/>
              </w:rPr>
            </w:pPr>
            <w:r>
              <w:rPr>
                <w:rFonts w:ascii="Arial" w:cs="Arial" w:eastAsia="Arial" w:hAnsi="Arial"/>
                <w:sz w:val="16"/>
                <w:szCs w:val="16"/>
                <w:b w:val="1"/>
                <w:bCs w:val="1"/>
                <w:color w:val="auto"/>
                <w:w w:val="93"/>
              </w:rPr>
              <w:t>650 Page Mill Road</w:t>
            </w:r>
          </w:p>
        </w:tc>
        <w:tc>
          <w:tcPr>
            <w:tcW w:w="4680" w:type="dxa"/>
            <w:vAlign w:val="bottom"/>
          </w:tcPr>
          <w:p>
            <w:pPr>
              <w:jc w:val="center"/>
              <w:ind w:left="2379"/>
              <w:spacing w:after="0" w:line="162" w:lineRule="exact"/>
              <w:rPr>
                <w:sz w:val="20"/>
                <w:szCs w:val="20"/>
                <w:color w:val="auto"/>
              </w:rPr>
            </w:pPr>
            <w:r>
              <w:rPr>
                <w:rFonts w:ascii="Arial" w:cs="Arial" w:eastAsia="Arial" w:hAnsi="Arial"/>
                <w:sz w:val="16"/>
                <w:szCs w:val="16"/>
                <w:b w:val="1"/>
                <w:bCs w:val="1"/>
                <w:color w:val="auto"/>
                <w:w w:val="92"/>
              </w:rPr>
              <w:t>San Francisco, California 94158</w:t>
            </w:r>
          </w:p>
        </w:tc>
      </w:tr>
      <w:tr>
        <w:trPr>
          <w:trHeight w:val="162"/>
        </w:trPr>
        <w:tc>
          <w:tcPr>
            <w:tcW w:w="3420" w:type="dxa"/>
            <w:vAlign w:val="bottom"/>
          </w:tcPr>
          <w:p>
            <w:pPr>
              <w:jc w:val="center"/>
              <w:ind w:right="579"/>
              <w:spacing w:after="0" w:line="162" w:lineRule="exact"/>
              <w:rPr>
                <w:sz w:val="20"/>
                <w:szCs w:val="20"/>
                <w:color w:val="auto"/>
              </w:rPr>
            </w:pPr>
            <w:r>
              <w:rPr>
                <w:rFonts w:ascii="Arial" w:cs="Arial" w:eastAsia="Arial" w:hAnsi="Arial"/>
                <w:sz w:val="16"/>
                <w:szCs w:val="16"/>
                <w:b w:val="1"/>
                <w:bCs w:val="1"/>
                <w:color w:val="auto"/>
                <w:w w:val="93"/>
              </w:rPr>
              <w:t>Palo Alto, California 94304</w:t>
            </w:r>
          </w:p>
        </w:tc>
        <w:tc>
          <w:tcPr>
            <w:tcW w:w="4680" w:type="dxa"/>
            <w:vAlign w:val="bottom"/>
          </w:tcPr>
          <w:p>
            <w:pPr>
              <w:jc w:val="center"/>
              <w:ind w:left="2379"/>
              <w:spacing w:after="0" w:line="162" w:lineRule="exact"/>
              <w:rPr>
                <w:sz w:val="20"/>
                <w:szCs w:val="20"/>
                <w:color w:val="auto"/>
              </w:rPr>
            </w:pPr>
            <w:r>
              <w:rPr>
                <w:rFonts w:ascii="Arial" w:cs="Arial" w:eastAsia="Arial" w:hAnsi="Arial"/>
                <w:sz w:val="16"/>
                <w:szCs w:val="16"/>
                <w:b w:val="1"/>
                <w:bCs w:val="1"/>
                <w:color w:val="auto"/>
                <w:w w:val="93"/>
              </w:rPr>
              <w:t>(415) 857-6800</w:t>
            </w:r>
          </w:p>
        </w:tc>
      </w:tr>
      <w:tr>
        <w:trPr>
          <w:trHeight w:val="210"/>
        </w:trPr>
        <w:tc>
          <w:tcPr>
            <w:tcW w:w="3420" w:type="dxa"/>
            <w:vAlign w:val="bottom"/>
          </w:tcPr>
          <w:p>
            <w:pPr>
              <w:jc w:val="center"/>
              <w:ind w:right="599"/>
              <w:spacing w:after="0"/>
              <w:rPr>
                <w:sz w:val="20"/>
                <w:szCs w:val="20"/>
                <w:color w:val="auto"/>
              </w:rPr>
            </w:pPr>
            <w:r>
              <w:rPr>
                <w:rFonts w:ascii="Arial" w:cs="Arial" w:eastAsia="Arial" w:hAnsi="Arial"/>
                <w:sz w:val="16"/>
                <w:szCs w:val="16"/>
                <w:b w:val="1"/>
                <w:bCs w:val="1"/>
                <w:color w:val="auto"/>
                <w:w w:val="93"/>
              </w:rPr>
              <w:t>(650) 493-9300</w:t>
            </w:r>
          </w:p>
        </w:tc>
        <w:tc>
          <w:tcPr>
            <w:tcW w:w="46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20955</wp:posOffset>
            </wp:positionV>
            <wp:extent cx="1594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42" w:lineRule="exact"/>
        <w:rPr>
          <w:sz w:val="24"/>
          <w:szCs w:val="24"/>
          <w:color w:val="auto"/>
        </w:rPr>
      </w:pPr>
    </w:p>
    <w:p>
      <w:pPr>
        <w:jc w:val="center"/>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760"/>
          </w:cols>
          <w:pgMar w:left="560" w:top="535" w:right="579" w:bottom="1440" w:gutter="0" w:footer="0" w:header="0"/>
          <w:type w:val="continuous"/>
        </w:sectPr>
      </w:pPr>
    </w:p>
    <w:p>
      <w:pPr>
        <w:spacing w:after="0" w:line="61" w:lineRule="exact"/>
        <w:rPr>
          <w:sz w:val="24"/>
          <w:szCs w:val="24"/>
          <w:color w:val="auto"/>
        </w:rPr>
      </w:pPr>
    </w:p>
    <w:p>
      <w:pPr>
        <w:ind w:left="2320"/>
        <w:spacing w:after="0"/>
        <w:rPr>
          <w:sz w:val="20"/>
          <w:szCs w:val="20"/>
          <w:color w:val="auto"/>
        </w:rPr>
      </w:pPr>
      <w:r>
        <w:rPr>
          <w:rFonts w:ascii="Arial" w:cs="Arial" w:eastAsia="Arial" w:hAnsi="Arial"/>
          <w:sz w:val="12"/>
          <w:szCs w:val="12"/>
          <w:color w:val="auto"/>
        </w:rPr>
        <w:t>Large accelerated filer</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4"/>
          <w:szCs w:val="14"/>
          <w:color w:val="auto"/>
        </w:rPr>
        <w:t>Accelerated filer</w:t>
      </w:r>
    </w:p>
    <w:p>
      <w:pPr>
        <w:jc w:val="center"/>
        <w:ind w:right="1400"/>
        <w:spacing w:after="0"/>
        <w:rPr>
          <w:sz w:val="20"/>
          <w:szCs w:val="20"/>
          <w:color w:val="auto"/>
        </w:rPr>
      </w:pPr>
      <w:r>
        <w:rPr>
          <w:rFonts w:ascii="Arial" w:cs="Arial" w:eastAsia="Arial" w:hAnsi="Arial"/>
          <w:sz w:val="13"/>
          <w:szCs w:val="13"/>
          <w:color w:val="auto"/>
        </w:rPr>
        <w:t>Smaller reporting company</w:t>
      </w:r>
    </w:p>
    <w:p>
      <w:pPr>
        <w:spacing w:after="0" w:line="28" w:lineRule="exact"/>
        <w:rPr>
          <w:sz w:val="24"/>
          <w:szCs w:val="24"/>
          <w:color w:val="auto"/>
        </w:rPr>
      </w:pPr>
    </w:p>
    <w:p>
      <w:pPr>
        <w:sectPr>
          <w:pgSz w:w="11900" w:h="16838" w:orient="portrait"/>
          <w:cols w:equalWidth="0" w:num="2">
            <w:col w:w="7060" w:space="720"/>
            <w:col w:w="2980"/>
          </w:cols>
          <w:pgMar w:left="560" w:top="535" w:right="579" w:bottom="1440" w:gutter="0" w:footer="0" w:header="0"/>
          <w:type w:val="continuous"/>
        </w:sectPr>
      </w:pPr>
    </w:p>
    <w:p>
      <w:pPr>
        <w:ind w:left="2180"/>
        <w:spacing w:after="0"/>
        <w:rPr>
          <w:sz w:val="20"/>
          <w:szCs w:val="20"/>
          <w:color w:val="auto"/>
        </w:rPr>
      </w:pPr>
      <w:r>
        <w:rPr>
          <w:rFonts w:ascii="Arial" w:cs="Arial" w:eastAsia="Arial" w:hAnsi="Arial"/>
          <w:sz w:val="13"/>
          <w:szCs w:val="13"/>
          <w:color w:val="auto"/>
        </w:rPr>
        <w:t>Emerging growth company</w:t>
      </w:r>
    </w:p>
    <w:p>
      <w:pPr>
        <w:sectPr>
          <w:pgSz w:w="11900" w:h="16838" w:orient="portrait"/>
          <w:cols w:equalWidth="0" w:num="1">
            <w:col w:w="10760"/>
          </w:cols>
          <w:pgMar w:left="560" w:top="535" w:right="579" w:bottom="1440" w:gutter="0" w:footer="0" w:header="0"/>
          <w:type w:val="continuous"/>
        </w:sectPr>
      </w:pPr>
    </w:p>
    <w:p>
      <w:pPr>
        <w:spacing w:after="0" w:line="40" w:lineRule="exact"/>
        <w:rPr>
          <w:sz w:val="24"/>
          <w:szCs w:val="24"/>
          <w:color w:val="auto"/>
        </w:rPr>
      </w:pPr>
    </w:p>
    <w:p>
      <w:pPr>
        <w:jc w:val="center"/>
        <w:ind w:left="60" w:right="4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0760"/>
          </w:cols>
          <w:pgMar w:left="560" w:top="535" w:right="5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85" w:lineRule="exact"/>
        <w:rPr>
          <w:sz w:val="20"/>
          <w:szCs w:val="20"/>
          <w:color w:val="auto"/>
        </w:rPr>
      </w:pPr>
    </w:p>
    <w:p>
      <w:pPr>
        <w:ind w:right="180" w:firstLine="648"/>
        <w:spacing w:after="0" w:line="245" w:lineRule="auto"/>
        <w:rPr>
          <w:sz w:val="20"/>
          <w:szCs w:val="20"/>
          <w:color w:val="auto"/>
        </w:rPr>
      </w:pPr>
      <w:r>
        <w:rPr>
          <w:rFonts w:ascii="Arial" w:cs="Arial" w:eastAsia="Arial" w:hAnsi="Arial"/>
          <w:sz w:val="16"/>
          <w:szCs w:val="16"/>
          <w:color w:val="auto"/>
        </w:rPr>
        <w:t>This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registers additional shares of Class A common stock of Dropbox, Inc. (the “</w:t>
      </w:r>
      <w:r>
        <w:rPr>
          <w:rFonts w:ascii="Arial" w:cs="Arial" w:eastAsia="Arial" w:hAnsi="Arial"/>
          <w:sz w:val="16"/>
          <w:szCs w:val="16"/>
          <w:b w:val="1"/>
          <w:bCs w:val="1"/>
          <w:color w:val="auto"/>
        </w:rPr>
        <w:t>Registrant</w:t>
      </w:r>
      <w:r>
        <w:rPr>
          <w:rFonts w:ascii="Arial" w:cs="Arial" w:eastAsia="Arial" w:hAnsi="Arial"/>
          <w:sz w:val="16"/>
          <w:szCs w:val="16"/>
          <w:color w:val="auto"/>
        </w:rPr>
        <w:t>”) reserved for issuance under the Registrant’s 2018 Equity Incentive Plan (the “</w:t>
      </w:r>
      <w:r>
        <w:rPr>
          <w:rFonts w:ascii="Arial" w:cs="Arial" w:eastAsia="Arial" w:hAnsi="Arial"/>
          <w:sz w:val="16"/>
          <w:szCs w:val="16"/>
          <w:b w:val="1"/>
          <w:bCs w:val="1"/>
          <w:color w:val="auto"/>
        </w:rPr>
        <w:t>2018 Plan</w:t>
      </w:r>
      <w:r>
        <w:rPr>
          <w:rFonts w:ascii="Arial" w:cs="Arial" w:eastAsia="Arial" w:hAnsi="Arial"/>
          <w:sz w:val="16"/>
          <w:szCs w:val="16"/>
          <w:color w:val="auto"/>
        </w:rPr>
        <w:t>”). The number of shares of the Registrant’s Class A common stock available for grant and issuance under the 2018 Plan is subject to an annual increase on the first day of each fiscal year starting on January 1, 2019, by an amount equal to the least of (i) 41,368,326 shares, (ii) five percent (5%) of the outstanding shares of all classes of the Registrant’s common stock on the last day of the immediately preceding fiscal year or (iii) such number of shares determined by the Registrant’s board of directors.</w:t>
      </w:r>
    </w:p>
    <w:p>
      <w:pPr>
        <w:spacing w:after="0" w:line="158"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This Registration Statement registers an aggregate of 18,774,350 shares of the Registrant’s Class A common stock available for grant and issuance under the 2018 Plan, all of which became available for grant and issuance under the 2018 Plan on January 1, 2022.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189"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5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Securities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The Registrant’s Annual Report on Form 10-K for the fiscal year ended December 31, 2021, filed with the Commission on February 18, 2022;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88" w:lineRule="exact"/>
        <w:rPr>
          <w:sz w:val="20"/>
          <w:szCs w:val="20"/>
          <w:color w:val="auto"/>
        </w:rPr>
      </w:pPr>
    </w:p>
    <w:p>
      <w:pPr>
        <w:ind w:right="400" w:firstLine="656"/>
        <w:spacing w:after="0" w:line="224" w:lineRule="auto"/>
        <w:tabs>
          <w:tab w:leader="none" w:pos="90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Registrant’s Class A Common Stock filed as Exhibit 4.1 to its Quarterly Report on Form 10-Q for the fiscal quarter ended June 30, 2020, filed with the Commission on August 7, 2020, and any subsequent amendment or report filed for the purpose of updating such descriptions.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documents filed by the Registrant pursuant to Sections 13(a), 13(c), 14 and 15(d) of the Securities Exchange Act of 1934, as amended (the</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on or after the date of this Registration Statement and prior to the filing of a post-effective amendment to this Registration Statement that</w:t>
      </w:r>
    </w:p>
    <w:p>
      <w:pPr>
        <w:spacing w:after="0" w:line="228" w:lineRule="auto"/>
        <w:rPr>
          <w:sz w:val="20"/>
          <w:szCs w:val="20"/>
          <w:color w:val="auto"/>
        </w:rPr>
      </w:pPr>
      <w:r>
        <w:rPr>
          <w:rFonts w:ascii="Arial" w:cs="Arial" w:eastAsia="Arial" w:hAnsi="Arial"/>
          <w:sz w:val="16"/>
          <w:szCs w:val="16"/>
          <w:color w:val="auto"/>
        </w:rPr>
        <w:t>indicates that all securities offered have been sold or that deregisters all securities then remaining unsold shall be deemed to be incorporated by reference in</w:t>
      </w:r>
    </w:p>
    <w:p>
      <w:pPr>
        <w:spacing w:after="0" w:line="229" w:lineRule="auto"/>
        <w:rPr>
          <w:sz w:val="20"/>
          <w:szCs w:val="20"/>
          <w:color w:val="auto"/>
        </w:rPr>
      </w:pPr>
      <w:r>
        <w:rPr>
          <w:rFonts w:ascii="Arial" w:cs="Arial" w:eastAsia="Arial" w:hAnsi="Arial"/>
          <w:sz w:val="16"/>
          <w:szCs w:val="16"/>
          <w:color w:val="auto"/>
        </w:rPr>
        <w:t xml:space="preserve">this Registration Statement and to be part hereof from the date of filing of such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documents or information deemed to</w:t>
      </w:r>
    </w:p>
    <w:p>
      <w:pPr>
        <w:spacing w:after="0" w:line="229" w:lineRule="auto"/>
        <w:rPr>
          <w:sz w:val="20"/>
          <w:szCs w:val="20"/>
          <w:color w:val="auto"/>
        </w:rPr>
      </w:pPr>
      <w:r>
        <w:rPr>
          <w:rFonts w:ascii="Arial" w:cs="Arial" w:eastAsia="Arial" w:hAnsi="Arial"/>
          <w:sz w:val="16"/>
          <w:szCs w:val="16"/>
          <w:color w:val="auto"/>
        </w:rPr>
        <w:t>have been furnished and not filed in accordance with the rules of the Commission shall not be deemed incorporated by reference into this Registration</w:t>
      </w:r>
    </w:p>
    <w:p>
      <w:pPr>
        <w:spacing w:after="0" w:line="229" w:lineRule="auto"/>
        <w:rPr>
          <w:sz w:val="20"/>
          <w:szCs w:val="20"/>
          <w:color w:val="auto"/>
        </w:rPr>
      </w:pPr>
      <w:r>
        <w:rPr>
          <w:rFonts w:ascii="Arial" w:cs="Arial" w:eastAsia="Arial" w:hAnsi="Arial"/>
          <w:sz w:val="16"/>
          <w:szCs w:val="16"/>
          <w:color w:val="auto"/>
        </w:rPr>
        <w:t>Statement. Any statement contained in a document incorporated or deemed to be incorporated by reference herein shall be deemed to be modified or</w:t>
      </w:r>
    </w:p>
    <w:p>
      <w:pPr>
        <w:spacing w:after="0" w:line="229" w:lineRule="auto"/>
        <w:rPr>
          <w:sz w:val="20"/>
          <w:szCs w:val="20"/>
          <w:color w:val="auto"/>
        </w:rPr>
      </w:pPr>
      <w:r>
        <w:rPr>
          <w:rFonts w:ascii="Arial" w:cs="Arial" w:eastAsia="Arial" w:hAnsi="Arial"/>
          <w:sz w:val="16"/>
          <w:szCs w:val="16"/>
          <w:color w:val="auto"/>
        </w:rPr>
        <w:t>superseded for purposes of this Registration Statement to the extent that a statement contained herein or in any subsequently filed document which also is</w:t>
      </w:r>
    </w:p>
    <w:p>
      <w:pPr>
        <w:spacing w:after="0" w:line="229" w:lineRule="auto"/>
        <w:rPr>
          <w:sz w:val="20"/>
          <w:szCs w:val="20"/>
          <w:color w:val="auto"/>
        </w:rPr>
      </w:pPr>
      <w:r>
        <w:rPr>
          <w:rFonts w:ascii="Arial" w:cs="Arial" w:eastAsia="Arial" w:hAnsi="Arial"/>
          <w:sz w:val="16"/>
          <w:szCs w:val="16"/>
          <w:color w:val="auto"/>
        </w:rPr>
        <w:t>deemed to be incorporated by reference herein modifies or supersedes such statement. Any such statement so modified or superseded shall not be deemed,</w:t>
      </w:r>
    </w:p>
    <w:p>
      <w:pPr>
        <w:spacing w:after="0"/>
        <w:rPr>
          <w:sz w:val="20"/>
          <w:szCs w:val="20"/>
          <w:color w:val="auto"/>
        </w:rPr>
      </w:pPr>
      <w:r>
        <w:rPr>
          <w:rFonts w:ascii="Arial" w:cs="Arial" w:eastAsia="Arial" w:hAnsi="Arial"/>
          <w:sz w:val="18"/>
          <w:szCs w:val="18"/>
          <w:color w:val="auto"/>
        </w:rPr>
        <w:t>except as so modified or superseded, to constitute a part of this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89"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ectPr>
          <w:pgSz w:w="11900" w:h="16838" w:orient="portrait"/>
          <w:cols w:equalWidth="0" w:num="1">
            <w:col w:w="11240"/>
          </w:cols>
          <w:pgMar w:left="320" w:top="1080" w:right="339" w:bottom="1440" w:gutter="0" w:footer="0" w:header="0"/>
        </w:sectPr>
      </w:pPr>
    </w:p>
    <w:bookmarkStart w:id="2" w:name="page3"/>
    <w:bookmarkEnd w:id="2"/>
    <w:p>
      <w:pPr>
        <w:ind w:right="80" w:firstLine="648"/>
        <w:spacing w:after="0" w:line="224" w:lineRule="auto"/>
        <w:rPr>
          <w:sz w:val="20"/>
          <w:szCs w:val="20"/>
          <w:color w:val="auto"/>
        </w:rPr>
      </w:pPr>
      <w:r>
        <w:rPr>
          <w:rFonts w:ascii="Arial" w:cs="Arial" w:eastAsia="Arial" w:hAnsi="Arial"/>
          <w:sz w:val="18"/>
          <w:szCs w:val="18"/>
          <w:color w:val="auto"/>
        </w:rPr>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16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their duty of loyalty to the Registrant or its stockholders;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11" w:lineRule="exact"/>
        <w:rPr>
          <w:rFonts w:ascii="Arial" w:cs="Arial" w:eastAsia="Arial" w:hAnsi="Arial"/>
          <w:sz w:val="18"/>
          <w:szCs w:val="18"/>
          <w:color w:val="auto"/>
        </w:rPr>
      </w:pPr>
    </w:p>
    <w:p>
      <w:pPr>
        <w:ind w:left="660" w:right="260" w:hanging="328"/>
        <w:spacing w:after="0" w:line="23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85"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90"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167" w:lineRule="exact"/>
        <w:rPr>
          <w:sz w:val="20"/>
          <w:szCs w:val="20"/>
          <w:color w:val="auto"/>
        </w:rPr>
      </w:pPr>
    </w:p>
    <w:p>
      <w:pPr>
        <w:ind w:right="140" w:firstLine="441"/>
        <w:spacing w:after="0" w:line="214" w:lineRule="auto"/>
        <w:rPr>
          <w:sz w:val="20"/>
          <w:szCs w:val="20"/>
          <w:color w:val="auto"/>
        </w:rPr>
      </w:pPr>
      <w:r>
        <w:rPr>
          <w:rFonts w:ascii="Arial" w:cs="Arial" w:eastAsia="Arial" w:hAnsi="Arial"/>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162" w:lineRule="exact"/>
        <w:rPr>
          <w:sz w:val="20"/>
          <w:szCs w:val="20"/>
          <w:color w:val="auto"/>
        </w:rPr>
      </w:pPr>
    </w:p>
    <w:p>
      <w:pPr>
        <w:ind w:right="100" w:firstLine="441"/>
        <w:spacing w:after="0" w:line="236" w:lineRule="auto"/>
        <w:rPr>
          <w:sz w:val="20"/>
          <w:szCs w:val="20"/>
          <w:color w:val="auto"/>
        </w:rPr>
      </w:pPr>
      <w:r>
        <w:rPr>
          <w:rFonts w:ascii="Arial" w:cs="Arial" w:eastAsia="Arial" w:hAnsi="Arial"/>
          <w:sz w:val="16"/>
          <w:szCs w:val="16"/>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67"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62" w:lineRule="exact"/>
        <w:rPr>
          <w:sz w:val="20"/>
          <w:szCs w:val="20"/>
          <w:color w:val="auto"/>
        </w:rPr>
      </w:pPr>
    </w:p>
    <w:p>
      <w:pPr>
        <w:ind w:right="480" w:firstLine="441"/>
        <w:spacing w:after="0" w:line="235"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3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8. Exhibits.</w:t>
            </w: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60" w:type="dxa"/>
            <w:vAlign w:val="bottom"/>
          </w:tcPr>
          <w:p>
            <w:pPr>
              <w:jc w:val="center"/>
              <w:spacing w:after="0" w:line="156" w:lineRule="exact"/>
              <w:rPr>
                <w:sz w:val="20"/>
                <w:szCs w:val="20"/>
                <w:color w:val="auto"/>
              </w:rPr>
            </w:pPr>
            <w:r>
              <w:rPr>
                <w:rFonts w:ascii="Arial" w:cs="Arial" w:eastAsia="Arial" w:hAnsi="Arial"/>
                <w:sz w:val="14"/>
                <w:szCs w:val="14"/>
                <w:color w:val="auto"/>
              </w:rPr>
              <w:t>4.1</w:t>
            </w:r>
            <w:r>
              <w:rPr>
                <w:rFonts w:ascii="Arial" w:cs="Arial" w:eastAsia="Arial" w:hAnsi="Arial"/>
                <w:sz w:val="18"/>
                <w:szCs w:val="18"/>
                <w:color w:val="auto"/>
                <w:vertAlign w:val="superscript"/>
              </w:rPr>
              <w:t>(1)</w:t>
            </w:r>
          </w:p>
        </w:tc>
        <w:tc>
          <w:tcPr>
            <w:tcW w:w="20" w:type="dxa"/>
            <w:vAlign w:val="bottom"/>
          </w:tcPr>
          <w:p>
            <w:pPr>
              <w:spacing w:after="0"/>
              <w:rPr>
                <w:sz w:val="14"/>
                <w:szCs w:val="14"/>
                <w:color w:val="auto"/>
              </w:rPr>
            </w:pPr>
          </w:p>
        </w:tc>
        <w:tc>
          <w:tcPr>
            <w:tcW w:w="7100" w:type="dxa"/>
            <w:vAlign w:val="bottom"/>
            <w:gridSpan w:val="6"/>
          </w:tcPr>
          <w:p>
            <w:pPr>
              <w:spacing w:after="0" w:line="149" w:lineRule="exact"/>
              <w:rPr>
                <w:rFonts w:ascii="Arial" w:cs="Arial" w:eastAsia="Arial" w:hAnsi="Arial"/>
                <w:sz w:val="17"/>
                <w:szCs w:val="17"/>
                <w:color w:val="0000FF"/>
              </w:rPr>
            </w:pPr>
            <w:hyperlink r:id="rId17">
              <w:r>
                <w:rPr>
                  <w:rFonts w:ascii="Arial" w:cs="Arial" w:eastAsia="Arial" w:hAnsi="Arial"/>
                  <w:sz w:val="17"/>
                  <w:szCs w:val="17"/>
                  <w:color w:val="0000FF"/>
                </w:rPr>
                <w:t>Form of Class A common stock certificate.</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2"/>
              </w:rPr>
              <w:t>4.2</w:t>
            </w:r>
            <w:r>
              <w:rPr>
                <w:rFonts w:ascii="Arial" w:cs="Arial" w:eastAsia="Arial" w:hAnsi="Arial"/>
                <w:sz w:val="23"/>
                <w:szCs w:val="23"/>
                <w:color w:val="auto"/>
                <w:w w:val="82"/>
                <w:vertAlign w:val="superscript"/>
              </w:rPr>
              <w:t>(2)</w:t>
            </w: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gridSpan w:val="6"/>
          </w:tcPr>
          <w:p>
            <w:pPr>
              <w:spacing w:after="0"/>
              <w:rPr>
                <w:rFonts w:ascii="Arial" w:cs="Arial" w:eastAsia="Arial" w:hAnsi="Arial"/>
                <w:sz w:val="18"/>
                <w:szCs w:val="18"/>
                <w:color w:val="0000FF"/>
              </w:rPr>
            </w:pPr>
            <w:hyperlink r:id="rId18">
              <w:r>
                <w:rPr>
                  <w:rFonts w:ascii="Arial" w:cs="Arial" w:eastAsia="Arial" w:hAnsi="Arial"/>
                  <w:sz w:val="18"/>
                  <w:szCs w:val="18"/>
                  <w:color w:val="0000FF"/>
                </w:rPr>
                <w:t>Dropbox, Inc. 2018 Equity Incentive Plan and related form agreements.</w:t>
              </w:r>
            </w:hyperlink>
          </w:p>
        </w:tc>
        <w:tc>
          <w:tcPr>
            <w:tcW w:w="0" w:type="dxa"/>
            <w:vAlign w:val="bottom"/>
          </w:tcPr>
          <w:p>
            <w:pPr>
              <w:spacing w:after="0"/>
              <w:rPr>
                <w:sz w:val="1"/>
                <w:szCs w:val="1"/>
                <w:color w:val="auto"/>
              </w:rPr>
            </w:pPr>
          </w:p>
        </w:tc>
      </w:tr>
      <w:tr>
        <w:trPr>
          <w:trHeight w:val="277"/>
        </w:trPr>
        <w:tc>
          <w:tcPr>
            <w:tcW w:w="146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20" w:type="dxa"/>
            <w:vAlign w:val="bottom"/>
          </w:tcPr>
          <w:p>
            <w:pPr>
              <w:spacing w:after="0"/>
              <w:rPr>
                <w:sz w:val="24"/>
                <w:szCs w:val="24"/>
                <w:color w:val="auto"/>
              </w:rPr>
            </w:pPr>
          </w:p>
        </w:tc>
        <w:tc>
          <w:tcPr>
            <w:tcW w:w="5160" w:type="dxa"/>
            <w:vAlign w:val="bottom"/>
            <w:tcBorders>
              <w:top w:val="single" w:sz="8" w:color="0000FF"/>
            </w:tcBorders>
            <w:gridSpan w:val="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Opinion of Wilson Sonsini Goodrich &amp; Rosati, P.C.</w:t>
              </w:r>
            </w:hyperlink>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0" w:type="dxa"/>
            <w:vAlign w:val="bottom"/>
          </w:tcPr>
          <w:p>
            <w:pPr>
              <w:spacing w:after="0"/>
              <w:rPr>
                <w:sz w:val="18"/>
                <w:szCs w:val="18"/>
                <w:color w:val="auto"/>
              </w:rPr>
            </w:pPr>
          </w:p>
        </w:tc>
        <w:tc>
          <w:tcPr>
            <w:tcW w:w="7100" w:type="dxa"/>
            <w:vAlign w:val="bottom"/>
            <w:gridSpan w:val="6"/>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6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20" w:type="dxa"/>
            <w:vAlign w:val="bottom"/>
          </w:tcPr>
          <w:p>
            <w:pPr>
              <w:spacing w:after="0"/>
              <w:rPr>
                <w:sz w:val="24"/>
                <w:szCs w:val="24"/>
                <w:color w:val="auto"/>
              </w:rPr>
            </w:pPr>
          </w:p>
        </w:tc>
        <w:tc>
          <w:tcPr>
            <w:tcW w:w="71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9">
              <w:r>
                <w:rPr>
                  <w:rFonts w:ascii="Arial" w:cs="Arial" w:eastAsia="Arial" w:hAnsi="Arial"/>
                  <w:sz w:val="18"/>
                  <w:szCs w:val="18"/>
                  <w:color w:val="0000FF"/>
                  <w:w w:val="92"/>
                </w:rPr>
                <w:t>Consent of Wilson Sonsini Goodrich &amp; Rosati, Professional Corporation (included in Exhibit 5.1).</w:t>
              </w:r>
            </w:hyperlink>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20" w:type="dxa"/>
            <w:vAlign w:val="bottom"/>
          </w:tcPr>
          <w:p>
            <w:pPr>
              <w:spacing w:after="0"/>
              <w:rPr>
                <w:sz w:val="18"/>
                <w:szCs w:val="18"/>
                <w:color w:val="auto"/>
              </w:rPr>
            </w:pPr>
          </w:p>
        </w:tc>
        <w:tc>
          <w:tcPr>
            <w:tcW w:w="7100" w:type="dxa"/>
            <w:vAlign w:val="bottom"/>
            <w:gridSpan w:val="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Power of Attorney (contained on signature page hereto).</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480" w:hanging="878"/>
        <w:spacing w:after="0"/>
        <w:tabs>
          <w:tab w:leader="none" w:pos="1480" w:val="left"/>
        </w:tabs>
        <w:numPr>
          <w:ilvl w:val="1"/>
          <w:numId w:val="3"/>
        </w:numPr>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Filing Fee Table.</w:t>
        </w:r>
      </w:hyperlink>
    </w:p>
    <w:p>
      <w:pPr>
        <w:spacing w:after="0" w:line="360" w:lineRule="exact"/>
        <w:rPr>
          <w:rFonts w:ascii="Arial" w:cs="Arial" w:eastAsia="Arial" w:hAnsi="Arial"/>
          <w:sz w:val="18"/>
          <w:szCs w:val="18"/>
          <w:u w:val="single" w:color="auto"/>
          <w:color w:val="0000FF"/>
        </w:rPr>
      </w:pPr>
    </w:p>
    <w:p>
      <w:pPr>
        <w:ind w:left="180" w:hanging="172"/>
        <w:spacing w:after="0" w:line="207" w:lineRule="auto"/>
        <w:tabs>
          <w:tab w:leader="none" w:pos="18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Incorporated by reference to Exhibit 4.1 filed with the Registrant’s Registration Statement on Form S-1/A (Registration No. 333-223182), filed with the Commission on March 12, 2018.</w:t>
      </w:r>
    </w:p>
    <w:p>
      <w:pPr>
        <w:ind w:left="180" w:hanging="172"/>
        <w:spacing w:after="0" w:line="213"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Incorporated by reference to Exhibit 10.2 filed with the Registrant’s Annual Report on Form 10-K, filed with the Commission on February 19, 2021.</w:t>
      </w:r>
    </w:p>
    <w:p>
      <w:pPr>
        <w:sectPr>
          <w:pgSz w:w="11900" w:h="16838" w:orient="portrait"/>
          <w:cols w:equalWidth="0" w:num="1">
            <w:col w:w="11120"/>
          </w:cols>
          <w:pgMar w:left="320" w:top="1296"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18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36" w:lineRule="exact"/>
        <w:rPr>
          <w:rFonts w:ascii="Arial" w:cs="Arial" w:eastAsia="Arial" w:hAnsi="Arial"/>
          <w:sz w:val="18"/>
          <w:szCs w:val="18"/>
          <w:color w:val="auto"/>
        </w:rPr>
      </w:pPr>
    </w:p>
    <w:p>
      <w:pPr>
        <w:ind w:left="1040" w:hanging="384"/>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49" w:lineRule="exact"/>
        <w:rPr>
          <w:rFonts w:ascii="Arial" w:cs="Arial" w:eastAsia="Arial" w:hAnsi="Arial"/>
          <w:sz w:val="18"/>
          <w:szCs w:val="18"/>
          <w:color w:val="auto"/>
        </w:rPr>
      </w:pPr>
    </w:p>
    <w:p>
      <w:pPr>
        <w:ind w:left="1660" w:hanging="356"/>
        <w:spacing w:after="0"/>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36" w:lineRule="exact"/>
        <w:rPr>
          <w:rFonts w:ascii="Arial" w:cs="Arial" w:eastAsia="Arial" w:hAnsi="Arial"/>
          <w:sz w:val="18"/>
          <w:szCs w:val="18"/>
          <w:color w:val="auto"/>
        </w:rPr>
      </w:pPr>
    </w:p>
    <w:p>
      <w:pPr>
        <w:ind w:left="1960" w:hanging="656"/>
        <w:spacing w:after="0" w:line="239" w:lineRule="auto"/>
        <w:tabs>
          <w:tab w:leader="none" w:pos="1708"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6" w:lineRule="exact"/>
        <w:rPr>
          <w:rFonts w:ascii="Arial" w:cs="Arial" w:eastAsia="Arial" w:hAnsi="Arial"/>
          <w:sz w:val="16"/>
          <w:szCs w:val="16"/>
          <w:color w:val="auto"/>
        </w:rPr>
      </w:pPr>
    </w:p>
    <w:p>
      <w:pPr>
        <w:ind w:left="1960" w:right="100" w:hanging="656"/>
        <w:spacing w:after="0" w:line="235" w:lineRule="auto"/>
        <w:tabs>
          <w:tab w:leader="none" w:pos="1758"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28" w:lineRule="exact"/>
        <w:rPr>
          <w:sz w:val="20"/>
          <w:szCs w:val="20"/>
          <w:color w:val="auto"/>
        </w:rPr>
      </w:pPr>
    </w:p>
    <w:p>
      <w:pPr>
        <w:ind w:left="1140" w:right="360" w:hanging="484"/>
        <w:spacing w:after="0" w:line="224" w:lineRule="auto"/>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 w:lineRule="exact"/>
        <w:rPr>
          <w:rFonts w:ascii="Arial" w:cs="Arial" w:eastAsia="Arial" w:hAnsi="Arial"/>
          <w:sz w:val="18"/>
          <w:szCs w:val="18"/>
          <w:color w:val="auto"/>
        </w:rPr>
      </w:pPr>
    </w:p>
    <w:p>
      <w:pPr>
        <w:ind w:left="1140" w:right="200" w:hanging="484"/>
        <w:spacing w:after="0" w:line="235" w:lineRule="auto"/>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161" w:lineRule="exact"/>
        <w:rPr>
          <w:rFonts w:ascii="Arial" w:cs="Arial" w:eastAsia="Arial" w:hAnsi="Arial"/>
          <w:sz w:val="18"/>
          <w:szCs w:val="18"/>
          <w:color w:val="auto"/>
        </w:rPr>
      </w:pPr>
    </w:p>
    <w:p>
      <w:pPr>
        <w:ind w:left="660" w:hanging="652"/>
        <w:spacing w:after="0" w:line="216" w:lineRule="auto"/>
        <w:tabs>
          <w:tab w:leader="none" w:pos="3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Arial" w:cs="Arial" w:eastAsia="Arial" w:hAnsi="Arial"/>
          <w:sz w:val="18"/>
          <w:szCs w:val="18"/>
          <w:color w:val="auto"/>
        </w:rPr>
      </w:pPr>
    </w:p>
    <w:p>
      <w:pPr>
        <w:ind w:left="660" w:right="20" w:hanging="652"/>
        <w:spacing w:after="0" w:line="223" w:lineRule="auto"/>
        <w:tabs>
          <w:tab w:leader="none" w:pos="357"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80"/>
          </w:cols>
          <w:pgMar w:left="320" w:top="1296" w:right="399" w:bottom="1440" w:gutter="0" w:footer="0" w:header="0"/>
        </w:sectPr>
      </w:pPr>
    </w:p>
    <w:bookmarkStart w:id="5" w:name="page6"/>
    <w:bookmarkEnd w:id="5"/>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0" w:firstLine="648"/>
        <w:spacing w:after="0" w:line="250"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18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February, 2022.</w:t>
      </w:r>
    </w:p>
    <w:p>
      <w:pPr>
        <w:spacing w:after="0" w:line="6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DROPBOX, INC.</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-8890</wp:posOffset>
            </wp:positionV>
            <wp:extent cx="106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2355" cy="8890"/>
                    </a:xfrm>
                    <a:prstGeom prst="rect">
                      <a:avLst/>
                    </a:prstGeom>
                    <a:noFill/>
                  </pic:spPr>
                </pic:pic>
              </a:graphicData>
            </a:graphic>
          </wp:anchor>
        </w:drawing>
      </w:r>
    </w:p>
    <w:p>
      <w:pPr>
        <w:ind w:left="4720"/>
        <w:spacing w:after="0" w:line="219" w:lineRule="auto"/>
        <w:rPr>
          <w:sz w:val="20"/>
          <w:szCs w:val="20"/>
          <w:color w:val="auto"/>
        </w:rPr>
      </w:pPr>
      <w:r>
        <w:rPr>
          <w:rFonts w:ascii="Arial" w:cs="Arial" w:eastAsia="Arial" w:hAnsi="Arial"/>
          <w:sz w:val="18"/>
          <w:szCs w:val="18"/>
          <w:color w:val="auto"/>
        </w:rPr>
        <w:t>Timothy J. Regan</w:t>
      </w:r>
    </w:p>
    <w:p>
      <w:pPr>
        <w:ind w:left="472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Timothy J. Regan,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on</w:t>
      </w:r>
    </w:p>
    <w:p>
      <w:pPr>
        <w:spacing w:after="0"/>
        <w:rPr>
          <w:sz w:val="20"/>
          <w:szCs w:val="20"/>
          <w:color w:val="auto"/>
        </w:rPr>
      </w:pPr>
      <w:r>
        <w:rPr>
          <w:rFonts w:ascii="Arial" w:cs="Arial" w:eastAsia="Arial" w:hAnsi="Arial"/>
          <w:sz w:val="18"/>
          <w:szCs w:val="18"/>
          <w:color w:val="auto"/>
        </w:rPr>
        <w:t>Form S-8 has been signed by the following persons in the capacities and on the dates indicated:</w:t>
      </w:r>
    </w:p>
    <w:p>
      <w:pPr>
        <w:spacing w:after="0" w:line="20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040" w:type="dxa"/>
            <w:vAlign w:val="bottom"/>
            <w:gridSpan w:val="16"/>
          </w:tcPr>
          <w:p>
            <w:pPr>
              <w:spacing w:after="0"/>
              <w:rPr>
                <w:sz w:val="20"/>
                <w:szCs w:val="20"/>
                <w:color w:val="auto"/>
              </w:rPr>
            </w:pPr>
            <w:r>
              <w:rPr>
                <w:rFonts w:ascii="Arial" w:cs="Arial" w:eastAsia="Arial" w:hAnsi="Arial"/>
                <w:sz w:val="18"/>
                <w:szCs w:val="18"/>
                <w:b w:val="1"/>
                <w:bCs w:val="1"/>
                <w:color w:val="auto"/>
              </w:rPr>
              <w:t>Signature</w:t>
            </w:r>
          </w:p>
        </w:tc>
        <w:tc>
          <w:tcPr>
            <w:tcW w:w="6120" w:type="dxa"/>
            <w:vAlign w:val="bottom"/>
            <w:gridSpan w:val="3"/>
          </w:tcPr>
          <w:p>
            <w:pPr>
              <w:ind w:left="2280"/>
              <w:spacing w:after="0"/>
              <w:rPr>
                <w:sz w:val="20"/>
                <w:szCs w:val="20"/>
                <w:color w:val="auto"/>
              </w:rPr>
            </w:pPr>
            <w:r>
              <w:rPr>
                <w:rFonts w:ascii="Arial" w:cs="Arial" w:eastAsia="Arial" w:hAnsi="Arial"/>
                <w:sz w:val="18"/>
                <w:szCs w:val="18"/>
                <w:b w:val="1"/>
                <w:bCs w:val="1"/>
                <w:color w:val="auto"/>
              </w:rPr>
              <w:t>Title</w:t>
            </w:r>
          </w:p>
        </w:tc>
        <w:tc>
          <w:tcPr>
            <w:tcW w:w="2140" w:type="dxa"/>
            <w:vAlign w:val="bottom"/>
            <w:gridSpan w:val="3"/>
          </w:tcPr>
          <w:p>
            <w:pPr>
              <w:ind w:left="1220"/>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68"/>
        </w:trPr>
        <w:tc>
          <w:tcPr>
            <w:tcW w:w="204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rPr>
              <w:t>/s/ Andrew W. Houston</w:t>
            </w:r>
          </w:p>
        </w:tc>
        <w:tc>
          <w:tcPr>
            <w:tcW w:w="6120" w:type="dxa"/>
            <w:vAlign w:val="bottom"/>
            <w:gridSpan w:val="3"/>
          </w:tcPr>
          <w:p>
            <w:pPr>
              <w:ind w:left="2280"/>
              <w:spacing w:after="0"/>
              <w:rPr>
                <w:sz w:val="20"/>
                <w:szCs w:val="20"/>
                <w:color w:val="auto"/>
              </w:rPr>
            </w:pPr>
            <w:r>
              <w:rPr>
                <w:rFonts w:ascii="Arial" w:cs="Arial" w:eastAsia="Arial" w:hAnsi="Arial"/>
                <w:sz w:val="18"/>
                <w:szCs w:val="18"/>
                <w:color w:val="auto"/>
              </w:rPr>
              <w:t>Chief Executive Officer and Chairman</w:t>
            </w:r>
          </w:p>
        </w:tc>
        <w:tc>
          <w:tcPr>
            <w:tcW w:w="2140" w:type="dxa"/>
            <w:vAlign w:val="bottom"/>
            <w:gridSpan w:val="3"/>
          </w:tcPr>
          <w:p>
            <w:pPr>
              <w:ind w:left="1220"/>
              <w:spacing w:after="0"/>
              <w:rPr>
                <w:sz w:val="20"/>
                <w:szCs w:val="20"/>
                <w:color w:val="auto"/>
              </w:rPr>
            </w:pPr>
            <w:r>
              <w:rPr>
                <w:rFonts w:ascii="Arial" w:cs="Arial" w:eastAsia="Arial" w:hAnsi="Arial"/>
                <w:sz w:val="18"/>
                <w:szCs w:val="18"/>
                <w:color w:val="auto"/>
                <w:w w:val="88"/>
              </w:rPr>
              <w:t>February 18,</w:t>
            </w:r>
          </w:p>
        </w:tc>
      </w:tr>
      <w:tr>
        <w:trPr>
          <w:trHeight w:val="156"/>
        </w:trPr>
        <w:tc>
          <w:tcPr>
            <w:tcW w:w="1480" w:type="dxa"/>
            <w:vAlign w:val="bottom"/>
            <w:tcBorders>
              <w:bottom w:val="single" w:sz="8" w:color="auto"/>
            </w:tcBorders>
            <w:gridSpan w:val="8"/>
          </w:tcPr>
          <w:p>
            <w:pPr>
              <w:spacing w:after="0" w:line="156" w:lineRule="exact"/>
              <w:rPr>
                <w:sz w:val="20"/>
                <w:szCs w:val="20"/>
                <w:color w:val="auto"/>
              </w:rPr>
            </w:pPr>
            <w:r>
              <w:rPr>
                <w:rFonts w:ascii="Arial" w:cs="Arial" w:eastAsia="Arial" w:hAnsi="Arial"/>
                <w:sz w:val="18"/>
                <w:szCs w:val="18"/>
                <w:color w:val="auto"/>
                <w:w w:val="91"/>
              </w:rPr>
              <w:t>Andrew W. Houston</w:t>
            </w:r>
          </w:p>
        </w:tc>
        <w:tc>
          <w:tcPr>
            <w:tcW w:w="560" w:type="dxa"/>
            <w:vAlign w:val="bottom"/>
            <w:gridSpan w:val="8"/>
          </w:tcPr>
          <w:p>
            <w:pPr>
              <w:spacing w:after="0"/>
              <w:rPr>
                <w:sz w:val="13"/>
                <w:szCs w:val="13"/>
                <w:color w:val="auto"/>
              </w:rPr>
            </w:pPr>
          </w:p>
        </w:tc>
        <w:tc>
          <w:tcPr>
            <w:tcW w:w="6120" w:type="dxa"/>
            <w:vAlign w:val="bottom"/>
            <w:gridSpan w:val="3"/>
          </w:tcPr>
          <w:p>
            <w:pPr>
              <w:ind w:left="2280"/>
              <w:spacing w:after="0" w:line="156" w:lineRule="exact"/>
              <w:rPr>
                <w:sz w:val="20"/>
                <w:szCs w:val="20"/>
                <w:color w:val="auto"/>
              </w:rPr>
            </w:pPr>
            <w:r>
              <w:rPr>
                <w:rFonts w:ascii="Arial" w:cs="Arial" w:eastAsia="Arial" w:hAnsi="Arial"/>
                <w:sz w:val="18"/>
                <w:szCs w:val="18"/>
                <w:i w:val="1"/>
                <w:iCs w:val="1"/>
                <w:color w:val="auto"/>
              </w:rPr>
              <w:t>(Principal Executive Officer)</w:t>
            </w:r>
          </w:p>
        </w:tc>
        <w:tc>
          <w:tcPr>
            <w:tcW w:w="1220" w:type="dxa"/>
            <w:vAlign w:val="bottom"/>
          </w:tcPr>
          <w:p>
            <w:pPr>
              <w:ind w:left="560"/>
              <w:spacing w:after="0" w:line="156"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466"/>
        </w:trPr>
        <w:tc>
          <w:tcPr>
            <w:tcW w:w="2040" w:type="dxa"/>
            <w:vAlign w:val="bottom"/>
            <w:gridSpan w:val="16"/>
          </w:tcPr>
          <w:p>
            <w:pPr>
              <w:spacing w:after="0"/>
              <w:rPr>
                <w:sz w:val="20"/>
                <w:szCs w:val="20"/>
                <w:color w:val="auto"/>
              </w:rPr>
            </w:pPr>
            <w:r>
              <w:rPr>
                <w:rFonts w:ascii="Arial" w:cs="Arial" w:eastAsia="Arial" w:hAnsi="Arial"/>
                <w:sz w:val="18"/>
                <w:szCs w:val="18"/>
                <w:color w:val="auto"/>
              </w:rPr>
              <w:t>/s/ Timothy J. Regan</w:t>
            </w:r>
          </w:p>
        </w:tc>
        <w:tc>
          <w:tcPr>
            <w:tcW w:w="6120" w:type="dxa"/>
            <w:vAlign w:val="bottom"/>
            <w:gridSpan w:val="3"/>
          </w:tcPr>
          <w:p>
            <w:pPr>
              <w:ind w:left="2280"/>
              <w:spacing w:after="0"/>
              <w:rPr>
                <w:sz w:val="20"/>
                <w:szCs w:val="20"/>
                <w:color w:val="auto"/>
              </w:rPr>
            </w:pPr>
            <w:r>
              <w:rPr>
                <w:rFonts w:ascii="Arial" w:cs="Arial" w:eastAsia="Arial" w:hAnsi="Arial"/>
                <w:sz w:val="18"/>
                <w:szCs w:val="18"/>
                <w:color w:val="auto"/>
              </w:rPr>
              <w:t>Chief Financial Officer</w:t>
            </w:r>
          </w:p>
        </w:tc>
        <w:tc>
          <w:tcPr>
            <w:tcW w:w="2140" w:type="dxa"/>
            <w:vAlign w:val="bottom"/>
            <w:gridSpan w:val="3"/>
          </w:tcPr>
          <w:p>
            <w:pPr>
              <w:ind w:left="1220"/>
              <w:spacing w:after="0"/>
              <w:rPr>
                <w:sz w:val="20"/>
                <w:szCs w:val="20"/>
                <w:color w:val="auto"/>
              </w:rPr>
            </w:pPr>
            <w:r>
              <w:rPr>
                <w:rFonts w:ascii="Arial" w:cs="Arial" w:eastAsia="Arial" w:hAnsi="Arial"/>
                <w:sz w:val="18"/>
                <w:szCs w:val="18"/>
                <w:color w:val="auto"/>
                <w:w w:val="88"/>
              </w:rPr>
              <w:t>February 18,</w:t>
            </w:r>
          </w:p>
        </w:tc>
      </w:tr>
      <w:tr>
        <w:trPr>
          <w:trHeight w:val="156"/>
        </w:trPr>
        <w:tc>
          <w:tcPr>
            <w:tcW w:w="1280" w:type="dxa"/>
            <w:vAlign w:val="bottom"/>
            <w:tcBorders>
              <w:top w:val="single" w:sz="8" w:color="auto"/>
              <w:bottom w:val="single" w:sz="8" w:color="auto"/>
            </w:tcBorders>
            <w:gridSpan w:val="7"/>
          </w:tcPr>
          <w:p>
            <w:pPr>
              <w:spacing w:after="0" w:line="156" w:lineRule="exact"/>
              <w:rPr>
                <w:sz w:val="20"/>
                <w:szCs w:val="20"/>
                <w:color w:val="auto"/>
              </w:rPr>
            </w:pPr>
            <w:r>
              <w:rPr>
                <w:rFonts w:ascii="Arial" w:cs="Arial" w:eastAsia="Arial" w:hAnsi="Arial"/>
                <w:sz w:val="18"/>
                <w:szCs w:val="18"/>
                <w:color w:val="auto"/>
                <w:w w:val="89"/>
              </w:rPr>
              <w:t>Timothy J. Regan</w:t>
            </w:r>
          </w:p>
        </w:tc>
        <w:tc>
          <w:tcPr>
            <w:tcW w:w="580" w:type="dxa"/>
            <w:vAlign w:val="bottom"/>
            <w:tcBorders>
              <w:top w:val="single" w:sz="8" w:color="auto"/>
            </w:tcBorders>
            <w:gridSpan w:val="8"/>
          </w:tcPr>
          <w:p>
            <w:pPr>
              <w:spacing w:after="0"/>
              <w:rPr>
                <w:sz w:val="13"/>
                <w:szCs w:val="13"/>
                <w:color w:val="auto"/>
              </w:rPr>
            </w:pPr>
          </w:p>
        </w:tc>
        <w:tc>
          <w:tcPr>
            <w:tcW w:w="180" w:type="dxa"/>
            <w:vAlign w:val="bottom"/>
          </w:tcPr>
          <w:p>
            <w:pPr>
              <w:spacing w:after="0"/>
              <w:rPr>
                <w:sz w:val="13"/>
                <w:szCs w:val="13"/>
                <w:color w:val="auto"/>
              </w:rPr>
            </w:pPr>
          </w:p>
        </w:tc>
        <w:tc>
          <w:tcPr>
            <w:tcW w:w="6120" w:type="dxa"/>
            <w:vAlign w:val="bottom"/>
            <w:gridSpan w:val="3"/>
          </w:tcPr>
          <w:p>
            <w:pPr>
              <w:ind w:left="2280"/>
              <w:spacing w:after="0" w:line="156" w:lineRule="exact"/>
              <w:rPr>
                <w:sz w:val="20"/>
                <w:szCs w:val="20"/>
                <w:color w:val="auto"/>
              </w:rPr>
            </w:pPr>
            <w:r>
              <w:rPr>
                <w:rFonts w:ascii="Arial" w:cs="Arial" w:eastAsia="Arial" w:hAnsi="Arial"/>
                <w:sz w:val="18"/>
                <w:szCs w:val="18"/>
                <w:i w:val="1"/>
                <w:iCs w:val="1"/>
                <w:color w:val="auto"/>
              </w:rPr>
              <w:t>(Principal Accounting and Financial Officer)</w:t>
            </w:r>
          </w:p>
        </w:tc>
        <w:tc>
          <w:tcPr>
            <w:tcW w:w="1220" w:type="dxa"/>
            <w:vAlign w:val="bottom"/>
          </w:tcPr>
          <w:p>
            <w:pPr>
              <w:ind w:left="560"/>
              <w:spacing w:after="0" w:line="156"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466"/>
        </w:trPr>
        <w:tc>
          <w:tcPr>
            <w:tcW w:w="2040" w:type="dxa"/>
            <w:vAlign w:val="bottom"/>
            <w:gridSpan w:val="16"/>
          </w:tcPr>
          <w:p>
            <w:pPr>
              <w:spacing w:after="0"/>
              <w:rPr>
                <w:sz w:val="20"/>
                <w:szCs w:val="20"/>
                <w:color w:val="auto"/>
              </w:rPr>
            </w:pPr>
            <w:r>
              <w:rPr>
                <w:rFonts w:ascii="Arial" w:cs="Arial" w:eastAsia="Arial" w:hAnsi="Arial"/>
                <w:sz w:val="18"/>
                <w:szCs w:val="18"/>
                <w:color w:val="auto"/>
              </w:rPr>
              <w:t>/s/ Donald W. Blair</w:t>
            </w:r>
          </w:p>
        </w:tc>
        <w:tc>
          <w:tcPr>
            <w:tcW w:w="612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1220"/>
              <w:spacing w:after="0"/>
              <w:rPr>
                <w:sz w:val="20"/>
                <w:szCs w:val="20"/>
                <w:color w:val="auto"/>
              </w:rPr>
            </w:pPr>
            <w:r>
              <w:rPr>
                <w:rFonts w:ascii="Arial" w:cs="Arial" w:eastAsia="Arial" w:hAnsi="Arial"/>
                <w:sz w:val="18"/>
                <w:szCs w:val="18"/>
                <w:color w:val="auto"/>
                <w:w w:val="88"/>
              </w:rPr>
              <w:t>February 18,</w:t>
            </w:r>
          </w:p>
        </w:tc>
      </w:tr>
      <w:tr>
        <w:trPr>
          <w:trHeight w:val="155"/>
        </w:trPr>
        <w:tc>
          <w:tcPr>
            <w:tcW w:w="1180" w:type="dxa"/>
            <w:vAlign w:val="bottom"/>
            <w:tcBorders>
              <w:top w:val="single" w:sz="8" w:color="auto"/>
              <w:bottom w:val="single" w:sz="8" w:color="auto"/>
            </w:tcBorders>
            <w:gridSpan w:val="6"/>
          </w:tcPr>
          <w:p>
            <w:pPr>
              <w:spacing w:after="0" w:line="156" w:lineRule="exact"/>
              <w:rPr>
                <w:sz w:val="20"/>
                <w:szCs w:val="20"/>
                <w:color w:val="auto"/>
              </w:rPr>
            </w:pPr>
            <w:r>
              <w:rPr>
                <w:rFonts w:ascii="Arial" w:cs="Arial" w:eastAsia="Arial" w:hAnsi="Arial"/>
                <w:sz w:val="18"/>
                <w:szCs w:val="18"/>
                <w:color w:val="auto"/>
                <w:w w:val="92"/>
              </w:rPr>
              <w:t>Donald W. Blair</w:t>
            </w:r>
          </w:p>
        </w:tc>
        <w:tc>
          <w:tcPr>
            <w:tcW w:w="560" w:type="dxa"/>
            <w:vAlign w:val="bottom"/>
            <w:tcBorders>
              <w:top w:val="single" w:sz="8" w:color="auto"/>
            </w:tcBorders>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20" w:type="dxa"/>
            <w:vAlign w:val="bottom"/>
          </w:tcPr>
          <w:p>
            <w:pPr>
              <w:ind w:left="560"/>
              <w:spacing w:after="0" w:line="156"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466"/>
        </w:trPr>
        <w:tc>
          <w:tcPr>
            <w:tcW w:w="2040" w:type="dxa"/>
            <w:vAlign w:val="bottom"/>
            <w:gridSpan w:val="16"/>
          </w:tcPr>
          <w:p>
            <w:pPr>
              <w:spacing w:after="0"/>
              <w:rPr>
                <w:sz w:val="20"/>
                <w:szCs w:val="20"/>
                <w:color w:val="auto"/>
              </w:rPr>
            </w:pPr>
            <w:r>
              <w:rPr>
                <w:rFonts w:ascii="Arial" w:cs="Arial" w:eastAsia="Arial" w:hAnsi="Arial"/>
                <w:sz w:val="18"/>
                <w:szCs w:val="18"/>
                <w:color w:val="auto"/>
              </w:rPr>
              <w:t>/s/ Lisa Campbell</w:t>
            </w:r>
          </w:p>
        </w:tc>
        <w:tc>
          <w:tcPr>
            <w:tcW w:w="612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1220"/>
              <w:spacing w:after="0"/>
              <w:rPr>
                <w:sz w:val="20"/>
                <w:szCs w:val="20"/>
                <w:color w:val="auto"/>
              </w:rPr>
            </w:pPr>
            <w:r>
              <w:rPr>
                <w:rFonts w:ascii="Arial" w:cs="Arial" w:eastAsia="Arial" w:hAnsi="Arial"/>
                <w:sz w:val="18"/>
                <w:szCs w:val="18"/>
                <w:color w:val="auto"/>
                <w:w w:val="88"/>
              </w:rPr>
              <w:t>February 18,</w:t>
            </w:r>
          </w:p>
        </w:tc>
      </w:tr>
      <w:tr>
        <w:trPr>
          <w:trHeight w:val="156"/>
        </w:trPr>
        <w:tc>
          <w:tcPr>
            <w:tcW w:w="1060" w:type="dxa"/>
            <w:vAlign w:val="bottom"/>
            <w:tcBorders>
              <w:top w:val="single" w:sz="8" w:color="auto"/>
              <w:bottom w:val="single" w:sz="8" w:color="auto"/>
            </w:tcBorders>
            <w:gridSpan w:val="4"/>
          </w:tcPr>
          <w:p>
            <w:pPr>
              <w:spacing w:after="0" w:line="156" w:lineRule="exact"/>
              <w:rPr>
                <w:sz w:val="20"/>
                <w:szCs w:val="20"/>
                <w:color w:val="auto"/>
              </w:rPr>
            </w:pPr>
            <w:r>
              <w:rPr>
                <w:rFonts w:ascii="Arial" w:cs="Arial" w:eastAsia="Arial" w:hAnsi="Arial"/>
                <w:sz w:val="18"/>
                <w:szCs w:val="18"/>
                <w:color w:val="auto"/>
                <w:w w:val="91"/>
              </w:rPr>
              <w:t>Lisa Campbell</w:t>
            </w:r>
          </w:p>
        </w:tc>
        <w:tc>
          <w:tcPr>
            <w:tcW w:w="780" w:type="dxa"/>
            <w:vAlign w:val="bottom"/>
            <w:tcBorders>
              <w:top w:val="single" w:sz="8" w:color="auto"/>
            </w:tcBorders>
            <w:gridSpan w:val="10"/>
          </w:tcPr>
          <w:p>
            <w:pPr>
              <w:spacing w:after="0"/>
              <w:rPr>
                <w:sz w:val="13"/>
                <w:szCs w:val="13"/>
                <w:color w:val="auto"/>
              </w:rPr>
            </w:pPr>
          </w:p>
        </w:tc>
        <w:tc>
          <w:tcPr>
            <w:tcW w:w="200" w:type="dxa"/>
            <w:vAlign w:val="bottom"/>
            <w:gridSpan w:val="2"/>
          </w:tcPr>
          <w:p>
            <w:pPr>
              <w:spacing w:after="0"/>
              <w:rPr>
                <w:sz w:val="13"/>
                <w:szCs w:val="13"/>
                <w:color w:val="auto"/>
              </w:rPr>
            </w:pP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20" w:type="dxa"/>
            <w:vAlign w:val="bottom"/>
          </w:tcPr>
          <w:p>
            <w:pPr>
              <w:ind w:left="560"/>
              <w:spacing w:after="0" w:line="156"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479"/>
        </w:trPr>
        <w:tc>
          <w:tcPr>
            <w:tcW w:w="2040" w:type="dxa"/>
            <w:vAlign w:val="bottom"/>
            <w:gridSpan w:val="16"/>
          </w:tcPr>
          <w:p>
            <w:pPr>
              <w:spacing w:after="0"/>
              <w:rPr>
                <w:sz w:val="20"/>
                <w:szCs w:val="20"/>
                <w:color w:val="auto"/>
              </w:rPr>
            </w:pPr>
            <w:r>
              <w:rPr>
                <w:rFonts w:ascii="Arial" w:cs="Arial" w:eastAsia="Arial" w:hAnsi="Arial"/>
                <w:sz w:val="18"/>
                <w:szCs w:val="18"/>
                <w:color w:val="auto"/>
              </w:rPr>
              <w:t>/s/ Paul E. Jacobs</w:t>
            </w:r>
          </w:p>
        </w:tc>
        <w:tc>
          <w:tcPr>
            <w:tcW w:w="612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1220"/>
              <w:spacing w:after="0"/>
              <w:rPr>
                <w:sz w:val="20"/>
                <w:szCs w:val="20"/>
                <w:color w:val="auto"/>
              </w:rPr>
            </w:pPr>
            <w:r>
              <w:rPr>
                <w:rFonts w:ascii="Arial" w:cs="Arial" w:eastAsia="Arial" w:hAnsi="Arial"/>
                <w:sz w:val="18"/>
                <w:szCs w:val="18"/>
                <w:color w:val="auto"/>
                <w:w w:val="88"/>
              </w:rPr>
              <w:t>February 18,</w:t>
            </w:r>
          </w:p>
        </w:tc>
      </w:tr>
      <w:tr>
        <w:trPr>
          <w:trHeight w:val="156"/>
        </w:trPr>
        <w:tc>
          <w:tcPr>
            <w:tcW w:w="1040" w:type="dxa"/>
            <w:vAlign w:val="bottom"/>
            <w:tcBorders>
              <w:top w:val="single" w:sz="8" w:color="auto"/>
              <w:bottom w:val="single" w:sz="8" w:color="auto"/>
            </w:tcBorders>
            <w:gridSpan w:val="3"/>
          </w:tcPr>
          <w:p>
            <w:pPr>
              <w:spacing w:after="0" w:line="156" w:lineRule="exact"/>
              <w:rPr>
                <w:sz w:val="20"/>
                <w:szCs w:val="20"/>
                <w:color w:val="auto"/>
              </w:rPr>
            </w:pPr>
            <w:r>
              <w:rPr>
                <w:rFonts w:ascii="Arial" w:cs="Arial" w:eastAsia="Arial" w:hAnsi="Arial"/>
                <w:sz w:val="18"/>
                <w:szCs w:val="18"/>
                <w:color w:val="auto"/>
                <w:w w:val="84"/>
              </w:rPr>
              <w:t>Paul E. Jacobs</w:t>
            </w:r>
          </w:p>
        </w:tc>
        <w:tc>
          <w:tcPr>
            <w:tcW w:w="780" w:type="dxa"/>
            <w:vAlign w:val="bottom"/>
            <w:tcBorders>
              <w:top w:val="single" w:sz="8" w:color="auto"/>
            </w:tcBorders>
            <w:gridSpan w:val="10"/>
          </w:tcPr>
          <w:p>
            <w:pPr>
              <w:spacing w:after="0"/>
              <w:rPr>
                <w:sz w:val="13"/>
                <w:szCs w:val="13"/>
                <w:color w:val="auto"/>
              </w:rPr>
            </w:pPr>
          </w:p>
        </w:tc>
        <w:tc>
          <w:tcPr>
            <w:tcW w:w="220" w:type="dxa"/>
            <w:vAlign w:val="bottom"/>
            <w:gridSpan w:val="3"/>
          </w:tcPr>
          <w:p>
            <w:pPr>
              <w:spacing w:after="0"/>
              <w:rPr>
                <w:sz w:val="13"/>
                <w:szCs w:val="13"/>
                <w:color w:val="auto"/>
              </w:rPr>
            </w:pP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20" w:type="dxa"/>
            <w:vAlign w:val="bottom"/>
          </w:tcPr>
          <w:p>
            <w:pPr>
              <w:ind w:left="560"/>
              <w:spacing w:after="0" w:line="156"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466"/>
        </w:trPr>
        <w:tc>
          <w:tcPr>
            <w:tcW w:w="2040" w:type="dxa"/>
            <w:vAlign w:val="bottom"/>
            <w:gridSpan w:val="16"/>
          </w:tcPr>
          <w:p>
            <w:pPr>
              <w:spacing w:after="0"/>
              <w:rPr>
                <w:sz w:val="20"/>
                <w:szCs w:val="20"/>
                <w:color w:val="auto"/>
              </w:rPr>
            </w:pPr>
            <w:r>
              <w:rPr>
                <w:rFonts w:ascii="Arial" w:cs="Arial" w:eastAsia="Arial" w:hAnsi="Arial"/>
                <w:sz w:val="18"/>
                <w:szCs w:val="18"/>
                <w:color w:val="auto"/>
              </w:rPr>
              <w:t>/s/ Sara Mathew</w:t>
            </w:r>
          </w:p>
        </w:tc>
        <w:tc>
          <w:tcPr>
            <w:tcW w:w="612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1220"/>
              <w:spacing w:after="0"/>
              <w:rPr>
                <w:sz w:val="20"/>
                <w:szCs w:val="20"/>
                <w:color w:val="auto"/>
              </w:rPr>
            </w:pPr>
            <w:r>
              <w:rPr>
                <w:rFonts w:ascii="Arial" w:cs="Arial" w:eastAsia="Arial" w:hAnsi="Arial"/>
                <w:sz w:val="18"/>
                <w:szCs w:val="18"/>
                <w:color w:val="auto"/>
                <w:w w:val="88"/>
              </w:rPr>
              <w:t>February 18,</w:t>
            </w:r>
          </w:p>
        </w:tc>
      </w:tr>
      <w:tr>
        <w:trPr>
          <w:trHeight w:val="155"/>
        </w:trPr>
        <w:tc>
          <w:tcPr>
            <w:tcW w:w="1800" w:type="dxa"/>
            <w:vAlign w:val="bottom"/>
            <w:tcBorders>
              <w:top w:val="single" w:sz="8" w:color="auto"/>
            </w:tcBorders>
            <w:gridSpan w:val="12"/>
          </w:tcPr>
          <w:p>
            <w:pPr>
              <w:spacing w:after="0" w:line="156" w:lineRule="exact"/>
              <w:rPr>
                <w:sz w:val="20"/>
                <w:szCs w:val="20"/>
                <w:color w:val="auto"/>
              </w:rPr>
            </w:pPr>
            <w:r>
              <w:rPr>
                <w:rFonts w:ascii="Arial" w:cs="Arial" w:eastAsia="Arial" w:hAnsi="Arial"/>
                <w:sz w:val="18"/>
                <w:szCs w:val="18"/>
                <w:color w:val="auto"/>
              </w:rPr>
              <w:t>Sara Mathew</w:t>
            </w:r>
          </w:p>
        </w:tc>
        <w:tc>
          <w:tcPr>
            <w:tcW w:w="240" w:type="dxa"/>
            <w:vAlign w:val="bottom"/>
            <w:gridSpan w:val="4"/>
          </w:tcPr>
          <w:p>
            <w:pPr>
              <w:spacing w:after="0"/>
              <w:rPr>
                <w:sz w:val="13"/>
                <w:szCs w:val="13"/>
                <w:color w:val="auto"/>
              </w:rPr>
            </w:pP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20" w:type="dxa"/>
            <w:vAlign w:val="bottom"/>
          </w:tcPr>
          <w:p>
            <w:pPr>
              <w:ind w:left="560"/>
              <w:spacing w:after="0" w:line="156"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940" w:type="dxa"/>
            <w:vAlign w:val="bottom"/>
            <w:gridSpan w:val="2"/>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466"/>
        </w:trPr>
        <w:tc>
          <w:tcPr>
            <w:tcW w:w="2040" w:type="dxa"/>
            <w:vAlign w:val="bottom"/>
            <w:gridSpan w:val="16"/>
          </w:tcPr>
          <w:p>
            <w:pPr>
              <w:spacing w:after="0"/>
              <w:rPr>
                <w:sz w:val="20"/>
                <w:szCs w:val="20"/>
                <w:color w:val="auto"/>
              </w:rPr>
            </w:pPr>
            <w:r>
              <w:rPr>
                <w:rFonts w:ascii="Arial" w:cs="Arial" w:eastAsia="Arial" w:hAnsi="Arial"/>
                <w:sz w:val="18"/>
                <w:szCs w:val="18"/>
                <w:color w:val="auto"/>
              </w:rPr>
              <w:t>/s/ Karen Peacock</w:t>
            </w:r>
          </w:p>
        </w:tc>
        <w:tc>
          <w:tcPr>
            <w:tcW w:w="612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1220"/>
              <w:spacing w:after="0"/>
              <w:rPr>
                <w:sz w:val="20"/>
                <w:szCs w:val="20"/>
                <w:color w:val="auto"/>
              </w:rPr>
            </w:pPr>
            <w:r>
              <w:rPr>
                <w:rFonts w:ascii="Arial" w:cs="Arial" w:eastAsia="Arial" w:hAnsi="Arial"/>
                <w:sz w:val="18"/>
                <w:szCs w:val="18"/>
                <w:color w:val="auto"/>
                <w:w w:val="88"/>
              </w:rPr>
              <w:t>February 18,</w:t>
            </w:r>
          </w:p>
        </w:tc>
      </w:tr>
      <w:tr>
        <w:trPr>
          <w:trHeight w:val="155"/>
        </w:trPr>
        <w:tc>
          <w:tcPr>
            <w:tcW w:w="1080" w:type="dxa"/>
            <w:vAlign w:val="bottom"/>
            <w:tcBorders>
              <w:top w:val="single" w:sz="8" w:color="auto"/>
              <w:bottom w:val="single" w:sz="8" w:color="auto"/>
            </w:tcBorders>
            <w:gridSpan w:val="5"/>
          </w:tcPr>
          <w:p>
            <w:pPr>
              <w:spacing w:after="0" w:line="156" w:lineRule="exact"/>
              <w:rPr>
                <w:sz w:val="20"/>
                <w:szCs w:val="20"/>
                <w:color w:val="auto"/>
              </w:rPr>
            </w:pPr>
            <w:r>
              <w:rPr>
                <w:rFonts w:ascii="Arial" w:cs="Arial" w:eastAsia="Arial" w:hAnsi="Arial"/>
                <w:sz w:val="18"/>
                <w:szCs w:val="18"/>
                <w:color w:val="auto"/>
                <w:w w:val="86"/>
              </w:rPr>
              <w:t>Karen Peacock</w:t>
            </w:r>
          </w:p>
        </w:tc>
        <w:tc>
          <w:tcPr>
            <w:tcW w:w="580" w:type="dxa"/>
            <w:vAlign w:val="bottom"/>
            <w:tcBorders>
              <w:top w:val="single" w:sz="8" w:color="auto"/>
            </w:tcBorders>
            <w:gridSpan w:val="4"/>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6"/>
          </w:tcPr>
          <w:p>
            <w:pPr>
              <w:spacing w:after="0"/>
              <w:rPr>
                <w:sz w:val="13"/>
                <w:szCs w:val="13"/>
                <w:color w:val="auto"/>
              </w:rPr>
            </w:pP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20" w:type="dxa"/>
            <w:vAlign w:val="bottom"/>
          </w:tcPr>
          <w:p>
            <w:pPr>
              <w:ind w:left="560"/>
              <w:spacing w:after="0" w:line="156"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695"/>
        </w:trPr>
        <w:tc>
          <w:tcPr>
            <w:tcW w:w="2040" w:type="dxa"/>
            <w:vAlign w:val="bottom"/>
            <w:gridSpan w:val="16"/>
          </w:tcPr>
          <w:p>
            <w:pPr>
              <w:spacing w:after="0"/>
              <w:rPr>
                <w:sz w:val="20"/>
                <w:szCs w:val="20"/>
                <w:color w:val="auto"/>
              </w:rPr>
            </w:pPr>
            <w:r>
              <w:rPr>
                <w:rFonts w:ascii="Arial" w:cs="Arial" w:eastAsia="Arial" w:hAnsi="Arial"/>
                <w:sz w:val="18"/>
                <w:szCs w:val="18"/>
                <w:color w:val="auto"/>
              </w:rPr>
              <w:t>/s/ Michael Seibel</w:t>
            </w:r>
          </w:p>
        </w:tc>
        <w:tc>
          <w:tcPr>
            <w:tcW w:w="612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1220"/>
              <w:spacing w:after="0"/>
              <w:rPr>
                <w:sz w:val="20"/>
                <w:szCs w:val="20"/>
                <w:color w:val="auto"/>
              </w:rPr>
            </w:pPr>
            <w:r>
              <w:rPr>
                <w:rFonts w:ascii="Arial" w:cs="Arial" w:eastAsia="Arial" w:hAnsi="Arial"/>
                <w:sz w:val="18"/>
                <w:szCs w:val="18"/>
                <w:color w:val="auto"/>
                <w:w w:val="88"/>
              </w:rPr>
              <w:t>February 18,</w:t>
            </w:r>
          </w:p>
        </w:tc>
      </w:tr>
      <w:tr>
        <w:trPr>
          <w:trHeight w:val="155"/>
        </w:trPr>
        <w:tc>
          <w:tcPr>
            <w:tcW w:w="1080" w:type="dxa"/>
            <w:vAlign w:val="bottom"/>
            <w:tcBorders>
              <w:top w:val="single" w:sz="8" w:color="auto"/>
              <w:bottom w:val="single" w:sz="8" w:color="auto"/>
            </w:tcBorders>
            <w:gridSpan w:val="5"/>
          </w:tcPr>
          <w:p>
            <w:pPr>
              <w:spacing w:after="0" w:line="156" w:lineRule="exact"/>
              <w:rPr>
                <w:sz w:val="20"/>
                <w:szCs w:val="20"/>
                <w:color w:val="auto"/>
              </w:rPr>
            </w:pPr>
            <w:r>
              <w:rPr>
                <w:rFonts w:ascii="Arial" w:cs="Arial" w:eastAsia="Arial" w:hAnsi="Arial"/>
                <w:sz w:val="18"/>
                <w:szCs w:val="18"/>
                <w:color w:val="auto"/>
                <w:w w:val="90"/>
              </w:rPr>
              <w:t>Michael Seibel</w:t>
            </w:r>
          </w:p>
        </w:tc>
        <w:tc>
          <w:tcPr>
            <w:tcW w:w="600" w:type="dxa"/>
            <w:vAlign w:val="bottom"/>
            <w:tcBorders>
              <w:top w:val="single" w:sz="8" w:color="auto"/>
            </w:tcBorders>
            <w:gridSpan w:val="5"/>
          </w:tcPr>
          <w:p>
            <w:pPr>
              <w:spacing w:after="0"/>
              <w:rPr>
                <w:sz w:val="13"/>
                <w:szCs w:val="13"/>
                <w:color w:val="auto"/>
              </w:rPr>
            </w:pPr>
          </w:p>
        </w:tc>
        <w:tc>
          <w:tcPr>
            <w:tcW w:w="360" w:type="dxa"/>
            <w:vAlign w:val="bottom"/>
            <w:gridSpan w:val="6"/>
          </w:tcPr>
          <w:p>
            <w:pPr>
              <w:spacing w:after="0"/>
              <w:rPr>
                <w:sz w:val="13"/>
                <w:szCs w:val="13"/>
                <w:color w:val="auto"/>
              </w:rPr>
            </w:pP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20" w:type="dxa"/>
            <w:vAlign w:val="bottom"/>
          </w:tcPr>
          <w:p>
            <w:pPr>
              <w:ind w:left="560"/>
              <w:spacing w:after="0" w:line="156"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r>
    </w:tbl>
    <w:p>
      <w:pPr>
        <w:sectPr>
          <w:pgSz w:w="11900" w:h="16838" w:orient="portrait"/>
          <w:cols w:equalWidth="0" w:num="1">
            <w:col w:w="10980"/>
          </w:cols>
          <w:pgMar w:left="320" w:top="1440"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107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S-8</w:t>
      </w:r>
    </w:p>
    <w:p>
      <w:pPr>
        <w:jc w:val="center"/>
        <w:spacing w:after="0"/>
        <w:rPr>
          <w:sz w:val="20"/>
          <w:szCs w:val="20"/>
          <w:color w:val="auto"/>
        </w:rPr>
      </w:pPr>
      <w:r>
        <w:rPr>
          <w:rFonts w:ascii="Arial" w:cs="Arial" w:eastAsia="Arial" w:hAnsi="Arial"/>
          <w:sz w:val="18"/>
          <w:szCs w:val="18"/>
          <w:color w:val="auto"/>
        </w:rPr>
        <w:t>(Form Type)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Dropbox,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315"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Table 1 –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6831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20" w:type="dxa"/>
            <w:vAlign w:val="bottom"/>
          </w:tcPr>
          <w:p>
            <w:pPr>
              <w:jc w:val="center"/>
              <w:ind w:left="170"/>
              <w:spacing w:after="0"/>
              <w:rPr>
                <w:sz w:val="20"/>
                <w:szCs w:val="20"/>
                <w:color w:val="auto"/>
              </w:rPr>
            </w:pPr>
            <w:r>
              <w:rPr>
                <w:rFonts w:ascii="Arial" w:cs="Arial" w:eastAsia="Arial" w:hAnsi="Arial"/>
                <w:sz w:val="14"/>
                <w:szCs w:val="14"/>
                <w:color w:val="auto"/>
                <w:w w:val="82"/>
              </w:rPr>
              <w:t>Fee</w:t>
            </w:r>
          </w:p>
        </w:tc>
        <w:tc>
          <w:tcPr>
            <w:tcW w:w="1600" w:type="dxa"/>
            <w:vAlign w:val="bottom"/>
            <w:vMerge w:val="restart"/>
          </w:tcPr>
          <w:p>
            <w:pPr>
              <w:jc w:val="center"/>
              <w:ind w:left="550"/>
              <w:spacing w:after="0"/>
              <w:rPr>
                <w:sz w:val="20"/>
                <w:szCs w:val="20"/>
                <w:color w:val="auto"/>
              </w:rPr>
            </w:pPr>
            <w:r>
              <w:rPr>
                <w:rFonts w:ascii="Arial" w:cs="Arial" w:eastAsia="Arial" w:hAnsi="Arial"/>
                <w:sz w:val="14"/>
                <w:szCs w:val="14"/>
                <w:color w:val="auto"/>
                <w:w w:val="95"/>
              </w:rPr>
              <w:t>Amount</w:t>
            </w:r>
          </w:p>
        </w:tc>
        <w:tc>
          <w:tcPr>
            <w:tcW w:w="1360" w:type="dxa"/>
            <w:vAlign w:val="bottom"/>
          </w:tcPr>
          <w:p>
            <w:pPr>
              <w:jc w:val="center"/>
              <w:ind w:left="9"/>
              <w:spacing w:after="0"/>
              <w:rPr>
                <w:sz w:val="20"/>
                <w:szCs w:val="20"/>
                <w:color w:val="auto"/>
              </w:rPr>
            </w:pPr>
            <w:r>
              <w:rPr>
                <w:rFonts w:ascii="Arial" w:cs="Arial" w:eastAsia="Arial" w:hAnsi="Arial"/>
                <w:sz w:val="14"/>
                <w:szCs w:val="14"/>
                <w:color w:val="auto"/>
                <w:w w:val="93"/>
              </w:rPr>
              <w:t>Proposed Maximum</w:t>
            </w: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Maximum</w:t>
            </w:r>
          </w:p>
        </w:tc>
        <w:tc>
          <w:tcPr>
            <w:tcW w:w="800" w:type="dxa"/>
            <w:vAlign w:val="bottom"/>
          </w:tcPr>
          <w:p>
            <w:pPr>
              <w:spacing w:after="0"/>
              <w:rPr>
                <w:sz w:val="14"/>
                <w:szCs w:val="14"/>
                <w:color w:val="auto"/>
              </w:rPr>
            </w:pPr>
          </w:p>
        </w:tc>
        <w:tc>
          <w:tcPr>
            <w:tcW w:w="1060" w:type="dxa"/>
            <w:vAlign w:val="bottom"/>
            <w:vMerge w:val="restart"/>
          </w:tcPr>
          <w:p>
            <w:pPr>
              <w:ind w:left="240"/>
              <w:spacing w:after="0"/>
              <w:rPr>
                <w:sz w:val="20"/>
                <w:szCs w:val="20"/>
                <w:color w:val="auto"/>
              </w:rPr>
            </w:pPr>
            <w:r>
              <w:rPr>
                <w:rFonts w:ascii="Arial" w:cs="Arial" w:eastAsia="Arial" w:hAnsi="Arial"/>
                <w:sz w:val="14"/>
                <w:szCs w:val="14"/>
                <w:color w:val="auto"/>
              </w:rPr>
              <w:t>Amount of</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color w:val="auto"/>
              </w:rPr>
              <w:t>Security Type</w:t>
            </w:r>
          </w:p>
        </w:tc>
        <w:tc>
          <w:tcPr>
            <w:tcW w:w="2960" w:type="dxa"/>
            <w:vAlign w:val="bottom"/>
            <w:vMerge w:val="restart"/>
          </w:tcPr>
          <w:p>
            <w:pPr>
              <w:ind w:left="1120"/>
              <w:spacing w:after="0"/>
              <w:rPr>
                <w:sz w:val="20"/>
                <w:szCs w:val="20"/>
                <w:color w:val="auto"/>
              </w:rPr>
            </w:pPr>
            <w:r>
              <w:rPr>
                <w:rFonts w:ascii="Arial" w:cs="Arial" w:eastAsia="Arial" w:hAnsi="Arial"/>
                <w:sz w:val="14"/>
                <w:szCs w:val="14"/>
                <w:color w:val="auto"/>
              </w:rPr>
              <w:t>Security Class Type</w:t>
            </w:r>
          </w:p>
        </w:tc>
        <w:tc>
          <w:tcPr>
            <w:tcW w:w="1120" w:type="dxa"/>
            <w:vAlign w:val="bottom"/>
          </w:tcPr>
          <w:p>
            <w:pPr>
              <w:jc w:val="center"/>
              <w:ind w:left="150"/>
              <w:spacing w:after="0" w:line="135" w:lineRule="exact"/>
              <w:rPr>
                <w:sz w:val="20"/>
                <w:szCs w:val="20"/>
                <w:color w:val="auto"/>
              </w:rPr>
            </w:pPr>
            <w:r>
              <w:rPr>
                <w:rFonts w:ascii="Arial" w:cs="Arial" w:eastAsia="Arial" w:hAnsi="Arial"/>
                <w:sz w:val="14"/>
                <w:szCs w:val="14"/>
                <w:color w:val="auto"/>
                <w:w w:val="95"/>
              </w:rPr>
              <w:t>Calculation</w:t>
            </w:r>
          </w:p>
        </w:tc>
        <w:tc>
          <w:tcPr>
            <w:tcW w:w="1600" w:type="dxa"/>
            <w:vAlign w:val="bottom"/>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color w:val="auto"/>
                <w:w w:val="95"/>
              </w:rPr>
              <w:t>Offering Price Per</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4"/>
              </w:rPr>
              <w:t>Aggregate Offering</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Fee Rate</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960" w:type="dxa"/>
            <w:vAlign w:val="bottom"/>
            <w:vMerge w:val="continue"/>
          </w:tcPr>
          <w:p>
            <w:pPr>
              <w:spacing w:after="0"/>
              <w:rPr>
                <w:sz w:val="11"/>
                <w:szCs w:val="11"/>
                <w:color w:val="auto"/>
              </w:rPr>
            </w:pPr>
          </w:p>
        </w:tc>
        <w:tc>
          <w:tcPr>
            <w:tcW w:w="1120" w:type="dxa"/>
            <w:vAlign w:val="bottom"/>
          </w:tcPr>
          <w:p>
            <w:pPr>
              <w:jc w:val="center"/>
              <w:ind w:left="170"/>
              <w:spacing w:after="0" w:line="115" w:lineRule="exact"/>
              <w:rPr>
                <w:sz w:val="20"/>
                <w:szCs w:val="20"/>
                <w:color w:val="auto"/>
              </w:rPr>
            </w:pPr>
            <w:r>
              <w:rPr>
                <w:rFonts w:ascii="Arial" w:cs="Arial" w:eastAsia="Arial" w:hAnsi="Arial"/>
                <w:sz w:val="13"/>
                <w:szCs w:val="13"/>
                <w:color w:val="auto"/>
              </w:rPr>
              <w:t>Rule</w:t>
            </w:r>
          </w:p>
        </w:tc>
        <w:tc>
          <w:tcPr>
            <w:tcW w:w="1600" w:type="dxa"/>
            <w:vAlign w:val="bottom"/>
          </w:tcPr>
          <w:p>
            <w:pPr>
              <w:jc w:val="center"/>
              <w:ind w:left="550"/>
              <w:spacing w:after="0" w:line="115" w:lineRule="exact"/>
              <w:rPr>
                <w:sz w:val="20"/>
                <w:szCs w:val="20"/>
                <w:color w:val="auto"/>
              </w:rPr>
            </w:pPr>
            <w:r>
              <w:rPr>
                <w:rFonts w:ascii="Arial" w:cs="Arial" w:eastAsia="Arial" w:hAnsi="Arial"/>
                <w:sz w:val="13"/>
                <w:szCs w:val="13"/>
                <w:color w:val="auto"/>
                <w:w w:val="99"/>
              </w:rPr>
              <w:t>Registered (1)</w:t>
            </w:r>
          </w:p>
        </w:tc>
        <w:tc>
          <w:tcPr>
            <w:tcW w:w="1360" w:type="dxa"/>
            <w:vAlign w:val="bottom"/>
          </w:tcPr>
          <w:p>
            <w:pPr>
              <w:jc w:val="center"/>
              <w:ind w:left="9"/>
              <w:spacing w:after="0" w:line="115" w:lineRule="exact"/>
              <w:rPr>
                <w:sz w:val="20"/>
                <w:szCs w:val="20"/>
                <w:color w:val="auto"/>
              </w:rPr>
            </w:pPr>
            <w:r>
              <w:rPr>
                <w:rFonts w:ascii="Arial" w:cs="Arial" w:eastAsia="Arial" w:hAnsi="Arial"/>
                <w:sz w:val="13"/>
                <w:szCs w:val="13"/>
                <w:color w:val="auto"/>
                <w:w w:val="92"/>
              </w:rPr>
              <w:t>Share</w:t>
            </w:r>
          </w:p>
        </w:tc>
        <w:tc>
          <w:tcPr>
            <w:tcW w:w="1220" w:type="dxa"/>
            <w:vAlign w:val="bottom"/>
          </w:tcPr>
          <w:p>
            <w:pPr>
              <w:jc w:val="center"/>
              <w:spacing w:after="0" w:line="115" w:lineRule="exact"/>
              <w:rPr>
                <w:sz w:val="20"/>
                <w:szCs w:val="20"/>
                <w:color w:val="auto"/>
              </w:rPr>
            </w:pPr>
            <w:r>
              <w:rPr>
                <w:rFonts w:ascii="Arial" w:cs="Arial" w:eastAsia="Arial" w:hAnsi="Arial"/>
                <w:sz w:val="13"/>
                <w:szCs w:val="13"/>
                <w:color w:val="auto"/>
              </w:rPr>
              <w:t>Price</w:t>
            </w:r>
          </w:p>
        </w:tc>
        <w:tc>
          <w:tcPr>
            <w:tcW w:w="800" w:type="dxa"/>
            <w:vAlign w:val="bottom"/>
            <w:vMerge w:val="continue"/>
          </w:tcPr>
          <w:p>
            <w:pPr>
              <w:spacing w:after="0"/>
              <w:rPr>
                <w:sz w:val="11"/>
                <w:szCs w:val="11"/>
                <w:color w:val="auto"/>
              </w:rPr>
            </w:pPr>
          </w:p>
        </w:tc>
        <w:tc>
          <w:tcPr>
            <w:tcW w:w="1060" w:type="dxa"/>
            <w:vAlign w:val="bottom"/>
          </w:tcPr>
          <w:p>
            <w:pPr>
              <w:ind w:left="80"/>
              <w:spacing w:after="0" w:line="115" w:lineRule="exact"/>
              <w:rPr>
                <w:sz w:val="20"/>
                <w:szCs w:val="20"/>
                <w:color w:val="auto"/>
              </w:rPr>
            </w:pPr>
            <w:r>
              <w:rPr>
                <w:rFonts w:ascii="Arial" w:cs="Arial" w:eastAsia="Arial" w:hAnsi="Arial"/>
                <w:sz w:val="13"/>
                <w:szCs w:val="13"/>
                <w:color w:val="auto"/>
              </w:rPr>
              <w:t>Registration Fee</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0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Equity</w:t>
            </w:r>
          </w:p>
        </w:tc>
        <w:tc>
          <w:tcPr>
            <w:tcW w:w="29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Class A Common Stock, $0.00001 par value</w:t>
            </w:r>
          </w:p>
        </w:tc>
        <w:tc>
          <w:tcPr>
            <w:tcW w:w="1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per share, reserved for issuance pursuant to</w:t>
            </w:r>
          </w:p>
        </w:tc>
        <w:tc>
          <w:tcPr>
            <w:tcW w:w="11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the 2018 Equity Incentive Plan the 2018</w:t>
            </w:r>
          </w:p>
        </w:tc>
        <w:tc>
          <w:tcPr>
            <w:tcW w:w="11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Incentive Plan</w:t>
            </w:r>
          </w:p>
        </w:tc>
        <w:tc>
          <w:tcPr>
            <w:tcW w:w="1120" w:type="dxa"/>
            <w:vAlign w:val="bottom"/>
            <w:shd w:val="clear" w:color="auto" w:fill="CCEEFF"/>
          </w:tcPr>
          <w:p>
            <w:pPr>
              <w:spacing w:after="0"/>
              <w:rPr>
                <w:sz w:val="16"/>
                <w:szCs w:val="16"/>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18,774,350(2)</w:t>
            </w:r>
          </w:p>
        </w:tc>
        <w:tc>
          <w:tcPr>
            <w:tcW w:w="136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rPr>
              <w:t>$ 25.07 (3)</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$470,672,954.50</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0.0000927</w:t>
            </w:r>
          </w:p>
        </w:tc>
        <w:tc>
          <w:tcPr>
            <w:tcW w:w="1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$ 43,632.00</w:t>
            </w:r>
          </w:p>
        </w:tc>
        <w:tc>
          <w:tcPr>
            <w:tcW w:w="0" w:type="dxa"/>
            <w:vAlign w:val="bottom"/>
          </w:tcPr>
          <w:p>
            <w:pPr>
              <w:spacing w:after="0"/>
              <w:rPr>
                <w:sz w:val="1"/>
                <w:szCs w:val="1"/>
                <w:color w:val="auto"/>
              </w:rPr>
            </w:pPr>
          </w:p>
        </w:tc>
      </w:tr>
      <w:tr>
        <w:trPr>
          <w:trHeight w:val="188"/>
        </w:trPr>
        <w:tc>
          <w:tcPr>
            <w:tcW w:w="406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 Offering Amounts</w:t>
            </w: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$470,672,954.50</w:t>
            </w:r>
          </w:p>
        </w:tc>
        <w:tc>
          <w:tcPr>
            <w:tcW w:w="80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$ 43,632.00</w:t>
            </w:r>
          </w:p>
        </w:tc>
        <w:tc>
          <w:tcPr>
            <w:tcW w:w="0" w:type="dxa"/>
            <w:vAlign w:val="bottom"/>
          </w:tcPr>
          <w:p>
            <w:pPr>
              <w:spacing w:after="0"/>
              <w:rPr>
                <w:sz w:val="1"/>
                <w:szCs w:val="1"/>
                <w:color w:val="auto"/>
              </w:rPr>
            </w:pPr>
          </w:p>
        </w:tc>
      </w:tr>
      <w:tr>
        <w:trPr>
          <w:trHeight w:val="190"/>
        </w:trPr>
        <w:tc>
          <w:tcPr>
            <w:tcW w:w="11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w w:val="93"/>
              </w:rPr>
              <w:t>Total Fee Offsets</w:t>
            </w:r>
          </w:p>
        </w:tc>
        <w:tc>
          <w:tcPr>
            <w:tcW w:w="29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Fee Due</w:t>
            </w:r>
          </w:p>
        </w:tc>
        <w:tc>
          <w:tcPr>
            <w:tcW w:w="2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$ 43,632.00</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firstLine="8"/>
        <w:spacing w:after="0" w:line="248" w:lineRule="auto"/>
        <w:tabs>
          <w:tab w:leader="none" w:pos="165"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Pursuant to Rule 416(a) of the Securities Act of 1933, as amended, this Registration Statement covers any additional shares of the Registrant’s Class A common stock (“Class A Common Stock”) that become issuable under the Registrant’s 2018 Equity Incentive Plan (the “2018 Plan”) by reason of any stock dividend, stock split, recapitalization or other similar transaction effected without the Registrant’s receipt of consideration which results in an increase in the number of the outstanding shares of Class A Common Stock.</w:t>
      </w:r>
    </w:p>
    <w:p>
      <w:pPr>
        <w:spacing w:after="0" w:line="184" w:lineRule="exact"/>
        <w:rPr>
          <w:rFonts w:ascii="Arial" w:cs="Arial" w:eastAsia="Arial" w:hAnsi="Arial"/>
          <w:sz w:val="19"/>
          <w:szCs w:val="19"/>
          <w:color w:val="auto"/>
          <w:vertAlign w:val="superscript"/>
        </w:rPr>
      </w:pPr>
    </w:p>
    <w:p>
      <w:pPr>
        <w:ind w:right="60" w:firstLine="8"/>
        <w:spacing w:after="0" w:line="260" w:lineRule="auto"/>
        <w:tabs>
          <w:tab w:leader="none" w:pos="165"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Represents an automatic increase of 18,774,350 shares of the Registrant’s Class A common stock reserved for issuance under, and which annual increase is provided for, in the 2018 Plan.</w:t>
      </w:r>
    </w:p>
    <w:p>
      <w:pPr>
        <w:spacing w:after="0" w:line="170" w:lineRule="exact"/>
        <w:rPr>
          <w:rFonts w:ascii="Arial" w:cs="Arial" w:eastAsia="Arial" w:hAnsi="Arial"/>
          <w:sz w:val="19"/>
          <w:szCs w:val="19"/>
          <w:color w:val="auto"/>
          <w:vertAlign w:val="superscript"/>
        </w:rPr>
      </w:pPr>
    </w:p>
    <w:p>
      <w:pPr>
        <w:ind w:right="300" w:firstLine="8"/>
        <w:spacing w:after="0" w:line="260" w:lineRule="auto"/>
        <w:tabs>
          <w:tab w:leader="none" w:pos="165"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Estimated in accordance with Rule 457(h) solely for the purpose of calculating the registration fee on the basis of $25.07 per share, the average of the high and low sale prices of the Registrant’s Class A common stock as reported on the NASDAQ Global Select Stock Market on February 11, 2022.</w:t>
      </w:r>
    </w:p>
    <w:p>
      <w:pPr>
        <w:sectPr>
          <w:pgSz w:w="11900" w:h="16838" w:orient="portrait"/>
          <w:cols w:equalWidth="0" w:num="1">
            <w:col w:w="11240"/>
          </w:cols>
          <w:pgMar w:left="320" w:top="1413"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911225</wp:posOffset>
            </wp:positionV>
            <wp:extent cx="109728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3D4C"/>
        </w:rPr>
        <w:t>Wilson Sonsini Goodrich &amp; Rosati</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3D4C"/>
        </w:rPr>
        <w:t>Professional Corporation 650 Page Mill Road</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3D4C"/>
        </w:rPr>
        <w:t>Palo Alto, CA 94304-1050 o: 650.493.9300</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18, 2022</w:t>
      </w:r>
    </w:p>
    <w:p>
      <w:pPr>
        <w:spacing w:after="0" w:line="204" w:lineRule="auto"/>
        <w:rPr>
          <w:sz w:val="20"/>
          <w:szCs w:val="20"/>
          <w:color w:val="auto"/>
        </w:rPr>
      </w:pPr>
      <w:r>
        <w:rPr>
          <w:rFonts w:ascii="Arial" w:cs="Arial" w:eastAsia="Arial" w:hAnsi="Arial"/>
          <w:sz w:val="22"/>
          <w:szCs w:val="22"/>
          <w:color w:val="auto"/>
        </w:rPr>
        <w:t>Dropbox, Inc.</w:t>
      </w:r>
    </w:p>
    <w:p>
      <w:pPr>
        <w:spacing w:after="0" w:line="205" w:lineRule="auto"/>
        <w:rPr>
          <w:sz w:val="20"/>
          <w:szCs w:val="20"/>
          <w:color w:val="auto"/>
        </w:rPr>
      </w:pPr>
      <w:r>
        <w:rPr>
          <w:rFonts w:ascii="Arial" w:cs="Arial" w:eastAsia="Arial" w:hAnsi="Arial"/>
          <w:sz w:val="22"/>
          <w:szCs w:val="22"/>
          <w:color w:val="auto"/>
        </w:rPr>
        <w:t>1800 Owens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94158</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 Registration Statement on Form S-8</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3" w:lineRule="exact"/>
        <w:rPr>
          <w:sz w:val="20"/>
          <w:szCs w:val="20"/>
          <w:color w:val="auto"/>
        </w:rPr>
      </w:pPr>
    </w:p>
    <w:p>
      <w:pPr>
        <w:ind w:right="20" w:firstLine="648"/>
        <w:spacing w:after="0" w:line="217" w:lineRule="auto"/>
        <w:rPr>
          <w:sz w:val="20"/>
          <w:szCs w:val="20"/>
          <w:color w:val="auto"/>
        </w:rPr>
      </w:pPr>
      <w:r>
        <w:rPr>
          <w:rFonts w:ascii="Arial" w:cs="Arial" w:eastAsia="Arial" w:hAnsi="Arial"/>
          <w:sz w:val="22"/>
          <w:szCs w:val="22"/>
          <w:color w:val="auto"/>
        </w:rPr>
        <w:t>We have examined the Registration Statement on Form S-8 (the “</w:t>
      </w:r>
      <w:r>
        <w:rPr>
          <w:rFonts w:ascii="Arial" w:cs="Arial" w:eastAsia="Arial" w:hAnsi="Arial"/>
          <w:sz w:val="22"/>
          <w:szCs w:val="22"/>
          <w:b w:val="1"/>
          <w:bCs w:val="1"/>
          <w:color w:val="auto"/>
        </w:rPr>
        <w:t>Registration Statement</w:t>
      </w:r>
      <w:r>
        <w:rPr>
          <w:rFonts w:ascii="Arial" w:cs="Arial" w:eastAsia="Arial" w:hAnsi="Arial"/>
          <w:sz w:val="22"/>
          <w:szCs w:val="22"/>
          <w:color w:val="auto"/>
        </w:rPr>
        <w:t>”) to be filed by Dropbox,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with the Securities and Exchange Commission on or about the date hereof, relating to the registration under the Securities Act of 1933, as amended, of 18,774,350 shares of the Company’s Class A common stock, par value $0.00001 per share (the “</w:t>
      </w:r>
      <w:r>
        <w:rPr>
          <w:rFonts w:ascii="Arial" w:cs="Arial" w:eastAsia="Arial" w:hAnsi="Arial"/>
          <w:sz w:val="22"/>
          <w:szCs w:val="22"/>
          <w:b w:val="1"/>
          <w:bCs w:val="1"/>
          <w:color w:val="auto"/>
        </w:rPr>
        <w:t>Shares</w:t>
      </w:r>
      <w:r>
        <w:rPr>
          <w:rFonts w:ascii="Arial" w:cs="Arial" w:eastAsia="Arial" w:hAnsi="Arial"/>
          <w:sz w:val="22"/>
          <w:szCs w:val="22"/>
          <w:color w:val="auto"/>
        </w:rPr>
        <w:t>”), reserved for issuance pursuant to the Dropbox, Inc. 2018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58"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159" w:lineRule="exact"/>
        <w:rPr>
          <w:sz w:val="20"/>
          <w:szCs w:val="20"/>
          <w:color w:val="auto"/>
        </w:rPr>
      </w:pPr>
    </w:p>
    <w:p>
      <w:pPr>
        <w:ind w:right="440" w:firstLine="648"/>
        <w:spacing w:after="0" w:line="232" w:lineRule="auto"/>
        <w:rPr>
          <w:sz w:val="20"/>
          <w:szCs w:val="20"/>
          <w:color w:val="auto"/>
        </w:rPr>
      </w:pPr>
      <w:r>
        <w:rPr>
          <w:rFonts w:ascii="Arial" w:cs="Arial" w:eastAsia="Arial" w:hAnsi="Arial"/>
          <w:sz w:val="22"/>
          <w:szCs w:val="22"/>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6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Very truly yours,</w:t>
      </w:r>
    </w:p>
    <w:p>
      <w:pPr>
        <w:spacing w:after="0" w:line="25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WILSON SONSINI GOODRICH &amp;</w:t>
      </w:r>
    </w:p>
    <w:p>
      <w:pPr>
        <w:ind w:left="4500"/>
        <w:spacing w:after="0" w:line="204" w:lineRule="auto"/>
        <w:rPr>
          <w:sz w:val="20"/>
          <w:szCs w:val="20"/>
          <w:color w:val="auto"/>
        </w:rPr>
      </w:pPr>
      <w:r>
        <w:rPr>
          <w:rFonts w:ascii="Arial" w:cs="Arial" w:eastAsia="Arial" w:hAnsi="Arial"/>
          <w:sz w:val="22"/>
          <w:szCs w:val="22"/>
          <w:color w:val="auto"/>
        </w:rPr>
        <w:t>ROSATI</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Professional Corporation</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Wilson Sonsini Goodrich &amp; Rosati</w:t>
      </w:r>
    </w:p>
    <w:p>
      <w:pPr>
        <w:sectPr>
          <w:pgSz w:w="11900" w:h="16838" w:orient="portrait"/>
          <w:cols w:equalWidth="0" w:num="1">
            <w:col w:w="11240"/>
          </w:cols>
          <w:pgMar w:left="320" w:top="126"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2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333333"/>
        </w:rPr>
        <w:t>We consent to the incorporation by reference in the Registration Statement (Form S-8) pertaining to the 2018 Equity Incentive Plan of Dropbox, Inc. of our reports dated February 18, 2022, with respect to the consolidated financial statements of Dropbox, Inc. and the effectiveness of internal control over financial reporting of Dropbox, Inc. included in its Annual Report (Form 10-K) for the year ended December 31, 2021, filed with the Securities and Exchange Commission.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333333"/>
        </w:rPr>
        <w:t>San Francisco, California</w:t>
      </w:r>
    </w:p>
    <w:p>
      <w:pPr>
        <w:spacing w:after="0"/>
        <w:rPr>
          <w:sz w:val="20"/>
          <w:szCs w:val="20"/>
          <w:color w:val="auto"/>
        </w:rPr>
      </w:pPr>
      <w:r>
        <w:rPr>
          <w:rFonts w:ascii="Arial" w:cs="Arial" w:eastAsia="Arial" w:hAnsi="Arial"/>
          <w:sz w:val="18"/>
          <w:szCs w:val="18"/>
          <w:color w:val="333333"/>
        </w:rPr>
        <w:t>February 18, 2022</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decimal"/>
      <w:start w:val="107"/>
    </w:lvl>
  </w:abstractNum>
  <w:abstractNum w:abstractNumId="3">
    <w:nsid w:val="507ED7AB"/>
    <w:multiLevelType w:val="hybridMultilevel"/>
    <w:lvl w:ilvl="0">
      <w:lvlJc w:val="left"/>
      <w:lvlText w:val="(%1)"/>
      <w:numFmt w:val="decimal"/>
      <w:start w:val="1"/>
    </w:lvl>
    <w:lvl w:ilvl="1">
      <w:lvlJc w:val="left"/>
      <w:lvlText w:val="%2"/>
      <w:numFmt w:val="decimal"/>
      <w:start w:val="1"/>
    </w:lvl>
  </w:abstractNum>
  <w:abstractNum w:abstractNumId="4">
    <w:nsid w:val="2EB141F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jpeg"/><Relationship Id="rId17" Type="http://schemas.openxmlformats.org/officeDocument/2006/relationships/hyperlink" Target="https://www.sec.gov/Archives/edgar/data/1467623/000119312518078140/d451946dex41.htm" TargetMode="External"/><Relationship Id="rId18" Type="http://schemas.openxmlformats.org/officeDocument/2006/relationships/hyperlink" Target="https://www.sec.gov/Archives/edgar/data/1467623/000146762321000012/dbx202010-k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2022-02-18T15:29:07Z</dcterms:created>
  <dcterms:modified xsi:type="dcterms:W3CDTF">2022-02-18T15:29:07Z</dcterms:modified>
</cp:coreProperties>
</file>