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November 5, 2020</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969" w:right="239" w:bottom="1440" w:gutter="0" w:footer="0" w:header="0"/>
        </w:sectPr>
      </w:pPr>
    </w:p>
    <w:p>
      <w:pPr>
        <w:spacing w:after="0" w:line="116"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7" w:lineRule="exact"/>
        <w:rPr>
          <w:sz w:val="24"/>
          <w:szCs w:val="24"/>
          <w:color w:val="auto"/>
        </w:rPr>
      </w:pPr>
    </w:p>
    <w:p>
      <w:pPr>
        <w:sectPr>
          <w:pgSz w:w="11900" w:h="16838" w:orient="portrait"/>
          <w:cols w:equalWidth="0" w:num="3">
            <w:col w:w="3860" w:space="720"/>
            <w:col w:w="2200" w:space="720"/>
            <w:col w:w="3840"/>
          </w:cols>
          <w:pgMar w:left="320" w:top="96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969" w:right="239" w:bottom="1440" w:gutter="0" w:footer="0" w:header="0"/>
          <w:type w:val="continuous"/>
        </w:sectPr>
      </w:pPr>
    </w:p>
    <w:p>
      <w:pPr>
        <w:spacing w:after="0" w:line="29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0" w:lineRule="exact"/>
        <w:rPr>
          <w:sz w:val="24"/>
          <w:szCs w:val="24"/>
          <w:color w:val="auto"/>
        </w:rPr>
      </w:pPr>
    </w:p>
    <w:p>
      <w:pPr>
        <w:spacing w:after="0" w:line="264" w:lineRule="exact"/>
        <w:rPr>
          <w:sz w:val="24"/>
          <w:szCs w:val="24"/>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90805</wp:posOffset>
            </wp:positionV>
            <wp:extent cx="6266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62" w:lineRule="exact"/>
        <w:rPr>
          <w:sz w:val="24"/>
          <w:szCs w:val="24"/>
          <w:color w:val="auto"/>
        </w:rPr>
      </w:pPr>
    </w:p>
    <w:tbl>
      <w:tblPr>
        <w:tblLayout w:type="fixed"/>
        <w:tblInd w:w="76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260" w:type="dxa"/>
            <w:vAlign w:val="bottom"/>
            <w:gridSpan w:val="2"/>
          </w:tcPr>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8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195"/>
        </w:trPr>
        <w:tc>
          <w:tcPr>
            <w:tcW w:w="4260" w:type="dxa"/>
            <w:vAlign w:val="bottom"/>
            <w:gridSpan w:val="3"/>
          </w:tcPr>
          <w:p>
            <w:pPr>
              <w:jc w:val="center"/>
              <w:ind w:right="120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2680" w:type="dxa"/>
            <w:vAlign w:val="bottom"/>
            <w:gridSpan w:val="2"/>
          </w:tcPr>
          <w:p>
            <w:pPr>
              <w:jc w:val="center"/>
              <w:ind w:right="1580"/>
              <w:spacing w:after="0"/>
              <w:rPr>
                <w:sz w:val="20"/>
                <w:szCs w:val="20"/>
                <w:color w:val="auto"/>
              </w:rPr>
            </w:pPr>
            <w:r>
              <w:rPr>
                <w:rFonts w:ascii="Times New Roman" w:cs="Times New Roman" w:eastAsia="Times New Roman" w:hAnsi="Times New Roman"/>
                <w:sz w:val="14"/>
                <w:szCs w:val="14"/>
                <w:color w:val="auto"/>
              </w:rPr>
              <w:t>DBX</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6"/>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7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80" w:lineRule="exact"/>
        <w:rPr>
          <w:sz w:val="24"/>
          <w:szCs w:val="24"/>
          <w:color w:val="auto"/>
        </w:rPr>
      </w:pPr>
    </w:p>
    <w:p>
      <w:pPr>
        <w:ind w:right="260"/>
        <w:spacing w:after="0" w:line="25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679450</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40"/>
          </w:cols>
          <w:pgMar w:left="320" w:top="969"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24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On November 5, 2020, Dropbox, Inc. (“Dropbox” or the "Company") issued a press release and will hold a conference call announcing its financial results for the quarter ended September 30, 2020. A copy of the press release is attached as Exhibit 99.1 to this current report on Form 8-K and is incorporated by reference herein.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2.06 – Material Impairments</w:t>
      </w:r>
    </w:p>
    <w:p>
      <w:pPr>
        <w:spacing w:after="0" w:line="24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October 2020, the Company announced a new Virtual First work model pursuant to which remote work will become the primary experience for all of its employees. As a result, on November 3, 2020, the Company determined that it will reduce its existing real-estate footprint through maintaining a scaled down presence in its current locations and subleasing its remaining space.</w:t>
      </w:r>
    </w:p>
    <w:p>
      <w:pPr>
        <w:spacing w:after="0" w:line="20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a result of the Company's announcement to move towards a Virtual First work model, it is reassessing its asset groupings and evaluating the recoverability of the individual asset groups. Based on its preliminary assessment, the Company anticipates recording an impairment charge related to the right of use and other lease related assets in the range of $400 to $450 million. A substantial majority of the charge is expected to be incurred in the fourth quarter of 2020 but a portion of this amount may be incurred through the first half of 2021.</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24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On November 5, 2020,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204"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7"/>
          <w:szCs w:val="17"/>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6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4"/>
        </w:trPr>
        <w:tc>
          <w:tcPr>
            <w:tcW w:w="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99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79"/>
        </w:trPr>
        <w:tc>
          <w:tcPr>
            <w:tcW w:w="20" w:type="dxa"/>
            <w:vAlign w:val="bottom"/>
          </w:tcPr>
          <w:p>
            <w:pPr>
              <w:spacing w:after="0"/>
              <w:rPr>
                <w:sz w:val="15"/>
                <w:szCs w:val="15"/>
                <w:color w:val="auto"/>
              </w:rPr>
            </w:pPr>
          </w:p>
        </w:tc>
        <w:tc>
          <w:tcPr>
            <w:tcW w:w="1080" w:type="dxa"/>
            <w:vAlign w:val="bottom"/>
            <w:tcBorders>
              <w:top w:val="single" w:sz="8" w:color="auto"/>
            </w:tcBorders>
          </w:tcPr>
          <w:p>
            <w:pPr>
              <w:jc w:val="right"/>
              <w:ind w:right="291"/>
              <w:spacing w:after="0" w:line="17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5"/>
                <w:szCs w:val="15"/>
                <w:color w:val="auto"/>
              </w:rPr>
            </w:pPr>
          </w:p>
        </w:tc>
        <w:tc>
          <w:tcPr>
            <w:tcW w:w="9880" w:type="dxa"/>
            <w:vAlign w:val="bottom"/>
            <w:tcBorders>
              <w:top w:val="single" w:sz="8" w:color="auto"/>
            </w:tcBorders>
            <w:gridSpan w:val="3"/>
          </w:tcPr>
          <w:p>
            <w:pPr>
              <w:ind w:left="20"/>
              <w:spacing w:after="0" w:line="179"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Press Release entitled “Dropbox Announces Fiscal 2020 Third Quarter Results” dated</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FF"/>
              </w:rPr>
              <w:t xml:space="preserve">November </w:t>
            </w:r>
            <w:hyperlink w:anchor="page4">
              <w:r>
                <w:rPr>
                  <w:rFonts w:ascii="Times New Roman" w:cs="Times New Roman" w:eastAsia="Times New Roman" w:hAnsi="Times New Roman"/>
                  <w:sz w:val="18"/>
                  <w:szCs w:val="18"/>
                  <w:u w:val="single" w:color="auto"/>
                  <w:color w:val="0000FF"/>
                </w:rPr>
                <w:t>5, 2020.</w:t>
              </w:r>
            </w:hyperlink>
          </w:p>
        </w:tc>
        <w:tc>
          <w:tcPr>
            <w:tcW w:w="20" w:type="dxa"/>
            <w:vAlign w:val="bottom"/>
          </w:tcPr>
          <w:p>
            <w:pPr>
              <w:spacing w:after="0"/>
              <w:rPr>
                <w:sz w:val="15"/>
                <w:szCs w:val="15"/>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2020</w:t>
      </w:r>
    </w:p>
    <w:p>
      <w:pPr>
        <w:spacing w:after="0" w:line="34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11430</wp:posOffset>
            </wp:positionV>
            <wp:extent cx="2783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Timothy J. Regan</w:t>
      </w:r>
    </w:p>
    <w:p>
      <w:pPr>
        <w:spacing w:after="0" w:line="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100"/>
          </w:cols>
          <w:pgMar w:left="320" w:top="876" w:right="479" w:bottom="1440" w:gutter="0" w:footer="0" w:header="0"/>
        </w:sectPr>
      </w:pPr>
    </w:p>
    <w:bookmarkStart w:id="3" w:name="page4"/>
    <w:bookmarkEnd w:id="3"/>
    <w:p>
      <w:pPr>
        <w:ind w:left="3860"/>
        <w:spacing w:after="0"/>
        <w:rPr>
          <w:sz w:val="20"/>
          <w:szCs w:val="20"/>
          <w:color w:val="auto"/>
        </w:rPr>
      </w:pPr>
      <w:r>
        <w:rPr>
          <w:rFonts w:ascii="Times New Roman" w:cs="Times New Roman" w:eastAsia="Times New Roman" w:hAnsi="Times New Roman"/>
          <w:sz w:val="18"/>
          <w:szCs w:val="18"/>
          <w:b w:val="1"/>
          <w:bCs w:val="1"/>
          <w:color w:val="auto"/>
        </w:rPr>
        <w:t>Dropbox Announces Fiscal 2020 Third Quarter Results</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Revenue of $487.4 Million, Up 14% Year-over-year</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Net Cash Provided by Operating Activities of $200.9 Million and Free Cash Flow of $187.0 Million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GAAP and Non-GAAP Operating Income of $30.0 Million and $112.2 Million, Up 261% and 100% Year-over-year</w:t>
      </w:r>
    </w:p>
    <w:p>
      <w:pPr>
        <w:spacing w:after="0" w:line="223"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SAN FRANCISCO, Calif. </w:t>
      </w:r>
      <w:r>
        <w:rPr>
          <w:rFonts w:ascii="Times New Roman" w:cs="Times New Roman" w:eastAsia="Times New Roman" w:hAnsi="Times New Roman"/>
          <w:sz w:val="18"/>
          <w:szCs w:val="18"/>
          <w:color w:val="auto"/>
        </w:rPr>
        <w:t>- November 5, 2020 - Dropbox, Inc. (NASDAQ: DBX), today announced financial results for its third fiscal quarter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2020.</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Q3, we saw momentum across the business with strong operating income, profitability, and free cash flow," said Dropbox Co-founder and Chief Executive Officer Drew Houston. "Our margin expansion demonstrates the strength of our business model and execution against our long-term targets. We believe the opportunity to redesign work has never been bigger, and now, as a Virtual First company, we'll truly live our mission as we build better products for distributed teams."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Fiscal 2020 Results</w:t>
      </w:r>
    </w:p>
    <w:p>
      <w:pPr>
        <w:spacing w:after="0" w:line="247" w:lineRule="exact"/>
        <w:rPr>
          <w:sz w:val="20"/>
          <w:szCs w:val="20"/>
          <w:color w:val="auto"/>
        </w:rPr>
      </w:pPr>
    </w:p>
    <w:p>
      <w:pPr>
        <w:ind w:left="640" w:right="320" w:hanging="315"/>
        <w:spacing w:after="0" w:line="276" w:lineRule="auto"/>
        <w:tabs>
          <w:tab w:leader="none" w:pos="63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$487.4 million, an increase of 14% from the same period last year. On a constant currency basis, year-over-year growth would have been 14%.</w:t>
      </w:r>
      <w:r>
        <w:rPr>
          <w:rFonts w:ascii="Times New Roman" w:cs="Times New Roman" w:eastAsia="Times New Roman" w:hAnsi="Times New Roman"/>
          <w:sz w:val="23"/>
          <w:szCs w:val="23"/>
          <w:color w:val="auto"/>
          <w:vertAlign w:val="superscript"/>
        </w:rPr>
        <w:t>(1)</w:t>
      </w:r>
    </w:p>
    <w:p>
      <w:pPr>
        <w:spacing w:after="0" w:line="121" w:lineRule="exact"/>
        <w:rPr>
          <w:rFonts w:ascii="Times New Roman" w:cs="Times New Roman" w:eastAsia="Times New Roman" w:hAnsi="Times New Roman"/>
          <w:sz w:val="18"/>
          <w:szCs w:val="18"/>
          <w:color w:val="auto"/>
        </w:rPr>
      </w:pPr>
    </w:p>
    <w:p>
      <w:pPr>
        <w:ind w:left="640" w:right="140" w:hanging="315"/>
        <w:spacing w:after="0" w:line="276" w:lineRule="auto"/>
        <w:tabs>
          <w:tab w:leader="none" w:pos="63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ARR ended at $1.981 billion, an increase of $49.8 million quarter-over-quarter and an increase of 12% year-over-year. On a constant currency basis, year-over-year growth would have been 13%.</w:t>
      </w:r>
      <w:r>
        <w:rPr>
          <w:rFonts w:ascii="Times New Roman" w:cs="Times New Roman" w:eastAsia="Times New Roman" w:hAnsi="Times New Roman"/>
          <w:sz w:val="23"/>
          <w:szCs w:val="23"/>
          <w:color w:val="auto"/>
          <w:vertAlign w:val="superscript"/>
        </w:rPr>
        <w:t>(2)</w:t>
      </w:r>
    </w:p>
    <w:p>
      <w:pPr>
        <w:spacing w:after="0" w:line="121" w:lineRule="exact"/>
        <w:rPr>
          <w:rFonts w:ascii="Times New Roman" w:cs="Times New Roman" w:eastAsia="Times New Roman" w:hAnsi="Times New Roman"/>
          <w:sz w:val="18"/>
          <w:szCs w:val="18"/>
          <w:color w:val="auto"/>
        </w:rPr>
      </w:pPr>
    </w:p>
    <w:p>
      <w:pPr>
        <w:ind w:left="640" w:right="280" w:hanging="315"/>
        <w:spacing w:after="0" w:line="275" w:lineRule="auto"/>
        <w:tabs>
          <w:tab w:leader="none" w:pos="63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users ended at 15.25 million, as compared to 14.00 million for the same period last year. Average revenue per paying user was $128.03, as compared to $123.15 for the same period last year.</w:t>
      </w:r>
    </w:p>
    <w:p>
      <w:pPr>
        <w:spacing w:after="0" w:line="189" w:lineRule="exact"/>
        <w:rPr>
          <w:rFonts w:ascii="Times New Roman" w:cs="Times New Roman" w:eastAsia="Times New Roman" w:hAnsi="Times New Roman"/>
          <w:sz w:val="18"/>
          <w:szCs w:val="18"/>
          <w:color w:val="auto"/>
        </w:rPr>
      </w:pPr>
    </w:p>
    <w:p>
      <w:pPr>
        <w:ind w:left="640" w:right="140" w:hanging="315"/>
        <w:spacing w:after="0" w:line="275" w:lineRule="auto"/>
        <w:tabs>
          <w:tab w:leader="none" w:pos="63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78.8%, as compared to 75.5% in the same period last year. Non-GAAP gross margin was 80.0%, as compared to 76.7% in the same period last year.</w:t>
      </w:r>
    </w:p>
    <w:p>
      <w:pPr>
        <w:spacing w:after="0" w:line="189" w:lineRule="exact"/>
        <w:rPr>
          <w:rFonts w:ascii="Times New Roman" w:cs="Times New Roman" w:eastAsia="Times New Roman" w:hAnsi="Times New Roman"/>
          <w:sz w:val="18"/>
          <w:szCs w:val="18"/>
          <w:color w:val="auto"/>
        </w:rPr>
      </w:pPr>
    </w:p>
    <w:p>
      <w:pPr>
        <w:ind w:left="640" w:right="300" w:hanging="315"/>
        <w:spacing w:after="0" w:line="275" w:lineRule="auto"/>
        <w:tabs>
          <w:tab w:leader="none" w:pos="63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margin was 6.2%, as compared to (4.3)% in the same period last year. Non-GAAP operating margin was 23.0%, as compared to 13.1% in the same period last year.</w:t>
      </w:r>
    </w:p>
    <w:p>
      <w:pPr>
        <w:spacing w:after="0" w:line="189" w:lineRule="exact"/>
        <w:rPr>
          <w:rFonts w:ascii="Times New Roman" w:cs="Times New Roman" w:eastAsia="Times New Roman" w:hAnsi="Times New Roman"/>
          <w:sz w:val="18"/>
          <w:szCs w:val="18"/>
          <w:color w:val="auto"/>
        </w:rPr>
      </w:pPr>
    </w:p>
    <w:p>
      <w:pPr>
        <w:ind w:left="640" w:right="80" w:hanging="315"/>
        <w:spacing w:after="0" w:line="275" w:lineRule="auto"/>
        <w:tabs>
          <w:tab w:leader="none" w:pos="63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(loss) was $32.7 million, as compared to ($17.0) million in the same period last year. Non-GAAP net income was $110.2 million, as compared to $55.9 million in the same period last year.</w:t>
      </w:r>
    </w:p>
    <w:p>
      <w:pPr>
        <w:spacing w:after="0" w:line="189" w:lineRule="exact"/>
        <w:rPr>
          <w:rFonts w:ascii="Times New Roman" w:cs="Times New Roman" w:eastAsia="Times New Roman" w:hAnsi="Times New Roman"/>
          <w:sz w:val="18"/>
          <w:szCs w:val="18"/>
          <w:color w:val="auto"/>
        </w:rPr>
      </w:pPr>
    </w:p>
    <w:p>
      <w:pPr>
        <w:ind w:left="640" w:right="80" w:hanging="315"/>
        <w:spacing w:after="0" w:line="275" w:lineRule="auto"/>
        <w:tabs>
          <w:tab w:leader="none" w:pos="63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$200.9 million, as compared to $149.7 million in the same period last year. Free cash flow was $187.0 million, as compared to $102.5 million in the same period last year.</w:t>
      </w:r>
    </w:p>
    <w:p>
      <w:pPr>
        <w:spacing w:after="0" w:line="189" w:lineRule="exact"/>
        <w:rPr>
          <w:rFonts w:ascii="Times New Roman" w:cs="Times New Roman" w:eastAsia="Times New Roman" w:hAnsi="Times New Roman"/>
          <w:sz w:val="18"/>
          <w:szCs w:val="18"/>
          <w:color w:val="auto"/>
        </w:rPr>
      </w:pPr>
    </w:p>
    <w:p>
      <w:pPr>
        <w:ind w:left="640" w:right="140" w:hanging="315"/>
        <w:spacing w:after="0" w:line="276" w:lineRule="auto"/>
        <w:tabs>
          <w:tab w:leader="none" w:pos="63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(loss) per share attributable to common stockholders was $0.08, as compared to ($0.04) in the same period last year. Non-GAAP net income per share attributable to common stockholders was $0.26, as compared to $0.13 in the same period last year.</w:t>
      </w:r>
      <w:r>
        <w:rPr>
          <w:rFonts w:ascii="Times New Roman" w:cs="Times New Roman" w:eastAsia="Times New Roman" w:hAnsi="Times New Roman"/>
          <w:sz w:val="23"/>
          <w:szCs w:val="23"/>
          <w:color w:val="auto"/>
          <w:vertAlign w:val="superscript"/>
        </w:rPr>
        <w:t>(3)</w:t>
      </w:r>
    </w:p>
    <w:p>
      <w:pPr>
        <w:spacing w:after="0" w:line="12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short-term investments ended at $1.226 billion.</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ind w:left="160" w:hanging="154"/>
        <w:spacing w:after="0"/>
        <w:tabs>
          <w:tab w:leader="none" w:pos="160"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constant currency revenue growth rates by applying the prior period weighted average exchange rates to current period results.</w:t>
      </w:r>
    </w:p>
    <w:p>
      <w:pPr>
        <w:spacing w:after="0" w:line="216" w:lineRule="exact"/>
        <w:rPr>
          <w:rFonts w:ascii="Times New Roman" w:cs="Times New Roman" w:eastAsia="Times New Roman" w:hAnsi="Times New Roman"/>
          <w:sz w:val="19"/>
          <w:szCs w:val="19"/>
          <w:color w:val="auto"/>
          <w:vertAlign w:val="superscript"/>
        </w:rPr>
      </w:pPr>
    </w:p>
    <w:p>
      <w:pPr>
        <w:ind w:right="140" w:firstLine="6"/>
        <w:spacing w:after="0" w:line="273" w:lineRule="auto"/>
        <w:tabs>
          <w:tab w:leader="none" w:pos="147" w:val="left"/>
        </w:tabs>
        <w:numPr>
          <w:ilvl w:val="0"/>
          <w:numId w:val="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rate to prior period results.</w:t>
      </w:r>
    </w:p>
    <w:p>
      <w:pPr>
        <w:spacing w:after="0" w:line="195" w:lineRule="exact"/>
        <w:rPr>
          <w:rFonts w:ascii="Times New Roman" w:cs="Times New Roman" w:eastAsia="Times New Roman" w:hAnsi="Times New Roman"/>
          <w:sz w:val="18"/>
          <w:szCs w:val="18"/>
          <w:color w:val="auto"/>
          <w:vertAlign w:val="superscript"/>
        </w:rPr>
      </w:pPr>
    </w:p>
    <w:p>
      <w:pPr>
        <w:ind w:right="60" w:firstLine="6"/>
        <w:spacing w:after="0" w:line="278" w:lineRule="auto"/>
        <w:tabs>
          <w:tab w:leader="none" w:pos="147" w:val="left"/>
        </w:tabs>
        <w:numPr>
          <w:ilvl w:val="0"/>
          <w:numId w:val="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Non-GAAP net income per share attributable to common stockholders is calculated based upon 419.9 million and 418.7 million diluted weighted-average shares of common stock for the three months ended September 30, 2020 and 2019, respectively.</w:t>
      </w:r>
    </w:p>
    <w:p>
      <w:pPr>
        <w:sectPr>
          <w:pgSz w:w="11900" w:h="16838" w:orient="portrait"/>
          <w:cols w:equalWidth="0" w:num="1">
            <w:col w:w="11240"/>
          </w:cols>
          <w:pgMar w:left="320" w:top="87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4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 xml:space="preserve">Dropbox will provide forward-looking guidance in connection with this quarterly earnings announcement on its conference call, webcast, and on its investor relations website at </w:t>
      </w:r>
      <w:r>
        <w:rPr>
          <w:rFonts w:ascii="Times New Roman" w:cs="Times New Roman" w:eastAsia="Times New Roman" w:hAnsi="Times New Roman"/>
          <w:sz w:val="18"/>
          <w:szCs w:val="18"/>
          <w:u w:val="single" w:color="auto"/>
          <w:color w:val="auto"/>
        </w:rPr>
        <w:t>http://investors.dropbox.com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4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Dropbox plans to host a conference call today to review its third quarter financial results and to discuss its financial outlook. This call is scheduled to begin at 2:00 p.m. PT / 5:00 p.m. ET and can be accessed by dialing (877) 300-7844 from the United States or (786) 815-8440 internationally with reference to the company name and conference title, and a live webcast and replay of the conference call can be accessed from the Dropbox investor relations website at </w:t>
      </w:r>
      <w:r>
        <w:rPr>
          <w:rFonts w:ascii="Times New Roman" w:cs="Times New Roman" w:eastAsia="Times New Roman" w:hAnsi="Times New Roman"/>
          <w:sz w:val="18"/>
          <w:szCs w:val="18"/>
          <w:u w:val="single" w:color="auto"/>
          <w:color w:val="auto"/>
        </w:rPr>
        <w:t>http://investors.dropbox.com</w:t>
      </w:r>
      <w:r>
        <w:rPr>
          <w:rFonts w:ascii="Times New Roman" w:cs="Times New Roman" w:eastAsia="Times New Roman" w:hAnsi="Times New Roman"/>
          <w:sz w:val="18"/>
          <w:szCs w:val="18"/>
          <w:color w:val="auto"/>
        </w:rPr>
        <w:t>. Following the completion of the call, a telephonic replay will be available through 11:59 PM ET on November 12, 2020 at (855) 859-2056 from the United States or (404) 537-3406 internationally with recording access code 5575556.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Upcoming Events</w:t>
      </w:r>
    </w:p>
    <w:p>
      <w:pPr>
        <w:spacing w:after="0" w:line="247" w:lineRule="exact"/>
        <w:rPr>
          <w:sz w:val="20"/>
          <w:szCs w:val="20"/>
          <w:color w:val="auto"/>
        </w:rPr>
      </w:pPr>
    </w:p>
    <w:p>
      <w:pPr>
        <w:ind w:left="640" w:right="840" w:hanging="315"/>
        <w:spacing w:after="0" w:line="25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 Regan, Chief Financial Officer, will be presenting at the RBC Capital Markets Technology, Internet, Media and Telecommunications Conference on Tuesday, November 17th.</w:t>
      </w: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 Regan, Chief Financial Officer, will be presenting at the NASDAQ Virtual Investor Conference on Tuesday, December 1st.</w:t>
      </w:r>
    </w:p>
    <w:p>
      <w:pPr>
        <w:spacing w:after="0" w:line="225" w:lineRule="exact"/>
        <w:rPr>
          <w:sz w:val="20"/>
          <w:szCs w:val="20"/>
          <w:color w:val="auto"/>
        </w:rPr>
      </w:pPr>
    </w:p>
    <w:p>
      <w:pPr>
        <w:ind w:right="3860"/>
        <w:spacing w:after="0" w:line="305" w:lineRule="auto"/>
        <w:rPr>
          <w:sz w:val="20"/>
          <w:szCs w:val="20"/>
          <w:color w:val="auto"/>
        </w:rPr>
      </w:pPr>
      <w:r>
        <w:rPr>
          <w:rFonts w:ascii="Times New Roman" w:cs="Times New Roman" w:eastAsia="Times New Roman" w:hAnsi="Times New Roman"/>
          <w:sz w:val="17"/>
          <w:szCs w:val="17"/>
          <w:color w:val="auto"/>
        </w:rPr>
        <w:t xml:space="preserve">During these events, a live webcast will be accessible from the Dropbox investor relations website at </w:t>
      </w:r>
      <w:r>
        <w:rPr>
          <w:rFonts w:ascii="Times New Roman" w:cs="Times New Roman" w:eastAsia="Times New Roman" w:hAnsi="Times New Roman"/>
          <w:sz w:val="17"/>
          <w:szCs w:val="17"/>
          <w:u w:val="single" w:color="auto"/>
          <w:color w:val="auto"/>
        </w:rPr>
        <w:t>http://investors.dropbox.com</w:t>
      </w:r>
      <w:r>
        <w:rPr>
          <w:rFonts w:ascii="Times New Roman" w:cs="Times New Roman" w:eastAsia="Times New Roman" w:hAnsi="Times New Roman"/>
          <w:sz w:val="17"/>
          <w:szCs w:val="17"/>
          <w:color w:val="auto"/>
        </w:rPr>
        <w:t>. Following the event, a replay will be made available at the same location.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Dropbox</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Dropbox is the one place to keep life organized and keep work moving. With more than 600 million registered users across 180 countries, we're on a mission to design a more enlightened way of working. Dropbox is headquartered in San Francisco, CA, and has offices around the world. For more information on our mission and products, visit </w:t>
      </w:r>
      <w:r>
        <w:rPr>
          <w:rFonts w:ascii="Times New Roman" w:cs="Times New Roman" w:eastAsia="Times New Roman" w:hAnsi="Times New Roman"/>
          <w:sz w:val="18"/>
          <w:szCs w:val="18"/>
          <w:u w:val="single" w:color="auto"/>
          <w:color w:val="auto"/>
        </w:rPr>
        <w:t>http://dropbox.com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4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including, among other things, our expectations regarding anticipated market opportunities and our ability to utilize insights from our Virtual First work model to improve or develop additional products and services. Words such as "believe," "may," "will," "estimate," "continue," "anticipate," "intend," "expect," "plans," and similar expressions are intended to identify forward-looking statements. Dropbox has based these forward-looking statements largely on its current expectations and projections about future events and financial trends that the Company believes may affect its business, financial condition, and results of operations. These forward-looking statements speak only as of the date of this press release and are subject to risks, uncertainties, and assumptions including, but not limited to:</w:t>
      </w:r>
    </w:p>
    <w:p>
      <w:pPr>
        <w:spacing w:after="0" w:line="4" w:lineRule="exact"/>
        <w:rPr>
          <w:sz w:val="20"/>
          <w:szCs w:val="20"/>
          <w:color w:val="auto"/>
        </w:rPr>
      </w:pPr>
    </w:p>
    <w:p>
      <w:pPr>
        <w:ind w:firstLine="6"/>
        <w:spacing w:after="0" w:line="260" w:lineRule="auto"/>
        <w:tabs>
          <w:tab w:leader="none" w:pos="21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anticipated benefits to our business from our shift to a Virtual First work model as well as impacts to our financial results and business operations as a result of this shift, (ii) impacts to our financial results, business operations and the business of our customers, suppliers, partners and the economy as a result of the COVID-19 pandemic, and related public health measures, as well as the potential for a more permanent global shift to remote work, (iii) our ability to retain and upgrade paying users, in particular paying users impacted by the COVID-19 pandemic, and increase our recurring revenue;</w:t>
      </w:r>
    </w:p>
    <w:p>
      <w:pPr>
        <w:spacing w:after="0" w:line="2" w:lineRule="exact"/>
        <w:rPr>
          <w:rFonts w:ascii="Times New Roman" w:cs="Times New Roman" w:eastAsia="Times New Roman" w:hAnsi="Times New Roman"/>
          <w:sz w:val="17"/>
          <w:szCs w:val="17"/>
          <w:color w:val="auto"/>
        </w:rPr>
      </w:pPr>
    </w:p>
    <w:p>
      <w:pPr>
        <w:ind w:right="100" w:firstLine="6"/>
        <w:spacing w:after="0" w:line="247"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users or convert registered users to paying users, in particular prospective paying users financially impacted by the COVID-19 pandemic; (v) our future financial performance, including trends in revenue, costs of revenue, gross profit or gross margin, operating expenses, paying users, and free cash flow; (vi) our history of net losses and our ability to achieve or maintain profitability; (vii) our liability for any unauthorized access to our data or our users’ content, including through privacy and data security breaches; (viii) significant disruption of service on our platform or loss of content, particularly from any potential disruptions in the supply chain for hardware necessary to offer</w:t>
      </w:r>
    </w:p>
    <w:p>
      <w:pPr>
        <w:sectPr>
          <w:pgSz w:w="11900" w:h="16838" w:orient="portrait"/>
          <w:cols w:equalWidth="0" w:num="1">
            <w:col w:w="11220"/>
          </w:cols>
          <w:pgMar w:left="320" w:top="876" w:right="359" w:bottom="1440" w:gutter="0" w:footer="0" w:header="0"/>
        </w:sectPr>
      </w:pPr>
    </w:p>
    <w:bookmarkStart w:id="5" w:name="page6"/>
    <w:bookmarkEnd w:id="5"/>
    <w:p>
      <w:pPr>
        <w:spacing w:after="0" w:line="248" w:lineRule="auto"/>
        <w:rPr>
          <w:sz w:val="20"/>
          <w:szCs w:val="20"/>
          <w:color w:val="auto"/>
        </w:rPr>
      </w:pPr>
      <w:r>
        <w:rPr>
          <w:rFonts w:ascii="Times New Roman" w:cs="Times New Roman" w:eastAsia="Times New Roman" w:hAnsi="Times New Roman"/>
          <w:sz w:val="18"/>
          <w:szCs w:val="18"/>
          <w:color w:val="auto"/>
        </w:rPr>
        <w:t>our services that may result from the COVID-19 pandemic; (ix) any decline in demand for our platform or for content collaboration solutions in general; (x) changes in the interoperability of our platform across devices, operating systems, and third-party applications that we do not control; (xi) competition in our markets; (xii) our ability to respond to rapid technological changes, extend our platform, develop new features or products, or gain market acceptance for such new features or products, particularly in light of potential disruptions to the productivity of our employees that may result from our shift to a Virtual First work model; (xiii) our ability to manage our growth or plan for future growth; (xiv) our acquisition of other businesses and the potential of such acquisitions to require significant management attention, disrupt our business, or dilute stockholder value; (xv) our ability to attract and retain key personnel and highly qualified personnel; (xvi) our capital allocation plans with respect to our stock repurchase program and other investments; and (xvii)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June 30, 2020. Additional information will be made available in our quarterly report on Form 10-Q for the quarter ended September 30, 2020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240"/>
          </w:cols>
          <w:pgMar w:left="320" w:top="878" w:right="339" w:bottom="1440" w:gutter="0" w:footer="0" w:header="0"/>
        </w:sectPr>
      </w:pPr>
    </w:p>
    <w:bookmarkStart w:id="6" w:name="page7"/>
    <w:bookmarkEnd w:id="6"/>
    <w:p>
      <w:pPr>
        <w:jc w:val="center"/>
        <w:ind w:right="-13"/>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39"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Operations</w:t>
      </w:r>
    </w:p>
    <w:p>
      <w:pPr>
        <w:spacing w:after="0" w:line="3"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0"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3080" w:type="dxa"/>
            <w:vAlign w:val="bottom"/>
            <w:gridSpan w:val="4"/>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7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w w:val="88"/>
              </w:rPr>
              <w:t>2019</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0" w:type="dxa"/>
            <w:vAlign w:val="bottom"/>
          </w:tcPr>
          <w:p>
            <w:pPr>
              <w:spacing w:after="0"/>
              <w:rPr>
                <w:sz w:val="1"/>
                <w:szCs w:val="1"/>
                <w:color w:val="auto"/>
              </w:rPr>
            </w:pPr>
          </w:p>
        </w:tc>
      </w:tr>
      <w:tr>
        <w:trPr>
          <w:trHeight w:val="226"/>
        </w:trPr>
        <w:tc>
          <w:tcPr>
            <w:tcW w:w="3720" w:type="dxa"/>
            <w:vAlign w:val="bottom"/>
            <w:tcBorders>
              <w:bottom w:val="single" w:sz="8" w:color="CCEEFF"/>
            </w:tcBorders>
          </w:tcPr>
          <w:p>
            <w:pPr>
              <w:ind w:left="260"/>
              <w:spacing w:after="0" w:line="225"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0" w:type="dxa"/>
            <w:vAlign w:val="bottom"/>
          </w:tcPr>
          <w:p>
            <w:pPr>
              <w:spacing w:after="0"/>
              <w:rPr>
                <w:sz w:val="1"/>
                <w:szCs w:val="1"/>
                <w:color w:val="auto"/>
              </w:rPr>
            </w:pPr>
          </w:p>
        </w:tc>
      </w:tr>
      <w:tr>
        <w:trPr>
          <w:trHeight w:val="226"/>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19"/>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80" w:type="dxa"/>
            <w:vAlign w:val="bottom"/>
            <w:tcBorders>
              <w:bottom w:val="single" w:sz="8" w:color="auto"/>
            </w:tcBorders>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7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Net income (loss) per share attributable to common</w:t>
            </w:r>
          </w:p>
        </w:tc>
        <w:tc>
          <w:tcPr>
            <w:tcW w:w="1180" w:type="dxa"/>
            <w:vAlign w:val="bottom"/>
            <w:vMerge w:val="restart"/>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9"/>
        </w:trPr>
        <w:tc>
          <w:tcPr>
            <w:tcW w:w="3720" w:type="dxa"/>
            <w:vAlign w:val="bottom"/>
            <w:tcBorders>
              <w:bottom w:val="single" w:sz="8" w:color="CCEEFF"/>
            </w:tcBorders>
            <w:shd w:val="clear" w:color="auto" w:fill="CCEEFF"/>
          </w:tcPr>
          <w:p>
            <w:pPr>
              <w:ind w:left="160"/>
              <w:spacing w:after="0" w:line="199" w:lineRule="exact"/>
              <w:rPr>
                <w:sz w:val="20"/>
                <w:szCs w:val="20"/>
                <w:color w:val="auto"/>
              </w:rPr>
            </w:pPr>
            <w:r>
              <w:rPr>
                <w:rFonts w:ascii="Times New Roman" w:cs="Times New Roman" w:eastAsia="Times New Roman" w:hAnsi="Times New Roman"/>
                <w:sz w:val="18"/>
                <w:szCs w:val="18"/>
                <w:color w:val="auto"/>
              </w:rPr>
              <w:t>stockholders</w:t>
            </w: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spacing w:after="0" w:line="159" w:lineRule="exact"/>
              <w:rPr>
                <w:sz w:val="20"/>
                <w:szCs w:val="20"/>
                <w:color w:val="auto"/>
              </w:rPr>
            </w:pPr>
            <w:r>
              <w:rPr>
                <w:rFonts w:ascii="Times New Roman" w:cs="Times New Roman" w:eastAsia="Times New Roman" w:hAnsi="Times New Roman"/>
                <w:sz w:val="18"/>
                <w:szCs w:val="18"/>
                <w:color w:val="auto"/>
              </w:rPr>
              <w:t>Weighted-average shares used in computing net</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7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160"/>
              <w:spacing w:after="0" w:line="173" w:lineRule="exact"/>
              <w:rPr>
                <w:sz w:val="20"/>
                <w:szCs w:val="20"/>
                <w:color w:val="auto"/>
              </w:rPr>
            </w:pPr>
            <w:r>
              <w:rPr>
                <w:rFonts w:ascii="Times New Roman" w:cs="Times New Roman" w:eastAsia="Times New Roman" w:hAnsi="Times New Roman"/>
                <w:sz w:val="18"/>
                <w:szCs w:val="18"/>
                <w:color w:val="auto"/>
              </w:rPr>
              <w:t>income (loss) per share attributable to common</w:t>
            </w:r>
          </w:p>
        </w:tc>
        <w:tc>
          <w:tcPr>
            <w:tcW w:w="1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0" w:type="dxa"/>
            <w:vAlign w:val="bottom"/>
          </w:tcPr>
          <w:p>
            <w:pPr>
              <w:spacing w:after="0"/>
              <w:rPr>
                <w:sz w:val="1"/>
                <w:szCs w:val="1"/>
                <w:color w:val="auto"/>
              </w:rPr>
            </w:pPr>
          </w:p>
        </w:tc>
      </w:tr>
      <w:tr>
        <w:trPr>
          <w:trHeight w:val="199"/>
        </w:trPr>
        <w:tc>
          <w:tcPr>
            <w:tcW w:w="3720" w:type="dxa"/>
            <w:vAlign w:val="bottom"/>
          </w:tcPr>
          <w:p>
            <w:pPr>
              <w:ind w:left="160"/>
              <w:spacing w:after="0" w:line="199" w:lineRule="exact"/>
              <w:rPr>
                <w:sz w:val="20"/>
                <w:szCs w:val="20"/>
                <w:color w:val="auto"/>
              </w:rPr>
            </w:pPr>
            <w:r>
              <w:rPr>
                <w:rFonts w:ascii="Times New Roman" w:cs="Times New Roman" w:eastAsia="Times New Roman" w:hAnsi="Times New Roman"/>
                <w:sz w:val="18"/>
                <w:szCs w:val="18"/>
                <w:color w:val="auto"/>
              </w:rPr>
              <w:t>stockholders</w:t>
            </w:r>
          </w:p>
        </w:tc>
        <w:tc>
          <w:tcPr>
            <w:tcW w:w="1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174" w:hanging="174"/>
        <w:spacing w:after="0"/>
        <w:tabs>
          <w:tab w:leader="none" w:pos="174"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stock-based compensation expense as follows:</w:t>
      </w:r>
    </w:p>
    <w:p>
      <w:pPr>
        <w:spacing w:after="0" w:line="90"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20" w:type="dxa"/>
            <w:vAlign w:val="bottom"/>
          </w:tcPr>
          <w:p>
            <w:pPr>
              <w:spacing w:after="0"/>
              <w:rPr>
                <w:sz w:val="18"/>
                <w:szCs w:val="18"/>
                <w:color w:val="auto"/>
              </w:rPr>
            </w:pPr>
          </w:p>
        </w:tc>
        <w:tc>
          <w:tcPr>
            <w:tcW w:w="3120" w:type="dxa"/>
            <w:vAlign w:val="bottom"/>
            <w:gridSpan w:val="4"/>
          </w:tcPr>
          <w:p>
            <w:pPr>
              <w:jc w:val="center"/>
              <w:ind w:left="45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Nine Months Ended</w:t>
            </w:r>
          </w:p>
        </w:tc>
        <w:tc>
          <w:tcPr>
            <w:tcW w:w="1080" w:type="dxa"/>
            <w:vAlign w:val="bottom"/>
          </w:tcPr>
          <w:p>
            <w:pPr>
              <w:spacing w:after="0"/>
              <w:rPr>
                <w:sz w:val="18"/>
                <w:szCs w:val="18"/>
                <w:color w:val="auto"/>
              </w:rPr>
            </w:pPr>
          </w:p>
        </w:tc>
      </w:tr>
      <w:tr>
        <w:trPr>
          <w:trHeight w:val="226"/>
        </w:trPr>
        <w:tc>
          <w:tcPr>
            <w:tcW w:w="37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center"/>
              <w:ind w:right="53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80" w:type="dxa"/>
            <w:vAlign w:val="bottom"/>
            <w:tcBorders>
              <w:bottom w:val="single" w:sz="8" w:color="auto"/>
            </w:tcBorders>
          </w:tcPr>
          <w:p>
            <w:pPr>
              <w:spacing w:after="0"/>
              <w:rPr>
                <w:sz w:val="19"/>
                <w:szCs w:val="19"/>
                <w:color w:val="auto"/>
              </w:rPr>
            </w:pPr>
          </w:p>
        </w:tc>
      </w:tr>
      <w:tr>
        <w:trPr>
          <w:trHeight w:val="219"/>
        </w:trPr>
        <w:tc>
          <w:tcPr>
            <w:tcW w:w="37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w w:val="88"/>
              </w:rPr>
              <w:t>2019</w:t>
            </w:r>
          </w:p>
        </w:tc>
      </w:tr>
      <w:tr>
        <w:trPr>
          <w:trHeight w:val="219"/>
        </w:trPr>
        <w:tc>
          <w:tcPr>
            <w:tcW w:w="3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6"/>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26"/>
        </w:trPr>
        <w:tc>
          <w:tcPr>
            <w:tcW w:w="3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302"/>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(2)</w:t>
            </w:r>
          </w:p>
        </w:tc>
        <w:tc>
          <w:tcPr>
            <w:tcW w:w="1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r>
    </w:tbl>
    <w:p>
      <w:pPr>
        <w:spacing w:after="0" w:line="242" w:lineRule="exact"/>
        <w:rPr>
          <w:sz w:val="20"/>
          <w:szCs w:val="20"/>
          <w:color w:val="auto"/>
        </w:rPr>
      </w:pPr>
    </w:p>
    <w:p>
      <w:pPr>
        <w:ind w:left="-6" w:right="340" w:firstLine="6"/>
        <w:spacing w:after="0" w:line="244" w:lineRule="auto"/>
        <w:tabs>
          <w:tab w:leader="none" w:pos="157"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w:t>
      </w:r>
    </w:p>
    <w:p>
      <w:pPr>
        <w:sectPr>
          <w:pgSz w:w="11900" w:h="16838" w:orient="portrait"/>
          <w:cols w:equalWidth="0" w:num="1">
            <w:col w:w="11214"/>
          </w:cols>
          <w:pgMar w:left="326" w:top="878"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Condensed Consolidated Balance Sheets</w:t>
      </w:r>
    </w:p>
    <w:p>
      <w:pPr>
        <w:spacing w:after="0" w:line="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60" w:type="dxa"/>
            <w:vAlign w:val="bottom"/>
          </w:tcPr>
          <w:p>
            <w:pPr>
              <w:spacing w:after="0"/>
              <w:rPr>
                <w:sz w:val="19"/>
                <w:szCs w:val="19"/>
                <w:color w:val="auto"/>
              </w:rPr>
            </w:pPr>
          </w:p>
        </w:tc>
        <w:tc>
          <w:tcPr>
            <w:tcW w:w="194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06"/>
        </w:trPr>
        <w:tc>
          <w:tcPr>
            <w:tcW w:w="6660" w:type="dxa"/>
            <w:vAlign w:val="bottom"/>
            <w:tcBorders>
              <w:top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0" w:type="dxa"/>
            <w:vAlign w:val="bottom"/>
          </w:tcPr>
          <w:p>
            <w:pPr>
              <w:spacing w:after="0"/>
              <w:rPr>
                <w:sz w:val="1"/>
                <w:szCs w:val="1"/>
                <w:color w:val="auto"/>
              </w:rPr>
            </w:pPr>
          </w:p>
        </w:tc>
      </w:tr>
      <w:tr>
        <w:trPr>
          <w:trHeight w:val="22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6"/>
        </w:trPr>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w:t>
            </w:r>
          </w:p>
        </w:tc>
        <w:tc>
          <w:tcPr>
            <w:tcW w:w="0" w:type="dxa"/>
            <w:vAlign w:val="bottom"/>
          </w:tcPr>
          <w:p>
            <w:pPr>
              <w:spacing w:after="0"/>
              <w:rPr>
                <w:sz w:val="1"/>
                <w:szCs w:val="1"/>
                <w:color w:val="auto"/>
              </w:rPr>
            </w:pPr>
          </w:p>
        </w:tc>
      </w:tr>
      <w:tr>
        <w:trPr>
          <w:trHeight w:val="22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0" w:type="dxa"/>
            <w:vAlign w:val="bottom"/>
          </w:tcPr>
          <w:p>
            <w:pPr>
              <w:spacing w:after="0"/>
              <w:rPr>
                <w:sz w:val="1"/>
                <w:szCs w:val="1"/>
                <w:color w:val="auto"/>
              </w:rPr>
            </w:pPr>
          </w:p>
        </w:tc>
      </w:tr>
      <w:tr>
        <w:trPr>
          <w:trHeight w:val="22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2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2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2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obligation</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0" w:type="dxa"/>
            <w:vAlign w:val="bottom"/>
          </w:tcPr>
          <w:p>
            <w:pPr>
              <w:spacing w:after="0"/>
              <w:rPr>
                <w:sz w:val="1"/>
                <w:szCs w:val="1"/>
                <w:color w:val="auto"/>
              </w:rPr>
            </w:pPr>
          </w:p>
        </w:tc>
      </w:tr>
      <w:tr>
        <w:trPr>
          <w:trHeight w:val="21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0" w:type="dxa"/>
            <w:vAlign w:val="bottom"/>
          </w:tcPr>
          <w:p>
            <w:pPr>
              <w:spacing w:after="0"/>
              <w:rPr>
                <w:sz w:val="1"/>
                <w:szCs w:val="1"/>
                <w:color w:val="auto"/>
              </w:rPr>
            </w:pPr>
          </w:p>
        </w:tc>
      </w:tr>
      <w:tr>
        <w:trPr>
          <w:trHeight w:val="226"/>
        </w:trPr>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 obligation, non-current</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1,890.8</w:t>
            </w:r>
          </w:p>
        </w:tc>
        <w:tc>
          <w:tcPr>
            <w:tcW w:w="0" w:type="dxa"/>
            <w:vAlign w:val="bottom"/>
          </w:tcPr>
          <w:p>
            <w:pPr>
              <w:spacing w:after="0"/>
              <w:rPr>
                <w:sz w:val="1"/>
                <w:szCs w:val="1"/>
                <w:color w:val="auto"/>
              </w:rPr>
            </w:pPr>
          </w:p>
        </w:tc>
      </w:tr>
      <w:tr>
        <w:trPr>
          <w:trHeight w:val="206"/>
        </w:trPr>
        <w:tc>
          <w:tcPr>
            <w:tcW w:w="666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2,531.3</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0" w:type="dxa"/>
            <w:vAlign w:val="bottom"/>
          </w:tcPr>
          <w:p>
            <w:pPr>
              <w:spacing w:after="0"/>
              <w:rPr>
                <w:sz w:val="1"/>
                <w:szCs w:val="1"/>
                <w:color w:val="auto"/>
              </w:rPr>
            </w:pPr>
          </w:p>
        </w:tc>
      </w:tr>
      <w:tr>
        <w:trPr>
          <w:trHeight w:val="226"/>
        </w:trPr>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0" w:type="dxa"/>
            <w:vAlign w:val="bottom"/>
          </w:tcPr>
          <w:p>
            <w:pPr>
              <w:spacing w:after="0"/>
              <w:rPr>
                <w:sz w:val="1"/>
                <w:szCs w:val="1"/>
                <w:color w:val="auto"/>
              </w:rPr>
            </w:pPr>
          </w:p>
        </w:tc>
      </w:tr>
      <w:tr>
        <w:trPr>
          <w:trHeight w:val="21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878"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Cash Flows</w:t>
      </w:r>
    </w:p>
    <w:p>
      <w:pPr>
        <w:spacing w:after="0" w:line="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2180" w:type="dxa"/>
            <w:vAlign w:val="bottom"/>
            <w:gridSpan w:val="4"/>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218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6"/>
        </w:trPr>
        <w:tc>
          <w:tcPr>
            <w:tcW w:w="62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194"/>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21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0"/>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r>
      <w:tr>
        <w:trPr>
          <w:trHeight w:val="215"/>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w:t>
            </w:r>
          </w:p>
        </w:tc>
      </w:tr>
      <w:tr>
        <w:trPr>
          <w:trHeight w:val="210"/>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(gains) losses on equity investments</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5"/>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0"/>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0"/>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Trade and other receivables,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5"/>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10"/>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r>
      <w:tr>
        <w:trPr>
          <w:trHeight w:val="215"/>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0"/>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5"/>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0"/>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15"/>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10"/>
        </w:trPr>
        <w:tc>
          <w:tcPr>
            <w:tcW w:w="6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Tenant improvement allowance reimbursement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r>
      <w:tr>
        <w:trPr>
          <w:trHeight w:val="20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341.7</w:t>
            </w:r>
          </w:p>
        </w:tc>
      </w:tr>
      <w:tr>
        <w:trPr>
          <w:trHeight w:val="191"/>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4"/>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r>
      <w:tr>
        <w:trPr>
          <w:trHeight w:val="210"/>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w:t>
            </w:r>
          </w:p>
        </w:tc>
      </w:tr>
      <w:tr>
        <w:trPr>
          <w:trHeight w:val="215"/>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(582.7)</w:t>
            </w:r>
          </w:p>
        </w:tc>
      </w:tr>
      <w:tr>
        <w:trPr>
          <w:trHeight w:val="210"/>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w:t>
            </w:r>
          </w:p>
        </w:tc>
      </w:tr>
      <w:tr>
        <w:trPr>
          <w:trHeight w:val="215"/>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w:t>
            </w:r>
          </w:p>
        </w:tc>
      </w:tr>
      <w:tr>
        <w:trPr>
          <w:trHeight w:val="210"/>
        </w:trPr>
        <w:tc>
          <w:tcPr>
            <w:tcW w:w="6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w:t>
            </w:r>
          </w:p>
        </w:tc>
      </w:tr>
      <w:tr>
        <w:trPr>
          <w:trHeight w:val="191"/>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4"/>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Shares repurchased for tax withholdings on release of restricted stock units and awards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r>
      <w:tr>
        <w:trPr>
          <w:trHeight w:val="210"/>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net of repurchases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5"/>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r>
      <w:tr>
        <w:trPr>
          <w:trHeight w:val="210"/>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repurchases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4"/>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w:t>
            </w:r>
          </w:p>
        </w:tc>
      </w:tr>
      <w:tr>
        <w:trPr>
          <w:trHeight w:val="20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r>
      <w:tr>
        <w:trPr>
          <w:trHeight w:val="21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w:t>
            </w:r>
          </w:p>
        </w:tc>
      </w:tr>
      <w:tr>
        <w:trPr>
          <w:trHeight w:val="20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 end of period</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443.2</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6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11"/>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30"/>
        </w:trPr>
        <w:tc>
          <w:tcPr>
            <w:tcW w:w="6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Property and equipment acquired under finance leases</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78"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Three months ended September 30, 2020</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Reconciliation of GAAP to Non-GAAP results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8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Stock-based</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Acquisition-related</w:t>
            </w:r>
          </w:p>
        </w:tc>
        <w:tc>
          <w:tcPr>
            <w:tcW w:w="20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Intangibles</w:t>
            </w:r>
          </w:p>
        </w:tc>
        <w:tc>
          <w:tcPr>
            <w:tcW w:w="200" w:type="dxa"/>
            <w:vAlign w:val="bottom"/>
          </w:tcPr>
          <w:p>
            <w:pPr>
              <w:spacing w:after="0"/>
              <w:rPr>
                <w:sz w:val="17"/>
                <w:szCs w:val="17"/>
                <w:color w:val="auto"/>
              </w:rPr>
            </w:pPr>
          </w:p>
        </w:tc>
        <w:tc>
          <w:tcPr>
            <w:tcW w:w="1320" w:type="dxa"/>
            <w:vAlign w:val="bottom"/>
            <w:vMerge w:val="restart"/>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226"/>
        </w:trPr>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and other expenses</w:t>
            </w:r>
          </w:p>
        </w:tc>
        <w:tc>
          <w:tcPr>
            <w:tcW w:w="20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2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2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389.8</w:t>
            </w:r>
          </w:p>
        </w:tc>
        <w:tc>
          <w:tcPr>
            <w:tcW w:w="0" w:type="dxa"/>
            <w:vAlign w:val="bottom"/>
          </w:tcPr>
          <w:p>
            <w:pPr>
              <w:spacing w:after="0"/>
              <w:rPr>
                <w:sz w:val="1"/>
                <w:szCs w:val="1"/>
                <w:color w:val="auto"/>
              </w:rPr>
            </w:pPr>
          </w:p>
        </w:tc>
      </w:tr>
      <w:tr>
        <w:trPr>
          <w:trHeight w:val="22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2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2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0.8 %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Three months ended September 30, 2019</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Reconciliation of GAAP to Non-GAAP results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Stock-based</w:t>
            </w:r>
          </w:p>
        </w:tc>
        <w:tc>
          <w:tcPr>
            <w:tcW w:w="16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Acquisition-related</w:t>
            </w:r>
          </w:p>
        </w:tc>
        <w:tc>
          <w:tcPr>
            <w:tcW w:w="260" w:type="dxa"/>
            <w:vAlign w:val="bottom"/>
          </w:tcPr>
          <w:p>
            <w:pPr>
              <w:spacing w:after="0"/>
              <w:rPr>
                <w:sz w:val="18"/>
                <w:szCs w:val="18"/>
                <w:color w:val="auto"/>
              </w:rPr>
            </w:pPr>
          </w:p>
        </w:tc>
        <w:tc>
          <w:tcPr>
            <w:tcW w:w="14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280" w:type="dxa"/>
            <w:vAlign w:val="bottom"/>
          </w:tcPr>
          <w:p>
            <w:pPr>
              <w:spacing w:after="0"/>
              <w:rPr>
                <w:sz w:val="18"/>
                <w:szCs w:val="18"/>
                <w:color w:val="auto"/>
              </w:rPr>
            </w:pPr>
          </w:p>
        </w:tc>
        <w:tc>
          <w:tcPr>
            <w:tcW w:w="130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226"/>
        </w:trPr>
        <w:tc>
          <w:tcPr>
            <w:tcW w:w="2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16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and other expenses</w:t>
            </w:r>
          </w:p>
        </w:tc>
        <w:tc>
          <w:tcPr>
            <w:tcW w:w="260" w:type="dxa"/>
            <w:vAlign w:val="bottom"/>
          </w:tcPr>
          <w:p>
            <w:pPr>
              <w:spacing w:after="0"/>
              <w:rPr>
                <w:sz w:val="19"/>
                <w:szCs w:val="19"/>
                <w:color w:val="auto"/>
              </w:rPr>
            </w:pPr>
          </w:p>
        </w:tc>
        <w:tc>
          <w:tcPr>
            <w:tcW w:w="144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2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328.5</w:t>
            </w:r>
          </w:p>
        </w:tc>
        <w:tc>
          <w:tcPr>
            <w:tcW w:w="0" w:type="dxa"/>
            <w:vAlign w:val="bottom"/>
          </w:tcPr>
          <w:p>
            <w:pPr>
              <w:spacing w:after="0"/>
              <w:rPr>
                <w:sz w:val="1"/>
                <w:szCs w:val="1"/>
                <w:color w:val="auto"/>
              </w:rPr>
            </w:pPr>
          </w:p>
        </w:tc>
      </w:tr>
      <w:tr>
        <w:trPr>
          <w:trHeight w:val="22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76.7 %</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2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2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bl>
    <w:p>
      <w:pPr>
        <w:sectPr>
          <w:pgSz w:w="11900" w:h="16838" w:orient="portrait"/>
          <w:cols w:equalWidth="0" w:num="1">
            <w:col w:w="11140"/>
          </w:cols>
          <w:pgMar w:left="380" w:top="870" w:right="37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Nine months ended September 30, 2020</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Reconciliation of GAAP to Non-GAAP results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8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Stock-based</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Acquisition-related</w:t>
            </w:r>
          </w:p>
        </w:tc>
        <w:tc>
          <w:tcPr>
            <w:tcW w:w="20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Intangibles</w:t>
            </w:r>
          </w:p>
        </w:tc>
        <w:tc>
          <w:tcPr>
            <w:tcW w:w="200" w:type="dxa"/>
            <w:vAlign w:val="bottom"/>
          </w:tcPr>
          <w:p>
            <w:pPr>
              <w:spacing w:after="0"/>
              <w:rPr>
                <w:sz w:val="17"/>
                <w:szCs w:val="17"/>
                <w:color w:val="auto"/>
              </w:rPr>
            </w:pPr>
          </w:p>
        </w:tc>
        <w:tc>
          <w:tcPr>
            <w:tcW w:w="1320" w:type="dxa"/>
            <w:vAlign w:val="bottom"/>
            <w:vMerge w:val="restart"/>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226"/>
        </w:trPr>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and other expenses</w:t>
            </w:r>
          </w:p>
        </w:tc>
        <w:tc>
          <w:tcPr>
            <w:tcW w:w="20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2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308.8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2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1,101.0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1,116.6</w:t>
            </w:r>
          </w:p>
        </w:tc>
        <w:tc>
          <w:tcPr>
            <w:tcW w:w="0" w:type="dxa"/>
            <w:vAlign w:val="bottom"/>
          </w:tcPr>
          <w:p>
            <w:pPr>
              <w:spacing w:after="0"/>
              <w:rPr>
                <w:sz w:val="1"/>
                <w:szCs w:val="1"/>
                <w:color w:val="auto"/>
              </w:rPr>
            </w:pPr>
          </w:p>
        </w:tc>
      </w:tr>
      <w:tr>
        <w:trPr>
          <w:trHeight w:val="22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79.2 %</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407.2</w:t>
            </w:r>
          </w:p>
        </w:tc>
        <w:tc>
          <w:tcPr>
            <w:tcW w:w="0" w:type="dxa"/>
            <w:vAlign w:val="bottom"/>
          </w:tcPr>
          <w:p>
            <w:pPr>
              <w:spacing w:after="0"/>
              <w:rPr>
                <w:sz w:val="1"/>
                <w:szCs w:val="1"/>
                <w:color w:val="auto"/>
              </w:rPr>
            </w:pPr>
          </w:p>
        </w:tc>
      </w:tr>
      <w:tr>
        <w:trPr>
          <w:trHeight w:val="22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283.7</w:t>
            </w:r>
          </w:p>
        </w:tc>
        <w:tc>
          <w:tcPr>
            <w:tcW w:w="0" w:type="dxa"/>
            <w:vAlign w:val="bottom"/>
          </w:tcPr>
          <w:p>
            <w:pPr>
              <w:spacing w:after="0"/>
              <w:rPr>
                <w:sz w:val="1"/>
                <w:szCs w:val="1"/>
                <w:color w:val="auto"/>
              </w:rPr>
            </w:pPr>
          </w:p>
        </w:tc>
      </w:tr>
      <w:tr>
        <w:trPr>
          <w:trHeight w:val="22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2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Nine months ended September 30, 2019</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Reconciliation of GAAP to Non-GAAP results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Stock-based</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Acquisition-related</w:t>
            </w:r>
          </w:p>
        </w:tc>
        <w:tc>
          <w:tcPr>
            <w:tcW w:w="200" w:type="dxa"/>
            <w:vAlign w:val="bottom"/>
          </w:tcPr>
          <w:p>
            <w:pPr>
              <w:spacing w:after="0"/>
              <w:rPr>
                <w:sz w:val="18"/>
                <w:szCs w:val="18"/>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260" w:type="dxa"/>
            <w:vAlign w:val="bottom"/>
          </w:tcPr>
          <w:p>
            <w:pPr>
              <w:spacing w:after="0"/>
              <w:rPr>
                <w:sz w:val="18"/>
                <w:szCs w:val="18"/>
                <w:color w:val="auto"/>
              </w:rPr>
            </w:pPr>
          </w:p>
        </w:tc>
        <w:tc>
          <w:tcPr>
            <w:tcW w:w="1320" w:type="dxa"/>
            <w:vAlign w:val="bottom"/>
            <w:vMerge w:val="restart"/>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226"/>
        </w:trPr>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and other expenses</w:t>
            </w:r>
          </w:p>
        </w:tc>
        <w:tc>
          <w:tcPr>
            <w:tcW w:w="200" w:type="dxa"/>
            <w:vAlign w:val="bottom"/>
          </w:tcPr>
          <w:p>
            <w:pPr>
              <w:spacing w:after="0"/>
              <w:rPr>
                <w:sz w:val="19"/>
                <w:szCs w:val="19"/>
                <w:color w:val="auto"/>
              </w:rPr>
            </w:pPr>
          </w:p>
        </w:tc>
        <w:tc>
          <w:tcPr>
            <w:tcW w:w="144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2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923.5</w:t>
            </w:r>
          </w:p>
        </w:tc>
        <w:tc>
          <w:tcPr>
            <w:tcW w:w="0" w:type="dxa"/>
            <w:vAlign w:val="bottom"/>
          </w:tcPr>
          <w:p>
            <w:pPr>
              <w:spacing w:after="0"/>
              <w:rPr>
                <w:sz w:val="1"/>
                <w:szCs w:val="1"/>
                <w:color w:val="auto"/>
              </w:rPr>
            </w:pPr>
          </w:p>
        </w:tc>
      </w:tr>
      <w:tr>
        <w:trPr>
          <w:trHeight w:val="22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76.0 %</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367.7</w:t>
            </w:r>
          </w:p>
        </w:tc>
        <w:tc>
          <w:tcPr>
            <w:tcW w:w="0" w:type="dxa"/>
            <w:vAlign w:val="bottom"/>
          </w:tcPr>
          <w:p>
            <w:pPr>
              <w:spacing w:after="0"/>
              <w:rPr>
                <w:sz w:val="1"/>
                <w:szCs w:val="1"/>
                <w:color w:val="auto"/>
              </w:rPr>
            </w:pPr>
          </w:p>
        </w:tc>
      </w:tr>
      <w:tr>
        <w:trPr>
          <w:trHeight w:val="22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2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2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bl>
    <w:p>
      <w:pPr>
        <w:sectPr>
          <w:pgSz w:w="11900" w:h="16838" w:orient="portrait"/>
          <w:cols w:equalWidth="0" w:num="1">
            <w:col w:w="11140"/>
          </w:cols>
          <w:pgMar w:left="380" w:top="870" w:right="379" w:bottom="1440" w:gutter="0" w:footer="0" w:header="0"/>
        </w:sectPr>
      </w:pPr>
    </w:p>
    <w:bookmarkStart w:id="11" w:name="page12"/>
    <w:bookmarkEnd w:id="11"/>
    <w:p>
      <w:pPr>
        <w:jc w:val="center"/>
        <w:ind w:right="-13"/>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3"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b w:val="1"/>
          <w:bCs w:val="1"/>
          <w:color w:val="auto"/>
        </w:rPr>
        <w:t>Three and nine months ended September 30, 2020 and 2019</w:t>
      </w:r>
    </w:p>
    <w:p>
      <w:pPr>
        <w:spacing w:after="0" w:line="7"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b w:val="1"/>
          <w:bCs w:val="1"/>
          <w:color w:val="auto"/>
        </w:rPr>
        <w:t>Reconciliation of GAAP net income (loss) to Non-GAAP net income and Non-GAAP diluted net income per share</w:t>
      </w:r>
    </w:p>
    <w:p>
      <w:pPr>
        <w:spacing w:after="0" w:line="10"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0" w:lineRule="exact"/>
        <w:rPr>
          <w:sz w:val="20"/>
          <w:szCs w:val="20"/>
          <w:color w:val="auto"/>
        </w:rPr>
      </w:pPr>
    </w:p>
    <w:tbl>
      <w:tblPr>
        <w:tblLayout w:type="fixed"/>
        <w:tblInd w:w="14"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2680" w:type="dxa"/>
            <w:vAlign w:val="bottom"/>
            <w:gridSpan w:val="4"/>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4"/>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6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 (loss)</w:t>
            </w:r>
          </w:p>
        </w:tc>
        <w:tc>
          <w:tcPr>
            <w:tcW w:w="100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2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22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and other expenses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losses on equity investments</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6"/>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effects of non-GAAP adjustments</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000" w:type="dxa"/>
            <w:vAlign w:val="bottom"/>
            <w:tcBorders>
              <w:bottom w:val="single" w:sz="8" w:color="auto"/>
            </w:tcBorders>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68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Non-GAAP diluted net income per share</w:t>
            </w:r>
          </w:p>
        </w:tc>
        <w:tc>
          <w:tcPr>
            <w:tcW w:w="1000" w:type="dxa"/>
            <w:vAlign w:val="bottom"/>
            <w:tcBorders>
              <w:bottom w:val="single" w:sz="8" w:color="auto"/>
            </w:tcBorders>
          </w:tcPr>
          <w:p>
            <w:pPr>
              <w:jc w:val="right"/>
              <w:ind w:right="81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83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ind w:right="81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0.65</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83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6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auto"/>
              </w:rPr>
              <w:t>Weighted-average shares used to compute Non-GAAP diluted</w:t>
            </w:r>
          </w:p>
        </w:tc>
        <w:tc>
          <w:tcPr>
            <w:tcW w:w="10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CCEEFF"/>
            </w:tcBorders>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net income per share</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3"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b w:val="1"/>
          <w:bCs w:val="1"/>
          <w:color w:val="auto"/>
        </w:rPr>
        <w:t>Three and nine months ended September 30, 2020 and 2019</w:t>
      </w:r>
    </w:p>
    <w:p>
      <w:pPr>
        <w:spacing w:after="0" w:line="7"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b w:val="1"/>
          <w:bCs w:val="1"/>
          <w:color w:val="auto"/>
        </w:rPr>
        <w:t>Reconciliation of free cash flow and supplemental cash flow disclosure</w:t>
      </w:r>
    </w:p>
    <w:p>
      <w:pPr>
        <w:spacing w:after="0" w:line="10"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i w:val="1"/>
          <w:iCs w:val="1"/>
          <w:color w:val="auto"/>
        </w:rPr>
        <w:t>(In millions, except for percentages)</w:t>
      </w:r>
    </w:p>
    <w:p>
      <w:pPr>
        <w:spacing w:after="0" w:line="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0" w:lineRule="exact"/>
        <w:rPr>
          <w:sz w:val="20"/>
          <w:szCs w:val="20"/>
          <w:color w:val="auto"/>
        </w:rPr>
      </w:pPr>
    </w:p>
    <w:tbl>
      <w:tblPr>
        <w:tblLayout w:type="fixed"/>
        <w:tblInd w:w="14"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2720" w:type="dxa"/>
            <w:vAlign w:val="bottom"/>
            <w:gridSpan w:val="4"/>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0" w:type="dxa"/>
            <w:vAlign w:val="bottom"/>
            <w:gridSpan w:val="4"/>
          </w:tcPr>
          <w:p>
            <w:pPr>
              <w:jc w:val="right"/>
              <w:ind w:right="83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6"/>
        </w:trPr>
        <w:tc>
          <w:tcPr>
            <w:tcW w:w="43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6"/>
        </w:trPr>
        <w:tc>
          <w:tcPr>
            <w:tcW w:w="438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Free cash flow reconciliation:</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3"/>
              </w:rPr>
              <w:t>200.9</w:t>
            </w:r>
          </w:p>
        </w:tc>
        <w:tc>
          <w:tcPr>
            <w:tcW w:w="100" w:type="dxa"/>
            <w:vAlign w:val="bottom"/>
          </w:tcPr>
          <w:p>
            <w:pPr>
              <w:spacing w:after="0"/>
              <w:rPr>
                <w:sz w:val="19"/>
                <w:szCs w:val="19"/>
                <w:color w:val="auto"/>
              </w:rPr>
            </w:pPr>
          </w:p>
        </w:tc>
        <w:tc>
          <w:tcPr>
            <w:tcW w:w="100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8"/>
              </w:rPr>
              <w:t>149.7</w:t>
            </w:r>
          </w:p>
        </w:tc>
        <w:tc>
          <w:tcPr>
            <w:tcW w:w="1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400.1</w:t>
            </w:r>
          </w:p>
        </w:tc>
        <w:tc>
          <w:tcPr>
            <w:tcW w:w="120" w:type="dxa"/>
            <w:vAlign w:val="bottom"/>
          </w:tcPr>
          <w:p>
            <w:pPr>
              <w:spacing w:after="0"/>
              <w:rPr>
                <w:sz w:val="19"/>
                <w:szCs w:val="19"/>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341.7</w:t>
            </w:r>
          </w:p>
        </w:tc>
        <w:tc>
          <w:tcPr>
            <w:tcW w:w="0" w:type="dxa"/>
            <w:vAlign w:val="bottom"/>
          </w:tcPr>
          <w:p>
            <w:pPr>
              <w:spacing w:after="0"/>
              <w:rPr>
                <w:sz w:val="1"/>
                <w:szCs w:val="1"/>
                <w:color w:val="auto"/>
              </w:rPr>
            </w:pPr>
          </w:p>
        </w:tc>
      </w:tr>
      <w:tr>
        <w:trPr>
          <w:trHeight w:val="22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000" w:type="dxa"/>
            <w:vAlign w:val="bottom"/>
            <w:tcBorders>
              <w:bottom w:val="single" w:sz="8" w:color="auto"/>
            </w:tcBorders>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3"/>
              </w:rPr>
              <w:t>187.0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8"/>
              </w:rPr>
              <w:t>102.5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332.3</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Free cash flow margin</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3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38.4 %</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23.9 %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23.6 %</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2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380" w:type="dxa"/>
            <w:vAlign w:val="bottom"/>
          </w:tcPr>
          <w:p>
            <w:pPr>
              <w:ind w:left="220"/>
              <w:spacing w:after="0" w:line="173" w:lineRule="exact"/>
              <w:rPr>
                <w:sz w:val="20"/>
                <w:szCs w:val="20"/>
                <w:color w:val="auto"/>
              </w:rPr>
            </w:pPr>
            <w:r>
              <w:rPr>
                <w:rFonts w:ascii="Times New Roman" w:cs="Times New Roman" w:eastAsia="Times New Roman" w:hAnsi="Times New Roman"/>
                <w:sz w:val="18"/>
                <w:szCs w:val="18"/>
                <w:color w:val="auto"/>
              </w:rPr>
              <w:t>Capital expenditures related to our corporate</w:t>
            </w:r>
          </w:p>
        </w:tc>
        <w:tc>
          <w:tcPr>
            <w:tcW w:w="1000" w:type="dxa"/>
            <w:vAlign w:val="bottom"/>
            <w:vMerge w:val="restart"/>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5"/>
                <w:szCs w:val="15"/>
                <w:color w:val="auto"/>
              </w:rPr>
            </w:pPr>
          </w:p>
        </w:tc>
        <w:tc>
          <w:tcPr>
            <w:tcW w:w="1000" w:type="dxa"/>
            <w:vAlign w:val="bottom"/>
            <w:vMerge w:val="restart"/>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5"/>
                <w:szCs w:val="15"/>
                <w:color w:val="auto"/>
              </w:rPr>
            </w:pPr>
          </w:p>
        </w:tc>
        <w:tc>
          <w:tcPr>
            <w:tcW w:w="360" w:type="dxa"/>
            <w:vAlign w:val="bottom"/>
            <w:vMerge w:val="restart"/>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5"/>
                <w:szCs w:val="15"/>
                <w:color w:val="auto"/>
              </w:rPr>
            </w:pPr>
          </w:p>
        </w:tc>
        <w:tc>
          <w:tcPr>
            <w:tcW w:w="560" w:type="dxa"/>
            <w:vAlign w:val="bottom"/>
            <w:vMerge w:val="restart"/>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04"/>
        </w:trPr>
        <w:tc>
          <w:tcPr>
            <w:tcW w:w="4380" w:type="dxa"/>
            <w:vAlign w:val="bottom"/>
          </w:tcPr>
          <w:p>
            <w:pPr>
              <w:ind w:left="220"/>
              <w:spacing w:after="0" w:line="199" w:lineRule="exact"/>
              <w:rPr>
                <w:sz w:val="20"/>
                <w:szCs w:val="20"/>
                <w:color w:val="auto"/>
              </w:rPr>
            </w:pPr>
            <w:r>
              <w:rPr>
                <w:rFonts w:ascii="Times New Roman" w:cs="Times New Roman" w:eastAsia="Times New Roman" w:hAnsi="Times New Roman"/>
                <w:sz w:val="18"/>
                <w:szCs w:val="18"/>
                <w:color w:val="auto"/>
              </w:rPr>
              <w:t>headquarters, net of tenant improvement allowances</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38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5"/>
                <w:szCs w:val="15"/>
                <w:color w:val="auto"/>
              </w:rPr>
              <w:t>Key employee holdback payments related to the</w:t>
            </w:r>
          </w:p>
        </w:tc>
        <w:tc>
          <w:tcPr>
            <w:tcW w:w="1000" w:type="dxa"/>
            <w:vAlign w:val="bottom"/>
            <w:vMerge w:val="restart"/>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20"/>
              <w:spacing w:after="0" w:line="199" w:lineRule="exact"/>
              <w:rPr>
                <w:sz w:val="20"/>
                <w:szCs w:val="20"/>
                <w:color w:val="auto"/>
              </w:rPr>
            </w:pPr>
            <w:r>
              <w:rPr>
                <w:rFonts w:ascii="Times New Roman" w:cs="Times New Roman" w:eastAsia="Times New Roman" w:hAnsi="Times New Roman"/>
                <w:sz w:val="18"/>
                <w:szCs w:val="18"/>
                <w:color w:val="auto"/>
              </w:rPr>
              <w:t>acquisition of HelloSign</w:t>
            </w:r>
            <w:r>
              <w:rPr>
                <w:rFonts w:ascii="Times New Roman" w:cs="Times New Roman" w:eastAsia="Times New Roman" w:hAnsi="Times New Roman"/>
                <w:sz w:val="23"/>
                <w:szCs w:val="23"/>
                <w:color w:val="auto"/>
                <w:vertAlign w:val="superscript"/>
              </w:rPr>
              <w:t>(2)</w:t>
            </w:r>
          </w:p>
        </w:tc>
        <w:tc>
          <w:tcPr>
            <w:tcW w:w="100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left="-6" w:right="280" w:firstLine="6"/>
        <w:spacing w:after="0" w:line="250" w:lineRule="auto"/>
        <w:tabs>
          <w:tab w:leader="none" w:pos="154"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Capital expenditures include cash outflows related to the build-out of our corporate headquarters in San Francisco, CA. Net cash provided by operating activities include tenant improvement allowances related to our corporate headquarters, and represents cash received from our landlord to partially offset this build-out. These amounts are presented net in the table above.</w:t>
      </w:r>
    </w:p>
    <w:p>
      <w:pPr>
        <w:spacing w:after="0" w:line="200" w:lineRule="exact"/>
        <w:rPr>
          <w:rFonts w:ascii="Times New Roman" w:cs="Times New Roman" w:eastAsia="Times New Roman" w:hAnsi="Times New Roman"/>
          <w:sz w:val="19"/>
          <w:szCs w:val="19"/>
          <w:color w:val="auto"/>
          <w:vertAlign w:val="superscript"/>
        </w:rPr>
      </w:pPr>
    </w:p>
    <w:p>
      <w:pPr>
        <w:spacing w:after="0" w:line="201" w:lineRule="exact"/>
        <w:rPr>
          <w:rFonts w:ascii="Times New Roman" w:cs="Times New Roman" w:eastAsia="Times New Roman" w:hAnsi="Times New Roman"/>
          <w:sz w:val="19"/>
          <w:szCs w:val="19"/>
          <w:color w:val="auto"/>
          <w:vertAlign w:val="superscript"/>
        </w:rPr>
      </w:pPr>
    </w:p>
    <w:p>
      <w:pPr>
        <w:ind w:left="-6" w:right="60" w:firstLine="6"/>
        <w:spacing w:after="0" w:line="264" w:lineRule="auto"/>
        <w:tabs>
          <w:tab w:leader="none" w:pos="154"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part of our acquisition of HelloSign in 2019, we have employee holdback agreements with key HelloSign personnel consisting of $48.5 million in cash payments subject to on-going employee service. The related expenses are recognized within research and development expenses over the required service period of three years. The payments began in the first quarter of 2020, and will be paid evenly in quarterly installments over the remaining required service period.</w:t>
      </w:r>
    </w:p>
    <w:p>
      <w:pPr>
        <w:sectPr>
          <w:pgSz w:w="11900" w:h="16838" w:orient="portrait"/>
          <w:cols w:equalWidth="0" w:num="1">
            <w:col w:w="11214"/>
          </w:cols>
          <w:pgMar w:left="326" w:top="870"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24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and other acquisition-related expenses, which include third-party diligence costs and expenses related to key employee holdback agreements. Non-GAAP net income also excludes net gains and losses on equity investments, and includes the income tax effect of the aforementioned adjustments, including the tax effects of acquired intangible assets. FCF differs from GAAP net cash provided by operating activities in that it treats capital expenditures as a reduction to net cash provided by operating activities. Free cash flow margin is calculated as FCF divided by revenue. Non-GAAP diluted net income per share differs from GAAP diluted net loss per share in that the numerator utilizes the non-GAAP net income as described above, and the weighted average shares used in the computation include certain shares that are excluded from the GAAP diluted net loss per share calculation because their effect would have been anti-dilutive. For periods that we are in a GAAP net income position, the weighted average shares used in the computation are the same as the shares used in our non-GAAP diluted net income per share computation. In order to present revenue on a constant currency basis for the quarter ended September 30, 2020,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spacing w:after="0" w:line="214"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21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20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related to our corporate headquarters, and may be calculated differently by other companies in our industry, limiting its usefulness as a comparative measure.</w:t>
      </w:r>
    </w:p>
    <w:p>
      <w:pPr>
        <w:spacing w:after="0" w:line="21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compensates for these limitations by reconciling the non-GAAP financial measures to the most comparable GAAP financial measures. Additionally, we have provided supplemental disclosures in our reconciliation of net cash provided by operating activities to free cash flow to include capital expenditures related to our corporate headquarters, net of tenant improvement allowances and key employee holdback payments related to the acquisition of HelloSign.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220"/>
          </w:cols>
          <w:pgMar w:left="320" w:top="87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 Bradley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ir@dropbox.com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Tessa Chen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press@dropbox.com</w:t>
      </w:r>
    </w:p>
    <w:sectPr>
      <w:pgSz w:w="11900" w:h="16838" w:orient="portrait"/>
      <w:cols w:equalWidth="0" w:num="1">
        <w:col w:w="10139"/>
      </w:cols>
      <w:pgMar w:left="320" w:top="8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Roman"/>
      <w:start w:val="4"/>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2020-11-05T16:28:19Z</dcterms:created>
  <dcterms:modified xsi:type="dcterms:W3CDTF">2020-11-05T16:28:19Z</dcterms:modified>
</cp:coreProperties>
</file>