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SCHEDULE 14C INFORMATION</w:t>
      </w:r>
    </w:p>
    <w:p>
      <w:pPr>
        <w:spacing w:after="0" w:line="13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Information Statement Pursuant to Section 14(c)</w:t>
      </w:r>
    </w:p>
    <w:p>
      <w:pPr>
        <w:spacing w:after="0" w:line="2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5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line="282" w:lineRule="auto"/>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173990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311150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516" w:right="10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200660</wp:posOffset>
            </wp:positionV>
            <wp:extent cx="3334385" cy="65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334385" cy="65976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719"/>
        <w:spacing w:after="0" w:line="261" w:lineRule="auto"/>
        <w:rPr>
          <w:sz w:val="20"/>
          <w:szCs w:val="20"/>
          <w:color w:val="auto"/>
        </w:rPr>
      </w:pPr>
      <w:r>
        <w:rPr>
          <w:rFonts w:ascii="Times New Roman" w:cs="Times New Roman" w:eastAsia="Times New Roman" w:hAnsi="Times New Roman"/>
          <w:sz w:val="18"/>
          <w:szCs w:val="18"/>
          <w:color w:val="auto"/>
        </w:rPr>
        <w:t>DROPBOX, INC. 1800 OWENS STREET SAN FRANCISCO, CALIFORNIA 94158</w:t>
      </w:r>
    </w:p>
    <w:p>
      <w:pPr>
        <w:spacing w:after="0" w:line="200" w:lineRule="exact"/>
        <w:rPr>
          <w:sz w:val="20"/>
          <w:szCs w:val="20"/>
          <w:color w:val="auto"/>
        </w:rPr>
      </w:pPr>
    </w:p>
    <w:p>
      <w:pPr>
        <w:sectPr>
          <w:pgSz w:w="11900" w:h="16838" w:orient="portrait"/>
          <w:cols w:equalWidth="0" w:num="2">
            <w:col w:w="5840" w:space="720"/>
            <w:col w:w="2459"/>
          </w:cols>
          <w:pgMar w:left="1440" w:top="688" w:right="1440" w:bottom="1440" w:gutter="0" w:footer="0" w:header="0"/>
        </w:sectPr>
      </w:pPr>
    </w:p>
    <w:p>
      <w:pPr>
        <w:spacing w:after="0" w:line="20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(Preliminary)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WE ARE NOT ASKING YOU FOR A PROXY AND YOU ARE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REQUESTED NOT TO SEND US A PROXY</w:t>
      </w:r>
    </w:p>
    <w:p>
      <w:pPr>
        <w:spacing w:after="0" w:line="33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NOTICE OF STOCKHOLDER ACTION BY WRITTEN CONSENT</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GENERAL INFORMATION</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 of Dropbox, Inc.:</w:t>
      </w:r>
    </w:p>
    <w:p>
      <w:pPr>
        <w:spacing w:after="0" w:line="117"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are delivering this Notice and the accompanying Information Statement to the stockholders of record, as of the close of business on January 28, 2025 (the “Record Date”), of Class A Common Stock, par value $0.00001 per share (“Class A common stock”), and Class B Common Stock, par value $0.00001 per share (“Class B common stock”), of Dropbox, Inc. (the “Company,” “we” or “our”).</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purpose of the Information Statement is to inform our stockholders that on the Record Date, stockholders of the Company holding at least a majority of the voting power of our outstanding shares of capital stock entitled to vote, adopted resolutions by written consent in lieu of a meeting of stockholders to approve the reincorporation of the Company from the State of Delaware to the State of Nevada by conversion (the “Nevada Reincorporation”). On the Record Date, the Consenting Stockholders (as defined below) delivered to the Company a written consent (the “Written Consent”) to approve the Nevada Reincorporation.</w:t>
      </w:r>
    </w:p>
    <w:p>
      <w:pPr>
        <w:spacing w:after="0" w:line="79" w:lineRule="exact"/>
        <w:rPr>
          <w:sz w:val="20"/>
          <w:szCs w:val="20"/>
          <w:color w:val="auto"/>
        </w:rPr>
      </w:pPr>
    </w:p>
    <w:p>
      <w:pPr>
        <w:jc w:val="both"/>
        <w:ind w:left="300" w:right="319"/>
        <w:spacing w:after="0" w:line="257" w:lineRule="auto"/>
        <w:rPr>
          <w:sz w:val="20"/>
          <w:szCs w:val="20"/>
          <w:color w:val="auto"/>
        </w:rPr>
      </w:pPr>
      <w:r>
        <w:rPr>
          <w:rFonts w:ascii="Times New Roman" w:cs="Times New Roman" w:eastAsia="Times New Roman" w:hAnsi="Times New Roman"/>
          <w:sz w:val="18"/>
          <w:szCs w:val="18"/>
          <w:color w:val="auto"/>
        </w:rPr>
        <w:t>The “Consenting Stockholders” are, collectively, Andrew Houston, the Houston Remainder Trust u/a/ 12/30/2010, Andrew Houston Revocable Trust u/a/d 9/7/2011, and the Houston 2012 Irrevocable Children’s Trust dated 4/12/2012. As of the close of business on the Record Date, the Consenting Stockholders together held 8,983,394 shares of the Company’s Class A Common Stock and 75,987,893 shares of the Company’s Class B common stock, representing approximately 77.3% of the voting power of our outstanding shares of capital stock entitled to vote.</w:t>
      </w:r>
    </w:p>
    <w:p>
      <w:pPr>
        <w:spacing w:after="0" w:line="29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purpose of this Notice and the accompanying Information Statement is to (1) inform the Company’s stockholders of the action described above before it takes effect in accordance with Rule 14c-2 promulgated under the Securities Exchange Act of 1934, as amended (the “Exchange Act”), and (2) provide the notice to our stockholders of a corporate action taken by our stockholders without a meeting as required under Section 228(e) of the General Corporation Law of the State of Delaware. In accordance with Rule 14c-2 under the Exchange Act, we plan to effectuate the Nevada Reincorporation no earlier than twenty (20) calendar days after the commencement of mailing of this Information Statement to our stockholders. The Information Statement is first being mailed to stockholders on or about February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1781175</wp:posOffset>
            </wp:positionH>
            <wp:positionV relativeFrom="paragraph">
              <wp:posOffset>-29210</wp:posOffset>
            </wp:positionV>
            <wp:extent cx="228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6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Nevada Reincorporation was unanimously approved and recommended by our board of directors prior to the stockholder action by written consent described in the Information Statement.</w:t>
      </w:r>
    </w:p>
    <w:p>
      <w:pPr>
        <w:spacing w:after="0" w:line="7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342900</wp:posOffset>
            </wp:positionV>
            <wp:extent cx="2606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-7620</wp:posOffset>
            </wp:positionV>
            <wp:extent cx="2286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1800 Owens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this Information Statement, unless the context otherwise requires, “Dropbox, Inc.,” the “Company,” “we,” “us” and “our” and similar expressions refer to Dropbox, Inc., a Delaware corporation. This Information Statement is being sent to inform our stockholders that stockholders holding a majority of the voting power of the Company’s outstanding Class A Common Stock, par value $0.00001 per share (“Class A Common Stock”), and Class B Common Stock, par value $0.00001 per share (“Class B Common Stock” and together with the Class A Common Stock, “Common Stock”), voting together as a single class, took action by written consent to approve the reincorporation of the Company from the State of Delaware to the State of Nevada (the “Nevada Reincorporation”) by conversion pursuant to which the Company would be converted from a corporation organized under the laws of the State of Delaware to a corporation organized under the laws of the State of Nevada (the “Nevada Corporation”). On January 17, 2025, our board of directors unanimously approved and recommended the Nevada Reincorporation for approval by the Company’s stockholders. On January 28, 2025, the Consenting Stockholders (as defined below) delivered to the Company a written consent (the “Written Consent”) approving the Nevada Reincorporation, including the resolutions of our board of directors approving the Nevada Reincorporation (the “Nevada Reincorporation Resolutions”).</w:t>
      </w:r>
    </w:p>
    <w:p>
      <w:pPr>
        <w:spacing w:after="0" w:line="8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This Information Statement is being sent on February __, 2025 to the Company’s stockholders of record as of January 28, 2025 (the “Record Date”) that did not execute the Written Consent. This Information Statement constitutes notice to our stockholders of a corporate action taken by our stockholders without a meeting as required by Section 228 of the General Corporation Law of the State of Delaware (the “DGCL”).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pay the costs of preparing and sending out the enclosed Notice and this Information Statement. We will require brokerage houses, nominees, custodians, fiduciaries and other like parties to forward this Information Statement to the beneficial owners of our Class A Common Stock and Class B Common Stock held by them and we will reimburse such persons for out-of-pocket expenses incurred in forwarding such materials.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 ARE NOT ASKING YOU FOR A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YOU ARE REQUESTED NOT TO SEND US A PROXY</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Action by Written Consent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Section 228 of the DGCL, Article VIII.5 of the restated certificate of incorporation of the Company (the “Delaware Charter”) and Section 2.10 of the Company’s Amended and Restated Bylaws (the “Delaware Bylaws”) provide that stockholders of the Company may act by written consent without a meeting, without prior notice and without a vote, if a consent or consents in writing, setting forth the actions to be taken, are signed by stockholders holding a number of outstanding shares representing not less than the minimum number of votes that would be necessary to authorize or take such actions at a meeting at which all shares entitled to vote thereon were present and voted and, pursuant to the Delaware Charter, the action is first recommended or approved by our board of directors. Pursuant to Section 266 of the DGCL, the Nevada Reincorporation may be approved by the affirmative vote of a majority of the voting power of the outstanding shares of the capital stock of the Company entitled to vote thereon.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the Record Date, the Consenting Stockholders held 8,983,394 shares of Class A Common Stock and 75,987,893 shares of Class B Common Stock, representing approximately 77.3% of the voting power of the outstanding shares of capital stock of the Company, on a combined basis. All of the shares of capital stock of the Company held by the Consenting Stockholders are beneficially owned by Andrew Houston. Mr. Houston is the Company’s Chairman of the Board and Chief Executive Officer.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and Vote Required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is not seeking consents, authorizations or proxies from you. Approval of the holders of a majority of the voting power of the outstanding Class A Common Stock and Class B Common Stock, voting together as a single class, was required to approve the Nevada Reincorporation.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 w:name="page4"/>
    <w:bookmarkEnd w:id="3"/>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the Record Date, there were 224,977,458 shares of Class A Common Stock outstanding and entitled to vote, and 76,925,771 shares of Class B Common Stock outstanding and entitled to vote. On January 28, 2025, the Company received the Written Consent from the Consenting Stockholders approving the Nevada Reincorporation. Receipt of the Written Consent from the Consenting Stockholders representing a majority of the voting power of the outstanding shares of capital stock of the Company, on a combined basis, following approval by our board of directors, satisfies the requirements of Section 266 of the DGCL and Article VIII.5 of the Delaware Charter and Section 2.10 of the Delaware Bylaws.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Pursuant to Section 228(e) of the DGCL</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Pursuant to Section 228(e) of the DGCL, the Company is required to provide prompt notice of the taking of a corporate action by less than unanimous written consent of stockholders to those stockholders as of the record date for the action by consent who have not consented and who would have been entitled to notice of the meeting if the action had been taken at a meeting and the record date for the notice of the meeting were the record date for the action by consent. This Information Statement serves as the notice required by Section 228(e) of the DGCL.</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Terms of the Nevada Reincorporation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of directors has unanimously approved, and recommended that our stockholders approve, the Nevada Reincorporation, pursuant to which the Company would be converted from a corporation organized under the laws of the State of Delaware to the Nevada Corporation, and adopt the Nevada Reincorporation Resolution included as Appendix A to this Information Statement.</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Nevada Reincorporation will be effected through a conversion pursuant to Section 266 of the DGCL, and Sections 92A.195 and 92A.205 of the Nevada Revised Statutes, as amended (“NRS”), as set forth in the plan of conversion (the “Plan of Conversion”), included as Appendix B to this Information Statement.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the adoption of the Plan of Conversion, upon the Nevada Reincorporation:</w:t>
      </w:r>
    </w:p>
    <w:p>
      <w:pPr>
        <w:spacing w:after="0" w:line="63" w:lineRule="exact"/>
        <w:rPr>
          <w:sz w:val="20"/>
          <w:szCs w:val="20"/>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in existence as a Nevada corporation and will continue to operate our business under the current name, “Dropbox, Inc.” The corporate existence of Dropbox, Inc. will not cease at any time.</w:t>
      </w:r>
    </w:p>
    <w:p>
      <w:pPr>
        <w:spacing w:after="0" w:line="1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affairs of the Company will cease to be governed by Delaware law and will instead be subject to Nevada law. See “What Changes After Nevada Reincorporation?—Certain Differences in Stockholder Rights under Delaware and Nevada Law” below.</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cease to be governed by the Delaware Charter, which is included as Appendix C to this Information Statement, and the Delaware Bylaws, which are included as Appendix D to this Information Statement, and will instead be subject to the provisions of the proposed Nevada articles of incorporation (the “Nevada Charter”) and the proposed Nevada bylaws (the “Nevada Bylaws”), forms of which are included as Appendix E and Appendix F, respectively, to this Information Statement. See “What Changes After Nevada Reincorporation?—Certain Differences Between the Delaware Charter and Bylaws and Nevada Charter and Bylaws” below.</w:t>
      </w:r>
    </w:p>
    <w:p>
      <w:pPr>
        <w:spacing w:after="0" w:line="2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Reincorporation will not result in any change in headquarters, business, jobs, management, properties, location of any of our offices or facilities, number of employees, obligations, assets, liabilities or net worth (other than as a result of the transaction costs related to the Nevada Reincorporation).</w:t>
      </w:r>
    </w:p>
    <w:p>
      <w:pPr>
        <w:spacing w:after="0" w:line="1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our Class A Common Stock will be automatically converted into one outstanding share of Class A Common Stock of the Nevada Corporation pursuant to the Plan of Conversion.</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our Class B Common Stock will be automatically converted into one outstanding share of the Class B Common Stock of the Nevada Corporation pursuant to the Plan of Conversion.</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need to exchange their existing stock certificates or book entry entitlements for new stock certificates or book entry entitlements, respectively.</w:t>
      </w:r>
    </w:p>
    <w:p>
      <w:pPr>
        <w:spacing w:after="0" w:line="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restricted stock award, restricted stock unit (including performance units), option or right to acquire shares of our Class A Common Stock or Class B Common Stock, as applicable, will continue in existence and automatically become a restricted stock award, restricted stock unit, option or right to acquire an equal number of shares of Class A Common Stock or Class B Common Stock, as applicable, of the Nevada Corporation under the same terms and conditions.</w:t>
      </w:r>
    </w:p>
    <w:p>
      <w:pPr>
        <w:spacing w:after="0" w:line="2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will continue to be traded on The Nasdaq Global Select Market under the symbol “DBX.” We do not expect any interruption in the trading of our Class A Common Stock as a result of the Nevada Reincorporation.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 w:name="page5"/>
    <w:bookmarkEnd w:id="4"/>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connection with the Nevada Reincorporation, the Company intends to make filings with the Secretary of State of Nevada and the Secretary of State of Delaware and does not anticipate making any other filings to effect the Nevada Reincorporation. Nonetheless, we may face legal challenges to the Nevada Reincorporation, including, among others, stockholder challenges under Delaware law, seeking to delay or prevent the Nevada Reincorporation.</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Nevada Reincorporation may be delayed by our board of directors, or the Plan of Conversion may be terminated and abandoned by action of our board of directors, at any time prior to the effectiveness of the conversion (the “Effective Time”), if our board of directors determines for any reason that such delay or abandonment would be in the best interests of the Company and all of its stockholders.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not entitled to appraisal rights with respect to the Nevada Reincorporation. If the Nevada Reincorporation is completed, holders of record and beneficial owners of our Class B Common Stock who (1) do not consent to or otherwise vote in favor of the Nevada Reincorporation; (2) properly demand appraisal of their shares; (3) continuously hold of record or beneficially own their shares through the Effective Time; (4) otherwise comply with the procedures of Section 262 of the DGCL; and (5) do not withdraw their demands or otherwise lose their rights to appraisal may, subject to the conditions thereof, seek appraisal of their shares in connection with the Nevada Reincorporation under Section 262 of the DGCL. As a matter of law, the Consenting Stockholders have waived their appraisal rights by virtue of consenting to the Nevada Reincorporation.</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Nevada Reincorporation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Like many corporations, Dropbox incorporated in Delaware. A large number of U.S. corporations have historically chosen Delaware as their state of incorporation because of, among other reasons, the extensive experience of the Delaware courts in adjudicating corporate and business-related matters.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is in a transformational period. The Company’s core File, Sync and Share business has matured, and the Company has been working to build its next phase of growth with products like Dash, our standalone universal search product that leverages artificial intelligence and machine learning to help organize our users’ cloud content. Artificial intelligence gives us new tools to address universal problems, such as spending too much time searching for files, organizing and sharing cloud content across platforms. This market is moving fast and investors are pouring hundreds of millions of dollars into the space. This both validates the opportunity the Company has been pursuing and underscores the need for even more urgency, aggressive investment, and decisive action. Recently, the Company reduced its workforce by approximately 20%, cutting areas where the Company was over-invested or underperforming to better align our teams around key priorities. Further, the Company announced a $2.0 billion secured term loan and a $1.2 billion repurchase program to support the Company’s capital return commitment and also further invest in the Company’s strategy to accelerate the growth of new products. It will take time to change the Company’s growth trajectory, and the Company needs to stay focused and prioritize to capture the opportunity.</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part of its ongoing monitoring of the legal environment for corporations, members of the Company’s management have generally considered matters relating to Delaware law and the differences among jurisdictions for corporate domiciliation and have apprised our board of directors of those matters, in particular at a board meeting in September 2024.</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 Evaluation of the Nevada Reincorporation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a meeting held on October 23, 2024, our board of directors, Chief Legal Officer and representatives of Wilson Sonsini Goodrich &amp; Rosati, P.C. (“Wilson Sonsini”), counsel to the Company, met to discuss a number of matters, including a potential reincorporation by the Company and an appropriate process by which our board of directors could evaluate whether the Company should undertake a reincorporation.</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of directors agreed at that meeting to form a committee of our board of directors (the “evaluation committee”) that could function as a working group to study and evaluate the relevant information and considerations and receive input from advisors, experts, members of the Company’s management and any other persons it deemed appropriate, and make a recommendation to the board of directors with respect to a potential reincorporation.</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members of the evaluation committee were Lisa Campbell, who served as chairperson, Paul Jacobs and Karen Peacock. In addition, Don Blair, the Company’s lead independent director, was named an ex officio member of the evaluation committee. The board of directors believed these directors were appropriate to comprise the evaluation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 w:name="page6"/>
    <w:bookmarkEnd w:id="5"/>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committee because Ms. Campbell and Dr. Jacobs constitute the Company’s Nominating and Corporate Governance Committee, which is responsible for reviewing and recommending to the board of directors any changes to the Company’s corporate governance framework (including to its certificate of incorporation and bylaws); Ms. Peacock has significant experience in executive-level operational roles, including in organizations navigating business transformations similar to that confronting the Company; and Mr. Blair is the Company’s lead independent director.</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Following its formation, the evaluation committee met formally on six occasions. All members of the evaluation committee were present at each of these evaluation committee meetings. In addition to formal meetings, representatives of Wilson Sonsini, counsel to the Company, and representatives of Cadwalader, Wickersham &amp; Taft LLP (“Cadwalader”), counsel to the evaluation committee, convened on multiple occasions throughout the process to discuss certain logistical and procedural matters. These discussions facilitated the efficient coordination of the evaluation committee’s work and ensured that all relevant parties were aligned on the process.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evaluation process and after interviewing three law firms, the evaluation committee determined to engage Cadwalader as outside counsel to the evaluation committee. Additionally, to assist the evaluation committee in considering a potential reincorporation, the evaluation committee elected to engage a corporate law and governance expert, Professor Steven Davidoff Solomon of the University of California, Berkeley School of Law. The evaluation committee also received input from Brownstein Hyatt Farber Schreck, LLP (“BHFS), the Company’s Nevada counsel, with regard to matters of Nevada law.</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evaluation committee met on November 4, 2024 to discuss various considerations regarding a potential reincorporation. Representatives of Wilson Sonsini, the Company and BHFS participated in a substantial portion of the meeting, after which the evaluation committee met in executive session without external representatives for the balance of the meeting.</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On November 14, 2024, the evaluation committee met to discuss the committee process, governance for the committee, topics to be covered and advisors that the evaluation committee wished to engage. Representatives of the Company joined the evaluation committee briefly at the beginning of the meeting, and the remainder of the meeting was conducted exclusively with members of the evaluation committee present.</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November 21, 2024, the evaluation committee began by meeting with representatives of Cadwalader, during which Stephen Fraidin of Cadwalader reiterated to the evaluation committee the rationale for the evaluation committee’s formation and its mandate to become informed with respect to a potential reincorporation. Mr. Fraidin also provided a brief explanation of recent developments in Delaware case law and explained various legal concepts relevant to the evaluation committee’s deliberations. Following this discussion, representatives of Wilson Sonsini, the Company and BHFS, along with Professor Solomon, joined the meeting. As part of his engagement, Professor Solomon presented on various matters, including the value attributable to a company’s situs of incorporation, perspectives on potential states to which the Company could reincorporate and legal and policy distinctions between Delaware and Nevada. After discussion, the evaluation committee convened in executive session with only members of the evaluation committee and representatives of Cadwalader present.</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November 25, 2024, the evaluation committee met to discuss a presentation from Cadwalader, which covered certain reincorporation considerations in Delaware, Maryland and Nevada. Mr. Fraidin provided a voice-over narrative while presenting, and members of the evaluation committee asked questions during and after the presentation. The evaluation committee discussed the evolving legal environment in Delaware and recent development in Delaware case law as part of a larger discussion regarding the current legal climate in Delaware. Attendance at such meeting was limited to evaluation committee members and representatives of Cadwalader.</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At a meeting of our board of directors on December 10, 2024, the evaluation committee reported on the status of its activities to our board of directors.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Thereafter, on December 16, 2024, the evaluation committee met to discuss and evaluate the Company’s potential reincorporation, and to further discuss the evaluation committee’s recommendation to the board of directors. The evaluation committee initially convened with representatives of Cadwalader, who were later joined by representatives of Wilson Sonsini and the Company. With representatives of the Wilson Sonsini and the Company present, there was further discussion of the evaluation committee’s recommendation, including the committee’s unanimous view that the reincorporation was in the best interests of all stockholders. The meeting concluded with an executive session attended by members of the evaluation committee and representatives of Cadwalader.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 w:name="page7"/>
    <w:bookmarkEnd w:id="6"/>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Finally, on January 7, 2025, the evaluation committee met with representatives of Cadwalader to address additional questions of the evaluation committee and certain logistical matters.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Evaluation Committee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After extensive discussion at the evaluation committee meetings, the evaluation committee concluded that the Company and its stockholders would likely be better served during this period of business transformation by Nevada’s business-oriented legal environment. After considering various alternatives, the evaluation committee concluded that Nevada’s statute-focused approach would likely foster more predictability than Delaware’s less predictable common law approach, and that that predictability could be a competitive advantage for the Company in a time of rapid business transformation. At a meeting on January 17, 2025, the evaluation committee delivered its preliminary recommendation, subject to further discussion with the entire board of directors, that the board of directors approve the reincorporation of the Company in Nevada.</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January 17, 2025, at a meeting of our board of directors, the chairperson of the evaluation committee reported the evaluation committee’s recommendation of the Nevada Reincorporation to our board of directors and summarized for our board of directors the evaluation committee’s process, the factors considered by the evaluation committee and the evaluation committee’s rationale in recommending the Nevada Reincorporation to our board of directors. At that meeting, after discussion and consideration, our board of directors unanimously approved the Nevada Reincorporation and recommended that our stockholders approve the Nevada Reincorporation (including the Plan of Conversion, Nevada Charter and Nevada Bylaws) and adopt the Nevada Reincorporation Resolution. On January 28, 2025, the stockholders approved the Nevada Reincorporation (including the Plan of Conversion, Nevada Charter and Nevada Bylaws) and adopted the Nevada Reincorporation Resolution by written consent in lieu of a meeting.</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Nevada Reincorporation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there are several reasons the Nevada Reincorporation is in the best interests of the Company and its stockholders.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above, the Company is in a transformational period. The evaluation committee and our board of directors determined that it is important for the Company to be able to operate with agility during this period of business transformation and that it would be competitively advantageous for the Company to have a predictable, statute-focused legal environment during a time of rapid business change. The evaluation committee and our board of directors considered Nevada’s statute-focused approach to corporate law and other merits of Nevada law and determined that Nevada’s approach to corporate law is likely to foster more predictability than Delaware’s approach. Among other things, the Nevada statutes codify the fiduciary duties of directors and officers, which decreases reliance on judicial interpretation and promotes stability and certainty for corporate decision-making. The evaluation committee and our board of directors also considered the increasingly litigious environment in Delaware, which has engendered less meritorious and costly litigation and has the potential to cause unnecessary distraction to the Company’s directors and management team and potential delay in the Company’s response to the evolving business environment. The evaluation committee and our board of directors believe that a more predictable legal environment will better permit the Company to respond to emerging business trends and conditions as needed.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Risks Associated with the Nevada Reincorporation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Although our board of directors believes that the Nevada Reincorporation is in the best interests of the Company and its stockholders, there can be no assurance that the Nevada Reincorporation will result in all or any of the benefits described in this Information Statement, including the benefits of or resulting from incorporation in Nevada or the application of Nevada law to the internal affairs of the Company.</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Company’s comparison of stockholders’ rights and the material substantive provisions that apply to the board of directors and executive officers under Delaware and Nevada law, see “What Changes After Nevada Reincorporation?—Certain Differences in Stockholder Rights under Delaware and Nevada Law” below.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Between Delaware and Nevada Law</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Although our board of directors believes that the rights of stockholders under the DGCL and the NRS are substantially the same, the DGCL and Delaware case law collectively are different in certain respects than the NRS and existing Nevada case law in ways that may affect the rights of our stockholders. Please see the Company’s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 w:name="page8"/>
    <w:bookmarkEnd w:id="7"/>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summary of certain differences in the section titled “What Changes After Nevada Reincorporation?—Certain Differences in Stockholder Rights under Delaware and Nevada Law.” For instance, as further explained in the Company’s summary below, under the NRS, a stockholder may inspect a Nevada corporation’s articles of incorporation, bylaws and stock ledger, subject to certain limitations, if such stockholder holds at least 5% of the outstanding shares of stock of the Nevada corporation or has been a holder of shares for at least six months. In addition, the NRS provides that a stockholder may inspect the books of account and financial statements of a Nevada corporation if such stockholder holds at least 15% of the outstanding shares of stock of the Nevada corporation; however, these additional inspection rights are generally not available for stockholders of publicly traded companies. The DGCL, by comparison, does not require that a stockholder hold a certain number of shares or hold such shares for a stated period of time prior to exercising their books and records inspection rights. Thus, it is possible that some of our stockholders entitled to make a books and records demand today (as stockholders in a Delaware corporation) will not be able to make a similar demand following the Nevada Reincorporation.</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addition, the NRS expressly permits directors and officers to consider all relevant facts, circumstances, contingencies or constituencies, including approving or taking an action that factors in the interests of stakeholders other than the corporation’s stockholders, such as employees, suppliers and the community. Under Delaware law, by comparison, there is no express statutory authority to consider such interests, and fiduciary duties in most circumstances require directors to seek to maximize the value of the corporation for the long-term benefit of the stockholders unless the corporation is specifically incorporated as a public benefit corporation. As a result, as a Nevada corporation, it is possible that our directors and officers may consider the interests of other constituencies in a manner different from what Delaware law may require.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board of directors has identified certain other areas where the law in Nevada differs in some respect from that of Delaware. These are generally procedural in nature. The most potentially important area is related to antitakeover protections. Both Delaware and Nevada permit a range of antitakeover defenses, including poison pills. Both have prohibitions on business combinations with “interested” stockholders owning certain proportions of the outstanding shares, though they apply at different ownership thresholds and have differing moratorium periods: 15% of the voting power of the outstanding voting stock for three years in Delaware and 10% of the voting or investment power of the outstanding voting stock for up to four years in Nevada. Both allow for classified boards of directors, though there are different default standards for director removal: in Delaware, unless the certificate of incorporation provides otherwise, directors on a classified board may only be removed for cause and by the holders of at least a majority of the voting power of the outstanding shares entitled to vote at an election of directors, and in Nevada, there is no distinction between removals for cause and removals without cause, and a two-thirds vote is generally required to remove any director. Another potential area of difference involves cash-out merger transactions (i.e., when one company buys another company and pays the stockholders of the bought company in cash) and directors’ obligations: in such transactions, the NRS allows directors to consider all relevant facts, circumstances, contingencies or constituencies, which may include the interests of stakeholders other than stockholders. Delaware law, at least in certain circumstances, requires directors to accept the highest price reasonably available, although in many circumstances they are allowed, as directors of a Nevada corporation would be, to “just say no” to a potential transaction and consider the long-term interests of the corporation and its stockholders.</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Finally, there are various important common law doctrines under Delaware law that have not been adopted by Nevada courts or adopted in the Nevada statutes.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 and Litigation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incurred and will incur certain costs in connection with the Nevada Reincorporation, including certain filing fees and legal and other transaction costs. We believe a majority of the costs related to the transaction have already been incurred or will be incurred in connection with the delivery of this Information Statement to stockholders regardless of whether the Nevada Reincorporation is ultimately completed. Many of the expenses that will be incurred and other potential transaction costs are difficult to accurately estimate at the present time, and additional unanticipated costs may be incurred in connection with the Nevada Reincorporation.</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also possible that the Nevada Reincorporation, regardless of merit, results in litigation, with additional expense and distraction for the Company. Further, if a court determines that any such litigation has merit, we may be required to pay substantial monetary damages or attorneys’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8"/>
          <w:szCs w:val="18"/>
          <w:b w:val="1"/>
          <w:bCs w:val="1"/>
          <w:color w:val="auto"/>
        </w:rPr>
        <w:t>What Changes After Nevada Reincorporation?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Nevada Reincorporation will effect a change in the legal domicile of the Company and other changes, the most significant of which are described below. Following the Nevada Reincorporation, we will be governed by the NRS instead of the DGCL, and we will be governed by the Nevada Charter and the Nevada Bylaws instead of the Delaware Charter and the Delaware Bylaws. Copies of the Delaware Charter and Delaware Bylaws are included as Appendix C and Appendix D, respectively, to this Information Statement, and copies of the Nevada Charter and Nevada Bylaws are included as Appendix E and Appendix F, respectively, to this Information Statement.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Between the Delaware Charter and Bylaws and the Nevada Charter and Bylaws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Nevada Charter and the Nevada Bylaws have been drafted with an intent to parallel the Delaware Charter and the Delaware Bylaws to the extent legally possible. However, there are differences between what your rights are under Delaware law and what they will be under Nevada law. In addition, there are differences between the Delaware Charter and Delaware Bylaws and the Nevada Charter and Nevada Bylaws as they will be in effect after the Nevada Reincorporation, particularly with respect to changes (i) that are required by Nevada law or (ii) that are necessary in order to preserve the current rights of stockholders and powers of the board of directors following the Nevada Reincorporation. The following discussion is a summary of certain differences between the Nevada Charter and Nevada Bylaws and the Delaware Charter and Delaware Bylaws. This summary does not cover all the differences between the Delaware Charter and Delaware Bylaws and the Nevada Charter and Nevada Bylaws. This summary is subject to the complete text of the relevant provisions of the Nevada Charter and Nevada Bylaws and the Delaware Charter and Delaware Bylaws. We encourage you to read those documents carefully.</w:t>
      </w:r>
    </w:p>
    <w:p>
      <w:pPr>
        <w:sectPr>
          <w:pgSz w:w="11900" w:h="16838" w:orient="portrait"/>
          <w:cols w:equalWidth="0" w:num="1">
            <w:col w:w="9019"/>
          </w:cols>
          <w:pgMar w:left="1440" w:top="239" w:right="1440" w:bottom="1440" w:gutter="0" w:footer="0" w:header="0"/>
        </w:sectPr>
      </w:pP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3"/>
        </w:trPr>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1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Delaware Charter provides that, to the</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Regarding</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fullest extent permitted by the DGCL, 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of</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the Company shall not be liable to</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 of</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or  its  stockholders  for</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monetary damages for breach of fiduciary</w:t>
            </w: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duty as a director, except (a) for any breach</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of  the  director’s  duty  of  loyalty  to  the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or its stockholders; (b) for acts or</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omissions not in good faith or involving</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  misconduct  or  a  knowing</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violation of law; (c) for the payment of</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unlawful  dividends,  stock  repurchases  or</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or (d) for any transaction in</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which  the  director  received  an  improper</w:t>
            </w: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personal benefit.</w:t>
            </w: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108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5"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The NRS, which the Nevada Charter follows, provides that directors and officers are not individually liable to the Company, its stockholders or creditors, unless the presumption of Nevada’s codified “business judgment rule” has been rebutted and it is proven that such person has breached such person’s fiduciary duties as a director or officer and such breach involved intentional misconduct, fraud or a knowing violation of law. Note that Nevada law, which covers both directors and officers, does not categorically exempt breaches of duty of loyalty from exculpation. Liability of directors for improper payment of dividends is subject to the same exculpatory standard applicable to other liabilities.</w:t>
      </w:r>
    </w:p>
    <w:p>
      <w:pPr>
        <w:spacing w:after="0" w:line="200" w:lineRule="exact"/>
        <w:rPr>
          <w:sz w:val="20"/>
          <w:szCs w:val="20"/>
          <w:color w:val="auto"/>
        </w:rPr>
      </w:pPr>
    </w:p>
    <w:p>
      <w:pPr>
        <w:sectPr>
          <w:pgSz w:w="11900" w:h="16838" w:orient="portrait"/>
          <w:cols w:equalWidth="0" w:num="2">
            <w:col w:w="5180" w:space="220"/>
            <w:col w:w="3619"/>
          </w:cols>
          <w:pgMar w:left="1440" w:top="239" w:right="1440" w:bottom="1440" w:gutter="0" w:footer="0" w:header="0"/>
          <w:type w:val="continuous"/>
        </w:sectPr>
      </w:pPr>
    </w:p>
    <w:p>
      <w:pPr>
        <w:spacing w:after="0" w:line="43"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Under the Delaware Bylaws, the Delaware</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Court of Chancery is the sole and exclusive</w:t>
      </w:r>
    </w:p>
    <w:p>
      <w:pPr>
        <w:spacing w:after="0" w:line="9" w:lineRule="exact"/>
        <w:rPr>
          <w:sz w:val="20"/>
          <w:szCs w:val="20"/>
          <w:color w:val="auto"/>
        </w:rPr>
      </w:pPr>
    </w:p>
    <w:p>
      <w:pPr>
        <w:ind w:left="300"/>
        <w:spacing w:after="0"/>
        <w:tabs>
          <w:tab w:leader="none" w:pos="1860" w:val="left"/>
          <w:tab w:leader="none" w:pos="2440" w:val="left"/>
          <w:tab w:leader="none" w:pos="2800" w:val="left"/>
          <w:tab w:leader="none" w:pos="3160" w:val="left"/>
          <w:tab w:leader="none" w:pos="3560" w:val="left"/>
          <w:tab w:leader="none" w:pos="4420" w:val="left"/>
          <w:tab w:leader="none" w:pos="5000" w:val="left"/>
        </w:tabs>
        <w:rPr>
          <w:sz w:val="20"/>
          <w:szCs w:val="20"/>
          <w:color w:val="auto"/>
        </w:rPr>
      </w:pPr>
      <w:r>
        <w:rPr>
          <w:rFonts w:ascii="Times New Roman" w:cs="Times New Roman" w:eastAsia="Times New Roman" w:hAnsi="Times New Roman"/>
          <w:sz w:val="18"/>
          <w:szCs w:val="18"/>
          <w:b w:val="1"/>
          <w:bCs w:val="1"/>
          <w:color w:val="auto"/>
        </w:rPr>
        <w:t>Forum</w:t>
      </w:r>
      <w:r>
        <w:rPr>
          <w:sz w:val="20"/>
          <w:szCs w:val="20"/>
          <w:color w:val="auto"/>
        </w:rPr>
        <w:tab/>
      </w:r>
      <w:r>
        <w:rPr>
          <w:rFonts w:ascii="Times New Roman" w:cs="Times New Roman" w:eastAsia="Times New Roman" w:hAnsi="Times New Roman"/>
          <w:sz w:val="18"/>
          <w:szCs w:val="18"/>
          <w:color w:val="auto"/>
        </w:rPr>
        <w:t>forum</w:t>
        <w:tab/>
        <w:t>for</w:t>
        <w:tab/>
        <w:t>(1)</w:t>
        <w:tab/>
        <w:t>any</w:t>
        <w:tab/>
        <w:t>derivative</w:t>
        <w:tab/>
        <w:t>action</w:t>
        <w:tab/>
        <w:t>or</w:t>
      </w:r>
    </w:p>
    <w:p>
      <w:pPr>
        <w:spacing w:after="0" w:line="9" w:lineRule="exact"/>
        <w:rPr>
          <w:sz w:val="20"/>
          <w:szCs w:val="20"/>
          <w:color w:val="auto"/>
        </w:rPr>
      </w:pPr>
    </w:p>
    <w:p>
      <w:pPr>
        <w:ind w:left="300"/>
        <w:spacing w:after="0"/>
        <w:tabs>
          <w:tab w:leader="none" w:pos="1860" w:val="left"/>
          <w:tab w:leader="none" w:pos="2840" w:val="left"/>
          <w:tab w:leader="none" w:pos="3600" w:val="left"/>
          <w:tab w:leader="none" w:pos="3960" w:val="left"/>
          <w:tab w:leader="none" w:pos="4600" w:val="left"/>
          <w:tab w:leader="none" w:pos="4940" w:val="left"/>
        </w:tabs>
        <w:rPr>
          <w:sz w:val="20"/>
          <w:szCs w:val="20"/>
          <w:color w:val="auto"/>
        </w:rPr>
      </w:pPr>
      <w:r>
        <w:rPr>
          <w:rFonts w:ascii="Times New Roman" w:cs="Times New Roman" w:eastAsia="Times New Roman" w:hAnsi="Times New Roman"/>
          <w:sz w:val="18"/>
          <w:szCs w:val="18"/>
          <w:b w:val="1"/>
          <w:bCs w:val="1"/>
          <w:color w:val="auto"/>
        </w:rPr>
        <w:t>Adjudication for</w:t>
      </w:r>
      <w:r>
        <w:rPr>
          <w:sz w:val="20"/>
          <w:szCs w:val="20"/>
          <w:color w:val="auto"/>
        </w:rPr>
        <w:tab/>
      </w:r>
      <w:r>
        <w:rPr>
          <w:rFonts w:ascii="Times New Roman" w:cs="Times New Roman" w:eastAsia="Times New Roman" w:hAnsi="Times New Roman"/>
          <w:sz w:val="18"/>
          <w:szCs w:val="18"/>
          <w:color w:val="auto"/>
        </w:rPr>
        <w:t>proceeding</w:t>
        <w:tab/>
        <w:t>brought</w:t>
        <w:tab/>
        <w:t>on</w:t>
        <w:tab/>
        <w:t>behalf</w:t>
        <w:tab/>
        <w:t>of</w:t>
        <w:tab/>
        <w:t>the</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Disputes</w:t>
      </w:r>
      <w:r>
        <w:rPr>
          <w:sz w:val="20"/>
          <w:szCs w:val="20"/>
          <w:color w:val="auto"/>
        </w:rPr>
        <w:tab/>
      </w:r>
      <w:r>
        <w:rPr>
          <w:rFonts w:ascii="Times New Roman" w:cs="Times New Roman" w:eastAsia="Times New Roman" w:hAnsi="Times New Roman"/>
          <w:sz w:val="18"/>
          <w:szCs w:val="18"/>
          <w:color w:val="auto"/>
        </w:rPr>
        <w:t>Company, (2) any action asserting a claim of</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breach of a fiduciary duty owed by any</w:t>
      </w:r>
    </w:p>
    <w:p>
      <w:pPr>
        <w:spacing w:after="0" w:line="9" w:lineRule="exact"/>
        <w:rPr>
          <w:sz w:val="20"/>
          <w:szCs w:val="20"/>
          <w:color w:val="auto"/>
        </w:rPr>
      </w:pPr>
    </w:p>
    <w:p>
      <w:pPr>
        <w:ind w:left="1880"/>
        <w:spacing w:after="0"/>
        <w:tabs>
          <w:tab w:leader="none" w:pos="2660" w:val="left"/>
          <w:tab w:leader="none" w:pos="3740" w:val="left"/>
          <w:tab w:leader="none" w:pos="4420" w:val="left"/>
          <w:tab w:leader="none" w:pos="4780" w:val="left"/>
        </w:tabs>
        <w:rPr>
          <w:sz w:val="20"/>
          <w:szCs w:val="20"/>
          <w:color w:val="auto"/>
        </w:rPr>
      </w:pPr>
      <w:r>
        <w:rPr>
          <w:rFonts w:ascii="Times New Roman" w:cs="Times New Roman" w:eastAsia="Times New Roman" w:hAnsi="Times New Roman"/>
          <w:sz w:val="18"/>
          <w:szCs w:val="18"/>
          <w:color w:val="auto"/>
        </w:rPr>
        <w:t>director,</w:t>
        <w:tab/>
        <w:t>stockholder,</w:t>
        <w:tab/>
        <w:t>officer</w:t>
        <w:tab/>
        <w:t>or</w:t>
      </w:r>
      <w:r>
        <w:rPr>
          <w:sz w:val="20"/>
          <w:szCs w:val="20"/>
          <w:color w:val="auto"/>
        </w:rPr>
        <w:tab/>
      </w:r>
      <w:r>
        <w:rPr>
          <w:rFonts w:ascii="Times New Roman" w:cs="Times New Roman" w:eastAsia="Times New Roman" w:hAnsi="Times New Roman"/>
          <w:sz w:val="17"/>
          <w:szCs w:val="17"/>
          <w:color w:val="auto"/>
        </w:rPr>
        <w:t>other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employee of the Company to the Company 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Company’s stockholders, (3) any action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asserting a claim arising pursuant to 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provision of the DGCL or the Delaware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Charter  or  Delaware  Bylaws,  or  (4)  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action asserting a claim governed by the</w:t>
      </w:r>
    </w:p>
    <w:p>
      <w:pPr>
        <w:spacing w:after="0" w:line="9" w:lineRule="exact"/>
        <w:rPr>
          <w:sz w:val="20"/>
          <w:szCs w:val="20"/>
          <w:color w:val="auto"/>
        </w:rPr>
      </w:pPr>
    </w:p>
    <w:p>
      <w:pPr>
        <w:ind w:left="1880"/>
        <w:spacing w:after="0"/>
        <w:tabs>
          <w:tab w:leader="none" w:pos="2580" w:val="left"/>
          <w:tab w:leader="none" w:pos="3220" w:val="left"/>
          <w:tab w:leader="none" w:pos="4020" w:val="left"/>
          <w:tab w:leader="none" w:pos="4460" w:val="left"/>
        </w:tabs>
        <w:rPr>
          <w:sz w:val="20"/>
          <w:szCs w:val="20"/>
          <w:color w:val="auto"/>
        </w:rPr>
      </w:pPr>
      <w:r>
        <w:rPr>
          <w:rFonts w:ascii="Times New Roman" w:cs="Times New Roman" w:eastAsia="Times New Roman" w:hAnsi="Times New Roman"/>
          <w:sz w:val="18"/>
          <w:szCs w:val="18"/>
          <w:color w:val="auto"/>
        </w:rPr>
        <w:t>internal</w:t>
        <w:tab/>
        <w:t>affairs</w:t>
        <w:tab/>
        <w:t>doctrine.</w:t>
        <w:tab/>
        <w:t>The</w:t>
        <w:tab/>
        <w:t>Delaware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Bylaws further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Under the Nevada Bylaws, the Eighth Judicial District Court of the State of Nevada, in Clark County, Nevada shall be the sole and exclusive forum for (1) any derivative action or proceeding brought on behalf of the Company, (2) any action asserting a claim of breach of a fiduciary duty owed by any director, stockholder, officer or other employee of the Company to the Company or the Company’s stockholders, (3) any action asserting a claim pursuant to any provision of the NRS or the Nevada Charter or Nevada Bylaws, including any internal action (as defined in NRS 78.046), or (4) any action</w:t>
      </w:r>
    </w:p>
    <w:p>
      <w:pPr>
        <w:spacing w:after="0" w:line="406" w:lineRule="exact"/>
        <w:rPr>
          <w:sz w:val="20"/>
          <w:szCs w:val="20"/>
          <w:color w:val="auto"/>
        </w:rPr>
      </w:pPr>
    </w:p>
    <w:p>
      <w:pPr>
        <w:sectPr>
          <w:pgSz w:w="11900" w:h="16838" w:orient="portrait"/>
          <w:cols w:equalWidth="0" w:num="2">
            <w:col w:w="5180" w:space="220"/>
            <w:col w:w="3619"/>
          </w:cols>
          <w:pgMar w:left="1440" w:top="239" w:right="1440" w:bottom="1440" w:gutter="0" w:footer="0" w:header="0"/>
          <w:type w:val="continuous"/>
        </w:sectPr>
      </w:pP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type w:val="continuous"/>
        </w:sectPr>
      </w:pPr>
    </w:p>
    <w:bookmarkStart w:id="9" w:name="page10"/>
    <w:bookmarkEnd w:id="9"/>
    <w:p>
      <w:pPr>
        <w:ind w:left="300"/>
        <w:spacing w:after="0"/>
        <w:tabs>
          <w:tab w:leader="none" w:pos="1860" w:val="left"/>
        </w:tabs>
        <w:rPr>
          <w:sz w:val="20"/>
          <w:szCs w:val="20"/>
          <w:color w:val="auto"/>
        </w:rPr>
      </w:pPr>
      <w:r>
        <w:rPr>
          <w:rFonts w:ascii="Times New Roman" w:cs="Times New Roman" w:eastAsia="Times New Roman" w:hAnsi="Times New Roman"/>
          <w:sz w:val="14"/>
          <w:szCs w:val="14"/>
          <w:b w:val="1"/>
          <w:bCs w:val="1"/>
          <w:color w:val="auto"/>
        </w:rPr>
        <w:t>Provision</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31032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5" w:lineRule="exact"/>
        <w:rPr>
          <w:sz w:val="20"/>
          <w:szCs w:val="20"/>
          <w:color w:val="auto"/>
        </w:rPr>
      </w:pPr>
    </w:p>
    <w:p>
      <w:pPr>
        <w:jc w:val="both"/>
        <w:ind w:left="1880"/>
        <w:spacing w:after="0" w:line="255" w:lineRule="auto"/>
        <w:rPr>
          <w:sz w:val="20"/>
          <w:szCs w:val="20"/>
          <w:color w:val="auto"/>
        </w:rPr>
      </w:pPr>
      <w:r>
        <w:rPr>
          <w:rFonts w:ascii="Times New Roman" w:cs="Times New Roman" w:eastAsia="Times New Roman" w:hAnsi="Times New Roman"/>
          <w:sz w:val="18"/>
          <w:szCs w:val="18"/>
          <w:color w:val="auto"/>
        </w:rPr>
        <w:t>provide that the federal district courts of the United States of America are the sole and exclusive forum for the resolution of any claim asserting a cause of action under the Securities Act of 1933, as amended, against any person in connection with any offering of the Company’s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108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5"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asserting a claim governed by the internal affairs doctrine. The Nevada Bylaws further provide that the federal district courts of the United States of America are the sole and exclusive forum for the resolution of any claim asserting a cause of action under the Securities Act of 1933, as amended, against any person in connection with any offering of the Company’s securities.</w:t>
      </w:r>
    </w:p>
    <w:p>
      <w:pPr>
        <w:spacing w:after="0" w:line="200" w:lineRule="exact"/>
        <w:rPr>
          <w:sz w:val="20"/>
          <w:szCs w:val="20"/>
          <w:color w:val="auto"/>
        </w:rPr>
      </w:pPr>
    </w:p>
    <w:p>
      <w:pPr>
        <w:sectPr>
          <w:pgSz w:w="11900" w:h="16838" w:orient="portrait"/>
          <w:cols w:equalWidth="0" w:num="2">
            <w:col w:w="5180" w:space="220"/>
            <w:col w:w="3619"/>
          </w:cols>
          <w:pgMar w:left="1440" w:top="290" w:right="1440" w:bottom="1440" w:gutter="0" w:footer="0" w:header="0"/>
        </w:sectPr>
      </w:pPr>
    </w:p>
    <w:p>
      <w:pPr>
        <w:spacing w:after="0" w:line="38"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Under the DGCL and the Delaware Bylaws,</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no proxy authorized by a stockholder shall be</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Proxies</w:t>
      </w:r>
      <w:r>
        <w:rPr>
          <w:sz w:val="20"/>
          <w:szCs w:val="20"/>
          <w:color w:val="auto"/>
        </w:rPr>
        <w:tab/>
      </w:r>
      <w:r>
        <w:rPr>
          <w:rFonts w:ascii="Times New Roman" w:cs="Times New Roman" w:eastAsia="Times New Roman" w:hAnsi="Times New Roman"/>
          <w:sz w:val="18"/>
          <w:szCs w:val="18"/>
          <w:color w:val="auto"/>
        </w:rPr>
        <w:t>valid after three years from the date of its</w:t>
      </w:r>
    </w:p>
    <w:p>
      <w:pPr>
        <w:spacing w:after="0" w:line="9" w:lineRule="exact"/>
        <w:rPr>
          <w:sz w:val="20"/>
          <w:szCs w:val="20"/>
          <w:color w:val="auto"/>
        </w:rPr>
      </w:pPr>
    </w:p>
    <w:p>
      <w:pPr>
        <w:ind w:left="1880"/>
        <w:spacing w:after="0" w:line="260" w:lineRule="auto"/>
        <w:rPr>
          <w:sz w:val="20"/>
          <w:szCs w:val="20"/>
          <w:color w:val="auto"/>
        </w:rPr>
      </w:pPr>
      <w:r>
        <w:rPr>
          <w:rFonts w:ascii="Times New Roman" w:cs="Times New Roman" w:eastAsia="Times New Roman" w:hAnsi="Times New Roman"/>
          <w:sz w:val="18"/>
          <w:szCs w:val="18"/>
          <w:color w:val="auto"/>
        </w:rPr>
        <w:t>execution unless the proxy provides for a longer period.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299"/>
        <w:spacing w:after="0" w:line="255" w:lineRule="auto"/>
        <w:rPr>
          <w:sz w:val="20"/>
          <w:szCs w:val="20"/>
          <w:color w:val="auto"/>
        </w:rPr>
      </w:pPr>
      <w:r>
        <w:rPr>
          <w:rFonts w:ascii="Times New Roman" w:cs="Times New Roman" w:eastAsia="Times New Roman" w:hAnsi="Times New Roman"/>
          <w:sz w:val="18"/>
          <w:szCs w:val="18"/>
          <w:color w:val="auto"/>
        </w:rPr>
        <w:t>The Nevada Bylaws provide that no proxy shall be voted or acted upon after six months from its date, unless the proxy provides for a longer period, which may not exceed seven years unless the proxy is deemed irrevocable pursuant to the applicable provisions of the NRS.</w:t>
      </w:r>
    </w:p>
    <w:p>
      <w:pPr>
        <w:spacing w:after="0" w:line="200" w:lineRule="exact"/>
        <w:rPr>
          <w:sz w:val="20"/>
          <w:szCs w:val="20"/>
          <w:color w:val="auto"/>
        </w:rPr>
      </w:pPr>
    </w:p>
    <w:p>
      <w:pPr>
        <w:sectPr>
          <w:pgSz w:w="11900" w:h="16838" w:orient="portrait"/>
          <w:cols w:equalWidth="0" w:num="2">
            <w:col w:w="5180" w:space="220"/>
            <w:col w:w="3619"/>
          </w:cols>
          <w:pgMar w:left="1440" w:top="290" w:right="1440" w:bottom="1440" w:gutter="0" w:footer="0" w:header="0"/>
          <w:type w:val="continuous"/>
        </w:sectPr>
      </w:pPr>
    </w:p>
    <w:p>
      <w:pPr>
        <w:spacing w:after="0" w:line="3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The officers of the Company shall consist of</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a chief executive officer and a secretary. The</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Officers</w:t>
      </w:r>
      <w:r>
        <w:rPr>
          <w:sz w:val="20"/>
          <w:szCs w:val="20"/>
          <w:color w:val="auto"/>
        </w:rPr>
        <w:tab/>
      </w:r>
      <w:r>
        <w:rPr>
          <w:rFonts w:ascii="Times New Roman" w:cs="Times New Roman" w:eastAsia="Times New Roman" w:hAnsi="Times New Roman"/>
          <w:sz w:val="18"/>
          <w:szCs w:val="18"/>
          <w:color w:val="auto"/>
        </w:rPr>
        <w:t>Company may have such other officers at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discretion of the board of directors.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right="299"/>
        <w:spacing w:after="0" w:line="258" w:lineRule="auto"/>
        <w:rPr>
          <w:sz w:val="20"/>
          <w:szCs w:val="20"/>
          <w:color w:val="auto"/>
        </w:rPr>
      </w:pPr>
      <w:r>
        <w:rPr>
          <w:rFonts w:ascii="Times New Roman" w:cs="Times New Roman" w:eastAsia="Times New Roman" w:hAnsi="Times New Roman"/>
          <w:sz w:val="18"/>
          <w:szCs w:val="18"/>
          <w:color w:val="auto"/>
        </w:rPr>
        <w:t>The officers of Company shall consist of a president, treasurer and a secretary, or the equivalents of such offices. The Company may have such other officers at the discretion of the board of directors.</w:t>
      </w:r>
    </w:p>
    <w:p>
      <w:pPr>
        <w:spacing w:after="0" w:line="200" w:lineRule="exact"/>
        <w:rPr>
          <w:sz w:val="20"/>
          <w:szCs w:val="20"/>
          <w:color w:val="auto"/>
        </w:rPr>
      </w:pPr>
    </w:p>
    <w:p>
      <w:pPr>
        <w:sectPr>
          <w:pgSz w:w="11900" w:h="16838" w:orient="portrait"/>
          <w:cols w:equalWidth="0" w:num="2">
            <w:col w:w="5180" w:space="220"/>
            <w:col w:w="3619"/>
          </w:cols>
          <w:pgMar w:left="1440" w:top="290" w:right="1440" w:bottom="1440" w:gutter="0" w:footer="0" w:header="0"/>
          <w:type w:val="continuous"/>
        </w:sectPr>
      </w:pPr>
    </w:p>
    <w:p>
      <w:pPr>
        <w:spacing w:after="0" w:line="33"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Under the Delaware Bylaws, a notice of a</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 Notice</w:t>
      </w:r>
      <w:r>
        <w:rPr>
          <w:sz w:val="20"/>
          <w:szCs w:val="20"/>
          <w:color w:val="auto"/>
        </w:rPr>
        <w:tab/>
      </w:r>
      <w:r>
        <w:rPr>
          <w:rFonts w:ascii="Times New Roman" w:cs="Times New Roman" w:eastAsia="Times New Roman" w:hAnsi="Times New Roman"/>
          <w:sz w:val="18"/>
          <w:szCs w:val="18"/>
          <w:color w:val="auto"/>
        </w:rPr>
        <w:t>stockholders’ meeting must state the place, if</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of Stockholders’</w:t>
      </w:r>
      <w:r>
        <w:rPr>
          <w:sz w:val="20"/>
          <w:szCs w:val="20"/>
          <w:color w:val="auto"/>
        </w:rPr>
        <w:tab/>
      </w:r>
      <w:r>
        <w:rPr>
          <w:rFonts w:ascii="Times New Roman" w:cs="Times New Roman" w:eastAsia="Times New Roman" w:hAnsi="Times New Roman"/>
          <w:sz w:val="18"/>
          <w:szCs w:val="18"/>
          <w:color w:val="auto"/>
        </w:rPr>
        <w:t>any, date and hour of the meeting, the means</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Meetings</w:t>
      </w:r>
      <w:r>
        <w:rPr>
          <w:sz w:val="20"/>
          <w:szCs w:val="20"/>
          <w:color w:val="auto"/>
        </w:rPr>
        <w:tab/>
      </w:r>
      <w:r>
        <w:rPr>
          <w:rFonts w:ascii="Times New Roman" w:cs="Times New Roman" w:eastAsia="Times New Roman" w:hAnsi="Times New Roman"/>
          <w:sz w:val="18"/>
          <w:szCs w:val="18"/>
          <w:color w:val="auto"/>
        </w:rPr>
        <w:t>of remote communications, if any, by which</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stockholders  may  be  deemed  present  in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person and vote at the meeting, the record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date for the meeting, and in the case of a</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special meeting, the purpose or purposes for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which the meeting is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99"/>
        <w:spacing w:after="0" w:line="251" w:lineRule="auto"/>
        <w:rPr>
          <w:sz w:val="20"/>
          <w:szCs w:val="20"/>
          <w:color w:val="auto"/>
        </w:rPr>
      </w:pPr>
      <w:r>
        <w:rPr>
          <w:rFonts w:ascii="Times New Roman" w:cs="Times New Roman" w:eastAsia="Times New Roman" w:hAnsi="Times New Roman"/>
          <w:sz w:val="18"/>
          <w:szCs w:val="18"/>
          <w:color w:val="auto"/>
        </w:rPr>
        <w:t>Under the Nevada Bylaws, a notice of a stockholders’ meeting must state the place, if any, date and hour of the meeting, the means of remote communications, if any, by which stockholders may be deemed present in person and vote at the meeting, the record date for the meeting, and in the case of a special meeting, the purpose or purposes for which the meeting is called. The Nevada Bylaws further provide that (i) if a proposed plan of merger, conversion or exchange is to be submitted to a vote at the meeting, the notice of the meeting must state that one of the purposes of the meeting is to consider the plan of merger, conversion or exchange and must contain or be accompanied by a copy or summary of the plan; and (ii) if a proposed action creating dissenter’s rights is to be submitted to a vote at the meeting, the notice of the meeting must state that the stockholders are or may be entitled to assert dissenter’s rights under the applicable provisions of the NRS and be accompanied by a copy of the applicable statutory provisions.</w:t>
      </w:r>
    </w:p>
    <w:p>
      <w:pPr>
        <w:sectPr>
          <w:pgSz w:w="11900" w:h="16838" w:orient="portrait"/>
          <w:cols w:equalWidth="0" w:num="2">
            <w:col w:w="5180" w:space="220"/>
            <w:col w:w="3619"/>
          </w:cols>
          <w:pgMar w:left="1440" w:top="290" w:right="1440" w:bottom="1440" w:gutter="0" w:footer="0" w:header="0"/>
          <w:type w:val="continuous"/>
        </w:sectPr>
      </w:pPr>
    </w:p>
    <w:bookmarkStart w:id="10" w:name="page11"/>
    <w:bookmarkEnd w:id="10"/>
    <w:tbl>
      <w:tblPr>
        <w:tblLayout w:type="fixed"/>
        <w:tblInd w:w="300" w:type="dxa"/>
        <w:tblCellMar>
          <w:top w:w="0" w:type="dxa"/>
          <w:left w:w="0" w:type="dxa"/>
          <w:bottom w:w="0" w:type="dxa"/>
          <w:right w:w="0" w:type="dxa"/>
        </w:tblCellMar>
      </w:tblP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3"/>
        </w:trPr>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1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 and</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Delaware  Charter  and  the  Delaware</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Bylaws</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Bylaws provide that any director may be</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Regarding</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removed at any time, with or without cause,</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Removal of</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by the affirmative vote of the holders of at</w:t>
            </w: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least a majority of the voting power of the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then entitled to vote for</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election of directors, except that when the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is classified, any director</w:t>
            </w: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only be removed from office for cause.</w:t>
            </w:r>
          </w:p>
        </w:tc>
      </w:tr>
      <w:tr>
        <w:trPr>
          <w:trHeight w:val="46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Bylaws</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and the Delaware Bylaws,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Regarding</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 committee of the board of directors shall</w:t>
            </w: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2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w w:val="99"/>
              </w:rPr>
              <w:t>not have the power or authority to (i) approve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or adopt, or recommend to the stockholders,</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any action or matter (other than the election</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or removal of directors) expressly required</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by the DGCL to be submitted to stockholders</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 approval, or (ii) adopt, amend or repeal</w:t>
            </w: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any bylaw of the Company.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108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5"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The Nevada Charter and the Nevada Bylaws provide that any director may be removed from office at any time, with or without cause, in accordance with the NRS. Under the NRS, a director may only be removed by the vote of stockholders representing not less than two-thirds of the voting power of the issued and outstanding stock entitled to vote.</w:t>
      </w:r>
    </w:p>
    <w:p>
      <w:pPr>
        <w:spacing w:after="0" w:line="200" w:lineRule="exact"/>
        <w:rPr>
          <w:sz w:val="20"/>
          <w:szCs w:val="20"/>
          <w:color w:val="auto"/>
        </w:rPr>
      </w:pPr>
    </w:p>
    <w:p>
      <w:pPr>
        <w:spacing w:after="0" w:line="262"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The NRS, and therefore, the Nevada Bylaws, do not contain a similar limitation on the authority of board committees.</w:t>
      </w:r>
    </w:p>
    <w:p>
      <w:pPr>
        <w:spacing w:after="0" w:line="1474" w:lineRule="exact"/>
        <w:rPr>
          <w:sz w:val="20"/>
          <w:szCs w:val="20"/>
          <w:color w:val="auto"/>
        </w:rPr>
      </w:pPr>
    </w:p>
    <w:p>
      <w:pPr>
        <w:sectPr>
          <w:pgSz w:w="11900" w:h="16838" w:orient="portrait"/>
          <w:cols w:equalWidth="0" w:num="2">
            <w:col w:w="5180" w:space="220"/>
            <w:col w:w="3619"/>
          </w:cols>
          <w:pgMar w:left="1440" w:top="290" w:right="1440" w:bottom="1440" w:gutter="0" w:footer="0" w:header="0"/>
        </w:sectPr>
      </w:pPr>
    </w:p>
    <w:p>
      <w:pPr>
        <w:spacing w:after="0" w:line="48"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The  Delaware  Bylaws  do  not  contain  a</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similar provision, and the DGCL does not</w:t>
      </w:r>
    </w:p>
    <w:p>
      <w:pPr>
        <w:spacing w:after="0" w:line="9" w:lineRule="exact"/>
        <w:rPr>
          <w:sz w:val="20"/>
          <w:szCs w:val="20"/>
          <w:color w:val="auto"/>
        </w:rPr>
      </w:pPr>
    </w:p>
    <w:p>
      <w:pPr>
        <w:ind w:left="300"/>
        <w:spacing w:after="0"/>
        <w:tabs>
          <w:tab w:leader="none" w:pos="1860" w:val="left"/>
          <w:tab w:leader="none" w:pos="2560" w:val="left"/>
          <w:tab w:leader="none" w:pos="3460" w:val="left"/>
          <w:tab w:leader="none" w:pos="4120" w:val="left"/>
          <w:tab w:leader="none" w:pos="4420" w:val="left"/>
          <w:tab w:leader="none" w:pos="4800" w:val="left"/>
        </w:tabs>
        <w:rPr>
          <w:sz w:val="20"/>
          <w:szCs w:val="20"/>
          <w:color w:val="auto"/>
        </w:rPr>
      </w:pPr>
      <w:r>
        <w:rPr>
          <w:rFonts w:ascii="Times New Roman" w:cs="Times New Roman" w:eastAsia="Times New Roman" w:hAnsi="Times New Roman"/>
          <w:sz w:val="18"/>
          <w:szCs w:val="18"/>
          <w:b w:val="1"/>
          <w:bCs w:val="1"/>
          <w:color w:val="auto"/>
        </w:rPr>
        <w:t>Acquisition of</w:t>
      </w:r>
      <w:r>
        <w:rPr>
          <w:sz w:val="20"/>
          <w:szCs w:val="20"/>
          <w:color w:val="auto"/>
        </w:rPr>
        <w:tab/>
      </w:r>
      <w:r>
        <w:rPr>
          <w:rFonts w:ascii="Times New Roman" w:cs="Times New Roman" w:eastAsia="Times New Roman" w:hAnsi="Times New Roman"/>
          <w:sz w:val="18"/>
          <w:szCs w:val="18"/>
          <w:color w:val="auto"/>
        </w:rPr>
        <w:t>contain</w:t>
        <w:tab/>
        <w:t>provisions</w:t>
        <w:tab/>
        <w:t>similar</w:t>
        <w:tab/>
        <w:t>to</w:t>
        <w:tab/>
        <w:t>the</w:t>
      </w:r>
      <w:r>
        <w:rPr>
          <w:sz w:val="20"/>
          <w:szCs w:val="20"/>
          <w:color w:val="auto"/>
        </w:rPr>
        <w:tab/>
      </w:r>
      <w:r>
        <w:rPr>
          <w:rFonts w:ascii="Times New Roman" w:cs="Times New Roman" w:eastAsia="Times New Roman" w:hAnsi="Times New Roman"/>
          <w:sz w:val="17"/>
          <w:szCs w:val="17"/>
          <w:color w:val="auto"/>
        </w:rPr>
        <w:t>NRS</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Controlling</w:t>
      </w:r>
      <w:r>
        <w:rPr>
          <w:sz w:val="20"/>
          <w:szCs w:val="20"/>
          <w:color w:val="auto"/>
        </w:rPr>
        <w:tab/>
      </w:r>
      <w:r>
        <w:rPr>
          <w:rFonts w:ascii="Times New Roman" w:cs="Times New Roman" w:eastAsia="Times New Roman" w:hAnsi="Times New Roman"/>
          <w:sz w:val="18"/>
          <w:szCs w:val="18"/>
          <w:color w:val="auto"/>
        </w:rPr>
        <w:t>relating  to  the  acquisition  of  controlling</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Interest Statutes</w:t>
      </w:r>
      <w:r>
        <w:rPr>
          <w:sz w:val="20"/>
          <w:szCs w:val="20"/>
          <w:color w:val="auto"/>
        </w:rPr>
        <w:tab/>
      </w:r>
      <w:r>
        <w:rPr>
          <w:rFonts w:ascii="Times New Roman" w:cs="Times New Roman" w:eastAsia="Times New Roman" w:hAnsi="Times New Roman"/>
          <w:sz w:val="17"/>
          <w:szCs w:val="17"/>
          <w:color w:val="auto"/>
        </w:rPr>
        <w:t>interests.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The Nevada Bylaws provide that the provisions of the NRS relating to acquisitions of controlling interests in the Company do not apply to the Company or to any acquisition of shares of the Company’s capital stock. Please see the Company’s summary of the Nevada acquisition of controlling interest statutes in the section titled “Acquisition of Controlling Interests.”</w:t>
      </w:r>
    </w:p>
    <w:p>
      <w:pPr>
        <w:spacing w:after="0" w:line="200" w:lineRule="exact"/>
        <w:rPr>
          <w:sz w:val="20"/>
          <w:szCs w:val="20"/>
          <w:color w:val="auto"/>
        </w:rPr>
      </w:pPr>
    </w:p>
    <w:p>
      <w:pPr>
        <w:sectPr>
          <w:pgSz w:w="11900" w:h="16838" w:orient="portrait"/>
          <w:cols w:equalWidth="0" w:num="2">
            <w:col w:w="5180" w:space="220"/>
            <w:col w:w="3619"/>
          </w:cols>
          <w:pgMar w:left="1440" w:top="290" w:right="1440" w:bottom="1440" w:gutter="0" w:footer="0" w:header="0"/>
          <w:type w:val="continuous"/>
        </w:sectPr>
      </w:pP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Anti-Takeover Implications of the Nevada Reincorporation</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Nevada Reincorporation is not being effected to prevent a sale of the Company, nor is it in response to any present attempt known to our board of directors to acquire control of the Company or obtain representation on our board of directors. Moreover, as of the date of this Information Statement, Mr. Houston and his affiliates beneficially own approximately 77.3% of the voting power of the Company’s capital stock, and accordingly currently have the ability to discourage, delay, or prevent any attempt to acquire control of the Company. Nevertheless, certain effects of the Nevada Reincorporation may be considered to have anti-takeover implications by virtue of being subject to Nevada law.</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our board of directors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transactions approved by our board of directors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of directors recognizes that hostile takeover attempts do not always have the unfavorable consequences or effects described above and may be beneficial to stockholders, providing them with considerable value for their shares. However, our board of directors believes that the potential disadvantages of unapproved takeover attempts are sufficiently great that prudent measures are needed to give our board of directors the time and flexibility to determine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type w:val="continuous"/>
        </w:sectPr>
      </w:pPr>
    </w:p>
    <w:bookmarkStart w:id="11" w:name="page12"/>
    <w:bookmarkEnd w:id="11"/>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and pursue potentially superior strategic alternatives and take other appropriate action in an effort to maximize stockholder value. Accordingly, the Delaware Charter and Delaware Bylaws include certain provisions that are intended to accomplish these objectives, but which may have the effect of discouraging or deterring hostile takeover attempts.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Nevada law includes some additional features that may deter hostile takeover attempts. The Nevada Charter contains certain anti-takeover provisions similar to those set forth in the Delaware Charter; both the Delaware Charter and Nevada Charter allow our board of directors alone to fill any directorship vacancies and to set the size of the board of directors. Notwithstanding these similarities, there are certain differences between Nevada and Delaware law which could have a bearing on unapproved takeover attempts. For example, as discussed in greater detail below, the NRS regulates certain business combinations with “interested stockholders” more stringently than the DGCL does in certain respects. Additionally, when a Nevada corporation has a classified board, directors may be removed with or without cause, unlike in Delaware where cause is generally required for removal. Under Nevada law, the default stockholder voting standard for the removal of directors is sixty-six and two-thirds percent (66 2/3%) of the outstanding voting power, while under Delaware law the default standard is a majority of the outstanding stockholder voting power. Nevada also has a statute regulating the acquisition of certain “control shares” that can inhibit certain takeover attempts, but the Company has elected to opt out of the application of that statute in the Nevada Bylaws.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of directors may in the future propose other measures designed to address hostile takeovers apart from those discussed in this Information Statement, if warranted from time to time in the judgment of our board of directors.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in Stockholder Rights under Delaware and Nevada Law</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rights of our stockholders are currently governed by the DGCL, the Delaware Charter and the Delaware Bylaws. Following completion of the Nevada Reincorporation, the rights of our stockholders will be governed by the NRS, the Nevada Charter and the Nevada Bylaws.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Nevada Reincorporation.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Increasing or Decreasing Authorized Capital Stock</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NRS allows the board of directors of a corporation, unless restricted by the articles of incorporation, to increase or decrease the number of authorized shares of a class or series of the corporation’s capital stock and correspondingly effect a forward or reverse split of the outstanding shares of such class or series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collectively hold 10% or more of the outstanding shares of the affected class and series, and who would otherwise be entitled to receive fractions of shares in exchange for the cancellation of all of their outstanding shares. Delaware law has no similar provision.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DGCL permits any Delaware corporation to classify its board of directors into as many as three classes with staggered terms of office. If this is done, the stockholders elect only one class each year, and each class would have a term of office of three years. The NRS also permits any Nevada corporation to classify its board of directors into any number of classes with staggered terms of office, so long as at least one-fourth of the total number of directors is elected annually.</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both the Delaware Charter and Nevada Charter provide that all directors shall be elected at each annual meeting of stockholders. However, the Delaware Charter provides that, from and after the first date on which the outstanding shares of the Company’s Class B Common Stock represent less than a majority of the total voting power of the then outstanding shares of the Company entitled to vote generally in the election of directors (the “Voting Threshold Date”), our board of directors will be classified into three classes. The Nevada Charter contains a substantially similar provision.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Although the DGCL does not generally grant stockholders cumulative voting rights, a Delaware corporation may provide in its certificate of incorporation for cumulative voting in the election of directors. The NRS also does not generally grant stockholders cumulative voting rights but permits any Nevada corporation to provide in its articles of incorporation the right to cumulative voting in the election of directors as long as certain procedures are followed.</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Delaware Charter does not provide for cumulative voting in the election of directors. Similarly, the Nevada Charter does not provide for cumulative voting.</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DGCL, the holders of a majority of the voting power of the outstanding shares entitled to vote at an election of directors may vote to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(2/3) of the voting power of the shares or class or series of shares of the issued and outstanding stock entitled to vote at an election of directors in order to remove a director or all of the directors. The articles of incorporation may provide for a voting threshold higher than two-thirds of the voting power, but not lower. Furthermore, the NRS does not make a distinction between removals for cause and removals without cause.</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Fiduciary Duties and Business Judgment</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Nevada, like most jurisdictions, requires that directors and officers of Nevada corporations exercise their powers in good faith and with a view to the interests of the corporation but, unlike some other jurisdictions, including Delaware, fiduciary duties of directors and officers are codified. As a matter of statute, directors and officers, in making business decisions, are presumed to act in good faith, on an informed basis and with a view to the interests of the corporation. In performing such duties, directors and officers may exercise their business judgment in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Nevada law extends the statutory protection for reliance on such persons to corporate officers unless otherwise waived.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8"/>
          <w:szCs w:val="18"/>
          <w:i w:val="1"/>
          <w:iCs w:val="1"/>
          <w:color w:val="auto"/>
        </w:rPr>
        <w:t>Flexibility for Decisions, Including Takeovers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Nevada provides directors with more discretion than Delaware in making corporate decisions, including decisions made in takeover situations. Under Nevada law, director and officer actions taken in response to a change or potential change in control are generally granted the benefits of the protections of the business judgment rule. However, in the case of an action to resist a change or potential change in control that impedes the rights of stockholders to vote for or remove directors, directors will only be given the benefit of the protections of the business judgment rule if the directors have reasonable grounds to believe a threat to corporate policy and effectiveness exists and the action taken that impedes the exercise of the stockholders’ rights is reasonable in relation to such threat; however, the NRS clarifies that this heightened standard does not apply to (i) actions that only affect the time of the exercise of stockholders’ voting rights or (ii) the adoption or signing of stockholder rights plans commonly referred to as “poison pills”.</w:t>
      </w:r>
    </w:p>
    <w:p>
      <w:pPr>
        <w:spacing w:after="0" w:line="86"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or subjected to bankruptcy proceedings.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DGCL does not provide a similar list of statutory factors that corporate directors and officers may consider in making decisions. Delaware law generally provides that the purpose of directors’ and officers’ fiduciary duties is to advance the best interests of the corporation and its stockholders, although in many circumstances, directors and officers can take into account a range of factors in advancing those interests. In a number of cases and in certain situations, however,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Limitation on Personal Liability of Directors and Officers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DGCL and the NRS each, by way of statutory provisions or permitted provisions in corporate charter documents, eliminate or limit the personal liability of directors and officers to the corporation or their stockholders for monetary damages for breach of a director’s or officer’s fiduciary duty, subject to the differences discussed below.</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DGCL precludes liability limitation for directors and executive officers for breach of the duty of loyalty,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as codified in NRS 78.138(3),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treat as categorically excluded from its protections breaches of the duty of loyalty or transactions from which a director derives an improper personal benefit. Personal liability of directors for distributions made in violation of the NRS is limited by the same standard. Both the DGCL and the NRS permit limitation of liability for both directors and officers, though the NRS expressly also applies this limitation with respect to liabilities owed to creditors of the corporation. Furthermore, under the NRS, it is not necessary to adopt provisions in the articles of incorporation limiting personal liability of directors or officers as this limitation is provided by statute as a default.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a company’s most recent SEC filings) is authorized only in connection with direct claims brought by stockholders,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 w:name="page15"/>
    <w:bookmarkEnd w:id="14"/>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including class actions. Delaware law does not eliminate monetary liability of officers for breach of fiduciary duty arising out of claims brought by the corporation itself or for derivative claims brought by stockholders in the name of the corporation.</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 The Delaware Charter does not currently provide for exculpation of officers, whereas the Nevada Charter does, in accordance with Nevada law.</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DGCL and the NRS each permit corporations to indemnify directors, officers, employees and agents in similar circumstances, subject to the differences discussed below.</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such statutory indemnity may recover as long as he or she acted in good faith and believed his or her actions were either in the best interests of or not opposed to the best interests of the corporation. Under the NRS, the person seeking indemnity under the statutory mechanism may also be indemnified if he or she would not be liable for breach of his or her fiduciary duties under Nevada’s statutory test. Similarly, with respect to a criminal proceeding, the person seeking indemnification must not have had any reasonable cause to believe his or her conduct was unlawful.</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derivative suits, a corporation in either jurisdiction may indemnify its directors, officers, employees or agents for expenses that the person actually and reasonably incurred. A corporation may not indemnify a person pursuant to the statutory mechanism if the person was adjudged to be liable to the corporation unless a court otherwise orders.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No corporation may indemnify a party under the relevant discretionary statutory mechanism unless the party has been successful on the merits or otherwise in defense of the action, suit or proceeding or the corporation decides that indemnification is proper. Under the DGCL, the corporation, through its stockholders, disinterested directors or independent legal counsel, will determine whether the conduct of the person seeking indemnity conformed with the statutory provisions governing indemnity. Under the indemnification mechanism available under the NRS, the corporation, through its stockholders, disinterested directors or independent counsel, must determine that the indemnification is proper.</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Both the Delaware Bylaws and the Nevada Bylaws provide for indemnification to the fullest extent permitted by the applicable laws.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Advancement of Expenses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The Delaware Bylaws provide that the Company shall, to the fullest extent not prohibited by applicable law, pay the expenses (including attorneys’ fees) incurred by any officer or director of the Company, upon receipt of a written request and an undertaking by the person to repay all amounts advanced if it should be ultimately determined that the person is not entitled to be indemnified under the Delaware Bylaws or otherwise. The Delaware Bylaws further provide that the Company may pay the expenses incurred by former directors and officers or other current or former employees or agents of the Company or by persons currently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5" w:name="page16"/>
    <w:bookmarkEnd w:id="15"/>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or formerly serving in certain roles at the request of the Company, in certain covered proceedings in advance of their final disposition; upon such terms and conditions, if any, as the Company deems appropriate.</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the NRS, unless otherwise restricted by the articles of incorporation, the bylaws or an agreement made by the corporation, the corporation may pay the expenses of officer and directors in advance of the final disposition of an action, suit or proceeding upon receipt of an undertaking by or on behalf of the director or officer to repay the amount if it is ultimately determined that the director or officer is not entitled to be indemnified by the corporation. The Nevada Bylaws are substantially similar to the Delaware Bylaws with respect to the advancement of expenses.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Action by Written Consent of Directors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Both the DGCL and NRS provide that, unless the certificate or articles of incorporation or the bylaws provide otherwise, any action required or permitted to be taken at a meeting of the directors or a committee thereof may be taken without a meeting if all members of the board or committee, as the case may be, consent to the action in writing, provided that, in certain circumstances, the NRS permits a director to abstain in writing from providing consent to the action.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Neither the Delaware Charter or Delaware Bylaws nor the Nevada Charter or Nevada Bylaws limit board action by written consent.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Actions by Written Consent of Stockholders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DGCL provides that, unless the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as of the record date for the action by consent who did not consent in writing and who would have been entitled to notice of the meeting if the action had been taken at a meeting and the record date for the notice of the meeting were the record date for the action by consent. There is no equivalent requirement under the NRS.</w:t>
      </w:r>
    </w:p>
    <w:p>
      <w:pPr>
        <w:spacing w:after="0" w:line="84"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The NRS also permits a corporation to prohibit stockholder action by written consent in lieu of a meeting of stockholders by including such prohibition in its articles of incorporation or bylaws.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Until the Voting Threshold Date, neither the Delaware Charter or Delaware Bylaws nor the Nevada Charter or Nevada Bylaws limit stockholder action by written consent. Following the Voting Threshold Date, the Delaware Charter and the Nevada Charter both provide that any action required or permitted to be taken by the Company’s stockholders must be effected at a meeting and may not be effected by written consent.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6" w:name="page17"/>
    <w:bookmarkEnd w:id="16"/>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when the capital of the corporation is not impaired and only if such redemption or repurchase would not cause any impairment of the capital of the corporation, and Delaware law prohibits a corporation from declaring or paying a dividend, or redeeming or repurchasing shares of its stock, if the corporation is insolvent.</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NRS defines a distribution as a direct or indirect transfer of money or other property, other than the corporation’s own shares or the incurrence by the corporation of indebtedness, to or for the benefit of all holders of shares of any one or more classes or series of the capital stock of the corporation, with respect to such shares. A distribution may be in the form of a declaration or payment of a dividend, a purchase, redemption or other acquisition of shares, a distribution of indebtedness, or otherwise. The NRS provides that no distribution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Delaware Charter and the Nevada Charter provide that any dividends paid to the holders of our Common Stock will be paid pro rata, on an equal priority basis, unless different treatment is approved by a majority of the outstanding shares of the class of Common Stock treated adversely, voting as a separate class.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Restrictions on Business Combinations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Both Delaware and Nevada law provide certain protections to stockholders in connection with certain business combinations. These protections can be found in Section 203 of the DGCL and NRS 78.411 to 78.444, inclusive.</w:t>
      </w:r>
    </w:p>
    <w:p>
      <w:pPr>
        <w:spacing w:after="0" w:line="54" w:lineRule="exact"/>
        <w:rPr>
          <w:sz w:val="20"/>
          <w:szCs w:val="20"/>
          <w:color w:val="auto"/>
        </w:rPr>
      </w:pPr>
    </w:p>
    <w:p>
      <w:pPr>
        <w:jc w:val="both"/>
        <w:ind w:left="300" w:right="319"/>
        <w:spacing w:after="0" w:line="257" w:lineRule="auto"/>
        <w:rPr>
          <w:sz w:val="20"/>
          <w:szCs w:val="20"/>
          <w:color w:val="auto"/>
        </w:rPr>
      </w:pPr>
      <w:r>
        <w:rPr>
          <w:rFonts w:ascii="Times New Roman" w:cs="Times New Roman" w:eastAsia="Times New Roman" w:hAnsi="Times New Roman"/>
          <w:sz w:val="18"/>
          <w:szCs w:val="18"/>
          <w:color w:val="auto"/>
        </w:rPr>
        <w:t>Under Section 203 of the DGCL, certain “business combinations” with “interested stockholders” of a corporation are subject to a three-year moratorium unless specified conditions are met. For purposes of Section 203, the term “business combination” is defined broadly to include (i) mergers with or caused by the interested stockholder;</w:t>
      </w:r>
    </w:p>
    <w:p>
      <w:pPr>
        <w:spacing w:after="0" w:line="1" w:lineRule="exact"/>
        <w:rPr>
          <w:sz w:val="20"/>
          <w:szCs w:val="20"/>
          <w:color w:val="auto"/>
        </w:rPr>
      </w:pPr>
    </w:p>
    <w:p>
      <w:pPr>
        <w:jc w:val="both"/>
        <w:ind w:left="300" w:right="299" w:hanging="8"/>
        <w:spacing w:after="0" w:line="250" w:lineRule="auto"/>
        <w:tabs>
          <w:tab w:leader="none" w:pos="5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w:t>
      </w:r>
    </w:p>
    <w:p>
      <w:pPr>
        <w:spacing w:after="0" w:line="2" w:lineRule="exact"/>
        <w:rPr>
          <w:rFonts w:ascii="Times New Roman" w:cs="Times New Roman" w:eastAsia="Times New Roman" w:hAnsi="Times New Roman"/>
          <w:sz w:val="18"/>
          <w:szCs w:val="18"/>
          <w:color w:val="auto"/>
        </w:rPr>
      </w:pPr>
    </w:p>
    <w:p>
      <w:pPr>
        <w:jc w:val="both"/>
        <w:ind w:left="300" w:right="299" w:hanging="8"/>
        <w:spacing w:after="0" w:line="253" w:lineRule="auto"/>
        <w:tabs>
          <w:tab w:leader="none" w:pos="6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interested stockholder (except proportionately as a stockholder), directly or indirectly, of any loans, advances, guarantees, pledges or other financial benefits provided by or through the corporation or a subsidiary. In general, for purposes of Section 203 of the DGCL, an “interested stockholder” is a person who, together with affiliates and associates, owns, or within the past three years did own, 15% or more of the voting power of the corporation’s outstanding voting stock.</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that resulted in the person becoming an interested stockholder; (ii) the interested stockholder owns 85% of the voting power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such stockholder becomes an interested stockholder, the board approves the business combination, and it is also approved at a stockholder meeting by at least two-thirds (66 2/3%) of the outstanding voting power of the voting stock not owned by the interested stockholder.</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However, NRS 78.411 to 78.444, inclusive, regulate combinations more stringently. The NRS imposes a moratorium of up to four years versus Delaware’s three-year moratorium on business combinations. An interested stockholder is defined as a beneficial owner of 10% or more of the voting power. The two-year moratorium can be avoided by advance approval of the combination or the transaction by which such person first becomes an interested stockholder by a corporation’s board of directors. After the person becomes an interested stockholder, the combination must be approved by the board and 60% of the corporation’s voting power not beneficially owned by the interested stockholder, its affiliates and associates, at a meeting of the stockholders. Finally, after the two-year period, up to four years from the date the person first became an interested stockholder, a combination remains prohibited unless: (i)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7" w:name="page18"/>
    <w:bookmarkEnd w:id="17"/>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w:t>
      </w:r>
    </w:p>
    <w:p>
      <w:pPr>
        <w:spacing w:after="0" w:line="1" w:lineRule="exact"/>
        <w:rPr>
          <w:sz w:val="20"/>
          <w:szCs w:val="20"/>
          <w:color w:val="auto"/>
        </w:rPr>
      </w:pPr>
    </w:p>
    <w:p>
      <w:pPr>
        <w:ind w:left="300" w:right="299" w:hanging="8"/>
        <w:spacing w:after="0" w:line="260" w:lineRule="auto"/>
        <w:tabs>
          <w:tab w:leader="none" w:pos="6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received by the disinterested stockholders satisfies certain requirements. The combinations statutes in Nevada apply only to Nevada corporations with 200 or more stockholders of record.</w:t>
      </w:r>
    </w:p>
    <w:p>
      <w:pPr>
        <w:spacing w:after="0" w:line="7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DGCL and NRS. The Company has not opted out of the business combination provisions of Section 203 of the DGCL, nor will the Company opt out of the business combination provisions of NRS 78.411 to 78.444, inclusive, under the Nevada Charter. Any opt-out of the business combination provisions of the NRS must be contained in an amendment to the articles of incorporation of a Nevada corporation approved by a majority of the outstanding voting power not then owned by interested stockholders, but the amendment would not be effective until 18 months after the vote of the stockholders to approve the amendment and would not apply to any combination with a person who first became an interested stockholder on or before the effective date of the amendment. The restrictions of NRS 78.411 to 78.444, inclusive, will not apply to combinations involving Mr. Houston because he will first become an “interested stockholder” when the Company first becomes a Nevada corporation subject to those statutes, and because our board of directors is approving the Nevada Reincorporation.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Acquisition of Controlling Interests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to the restrictions on business combinations with interested stockholders, Nevada law also protects a corporation and its stockholders from persons acquiring a “controlling interest” in a corporation. The provisions can be found in NRS 78.378 to 78.3793, inclusive. Delaware law does not have similar provisions.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one-fifth or more but less than one-third, (ii) one-third or more but less than a majority or (iii) a majority or more of the voting power of the issuing corporation in the election of directors, and once an acquirer crosses one of these thresholds, shares that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assert dissenter’s rights under NRS 92A.300 through 92A.500, inclusive, and demand payment for the fair value of such person’s shares in accordance with such statutes.</w:t>
      </w:r>
    </w:p>
    <w:p>
      <w:pPr>
        <w:spacing w:after="0" w:line="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through an affiliated corporation. NRS 78.378(2) provides that the corporation may impose stricter requirements if it so desires.</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Corporations are entitled to opt out of the above controlling interest provisions of the NRS. In the Nevada Bylaws, the Company has opted out of these provisions.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Vote for Mergers, Asset Sales and Other Corporate Reorganizations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voting power of the shares entitled to vote. The corporation’s board of directors must also approve such transaction. Similarly, under the NRS, a merger or sale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8" w:name="page19"/>
    <w:bookmarkEnd w:id="18"/>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substantially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event of certain corporate transactions, including certain mergers and asset sales, the Delaware Charter provides that the assets of the Company legally available for distribution to stockholders shall be distributed on a pro rata basis to the holders of Common Stock, unless different treatment is approved by a majority of the outstanding shares of the Class A Common Stock and the Class B Common Stock, each voting as a separate class. The Nevada Charter contains a parallel provision. In addition, both the Delaware Charter and Nevada Charter provide that the approval of holders of a majority of the outstanding shares of Class B Common Stock, voting as a separate class, is required to effect certain mergers and asset sales irrespective of the manner in which any assets of the Company are distributed to stockholders.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Appraisal or Dissenter’s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fixed to determine the stockholders entitled to act without a meeting or the stockholders entitled to notice of the meeting to approve such transaction, such shares of stock, or depositary receipts in respect thereof, are either (i) listed on a national securities exchange or (ii) held of record by more than 2,000 holders, unless the stockholders are required by the terms of an agreement of merger or consolidation, or by the terms of a resolution providing for conversion, transfer, domestication or continuance to accept in exchange for their shares anything other than shares of stock of the surviving or resulting corporation, or of the converted entity if such entity is a corporation as a result of the conversion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Section 262 of the DGCL allows beneficial owners of shares to demand an appraisal of such beneficial owner’s share and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9" w:name="page20"/>
    <w:bookmarkEnd w:id="19"/>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NRS, a stockholder is entitled to dissent from, and obtain payment for, the fair value of the stockholder’s shares in the event of (i) accordance of full voting rights under certain circumstances in connection with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w:t>
      </w:r>
    </w:p>
    <w:p>
      <w:pPr>
        <w:spacing w:after="0" w:line="5" w:lineRule="exact"/>
        <w:rPr>
          <w:sz w:val="20"/>
          <w:szCs w:val="20"/>
          <w:color w:val="auto"/>
        </w:rPr>
      </w:pPr>
    </w:p>
    <w:p>
      <w:pPr>
        <w:ind w:left="300" w:right="299" w:hanging="8"/>
        <w:spacing w:after="0" w:line="251" w:lineRule="auto"/>
        <w:tabs>
          <w:tab w:leader="none" w:pos="6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plan of exchange in which the corporation is a party, (v) any corporate action taken pursuant to a vote of the stockholders, if the articles of incorporation, bylaws or a resolution of the board of directors provides that voting or nonvoting stockholders are entitled to dissent and obtain payment for their shares or (vi)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 Additionally, under the NRS, a beneficial owner of shares may assert dissenter’s rights as to shares held on such beneficial owner’s behalf only if the beneficial owner: (a) submits to the corporation the written consent of the stockholder of record to the dissent not later than the time the beneficial owner asserts dissenter’s rights; and (b) does so with respect to all shares of which such beneficial owner is the beneficial owner or over which such beneficial owner has power to direct the vote.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Holders of covered securities (generally those that are listed on a national securities exchange), any shares traded in an organized market and held by at least 2,000 stockholders of record with a market value of at least $20 million (exclusive of the value of such shares held by the corporation’s subsidiaries, senior executives, directors and beneficial stockholders owning more than 10% of such shares), and any shares issued by an open-end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any security that satisfies the requirements of NRS 92A.390(1) at the time the corporate action becomes effective, or any combination thereof. The exception is also unavailable in the event of (i) accordance of full voting rights under certain circumstances in connection with acquisitions of a controlling interest in the corporation and (ii) any corporate action taken pursuant to a vote of the stockholders, if the articles of incorporation, bylaws or a resolution of the board of directors provides that voting or nonvoting stockholders are entitled to dissent and obtain payment for their shares. The NRS prohibits a dissenting stockholder from voting his or her shares or receiving certain dividends or distributions after his or her dissent. The Nevada Charter and Nevada Bylaws do not provide for dissenter’s rights in addition to those provided by the NRS.</w:t>
      </w:r>
    </w:p>
    <w:p>
      <w:pPr>
        <w:spacing w:after="0" w:line="8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mechanics and timing procedures vary somewhat between Delaware and Nevada, but both require technical compliance with specific notice and payment protocols.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Delaware Charter and Delaware Bylaws, a special meeting of stockholders may be called only by (i) a majority of our whole board of directors, (ii) the chairman of our board of directors, (iii) our Chief Executive Officer, (iv) our President (in the absence of a Chief Executive Officer) or (v) prior to the Final Conversion Date (as defined below), the holders of at least 30% of voting power of the Class A Common Stock and Class B Common Stock, voting together as a single class and in compliance with the Delaware Bylaws. The Nevada Charter and the Nevada Bylaws contain substantially similar provisions.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8"/>
          <w:szCs w:val="18"/>
          <w:i w:val="1"/>
          <w:iCs w:val="1"/>
          <w:color w:val="auto"/>
        </w:rPr>
        <w:t>Annual Meetings Pursuant to Petition of Stockholders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DGCL provides that a director or a stockholder of a corporation may apply to the Delaware Court of Chancery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Under the NRS, stockholders having not less than 15% of the voting power may petition the district court to order a meeting for the election of directors if a corporation fails to call a meeting for that purpose within 18 months after the last meeting at which directors were elected.</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Adjournment of Stockholder Meetings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the DGCL, if a meeting of stockholders is adjourned and the adjournment is for more than 30 days, or if after the adjournment a new record date to determine stockholders entitled to vote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Duration of Proxies</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Under the DGCL, a proxy executed by a stockholder will remain valid for a period of three years, unless the proxy provides for a longer period. The DGCL provides for irrevocable proxies, without limitation on duration, if such proxy states that it is irrevocable and if, and only as long as, it is coupled with an interest sufficient in law to support an irrevocable power.</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the NRS, a proxy is effective only for a period of six months, unless it is coupled with an interest or unless otherwise provided in the proxy, which duration may not exceed seven years. The NRS also provides for irrevocable proxies, without limitation on duration, if such proxy states that it is irrevocable, but the proxy is irrevocable only for so long as it is coupled with an interest sufficient in law to support an irrevocable power, including interests specified in the NRS.</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Quorum and Voting</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DGCL provides that the certificate of incorporation and bylaws may establish quorum and voting requirements, but in no event shall quorum consist of less than one-third of the voting power of the shares entitled to vote. If the certificate of incorporation and bylaws are silent as to specific quorum and voting requirements: (a) a majority of the voting power of the shares entitled to vote shall constitute a quorum at a meeting of stockholders; (b) in all matters other than the election of directors, the affirmative vote of the majority of the voting power of the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or classes or series is required, a majority of the outstanding voting power of the shares of such class or series or classes or series shall constitute a quorum entitled to take action with respect to the vote on that matter and, in all matters other than the election of directors, the affirmative vote of the majority of the voting power of the shares of such class or series or classes or series present at the meeting shall be the act of such class or series or classes or series.</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Under the DGCL, a bylaw amendment adopted by stockholders which specifies the votes that shall be necessary for the election of directors shall not be further amended or repealed by the board. The Delaware Bylaws provide that unless otherwise required by law, the Delaware Charter, the Delaware Bylaws or the rules of any applicable stock exchange, the holders of shares representing a majority of the voting power of the Company’s capital stock issued and outstanding and entitled to vote, present in person or represented by proxy, shall constitute a quorum at all meetings of the stockholders for the transaction of business. The Delaware Bylaws provide that, except as otherwise required by law, the Delaware Charter or the Delaware Bylaws, the directors are elected by a plurality of the voting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1" w:name="page22"/>
    <w:bookmarkEnd w:id="21"/>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power of the shares present in person or represented by proxy at the meeting and entitled to vote on the election of directors. The Delaware Bylaws also provide that, except as otherwise provided by law, the Delaware Charter, the Delaware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contain quorum and voting provisions substantially similar to those in the Delaware Bylaws.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Inspection Rights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 Stockholders or beneficial owners seeking to inspect books and records to investigate wrongdoing must also state a credible basis to infer wrongdoing.</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Inspection rights under Nevada law are more limited. NRS 78.105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record of the corporation, showing their places of residence, if known, and the number of shares held by them, respectively. Nevada law further provides that a corporation is not required to keep a list of any person who is a beneficial owner of any shares who is not simultaneously the stockholder of record of such shares. Any stockholder or other person making a demand under NRS 78.105 must furnish an affidavit to the corporation stating that the inspection is not desired for a purpose which is in the interest of a business or object other than the business of the corporation and that the stockholder or other person has not at any time sold or offered for sale any list of stockholders of any domestic or foreign corporation or aided or abetted any person in procuring any such record of stockholders for any such sale or offer for sale.</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NRS 78.257 grants certain stockholders the right to inspect the books of account and financial statements of a corporation for any purpose related to the stockholder’s interest as a stockholder. The right to inspect the books of account and financial statements of a corporation, to make copies of records and to conduct an audit of such records is granted only to a stockholder of record who owns at least 15% of the issued and outstanding shares of a Nevada corporation, or who has been authorized in writing by the holders of at least 15% of such shares. Any person making such a demand shall furnish an affidavit to the corporation stating that the inspection is not desired for any purpose not related to his or her interest as a stockholder. Further, as a condition to such inspection right, the board of directors may require the stockholder and each other person exercising such right to enter into and comply with a confidentiality agreement having such terms and scope as are reasonably related to protecting the legitimate interests of the corporation. However, the inspection rights discussed in this paragraph do not apply to any corporation, such as the Company, that furnishes to its stockholders a detailed annual financial statement or any corporation that has filed during the preceding 12 months all reports required to be filed pursuant to Section 13 or Section 15(d) of the Exchange Act.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Business Opportunities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2" w:name="page23"/>
    <w:bookmarkEnd w:id="22"/>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Neither the Delaware Charter nor the Nevada Charter renounces any interest or expectancy in business opportunities.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Franchise Tax Savings and Filing Fees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Company’s current status as a Delaware corporation physically located in California requires the Company to comply with franchise tax obligations in both Delaware and California. For the most recent franchise tax period, the Company paid approximately $250,000 in franchise taxes to the state of Delaware, which will no longer be required to be paid if the Nevada Reincorporation is completed. If the Nevada Reincorporation is completed, our current annual fees in Nevada will consist of an annual state business license fee of $500 and the fee for filing the Company’s annual list of directors and officers based on the number of authorized shares and their par value, currently equal to $2,025.</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will continue to pay annual filing fees to qualify as a foreign jurisdiction in California, and there are certain immaterial fees associated with effecting the Nevada Reincorporation via conversion that the Company will be required to pay.</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Matters That Will Not Change After Nevada Reincorporation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Apart from being governed by the Nevada Charter, Nevada Bylaws and the NRS, upon completion of the Nevada Reincorporation, the Company will continue to exist, without interruption, in the form of a Nevada corporation. By virtue of the Nevada Reincorporation, all of the rights, privileges and powers of the Company, and all property, real, personal and mixed, and all debts due to the Company, as well as all other things and causes of action belonging to the Company, will remain vested in the Nevada Corporation and will be the property of the Nevada Corporation. In addition, the Nevada Corporation will have all debts, liabilities and duties of the Company and the same may be enforced against the Nevada Corporation.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Change in Business, Jobs or Physical Location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Nevada Reincorporation will not result in any change in business, jobs, management, properties, location of any of our offices or facilities, number of employees, obligations, assets, liabilities or net worth (other than as a result of the costs related to the Nevada Reincorporation). We are a virtual first company, but intend to maintain our corporate headquarters in California.</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management, including all directors and officers and the positions they respectively hold, will be unchanged as a result of the Nevada Reincorporation. To the extent that the Nevada Reincorporation will require the consent or waiver of a third party, the Company will use commercially reasonable effects to obtain such consent or waiver before completing the Nevada Reincorporation. The Company does not expect that any such required consent will impede its ability to reincorporate to Nevada. The Nevada Reincorporation will not otherwise adversely affect any of the Company’s material contracts with any third parties, and the Company’s rights and obligations under such material contractual arrangements will continue as rights and obligations of the Nevada Corporation.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Multi-Class Capital Structure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Delaware Charter sets forth the terms and conditions for the termination of the Company’s multi-class capital structure. Each share of the Company’s Class B Common Stock will automatically convert into one share of the Company’s Class A Common Stock on (i) the date specified by the holders of two-thirds of the then outstanding shares of the Company’s Class B Common Stock, (ii) the first date on which the number of outstanding shares of the Company’s Class B Common Stock represents less than five percent of the aggregate number of outstanding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3" w:name="page24"/>
    <w:bookmarkEnd w:id="23"/>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the Company’s Class A Common Stock and Class B Common Stock, or (iii) the date that is nine months after the death or disability of the last to die or become disabled of our co-founders, or a later date not to exceed a total period of 18 months from the last applicable death or disability (the “Final Conversion Date”). The Nevada Charter provides for the same Final Conversion Date.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Securities Law Consequences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continue to be a publicly held company following completion of the Nevada Reincorporation, and our Class A Common Stock would continue to be listed on The Nasdaq Global Select Market and traded under the symbol “DBX.” The Company will continue to file required periodic reports and other documents with the SEC. There is not expected to be any interruption in the trading of the Class A Common Stock as a result of the Nevada Reincorporation. We and our stockholders will be in the same respective positions under the federal securities laws after the Nevada Reincorporation as we and our stockholders were prior to the Nevada Reincorporation.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Material Accounting Implications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Effecting the Nevada Reincorporation will not have any material accounting implications.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Exchange of Stock Certificates Required</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Stockholders will not have to exchange their existing stock certificates for new stock certificates. At the Effective Time, each outstanding share of the Company’s Class A Common Stock or Class B Common Stock will automatically be converted into one share of the Nevada Corporation’s Class A Common Stock or Nevada Corporation Class B Common Stock, as applicable, and any stock certificates you then hold will represent the same number of shares of the Nevada Corporation as they represented of the Company immediately prior to the Effective Time.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Appraisal Rights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are not entitled to appraisal rights with respect to the Nevada Reincorporation described in this Information Statement.</w:t>
      </w:r>
    </w:p>
    <w:p>
      <w:pPr>
        <w:spacing w:after="0" w:line="5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If the Nevada Reincorporation is completed, holders of record and beneficial owners of our Class B Common Stock who (1) do not consent to or otherwise vote in favor of the Nevada Reincorporation; (2) properly demand appraisal of their shares; (3) continuously hold of record or beneficially own their shares through the Effective Time;</w:t>
      </w:r>
    </w:p>
    <w:p>
      <w:pPr>
        <w:spacing w:after="0" w:line="1" w:lineRule="exact"/>
        <w:rPr>
          <w:sz w:val="20"/>
          <w:szCs w:val="20"/>
          <w:color w:val="auto"/>
        </w:rPr>
      </w:pPr>
    </w:p>
    <w:p>
      <w:pPr>
        <w:jc w:val="both"/>
        <w:ind w:left="300" w:right="299" w:hanging="8"/>
        <w:spacing w:after="0" w:line="251" w:lineRule="auto"/>
        <w:tabs>
          <w:tab w:leader="none" w:pos="5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the procedures of Section 262 of the DGCL (“Section 262”); and (5) do not withdraw their demands or otherwise lose their rights to appraisal may, subject to the conditions thereof, seek appraisal of their shares in connection with the Nevada Reincorporation under Section 262. Unless the context requires otherwise, all references in Section 262 and in this summary to a “stockholder” are to a record holder of the Company’s Class B Common Stock, all references in Section 262 and in this summary to “beneficial owner” mean a person who is the beneficial owner of shares of the Company’s Class B Common Stock held either in voting trust or by a nominee on behalf of such person, and all references in Section 262 and in this summary to the word “person” mean any individual, corporation, partnership, unincorporated association or other entity. As a matter of law, the Consenting Stockholders have waived their appraisal rights by virtue of consenting to the Nevada Reincorporation.</w:t>
      </w:r>
    </w:p>
    <w:p>
      <w:pPr>
        <w:spacing w:after="0" w:line="8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discussion is not a complete statement of the law pertaining to appraisal rights under the DGCL and is qualified in its entirety by the full text of Section 262, which is available at the following URL, accessible</w:t>
      </w:r>
    </w:p>
    <w:p>
      <w:pPr>
        <w:jc w:val="both"/>
        <w:ind w:left="300" w:right="299"/>
        <w:spacing w:after="0" w:line="250" w:lineRule="auto"/>
        <w:rPr>
          <w:sz w:val="20"/>
          <w:szCs w:val="20"/>
          <w:color w:val="auto"/>
        </w:rPr>
      </w:pPr>
      <w:r>
        <w:rPr>
          <w:rFonts w:ascii="Times New Roman" w:cs="Times New Roman" w:eastAsia="Times New Roman" w:hAnsi="Times New Roman"/>
          <w:sz w:val="18"/>
          <w:szCs w:val="18"/>
          <w:color w:val="auto"/>
        </w:rPr>
        <w:t xml:space="preserve">without subscription or cost, which is incorporated herein by reference: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The following summary does not constitute any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other advice and does not constitute a recommendation that our stockholders (or beneficial owners of our Class B Common Stock) exercise their appraisal rights under Section 262. </w:t>
      </w:r>
      <w:r>
        <w:rPr>
          <w:rFonts w:ascii="Times New Roman" w:cs="Times New Roman" w:eastAsia="Times New Roman" w:hAnsi="Times New Roman"/>
          <w:sz w:val="18"/>
          <w:szCs w:val="18"/>
          <w:b w:val="1"/>
          <w:bCs w:val="1"/>
          <w:color w:val="auto"/>
        </w:rPr>
        <w:t>STOCKHOLDERS (AND BENEFICIAL</w:t>
      </w:r>
    </w:p>
    <w:p>
      <w:pPr>
        <w:spacing w:after="0" w:line="2" w:lineRule="exact"/>
        <w:rPr>
          <w:sz w:val="20"/>
          <w:szCs w:val="20"/>
          <w:color w:val="auto"/>
        </w:rPr>
      </w:pPr>
    </w:p>
    <w:p>
      <w:pPr>
        <w:jc w:val="both"/>
        <w:ind w:left="300" w:right="319"/>
        <w:spacing w:after="0" w:line="260" w:lineRule="auto"/>
        <w:rPr>
          <w:sz w:val="20"/>
          <w:szCs w:val="20"/>
          <w:color w:val="auto"/>
        </w:rPr>
      </w:pPr>
      <w:r>
        <w:rPr>
          <w:rFonts w:ascii="Times New Roman" w:cs="Times New Roman" w:eastAsia="Times New Roman" w:hAnsi="Times New Roman"/>
          <w:sz w:val="18"/>
          <w:szCs w:val="18"/>
          <w:b w:val="1"/>
          <w:bCs w:val="1"/>
          <w:color w:val="auto"/>
        </w:rPr>
        <w:t>OWNERS) SHOULD CAREFULLY REVIEW THE FULL TEXT OF SECTION 262 AS WELL AS THE INFORMATION DISCUSSED BELOW.</w:t>
      </w:r>
    </w:p>
    <w:p>
      <w:pPr>
        <w:spacing w:after="0" w:line="7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Under Section 262, if the Nevada Reincorporation is completed, holders of record and beneficial owners of our Class B Common Stock who (1) deliver a written demand for appraisal of such person’s shares of our Class B Common Stock to us within 20 days after the date of this Information Statement; (2) do not consent to or otherwise vote in favor of the Nevada Reincorporation; (3) continuously hold of record or beneficially own such shares on the date of making the demand for appraisal through the Effective Time; and (4) otherwise comply with the procedures set forth in Section 262 may be entitled to have their shares of our Class B Common Stock appraised by the Delaware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4" w:name="page25"/>
    <w:bookmarkEnd w:id="24"/>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 of Chancery and to receive payment in cash, in lieu of the shares of the Class B Common Stock of the Nevada Corporation set forth in the Plan of Conversion, for the “fair value” of their shares of our Class B Common Stock, exclusive of any element of value arising from the accomplishment or expectation of the Nevada Reincorporation, together with (unless the Delaware Court of Chancery in its discretion determines otherwise for good cause shown)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converted corporation in the Nevada Reincorporation to each person entitled to appraisal prior to the entry of judgment in the appraisal proceeding) as described further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Unless the Delaware Court of Chancery, in its discretion, determines otherwise for good cause shown, interest on the amount determined to be the fair value of the shares subject to appraisal will accrue and compound quarterly from the Effective Time through the date the judgment is paid at 5% over the Federal Reserve discount rate (including any surcharge) as established from time to time during such period (except that, if at any time before the entry of judgment in the proceeding, the converted corporation makes a voluntary cash payment to each person entitled to appraisal, interest will accrue thereafter only upon the sum of (x) the difference, if any, between the amount so paid and the fair value of the shares as determined by the Delaware Court of Chancery and (y) interest theretofore accrued, unless paid at that time). The converted corporation is under no obligation to make such voluntary cash payment prior to such entry of judgment.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Under Section 262, when a conversion is approved by written consent without a meeting pursuant to Section 228 of the DGCL, as is the case with the Nevada Reincorporation, Section 262 requires that either the converting corporation before the effective date of the conversion, or the converted entity within 10 days after such effective date, notify each stockholder of the converting corporation who is entitled to appraisal rights that appraisal rights are available and include in such notice a copy of Section 262 or information directing the stockholder to a publicly available electronic resource at which Section 262 may be accessed without subscription or cost. Such notice may, and if given on or after the effective date of the conversion must, also notify the stockholder of the effective date of the conversion. This Information Statement constitutes our notice to the holders of record and beneficial owners of our Class B Common Stock that appraisal rights are available in connection with the Nevada Reincorporation, and</w:t>
      </w:r>
    </w:p>
    <w:p>
      <w:pPr>
        <w:spacing w:after="0" w:line="6"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 xml:space="preserve">the full text of Section 262 is available at the following URL: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In connection with the Nevada Reincorporation,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record or beneficial owner of shares of our Class B Common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Class B Common Stock of the Nevada Corporation described in the Plan of Conversion. Because of the complexity of the procedures for exercising the right to seek appraisal of shares of our Class B Common Stock, we believe that if a person is considering exercising such rights, such person should seek the advice of legal counsel.</w:t>
      </w:r>
    </w:p>
    <w:p>
      <w:pPr>
        <w:spacing w:after="0" w:line="8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 xml:space="preserve">Stockholders or beneficial owners wishing to exercise the right to seek an appraisal of their shares of our Class B Common Stock must do </w:t>
      </w: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 xml:space="preserve"> of the following:</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must not consent to or otherwise vote in favor of the Nevada Reincorporation;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must deliver to us a written demand for appraisal within 20 days after the date of this Information Statement;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must continuously hold of record or beneficially own the shares of our Class B Common Stock from the date of making the demand through the Effective Time (a person will lose appraisal rights if the person transfers the shares before the Effective Time).</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described below, within 120 days after the Effective Time, but not thereafter, an appraisal proceeding must be commenced by filing a petition in the Delaware Court of Chancery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Class B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Filing Written Demand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person wishing to exercise appraisal rights must deliver to us, within 20 days after the date of this Information Statement, a written demand for the appraisal of such person’s shares. In addition, that person must not consent to or otherwise vote in favor of the Nevada Reincorporation. Consenting or voting in favor of the Nevada Reincorporation will constitute a waiver of appraisal rights in respect of the shares so voted and will nullify any previously filed written demands for appraisal. A person exercising appraisal rights must own or hold, as applicable, beneficially or of record, the shares on the date the written demand for appraisal is delivered and must continue to hold or own, as applicable, the shares through the Effective Time. Neither withholding consent nor abstaining from voting or failing to vote with respect to the approval of the Nevada Reincorporation will, in and of itself, constitute a written demand for appraisal satisfying the requirements of Section 262. A person’s failure to make the written demand within 20 days after the date of this Information Statement will constitute a waiver of appraisal rights.</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case of a written demand for appraisal made by a stockholder of record, the demand must reasonably inform us of the identity of the stockholder and that the stockholder intends thereby to demand an appraisal of such stockholder’s shares of Class B Common Stock. 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converted corporation and to be set forth on the verified list (as defined below).</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written demands for appraisal pursuant to Section 262 should be mailed or delivered to:</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Dropbox,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1800 Owens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Francisco, California 94158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At any time within 60 days after the Effective Time, any person entitled to appraisal rights who has not commenced an appraisal proceeding or joined that proceeding as a named party may withdraw such person’s demand for appraisal and accept the terms offered pursuant to the Plan of Conversion, by delivering to us, as the converted corporation, a written withdrawal of the demand for appraisal. Any withdrawal of a demand for appraisal made more than 60 days after the Effective Time may only be made with the written approval of the converted corporation.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(which we refer to as a “reservation”) for any application (as defined below) to the Delaware Court of Chancery; provided, however, that this shall not affect the right of any person who has not commenced an appraisal proceeding or joined that proceeding as a named party to withdraw such person’s demand for appraisal and to accept the applicable Class B Common Stock of the Nevada Corporation within 60 days after the Effective Time. If the Delaware Court of Chancery does not approve the dismissal of an appraisal proceeding with respect to a person, such person will be entitled to receive only the fair value determined in any such appraisal proceeding, which value could be less than, equal to or more than the value of the Class B Common Stock of the Nevada Corporation being offered pursuant to the Plan of Conversion.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Filing a Petition for Appraisal</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the converted corporation or any person who has complied with Section 262 and is otherwise entitled to appraisal rights under Section 262 may commence an appraisal proceeding by filing a petition in the Delaware Court of Chancery, with a copy served on the converted corporation in the case of a petition filed by any person other than the converted corporation,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Class B Common Stock. Accordingly, any persons who desire to have their shares of our Class B Common Stock appraised should initiate all necessary action to perfect their appraisal rights in respect of their shares of our Class B Common Stock within the time and in the manner prescribed in Section 262. The failure to file such a petition within the period specified in Section 262 could nullify a previous written demand for appraisal.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6" w:name="page27"/>
    <w:bookmarkEnd w:id="26"/>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any person who has complied with the requirements for an appraisal of such person’s shares pursuant to Section 262 will be entitled, upon written request, to receive from the converted corporation a statement setting forth the aggregate number of shares not voted in favor of the approval of the Nevada Reincorporation and with respect to which we have received demands for appraisal,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Such statement must be given within ten days after receipt by the converted corporation of the written request for such a statement or within ten days after the expiration of the period for delivery of demands for appraisal, whichever is later.</w:t>
      </w:r>
    </w:p>
    <w:p>
      <w:pPr>
        <w:spacing w:after="0" w:line="80"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If a petition for an appraisal is duly filed by any person other than the converted corporation, service of a copy thereof must be made upon the converted corporation, which will then be obligated within 20 days after such service to file with the Delaware Register in Chancery a duly verified list (which we refer to as the “verified list”) containing the names and addresses of all persons who have demanded appraisal for their shares and with whom agreements as to the value of their shares have not been reached. The Delaware Court of Chancery may order the Register in Chancery to give notice of the time and place fixed for the hearing of such petition to the converted corporation and all of the persons shown on the verified list at the addresses stated therein. The costs of any such notice are borne by the converted corporation.</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to the Register in Chancery for notation thereon of the pendency of the appraisal proceedings. Accordingly, persons holding stock represented by stock certificates and wishing to seek appraisal of their shares are cautioned to retain their stock certificates pending resolution of the appraisal proceedings. If any person fails to comply with this requirement, the Delaware Court of Chancery may dismiss the proceedings as to such person. Upon application by the converted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After the Delaware Court of Chancery determines the persons entitled to appraisal, then the appraisal proceeding will be conducted in accordance with the rules of the Delaware Court of Chancery, including any rules specifically governing appraisal proceedings. Through such proceeding, the Delaware Court of Chancery will determine the “fair value” of the shares of our Class B Common Stock, exclusive of any element of value arising from the accomplishment or expectation of the Nevada Reincorporation, together with interest, if any, to be paid upon the amount determined to be the fair value. Unless the Delaware Court of Chancery in its discretion determines otherwise for good cause shown,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converted corporation has the right, at any time prior to the Delaware Court of Chancery’s entry of judgment in the proceedings, to make a voluntary cash payment to each person seeking appraisal. If the converted corporation makes a voluntary cash payment pursuant to subsection (h) of Section 262, interest will accrue thereafter only on the sum of (x) the difference, if any, between the amount paid by the converted corporation in such voluntary cash payment and the fair value of the shares as determined by the Delaware Court of Chancery and (y) interest accrued before such voluntary cash payment, unless paid at that time.</w:t>
      </w:r>
    </w:p>
    <w:p>
      <w:pPr>
        <w:spacing w:after="0" w:line="86" w:lineRule="exact"/>
        <w:rPr>
          <w:sz w:val="20"/>
          <w:szCs w:val="20"/>
          <w:color w:val="auto"/>
        </w:rPr>
      </w:pPr>
    </w:p>
    <w:p>
      <w:pPr>
        <w:jc w:val="both"/>
        <w:ind w:left="300" w:right="299"/>
        <w:spacing w:after="0" w:line="272" w:lineRule="auto"/>
        <w:rPr>
          <w:sz w:val="20"/>
          <w:szCs w:val="20"/>
          <w:color w:val="auto"/>
        </w:rPr>
      </w:pPr>
      <w:r>
        <w:rPr>
          <w:rFonts w:ascii="Times New Roman" w:cs="Times New Roman" w:eastAsia="Times New Roman" w:hAnsi="Times New Roman"/>
          <w:sz w:val="17"/>
          <w:szCs w:val="17"/>
          <w:color w:val="auto"/>
        </w:rPr>
        <w:t xml:space="preserve">In determining fair value, the Delaware Court of Chancery will take into account all relevant factors. In </w:t>
      </w:r>
      <w:r>
        <w:rPr>
          <w:rFonts w:ascii="Times New Roman" w:cs="Times New Roman" w:eastAsia="Times New Roman" w:hAnsi="Times New Roman"/>
          <w:sz w:val="17"/>
          <w:szCs w:val="17"/>
          <w:i w:val="1"/>
          <w:iCs w:val="1"/>
          <w:color w:val="auto"/>
        </w:rPr>
        <w:t>Weinberger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 UOP, Inc.</w:t>
      </w:r>
      <w:r>
        <w:rPr>
          <w:rFonts w:ascii="Times New Roman" w:cs="Times New Roman" w:eastAsia="Times New Roman" w:hAnsi="Times New Roman"/>
          <w:sz w:val="17"/>
          <w:szCs w:val="17"/>
          <w:color w:val="auto"/>
        </w:rPr>
        <w:t>, the Supreme Court of Delaware discussed the factors that could be considered in determining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transaction that “throw any light on future prospects” of the corporation. Section 262 provides that fair value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7" w:name="page28"/>
    <w:bookmarkEnd w:id="27"/>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is to be “exclusive of any element of value arising from the accomplishment or expectation” of the transaction.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the Delaware Supreme Court stated that such exclusion is a “narrow exclusion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Supreme Court of Delaware also stated that “elements of future value, including the nature of the enterprise, which are known or susceptible of proof as of the date of the [transaction] and not the product of speculation, may be considered.”</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Persons considering seeking appraisal should be aware that the fair value of their shares as so determined by the Delaware Court of Chancery could be more than, the same as or less than the value of the Class B Common Stock of the Nevada Corporation they would receive pursuant to the Nevada Reincorporation if they did not seek appraisal of their shares. </w:t>
      </w:r>
      <w:r>
        <w:rPr>
          <w:rFonts w:ascii="Times New Roman" w:cs="Times New Roman" w:eastAsia="Times New Roman" w:hAnsi="Times New Roman"/>
          <w:sz w:val="18"/>
          <w:szCs w:val="18"/>
          <w:b w:val="1"/>
          <w:bCs w:val="1"/>
          <w:color w:val="auto"/>
        </w:rPr>
        <w:t>ALTHOUGH WE BELIEVE THAT THE VALUE OF THE CLASS B COMMON STOCK OF</w:t>
      </w:r>
    </w:p>
    <w:p>
      <w:pPr>
        <w:spacing w:after="0" w:line="3"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NEVADA CORPORATION TO BE ISSUED IN CONNECTION WITH THE NEVADA REINCORPORATION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VALUE OF THE NEVADA CORPORATION CLASS B COMMON STOCK TO BE ISSUED IN CONNECTION WITH THE NEVADA REINCORPORATION. </w:t>
      </w:r>
      <w:r>
        <w:rPr>
          <w:rFonts w:ascii="Times New Roman" w:cs="Times New Roman" w:eastAsia="Times New Roman" w:hAnsi="Times New Roman"/>
          <w:sz w:val="18"/>
          <w:szCs w:val="18"/>
          <w:color w:val="auto"/>
        </w:rPr>
        <w:t>We do not anticipate offering more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shares of Class B Common Stock of the Nevada Corporation in connection with the Nevada Reincorporation to any persons exercising appraisal rights, and we reserve the right to make a voluntary cash payment pursuant to subsection (h) of Section 262 and to assert, in any appraisal proceeding, that for purposes of Section 262, the “fair value” of a share of our Class B Common Stock is less than the value of the Class B Common Stock of the Nevada Corporation to be issued in connection with the Reincorporation. If a petition for appraisal is not timely filed, then the right to an appraisal will cease.</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Delaware Court of Chancery will direct the payment of the fair value of the shares, together with interest, if any, by the converted corporation to the persons entitled thereto. Payment will be so made to each such person upon such terms and conditions as the Delaware Court of Chancery may order. The Delaware Court of Chancery’s decree may be enforced as other decrees in such Delaware Court of Chancery may be enforced.</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or subject to an award pursuant to a reservation. In the absence of such determination or assessment, each party bears its own expenses.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any person who demands appraisal of shares of our Class B Common Stock under Section 262 fails to perfect, or loses or validly withdraws, such person’s right to appraisal, such person’s shares of our Class B Common Stock will be deemed to have been converted at the Effective Time into the right to receive shares of Class B Common Stock of the Nevada Corporation in connection with the Nevada Reincorporation. A person will fail to perfect, or effectively lose, such person’s right to appraisal if no petition for appraisal is filed within 120 days after the Effective Time or if the person delivers to the converted corporation a written withdrawal of such person’s demand for appraisal and an acceptance of the applicable shares of Class B Common Stock of the Nevada Corporation in connection with the Nevada Reincorporation in accordance with Section 262.</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From and after the Effective Time, no person who has demanded appraisal rights in compliance with Section 262 will be entitled to vote such shares of our Class B Common Stock for any purpose or to receive payment of dividends or other distributions on the stock (except dividends or other distributions payable to stockholders of record at a date which is prior to the Effective Time).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may result in the loss of appraisal rights. Consequently, any person wishing to exercise appraisal rights is encouraged to consult legal counsel before attempting to exercise those rights.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January 28, 2024, we had 83 holders of record of our Class B Common Stock and 76,925,771shares of our Class B Common Stock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January 28, 2025 for:</w:t>
      </w:r>
    </w:p>
    <w:p>
      <w:pPr>
        <w:spacing w:after="0" w:line="54"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named executive officers and executive officers as a group;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be the beneficial owner of more than 5% of our Class A or Class B common stock.</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224,977,458 shares of our Class A common stock, 76,925,771 shares of our Class B common stock, and no shares of our Class C common stock outstanding as of January 28, 2025. We have deemed shares of our common stock subject to stock options that are currently exercisable or exercisable within 60 days of January 28, 2025 or issuable pursuant to RSUs which are subject to vesting and settlement conditions expected to occur within 60 days of January 28, 2025,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5"/>
        </w:trPr>
        <w:tc>
          <w:tcPr>
            <w:tcW w:w="4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55"/>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80" w:type="dxa"/>
            <w:vAlign w:val="bottom"/>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Andrew W. Houston</w:t>
            </w:r>
            <w:r>
              <w:rPr>
                <w:rFonts w:ascii="Times New Roman" w:cs="Times New Roman" w:eastAsia="Times New Roman" w:hAnsi="Times New Roman"/>
                <w:sz w:val="26"/>
                <w:szCs w:val="26"/>
                <w:color w:val="auto"/>
                <w:vertAlign w:val="superscript"/>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9,427,838</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75,987,893</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98.78</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77.38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Regan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Timothy Young</w:t>
            </w:r>
            <w:r>
              <w:rPr>
                <w:rFonts w:ascii="Times New Roman" w:cs="Times New Roman" w:eastAsia="Times New Roman" w:hAnsi="Times New Roman"/>
                <w:sz w:val="26"/>
                <w:szCs w:val="26"/>
                <w:color w:val="auto"/>
                <w:vertAlign w:val="superscript"/>
              </w:rPr>
              <w:t>(2)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112,762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Bart E. Volkmer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Eric Cox</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W. Blair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Lisa Campbell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Paul E. Jacobs</w:t>
            </w:r>
            <w:r>
              <w:rPr>
                <w:rFonts w:ascii="Times New Roman" w:cs="Times New Roman" w:eastAsia="Times New Roman" w:hAnsi="Times New Roman"/>
                <w:sz w:val="26"/>
                <w:szCs w:val="26"/>
                <w:color w:val="auto"/>
                <w:vertAlign w:val="superscript"/>
              </w:rPr>
              <w:t>(3)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302,981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Warren Jenson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 Mathew</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Andrew Moore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Abhay Parasnis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Karen Peacock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Seibel</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named executive officers and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officers as a group (14 persons)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10,255,473</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76,051,013</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98.86</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77.52</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The Vanguard Group</w:t>
            </w:r>
            <w:r>
              <w:rPr>
                <w:rFonts w:ascii="Times New Roman" w:cs="Times New Roman" w:eastAsia="Times New Roman" w:hAnsi="Times New Roman"/>
                <w:sz w:val="26"/>
                <w:szCs w:val="26"/>
                <w:color w:val="auto"/>
                <w:vertAlign w:val="superscript"/>
              </w:rPr>
              <w:t>(4)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27,274,282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BlackRock, Inc.</w:t>
            </w:r>
            <w:r>
              <w:rPr>
                <w:rFonts w:ascii="Times New Roman" w:cs="Times New Roman" w:eastAsia="Times New Roman" w:hAnsi="Times New Roman"/>
                <w:sz w:val="26"/>
                <w:szCs w:val="26"/>
                <w:color w:val="auto"/>
                <w:vertAlign w:val="superscript"/>
              </w:rPr>
              <w:t>(5)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28,179,062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Ameriprise Financial, Inc.</w:t>
            </w:r>
            <w:r>
              <w:rPr>
                <w:rFonts w:ascii="Times New Roman" w:cs="Times New Roman" w:eastAsia="Times New Roman" w:hAnsi="Times New Roman"/>
                <w:sz w:val="26"/>
                <w:szCs w:val="26"/>
                <w:color w:val="auto"/>
                <w:vertAlign w:val="superscript"/>
              </w:rPr>
              <w:t>(6)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19,144,616</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Columbia Management Investment Advisers, LLC</w:t>
            </w:r>
            <w:r>
              <w:rPr>
                <w:rFonts w:ascii="Times New Roman" w:cs="Times New Roman" w:eastAsia="Times New Roman" w:hAnsi="Times New Roman"/>
                <w:sz w:val="25"/>
                <w:szCs w:val="25"/>
                <w:color w:val="auto"/>
                <w:vertAlign w:val="superscript"/>
              </w:rPr>
              <w:t>(7)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18,085,218</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29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9" w:name="page30"/>
    <w:bookmarkEnd w:id="29"/>
    <w:p>
      <w:pPr>
        <w:jc w:val="both"/>
        <w:ind w:left="640" w:right="29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15" w:lineRule="exact"/>
        <w:rPr>
          <w:sz w:val="20"/>
          <w:szCs w:val="20"/>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(1%) of the outstanding shares of our common stock.</w:t>
      </w:r>
    </w:p>
    <w:p>
      <w:pPr>
        <w:spacing w:after="0" w:line="42" w:lineRule="exact"/>
        <w:rPr>
          <w:sz w:val="20"/>
          <w:szCs w:val="20"/>
          <w:color w:val="auto"/>
        </w:rPr>
      </w:pPr>
    </w:p>
    <w:p>
      <w:pPr>
        <w:jc w:val="both"/>
        <w:ind w:left="640" w:right="299" w:hanging="348"/>
        <w:spacing w:after="0" w:line="22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716,728 shares of Class A Common Stock and 7,743,764 shares of Class B Common Stock held by the Houston Remainder Trust u/a/ 12/30/2010, for which Mr. Houston serves as trustee, (ii) 67,743,629 shares of Class B Common Stock were held by Andrew Houston Revocable Trust u/a/d 9/7/2011, for which Mr. Houston serves as trustee, (iii) 500,500 shares of Class B common stock held by the Houston 2012 Irrevocable Children’s Trust dated 4/12/2012, for which Mr. Houston serves as trustee, (iv) 444,444 shares of Class A Common Stock held by the Erin Yu Revocable Trust u/a/d 1/18/2024, for which Mr. Houston’s spouse serves as a trustee, and</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 8,266,666 shares of Class A common stock underlying RSAs subject to Mr. Houston’s Co-Founder Grant.</w:t>
      </w:r>
    </w:p>
    <w:p>
      <w:pPr>
        <w:spacing w:after="0" w:line="2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company’s records as of June 14, 2023.</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178,058 shares of Class A common stock held by the Paul E. Jacobs Trust dated November 7, 2014, for which Mr. Jacobs serves as trustee, and (ii) 135,4016 shares of Class A common stock held by Mr. Jacobs.</w:t>
      </w:r>
    </w:p>
    <w:p>
      <w:pPr>
        <w:jc w:val="both"/>
        <w:ind w:left="640" w:right="29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beneficially owned as of December 29, 2023 according to a Schedule 13G/A filed with the SEC by The Vanguard Group, Inc. (“Vanguard”) on February 13, 2024. Vanguard has beneficial ownership of 27,274,282 shares of Class A common stock. The Schedule 13G/A reports that Vanguard has shared voting power with respect to 189,842 shares of Class A common stock, sole dispositive power with respect to 26,873,363 shares of Class A common stock and shared dispositive power over 400,919 shares of Class A common stock. The address for Vanguard is 100 Vanguard Blvd., Malvern, PA 19355.</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beneficially owned as of September 30, 2024 according to a Schedule 13G filed with the SEC by BlackRock, Inc. (“BlackRock”) on January 23, 2024. BlackRock has beneficial ownership of 28,179,062 shares of Class A common stock. The address for BlackRock is 50 Hudson Yards, New York, New York 10001.</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beneficially owned as of December 31, 2023 according to a Schedule 13G filed with the SEC by Ameriprise Financial, Inc. (“Ameriprise”) on February 14, 2024. Ameriprise has beneficial ownership of 19,144,616 shares of Class A common stock. The address for Ameriprise is 145 Ameriprise Financial Center, Minneapolis, MN 55474.</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beneficially owned as of December 31, 2023 according to a Schedule 13G filed with the SEC by Columbia Management Investment Advisers, LLC (“Columbia”) on February 14, 2024. Columbia has beneficial ownership of 18,085,218 shares of Class A common stock. The address for Columbia is 290 Congress Street, Boston, MA 02210.</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Delivery of Documents to Security Holders Sharing an Address</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the Company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w:t>
      </w:r>
    </w:p>
    <w:p>
      <w:pPr>
        <w:spacing w:after="0" w:line="5" w:lineRule="exact"/>
        <w:rPr>
          <w:sz w:val="20"/>
          <w:szCs w:val="20"/>
          <w:color w:val="auto"/>
        </w:rPr>
      </w:pPr>
    </w:p>
    <w:p>
      <w:pPr>
        <w:ind w:left="300" w:right="299" w:hanging="8"/>
        <w:spacing w:after="0" w:line="260" w:lineRule="auto"/>
        <w:tabs>
          <w:tab w:leader="none" w:pos="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to which the Company should direct the additional copy of the Information Statement, to the Company at 1800 Owens Street San Francisco, California 94158.</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multiple stockholders sharing an address have received one copy of this Information Statement or any other corporate mailing and would prefer the Company to mail each stockholder a separate copy of future mailings, you may mail notification to, or call the Company at, its principal executive offices. Additionally, if current stockholders with a shared address received multiple copies of this Information Statement or other corporate mailings and would prefer the Company to mail one copy of future mailings to stockholders at the shared address, notification of such request may also be made by mail or telephone to the Company’s principal executive offices.</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This Information Statement is provided to the stockholders of the Company only for information purposes in connection with the Majority Stockholders’ approval of the Nevada Reincorporation, pursuant to and in accordance with Rule 14c-2 of the Exchange Act. Please carefully read this Information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11"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is subject to the informational requirements of the Securities Exchange Act of 1934, and in accordance therewith files reports and other information with the SEC. Such reports and other information may be inspected without charge at the public reference facilities maintained by the SEC in 100 F Street, N.E., Washington, D.C. 20549. Information regarding the operation of the public reference rooms may be obtained by calling the SEC at 1-800-SEC-0330. The SEC maintains a web site that contains reports, proxy and information statements and other information regarding registrants that file electronically with the SEC. The address of the web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342900</wp:posOffset>
            </wp:positionV>
            <wp:extent cx="2606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-7620</wp:posOffset>
            </wp:positionV>
            <wp:extent cx="228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1" w:name="page32"/>
    <w:bookmarkEnd w:id="31"/>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BOARD OF 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Reincorporation of the Company to the State of Nevada by Conversion</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part of its ongoing oversight, direction and management of the business of Dropbox,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formed a committee of the Board (the “</w:t>
      </w:r>
      <w:r>
        <w:rPr>
          <w:rFonts w:ascii="Times New Roman" w:cs="Times New Roman" w:eastAsia="Times New Roman" w:hAnsi="Times New Roman"/>
          <w:sz w:val="18"/>
          <w:szCs w:val="18"/>
          <w:b w:val="1"/>
          <w:bCs w:val="1"/>
          <w:color w:val="auto"/>
        </w:rPr>
        <w:t>Evaluation Committee</w:t>
      </w:r>
      <w:r>
        <w:rPr>
          <w:rFonts w:ascii="Times New Roman" w:cs="Times New Roman" w:eastAsia="Times New Roman" w:hAnsi="Times New Roman"/>
          <w:sz w:val="18"/>
          <w:szCs w:val="18"/>
          <w:color w:val="auto"/>
        </w:rPr>
        <w:t>”) to function as a working group to study and evaluate the relevant information and considerations with respect to a potential reincorporation of the Company;</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Evaluation Committee considered various factors during its evaluation of a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of the Company, including the current state of Delaware law regarding reincorporation, any possible negative impacts from a potential reincorporation, the relative merits to the Company and all stockholders of various state laws, including Delaware, Nevada and Maryland, implications for the Company’s stockholders as to their economic, governance and litigation rights and the predictability of Nevada’s statute-based legal approach compared to Delaware’s approach;</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its evaluation of a potential reincorporation of the Company, the Evaluation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its findings to the Board, determined that a reincorporation of the Company from the State of Delaware to the State of Nevada was in the best interests of the Company and its stockholders and recommended that the Board approve a reincorporation of the Company from the State of Delaware to the State of Nevada;</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having discussed and considered the Evaluation Committee’s recommendation, the Board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approving and effecting a reincorporation of the Company from the State of Delaware to the State of Nevada by the conversion of the Company from a corporation organized under the laws of the State of Delaware to a corporation organized under the laws of the State of Nevada, pursuant to and in accordance with Section 266 of the General 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Sections 92A.195 and 92A.205 of the Nevada Revised Statutes, as amended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and the proposed Plan of Conversion (the “</w:t>
      </w:r>
      <w:r>
        <w:rPr>
          <w:rFonts w:ascii="Times New Roman" w:cs="Times New Roman" w:eastAsia="Times New Roman" w:hAnsi="Times New Roman"/>
          <w:sz w:val="18"/>
          <w:szCs w:val="18"/>
          <w:b w:val="1"/>
          <w:b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in substantially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conversion,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Nevada Reincorporation</w:t>
      </w:r>
      <w:r>
        <w:rPr>
          <w:rFonts w:ascii="Times New Roman" w:cs="Times New Roman" w:eastAsia="Times New Roman" w:hAnsi="Times New Roman"/>
          <w:sz w:val="18"/>
          <w:szCs w:val="18"/>
          <w:color w:val="auto"/>
        </w:rPr>
        <w:t>”) and approving and adopting the Plan of Conversion and the proposed Nevada articles of incorporation (the “</w:t>
      </w:r>
      <w:r>
        <w:rPr>
          <w:rFonts w:ascii="Times New Roman" w:cs="Times New Roman" w:eastAsia="Times New Roman" w:hAnsi="Times New Roman"/>
          <w:sz w:val="18"/>
          <w:szCs w:val="18"/>
          <w:b w:val="1"/>
          <w:bCs w:val="1"/>
          <w:color w:val="auto"/>
        </w:rPr>
        <w:t>Nevada Charter</w:t>
      </w:r>
      <w:r>
        <w:rPr>
          <w:rFonts w:ascii="Times New Roman" w:cs="Times New Roman" w:eastAsia="Times New Roman" w:hAnsi="Times New Roman"/>
          <w:sz w:val="18"/>
          <w:szCs w:val="18"/>
          <w:color w:val="auto"/>
        </w:rPr>
        <w:t>”) and the proposed Nevada bylaws (the “</w:t>
      </w:r>
      <w:r>
        <w:rPr>
          <w:rFonts w:ascii="Times New Roman" w:cs="Times New Roman" w:eastAsia="Times New Roman" w:hAnsi="Times New Roman"/>
          <w:sz w:val="18"/>
          <w:szCs w:val="18"/>
          <w:b w:val="1"/>
          <w:bCs w:val="1"/>
          <w:color w:val="auto"/>
        </w:rPr>
        <w:t>Nevada Bylaws</w:t>
      </w:r>
      <w:r>
        <w:rPr>
          <w:rFonts w:ascii="Times New Roman" w:cs="Times New Roman" w:eastAsia="Times New Roman" w:hAnsi="Times New Roman"/>
          <w:sz w:val="18"/>
          <w:szCs w:val="18"/>
          <w:color w:val="auto"/>
        </w:rPr>
        <w:t>” and, together with the Nevada Charter, the “</w:t>
      </w:r>
      <w:r>
        <w:rPr>
          <w:rFonts w:ascii="Times New Roman" w:cs="Times New Roman" w:eastAsia="Times New Roman" w:hAnsi="Times New Roman"/>
          <w:sz w:val="18"/>
          <w:szCs w:val="18"/>
          <w:b w:val="1"/>
          <w:bCs w:val="1"/>
          <w:color w:val="auto"/>
        </w:rPr>
        <w:t>Nevada Governing Documents</w:t>
      </w:r>
      <w:r>
        <w:rPr>
          <w:rFonts w:ascii="Times New Roman" w:cs="Times New Roman" w:eastAsia="Times New Roman" w:hAnsi="Times New Roman"/>
          <w:sz w:val="18"/>
          <w:szCs w:val="18"/>
          <w:color w:val="auto"/>
        </w:rPr>
        <w:t xml:space="preserve">”), substantially in the forms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respectively, are in the best interests of the Company and its stockholders;</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Plan of Conversion, upon the Nevada Reincorporation,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cease to be governed by the laws of the State of Delaware and its existing restated certificate of incorporation and amended and restated bylaws and will become a corporation governed by the laws of the State of Nevada (the “</w:t>
      </w:r>
      <w:r>
        <w:rPr>
          <w:rFonts w:ascii="Times New Roman" w:cs="Times New Roman" w:eastAsia="Times New Roman" w:hAnsi="Times New Roman"/>
          <w:sz w:val="18"/>
          <w:szCs w:val="18"/>
          <w:b w:val="1"/>
          <w:bCs w:val="1"/>
          <w:color w:val="auto"/>
        </w:rPr>
        <w:t>Converted Corporation</w:t>
      </w:r>
      <w:r>
        <w:rPr>
          <w:rFonts w:ascii="Times New Roman" w:cs="Times New Roman" w:eastAsia="Times New Roman" w:hAnsi="Times New Roman"/>
          <w:sz w:val="18"/>
          <w:szCs w:val="18"/>
          <w:color w:val="auto"/>
        </w:rPr>
        <w:t>”) and the Nevada Governing Documents;</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receipt of stockholder approval of the Nevada Reincorporation (including the Plan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and the Nevada Governing Documents) and these resolutions approving the Nevada Reincorporation, the Nevada Reincorporation will become effective at the date and time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specified in each of</w:t>
      </w:r>
    </w:p>
    <w:p>
      <w:pPr>
        <w:jc w:val="both"/>
        <w:ind w:left="300" w:right="299" w:hanging="8"/>
        <w:spacing w:after="0" w:line="253" w:lineRule="auto"/>
        <w:tabs>
          <w:tab w:leader="none" w:pos="5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conversion meeting the requirements of Section 92A.205 of the NRS (the “</w:t>
      </w:r>
      <w:r>
        <w:rPr>
          <w:rFonts w:ascii="Times New Roman" w:cs="Times New Roman" w:eastAsia="Times New Roman" w:hAnsi="Times New Roman"/>
          <w:sz w:val="18"/>
          <w:szCs w:val="18"/>
          <w:b w:val="1"/>
          <w:bCs w:val="1"/>
          <w:color w:val="auto"/>
        </w:rPr>
        <w:t>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to be properly executed and filed in accordance with such section and (ii) a certificate of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the requirements of Section 266 of the DGCL (the “</w:t>
      </w:r>
      <w:r>
        <w:rPr>
          <w:rFonts w:ascii="Times New Roman" w:cs="Times New Roman" w:eastAsia="Times New Roman" w:hAnsi="Times New Roman"/>
          <w:sz w:val="18"/>
          <w:szCs w:val="18"/>
          <w:b w:val="1"/>
          <w:bCs w:val="1"/>
          <w:color w:val="auto"/>
        </w:rPr>
        <w:t>Certificate of Conversion</w:t>
      </w:r>
      <w:r>
        <w:rPr>
          <w:rFonts w:ascii="Times New Roman" w:cs="Times New Roman" w:eastAsia="Times New Roman" w:hAnsi="Times New Roman"/>
          <w:sz w:val="18"/>
          <w:szCs w:val="18"/>
          <w:color w:val="auto"/>
        </w:rPr>
        <w:t>”) to be properly executed and filed in accordance with such section;</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(i) each share of Class A Common Stock, par value $0.00001 per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issued and outstanding or held in treasury immediately prior to the Effective Time will be automatically converted into one share of the Class A Common Stock, par value $0.00001 per share, of the Converted Corporation; and (ii) each share of Class B Common Stock, par value $0.00001 per share, of the Company issued and outstanding or held in treasury immediately prior to the Effective Time will be automatically converted into one share of the Class B Common Stock, par value $0.00001 per share, of the Converted Corporation; and</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any warrant, option, restricted stock unit, equity or equity-based award,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right to acquire any shares of, or of any instrument to convert into or based on the value of, the Class A Common Stock or Class B Common Stock of the Company or other equity security of the Company, whether vested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2" w:name="page33"/>
    <w:bookmarkEnd w:id="32"/>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unvested, which is outstanding immediately prior to the Effective Time (each, a “</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shall from and after the Effective Time, constitute a warrant, option, restricted stock unit, equity or equity-based award or other right to acquire any shares of, or of any instrument to convert into or based on the value of, the same amount of the Class A Common Stock or Class B Common Stock of the Converted Corporation or other equity securities of the Converted Corporation,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Board hereby determines that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the Plan of Conversion and the Nevada Governing Documents are in the best interests of the Company and its stockholders and approves and adopts the Nevada Reincorporation, the Plan of Conversion and the Nevada Governing Documents.</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terms, provisions, and conditions of the Plan of Conversion be,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hereby are, in all respects approved and adopted.</w:t>
      </w:r>
    </w:p>
    <w:p>
      <w:pPr>
        <w:spacing w:after="0" w:line="47"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in accordance with the Plan of Conversion, at the Effective Time,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Converted Corporation shall consist of the same directors as the Board immediately prior to the Effective Time, each director to serve until his or her successor has been duly elected or appointed and qualified or until his or her earlier death, resignation or removal.</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in accordance with the Plan of Conversion, at the Effective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Andrew W. Houston shall continue to serve as the chair of the board of directors of the Converted Corporation and Donald W. Blair shall continue to serve as the lead independent director of the board of directors of the Converted Corporation, in each case at the pleasure of the board of directors of the Converted Corporation.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effective as of the Effective Time, each committee of the Board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Effective Time shall be constituted as a committee of the board of directors of the Converted Corporation on the same terms and with the same powers and authority as the applicable committee of the Board as of immediately prior to the Effective Time and for the avoidance of doubt, the governing laws of the State of Nevada, and not the State of Delaware, shall apply, and the charter of the applicable committee of the Board as of immediately prior to the Effective Time shall be the charter of such committee of the board of directors of the Converted Corporation unless and until such charter is amended in accordance with the Nevada Governing Documents and applicable law, and the members of each committee of the Board as of immediately prior to the Effective Time shall be the members of each such committee of the board of directors of the Converted Corporation, each director to serve at the pleasure of the board of directors of the Converted Corporation.</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hereby directs that the Nevada Reincorporation (including the Plan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and the Nevada Governing Documents) and these resolutions approving the Nevada Reincorporation be submitted for approval and adoption, respectively, by the stockholders of the Company, including by written consent in lieu of a meeting.</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hereby recommends that the Company’s stockholders approve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Reincorporation (including the Plan of Conversion and the Nevada Governing Documents) and adopt these resolutions.</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receipt of stockholder approval of the Nevada Reincorporation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Plan of Conversion and the Nevada Governing Documents) and the adoption of these resolutions, the officers of the Company (together, the “</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be, and each of them hereby is, authorized, empowered and directed, in the name and on behalf of the Company and without further action by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Conversion and to consummate the Nevada Reincorporation, including, without limitation, (a) the execution and filing of the Certificate of Conversion,</w:t>
      </w:r>
    </w:p>
    <w:p>
      <w:pPr>
        <w:spacing w:after="0" w:line="5" w:lineRule="exact"/>
        <w:rPr>
          <w:sz w:val="20"/>
          <w:szCs w:val="20"/>
          <w:color w:val="auto"/>
        </w:rPr>
      </w:pPr>
    </w:p>
    <w:p>
      <w:pPr>
        <w:jc w:val="both"/>
        <w:ind w:left="300" w:right="319" w:hanging="8"/>
        <w:spacing w:after="0" w:line="253" w:lineRule="auto"/>
        <w:tabs>
          <w:tab w:leader="none" w:pos="5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filing of the Articles of Conversion (including the Plan of Conversion and the Nevada Charter); (c) the filing of the annual franchise tax reports required by the Secretary of State of the State of Delaware and the payment of the applicable franchise taxes; (d) the payment of any fees that may be necessary in connection with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3" w:name="page34"/>
    <w:bookmarkEnd w:id="33"/>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Nevada Reincorporation; (e) the submission of all required notifications to the Nasdaq Stock Market LLC or any other applicable stock exchange; and (f) the filing of Current Reports on Form 8-K and any other regulatory filings that may be necessary, desirable or appropriate in connection with the Nevada Reincorporation.</w:t>
      </w:r>
    </w:p>
    <w:p>
      <w:pPr>
        <w:spacing w:after="0" w:line="6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notwithstanding approval by the stockholders of the Company of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(including the Plan of Conversion and the Nevada Governing Documents) and the adoption of these resolutions, the Board or any duly authorized committee thereof may, at any time prior to the Effective Time, abandon the Nevada Reincorporation and the Plan of Conversion without further action by the stockholders of the Company.</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pursuant to the Plan of Conversion, at the Effective Time, any outstanding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that immediately prior to the Effective Time represented issued and outstanding shares of Class A Common Stock or Class B Common Stock of the Company shall be deemed for all purposes to evidence ownership of and to represent shares of Class A Common Stock or Class B Common Stock, as applicable, of the Converted Corporation.</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notwithstanding the foregoing resolutions, any shares of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Class B Common Stock of the Converted Corporation may be issued as uncertificated shares, whether upon original issuance, re-issuance or subsequent transfer.</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Related Stockholder Matters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Record Date</w:t>
      </w:r>
    </w:p>
    <w:p>
      <w:pPr>
        <w:spacing w:after="0" w:line="11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close of business on January 28, 2025, be, and it hereby is, fixed as the record date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determining the stockholders of record of the Company entitled to consent to the Nevada Reincorporation without a meeting.</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Statement Materials</w:t>
      </w:r>
    </w:p>
    <w:p>
      <w:pPr>
        <w:spacing w:after="0" w:line="11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hereby is, authorized and directed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in its name to take any and all actions deemed necessary and appropriate to prepare an information statement and a notice of stockholder action by written consent as required by Section 228(e) of the DGCL and any and all related documents which such officers shall determine necessary or desirable in connection with the Nevada Reincorporation (collectively, the “</w:t>
      </w:r>
      <w:r>
        <w:rPr>
          <w:rFonts w:ascii="Times New Roman" w:cs="Times New Roman" w:eastAsia="Times New Roman" w:hAnsi="Times New Roman"/>
          <w:sz w:val="18"/>
          <w:szCs w:val="18"/>
          <w:b w:val="1"/>
          <w:bCs w:val="1"/>
          <w:color w:val="auto"/>
        </w:rPr>
        <w:t>Information Statement Materials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Authorized Officers be, and each of them hereby is, authorized and 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the Company and in its name to file such Information Statement Materials, as applicable,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together with any and all amendments and supplements thereto which such Authorized Officers shall determine to be necessary or appropriate, with the approval and authorization thereof to be conclusively evidenced by the execution or filing of such amendments or supplements.</w:t>
      </w:r>
    </w:p>
    <w:p>
      <w:pPr>
        <w:spacing w:after="0" w:line="7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Authorized Officers be, and each of them hereby is, authorized, empowered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directed, in the name and on behalf of the Company, to mail or cause to be mailed or otherwise furnished or made available to the stockholders all documents as shall be necessary or advisable in connection with the Nevada Reincorporation, including, without limitation, the Information Statement Materials.</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and Exchange Commission</w:t>
      </w:r>
    </w:p>
    <w:p>
      <w:pPr>
        <w:spacing w:after="0" w:line="11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hereby is, authorized, empowered and 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take any action to prepare or cause to be prepared and to file or cause to be filed with the SEC and to prepare, execute and file any and all documents, applications, statements, reports, registrations, schedules, documents, information or filings and other papers and instruments (and any amendments or supplements thereto), which may be required from time to time by applicable law or regulation or by applicable authorities in connection with the foregoing resolutions or related or incidental thereto, including, without limitation, the Information Statement Materials and one or more Current Reports on Form 8-K to report any of the matters contemplated by the foregoing resolutions by the Company and any and all additional documents and information required to be filed therewith, as shall be deemed necessary or advisable under the Securities Act of 1933, as amended, and the rules and regulations of the SEC promulgated thereunder,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of the SEC promulgated thereunder, and any appropriate self-regulatory commissions or state securities commissions.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in accordance with the Plan of Conversion, from and after the Effective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of the Converted Corporation under Rule 3b-7 of the Exchange Act and “officers” of the Converted Corporation for purposes of Section 16 of the Exchange Act shall consist of the same “executive officers” and “officers,” as applicable, as of immediately prior to the Effective Time, as set forth below:</w:t>
      </w:r>
    </w:p>
    <w:p>
      <w:pPr>
        <w:spacing w:after="0" w:line="72"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 Houston,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Cox, Chief Customer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Regan,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Bart E. Volkmer, Chief Legal Officer</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Combinations with Interested Stockholders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NRS 78.411 to 78.444, inclusive (collectively, the “</w:t>
      </w:r>
      <w:r>
        <w:rPr>
          <w:rFonts w:ascii="Times New Roman" w:cs="Times New Roman" w:eastAsia="Times New Roman" w:hAnsi="Times New Roman"/>
          <w:sz w:val="18"/>
          <w:szCs w:val="18"/>
          <w:b w:val="1"/>
          <w:bCs w:val="1"/>
          <w:color w:val="auto"/>
        </w:rPr>
        <w:t>Nevada Combinations Statutes</w:t>
      </w:r>
      <w:r>
        <w:rPr>
          <w:rFonts w:ascii="Times New Roman" w:cs="Times New Roman" w:eastAsia="Times New Roman" w:hAnsi="Times New Roman"/>
          <w:sz w:val="18"/>
          <w:szCs w:val="18"/>
          <w:color w:val="auto"/>
        </w:rPr>
        <w:t>”), 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various requirements related to a Nevada corporation’s “combination,” as defined in NRS 78.416, with an “interested stockholder,” as defined in NRS 78.423;</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NRS 78.437 provides that the Nevada Combinations Statutes do not apply to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 interested stockholder who, among other things, first became an interested stockholder on the date that the resident domestic corporation, as defined in NRS 78.427, first became a resident domestic corporation solely as a result of the corporation becoming a resident domestic corporation;</w:t>
      </w:r>
    </w:p>
    <w:p>
      <w:pPr>
        <w:spacing w:after="0" w:line="68"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Andrew Houston and the entities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interested stockholder pursuant to the Nevada Combinations Statutes solely as a result of the Nevada Reincorporation, and the Nevada Combinations Statutes would not apply to Mr. Houston pursuant to NRS 78.437; and</w:t>
      </w:r>
    </w:p>
    <w:p>
      <w:pPr>
        <w:spacing w:after="0" w:line="68"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Nevada Combinations Statutes prohibit, for up to four years, combinations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complies with the requirements of the articles of incorporation of the resident domestic corporation and the transaction by which the person first became an interested stockholder is approved by the board of directors of the resident domestic corporation before the person first became an interested stockholder.</w:t>
      </w:r>
    </w:p>
    <w:p>
      <w:pPr>
        <w:spacing w:after="0" w:line="68"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Board’s approval of the Nevada Reincorporation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hereby confirmed, of the transaction by which Mr. Houston shall have first become an interested stockholder for all purposes under the Nevada Combinations Statutes, including, without limitation, NRS 78.438(1) (a).</w:t>
      </w:r>
    </w:p>
    <w:p>
      <w:pPr>
        <w:spacing w:after="0" w:line="68"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to the fullest extent permitted by the Nevada Combinations Statutes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NRS 78.437(2) and 78.438(1)(a)), the Nevada Combinations Statutes shall not apply to Mr. Houston, nor shall it restrict any combination in any way involving or relating to Mr. Houston.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Equity Instruments and Employment Agreements to Account for Nevada Reincorporation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and sponsors certain equity incentive-related plans, sub-plans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(the “</w:t>
      </w:r>
      <w:r>
        <w:rPr>
          <w:rFonts w:ascii="Times New Roman" w:cs="Times New Roman" w:eastAsia="Times New Roman" w:hAnsi="Times New Roman"/>
          <w:sz w:val="18"/>
          <w:szCs w:val="18"/>
          <w:b w:val="1"/>
          <w:bCs w:val="1"/>
          <w:color w:val="auto"/>
        </w:rPr>
        <w:t>Equity Plans</w:t>
      </w:r>
      <w:r>
        <w:rPr>
          <w:rFonts w:ascii="Times New Roman" w:cs="Times New Roman" w:eastAsia="Times New Roman" w:hAnsi="Times New Roman"/>
          <w:sz w:val="18"/>
          <w:szCs w:val="18"/>
          <w:color w:val="auto"/>
        </w:rPr>
        <w:t xml:space="preserve">”), including but not limited to those listed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providing for the grant or award of equity awards covering the right to purchase shares and other rights to acquire shares of the Class A Common Stock of the Company as provided for in the applicable Equity Plan (collectively,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to eligible participants of the Equity Plans including employees, directors and consultants;</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and sponsors certain benefits and compensation arrangements,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and agreements (including all administrative and service agreements thereunder) (the “</w:t>
      </w:r>
      <w:r>
        <w:rPr>
          <w:rFonts w:ascii="Times New Roman" w:cs="Times New Roman" w:eastAsia="Times New Roman" w:hAnsi="Times New Roman"/>
          <w:sz w:val="18"/>
          <w:szCs w:val="18"/>
          <w:b w:val="1"/>
          <w:bCs w:val="1"/>
          <w:color w:val="auto"/>
        </w:rPr>
        <w:t>Benefits Plans</w:t>
      </w:r>
      <w:r>
        <w:rPr>
          <w:rFonts w:ascii="Times New Roman" w:cs="Times New Roman" w:eastAsia="Times New Roman" w:hAnsi="Times New Roman"/>
          <w:sz w:val="18"/>
          <w:szCs w:val="18"/>
          <w:color w:val="auto"/>
        </w:rPr>
        <w:t xml:space="preserve">”), including but not limited to those listed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in connection with and contingent upon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it is in the best interests of the Company and its stockholders for the Converted Corporation to assume the Equity Plans and the Benefits Plans, including for purposes of granting future awards and benefits thereunder, and to assume all outstanding Awards under the Equity Plans; and</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in connection with the assumption of the Equity Plans and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adjustments shall be made on a one-to-one-basis under each Equity Plan, and the relevant kind of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5" w:name="page36"/>
    <w:bookmarkEnd w:id="35"/>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subject to Awards shall be adjusted to relate to the Converted Corporation: (i) the maximum number of shares reserved for issuance under the Equity Plan, (ii) the number of Awards that can be granted to any one individual participant in any calendar year, (iii) the number and kind of shares or other securities subject to any then outstanding Awards under the Equity Plan, and (iv) the price for each share subject to any outstanding Awards under the Equity Plan.</w:t>
      </w:r>
    </w:p>
    <w:p>
      <w:pPr>
        <w:spacing w:after="0" w:line="7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contingent upon and effective as of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Reincorporation, the Board hereby authorizes, directs and approves the assumption by the Converted Corporation of the Equity Plans and the Benefits Plans, and the transfer of sponsorship of the Benefit Plans to the Converted Corporation.</w:t>
      </w:r>
    </w:p>
    <w:p>
      <w:pPr>
        <w:spacing w:after="0" w:line="68" w:lineRule="exact"/>
        <w:rPr>
          <w:sz w:val="20"/>
          <w:szCs w:val="20"/>
          <w:color w:val="auto"/>
        </w:rPr>
      </w:pPr>
    </w:p>
    <w:p>
      <w:pPr>
        <w:jc w:val="both"/>
        <w:ind w:left="300" w:right="2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assumption of the Equity Plans,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reserved for future issuance under the Equity Plans and the maximum number of shares of Class A Common Stock reserved for issuance under the Equity Plans shall be adjusted to reflect the Nevada Reincorporation on a one-to-one basis, and such shares shall be shares of Class A Common Stock of the Converted Corporation.</w:t>
      </w:r>
    </w:p>
    <w:p>
      <w:pPr>
        <w:spacing w:after="0" w:line="29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assumption of the Equity Plans, the number of Awards that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any one individual participant in any calendar year under an Equity Plan shall be adjusted to reflect the Nevada Reincorporation on a one-to-one basis.</w:t>
      </w:r>
    </w:p>
    <w:p>
      <w:pPr>
        <w:spacing w:after="0" w:line="63"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assumption of the Equity Plans, the exercise price (if any)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and unexercised Awards and the number of shares subject to each outstanding Award shall be adjusted to reflect the Nevada Reincorporation on a one-to-one basis.</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 t</w:t>
      </w:r>
      <w:r>
        <w:rPr>
          <w:rFonts w:ascii="Times New Roman" w:cs="Times New Roman" w:eastAsia="Times New Roman" w:hAnsi="Times New Roman"/>
          <w:sz w:val="18"/>
          <w:szCs w:val="18"/>
          <w:color w:val="auto"/>
        </w:rPr>
        <w:t>hat the Board hereby authorizes and approves the assumption by the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of all outstanding Awards and hereby reserves a sufficient number of shares of Class A Common Stock of the Converted Corporation under the Equity Plans for issuance upon exercise of such Awards on a one-to-one basis.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contingent on the consummation of the Nevada Reincorporation and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Nevada Reincorporation, (i) all references to the “Company” in the Equity Plans and the agreements or contracts related to outstanding Awards refer to the Converted Corporation rather than the Company, (ii) all references to “Class A Common Stock” (or similar term) of the Company refer to “Class A Common Stock” (or similar term) of the Converted Corporation, (iii) all shares issued under the applicable Equity Plan or non-plan equity award agreement shall be Class A Common Stock of the Converted Corporation (subject to adjustment pursuant to the terms of the applicable Equity Plan or agreement), (iv) the Converted Corporation shall be entitled to grant awards covering shares of Class A Common Stock of the Converted Corporation under the Equity Plans, subject to the terms and conditions thereto, and (v) any other changes necessary to effect the Nevada Reincorporation shall be deemed made.</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each of the assumed Awards under the Equity Plans will continue to have,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same terms and conditions (including, if applicable, the vesting arrangements and other terms and conditions set forth in the applicable Equity Plan and the applicable Award agreement), except that the outstanding awards under the Equity Plans settle-able in stock will be settled in shares of the Class A Common Stock of the Converted Corporation.</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contingent on the consummation of the Nevada Reincorporation,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assigns to the Converted Corporation all rights, duties and obligations pursuant to the Equity Plans and the Benefits Plans and the Converted Corporation hereby assumes all rights, duties and obligations pursuant to the Equity Plans and the Benefits Plans and is the successor to the Company for all purposes under the Equity Plans and the Benefits Plans.</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immediately upon the assumption of each Equity Plan, the Talent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of the board of directors of the Converted Corporation shall become the Administrator (as defined in such Equity Plans) of each such Equity Plan and shall have any and all authority of the Administrator and any and all authority otherwise previously assigned to the Talent and Compensation Committee of the Board by the Board with respect thereto.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6" w:name="page37"/>
    <w:bookmarkEnd w:id="36"/>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acknowledges and determines that the Nevada Reincorporation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constitute a “change of control,” “change in control, “ “other combination,” “acquisition” or similar term for purposes of the Equity Plans and Benefits Plans.</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acknowledges and determines that the Nevada Reincorporation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reorganization of the Company, effected without change to ownership, and therefore no acceleration of vesting, exercisability or deliverability under the Equity Plans or Awards shall occur.</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Supplemental Indentures and Reservation of Shares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in connection with the consummation of the Nevada Reincorporation, the Company be,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is, authorized to enter into (a) a supplemental indenture to the indenture governing the Company’s 0% Convertible Senior Notes due 2026 (the “</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and (b) a supplemental indenture to the indenture governing the Company’s 0% Convertible Senior Notes due 2028 (the “</w:t>
      </w:r>
      <w:r>
        <w:rPr>
          <w:rFonts w:ascii="Times New Roman" w:cs="Times New Roman" w:eastAsia="Times New Roman" w:hAnsi="Times New Roman"/>
          <w:sz w:val="18"/>
          <w:szCs w:val="18"/>
          <w:b w:val="1"/>
          <w:bCs w:val="1"/>
          <w:color w:val="auto"/>
        </w:rPr>
        <w:t>2028 Notes</w:t>
      </w:r>
      <w:r>
        <w:rPr>
          <w:rFonts w:ascii="Times New Roman" w:cs="Times New Roman" w:eastAsia="Times New Roman" w:hAnsi="Times New Roman"/>
          <w:sz w:val="18"/>
          <w:szCs w:val="18"/>
          <w:color w:val="auto"/>
        </w:rPr>
        <w:t>” and, together with the 2026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Supplemental Indentures</w:t>
      </w:r>
      <w:r>
        <w:rPr>
          <w:rFonts w:ascii="Times New Roman" w:cs="Times New Roman" w:eastAsia="Times New Roman" w:hAnsi="Times New Roman"/>
          <w:sz w:val="18"/>
          <w:szCs w:val="18"/>
          <w:color w:val="auto"/>
        </w:rPr>
        <w:t>”), in each case, to cause any shares of the Class A Common Stock of the Company required to be delivered upon conversion of the applicable series of Notes in accordance with their terms to instead, following the Nevada Reincorporation, be convertible into the Class A Common Stock of the Converted Corporation and to make such other changes or amendments to the indentures governing the Notes as any Authorized Officer shall, in such Authorized Officer’s discretion, deem necessary or appropriate in connection with the Nevada Reincorporation, such approval to be conclusively evidenced by the execution thereof by such Authorized Officer.</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Company hereby reserves such number of authorized but unissued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A Common Stock of the Converted Corporation as may from time to time be issuable upon conversion of the Notes, including with respect to any adjustment to the applicable conversion rate in connection with a “make-whole fundamental change” or a notice of redemption (the “</w:t>
      </w:r>
      <w:r>
        <w:rPr>
          <w:rFonts w:ascii="Times New Roman" w:cs="Times New Roman" w:eastAsia="Times New Roman" w:hAnsi="Times New Roman"/>
          <w:sz w:val="18"/>
          <w:szCs w:val="18"/>
          <w:b w:val="1"/>
          <w:bCs w:val="1"/>
          <w:color w:val="auto"/>
        </w:rPr>
        <w:t>Convertible Note Shares</w:t>
      </w:r>
      <w:r>
        <w:rPr>
          <w:rFonts w:ascii="Times New Roman" w:cs="Times New Roman" w:eastAsia="Times New Roman" w:hAnsi="Times New Roman"/>
          <w:sz w:val="18"/>
          <w:szCs w:val="18"/>
          <w:color w:val="auto"/>
        </w:rPr>
        <w:t>”); and that upon conversion of the Notes in accordance with their terms, the issuance by the Converted Corporation of such number of such Convertible Note Shares as the Converted Corporation may be required to issue in accordance with the terms of such Notes shall be, and the same hereby is, authorized and approved; and when issued in accordance with the terms and conditions of the Notes, such Convertible Note Shares will be duly authorized, validly issued, fully paid and non-assessable.</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any and all acts, transactions, agreements or certificates previously signed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Authorized Officers consistent with the foregoing resolutions and in furtherance thereof be, and they hereby are, approved and ratified in all respects as the true acts and deeds of the Company with the same force and effect as if each such act, transaction, agreement or certificate had been specifically authorized in advance by resolution of the Board and that the Authorized Officer did execute the same.</w:t>
      </w:r>
    </w:p>
    <w:p>
      <w:pPr>
        <w:spacing w:after="0" w:line="7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Authorized Officers and all other officers be, and each of them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empowered and directed, for and on behalf of the Company and in its name, to take, or cause to be taken, any and all actions, to execute and deliver any and all agreements, certificates, assignments, instruments or other documents, and to do any and all things that, in the judgment of such officer or officers, may be necessary or advisable to effectuate the foregoing resolutions; such execution and delivery by any such officer or officers of any such agreement, certificate, assignment, instrument or other document or the doing by any of them of any such act (including the authorization of any change in any such agreement, certificate, assignment, instrument or other document) shall conclusively establish both the authority of such person so to do from the Company and the approval of the Board.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7" w:name="page38"/>
    <w:bookmarkEnd w:id="37"/>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9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b w:val="1"/>
          <w:bCs w:val="1"/>
          <w:color w:val="auto"/>
        </w:rPr>
        <w:t>Plan of Conversion</w:t>
      </w:r>
      <w:r>
        <w:rPr>
          <w:rFonts w:ascii="Times New Roman" w:cs="Times New Roman" w:eastAsia="Times New Roman" w:hAnsi="Times New Roman"/>
          <w:sz w:val="18"/>
          <w:szCs w:val="18"/>
          <w:color w:val="auto"/>
        </w:rPr>
        <w:t>”) is adopted as of       , 2025 to convert Dropbox, Inc., a Delaware corporation (the “</w:t>
      </w:r>
      <w:r>
        <w:rPr>
          <w:rFonts w:ascii="Times New Roman" w:cs="Times New Roman" w:eastAsia="Times New Roman" w:hAnsi="Times New Roman"/>
          <w:sz w:val="18"/>
          <w:szCs w:val="18"/>
          <w:b w:val="1"/>
          <w:bCs w:val="1"/>
          <w:color w:val="auto"/>
        </w:rPr>
        <w:t>Converting Entity</w:t>
      </w:r>
      <w:r>
        <w:rPr>
          <w:rFonts w:ascii="Times New Roman" w:cs="Times New Roman" w:eastAsia="Times New Roman" w:hAnsi="Times New Roman"/>
          <w:sz w:val="18"/>
          <w:szCs w:val="18"/>
          <w:color w:val="auto"/>
        </w:rPr>
        <w:t>”), to a Nevada corporation to be known as “Dropbox, Inc.” (the “</w:t>
      </w:r>
      <w:r>
        <w:rPr>
          <w:rFonts w:ascii="Times New Roman" w:cs="Times New Roman" w:eastAsia="Times New Roman" w:hAnsi="Times New Roman"/>
          <w:sz w:val="18"/>
          <w:szCs w:val="18"/>
          <w:b w:val="1"/>
          <w:bCs w:val="1"/>
          <w:color w:val="auto"/>
        </w:rPr>
        <w:t>Converted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-314325</wp:posOffset>
            </wp:positionV>
            <wp:extent cx="3429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Converting Entity</w:t>
      </w:r>
      <w:r>
        <w:rPr>
          <w:rFonts w:ascii="Times New Roman" w:cs="Times New Roman" w:eastAsia="Times New Roman" w:hAnsi="Times New Roman"/>
          <w:sz w:val="18"/>
          <w:szCs w:val="18"/>
          <w:color w:val="auto"/>
        </w:rPr>
        <w:t>. The Converting Entity is a corporation organized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Converted Entity</w:t>
      </w:r>
      <w:r>
        <w:rPr>
          <w:rFonts w:ascii="Times New Roman" w:cs="Times New Roman" w:eastAsia="Times New Roman" w:hAnsi="Times New Roman"/>
          <w:sz w:val="18"/>
          <w:szCs w:val="18"/>
          <w:color w:val="auto"/>
        </w:rPr>
        <w:t>. The Converted Entity shall be a corporation organized under Chapter 78 of the Nevada Revised Statutes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The name of the Converted Entity shall be Dropbox, Inc.</w:t>
      </w:r>
    </w:p>
    <w:p>
      <w:pPr>
        <w:spacing w:after="0" w:line="50"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The Conversion</w:t>
      </w:r>
      <w:r>
        <w:rPr>
          <w:rFonts w:ascii="Times New Roman" w:cs="Times New Roman" w:eastAsia="Times New Roman" w:hAnsi="Times New Roman"/>
          <w:sz w:val="18"/>
          <w:szCs w:val="18"/>
          <w:color w:val="auto"/>
        </w:rPr>
        <w:t>. The Converting Entity shall be converted to the Converted Entity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pursuant to Section 92A.195 of the NRS and Section 266 of the DGCL.</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Filing of Conversion Documents; Effective Time</w:t>
      </w:r>
      <w:r>
        <w:rPr>
          <w:rFonts w:ascii="Times New Roman" w:cs="Times New Roman" w:eastAsia="Times New Roman" w:hAnsi="Times New Roman"/>
          <w:sz w:val="18"/>
          <w:szCs w:val="18"/>
          <w:color w:val="auto"/>
        </w:rPr>
        <w:t>. As soon as practicable following the satisfaction of the conditions set forth in Section 9, if this Plan of Conversion shall not have been terminated prior thereto as provided in Section 12, the Converting Entity shall cause (i) articles of conversion meeting the requirements of Section 92A.205 of the NRS (the “</w:t>
      </w:r>
      <w:r>
        <w:rPr>
          <w:rFonts w:ascii="Times New Roman" w:cs="Times New Roman" w:eastAsia="Times New Roman" w:hAnsi="Times New Roman"/>
          <w:sz w:val="18"/>
          <w:szCs w:val="18"/>
          <w:b w:val="1"/>
          <w:bCs w:val="1"/>
          <w:color w:val="auto"/>
        </w:rPr>
        <w:t>Articles of Conversion</w:t>
      </w:r>
      <w:r>
        <w:rPr>
          <w:rFonts w:ascii="Times New Roman" w:cs="Times New Roman" w:eastAsia="Times New Roman" w:hAnsi="Times New Roman"/>
          <w:sz w:val="18"/>
          <w:szCs w:val="18"/>
          <w:color w:val="auto"/>
        </w:rPr>
        <w:t>”) to be properly executed and filed in accordance with such section and (ii) a certificate of conversion meeting the requirements of Section 266 of the DGCL (the “</w:t>
      </w:r>
      <w:r>
        <w:rPr>
          <w:rFonts w:ascii="Times New Roman" w:cs="Times New Roman" w:eastAsia="Times New Roman" w:hAnsi="Times New Roman"/>
          <w:sz w:val="18"/>
          <w:szCs w:val="18"/>
          <w:b w:val="1"/>
          <w:bCs w:val="1"/>
          <w:color w:val="auto"/>
        </w:rPr>
        <w:t>Certificate of Conversion</w:t>
      </w:r>
      <w:r>
        <w:rPr>
          <w:rFonts w:ascii="Times New Roman" w:cs="Times New Roman" w:eastAsia="Times New Roman" w:hAnsi="Times New Roman"/>
          <w:sz w:val="18"/>
          <w:szCs w:val="18"/>
          <w:color w:val="auto"/>
        </w:rPr>
        <w:t>”) to be properly executed and filed in accordance with such section, and otherwise make all other filings or recordings as required by the NRS or DGCL in connection with the Conversion. The Conversion shall become effective at the time designated in the Articles of Conversion and Certificate of Conversion as the effective time of the Conversion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Articles of Incorporation and Bylaws</w:t>
      </w:r>
      <w:r>
        <w:rPr>
          <w:rFonts w:ascii="Times New Roman" w:cs="Times New Roman" w:eastAsia="Times New Roman" w:hAnsi="Times New Roman"/>
          <w:sz w:val="18"/>
          <w:szCs w:val="18"/>
          <w:color w:val="auto"/>
        </w:rPr>
        <w:t xml:space="preserve">. At the Effective Time, the Articles of Incorporation and Bylaws of the Converted Entity, in the forms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respectively, shall govern the Converted Entity until amended in accordance with their respective terms and applicable law.</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At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each director to serve until his or her successor has been duly elected or appointed and qualified or until his or her earlier death, resignation or removal; (ii) the chair of the Board of Directors of the Converting Entity and the lead independent director of the Board of Directors of the Converting Entity as of immediately prior to the Effective Time shall be the chair of the Board of Directors of the Converted Entity and the lead independent director of the Board of Directors of the Converted Entity, respectively, each to serve at the pleasure of the Board of Directors of the Converted Entity; (iii) each committee of the Board of Directors of the Converting Entity as of immediately prior to the Effective Time shall be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or “officer” for purposes of Section 16 of the Exchange Act shall remain in effect), each to serve until his or her successor has been duly elected or appointed and qualified or until his or her earlier death, resignation or removal;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for the avoidance of doubt, in all cases, the governing laws of the state of Nevada, and not the state of Delaware, shall apply.</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Effect on Capital Stock of Converting Entity</w:t>
      </w:r>
      <w:r>
        <w:rPr>
          <w:rFonts w:ascii="Times New Roman" w:cs="Times New Roman" w:eastAsia="Times New Roman" w:hAnsi="Times New Roman"/>
          <w:sz w:val="18"/>
          <w:szCs w:val="18"/>
          <w:color w:val="auto"/>
        </w:rPr>
        <w:t>. At the Effective Time, by virtue of the Conversion and without any further action on the part of the Converting Entity, the Converted Entity or any other person, (i) each share of Class A Common Stock, par value $0.00001 per share, of the Converting Entity issued and outstanding or held in treasury immediately prior to the Effective Time shall be automatically converted into one (1) share of Class A Common Stock, par value $0.00001 per share, of the Converted Entity; and (ii) each share of Class B Common Stock, par value $0.00001 per share, of the Converting Entity issued and outstanding or held in treasury immediately prior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8" w:name="page39"/>
    <w:bookmarkEnd w:id="38"/>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Effective Time shall be automatically converted into one (1) share of Class B Common Stock, par value $0.00001 per share, of the Converted Entity. At and after the Effective Time: (x) all of the outstanding certificates that immediately prior to the Effective Time represented issued and outstanding shares of Class A Common Stock or Class B Common Stock of the Converting Entity shall be deemed for all purposes to evidence ownership of and to represent shares of Class A Common Stock or Class B Common Stock, as applicable, of the Converted Entity and shall be so registered on the books and records of the Converted Entity and its transfer agent; and (y) all of the issued and outstanding shares of Class A Common Stock and Class B Common Stock of the Converting Entity that are in uncertificated book-entry form shall automatically become the number and class or series of shares of the Converted Entity into which such shares of the Converting Entity have been converted as herein provided in accordance with the customary procedures of the Converting Entity’s transfer agent.</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Effect on Other Securities of Converting Entity</w:t>
      </w:r>
      <w:r>
        <w:rPr>
          <w:rFonts w:ascii="Times New Roman" w:cs="Times New Roman" w:eastAsia="Times New Roman" w:hAnsi="Times New Roman"/>
          <w:sz w:val="18"/>
          <w:szCs w:val="18"/>
          <w:color w:val="auto"/>
        </w:rPr>
        <w:t>. At the Effective Time, any warrant, option, restricted stock unit, equity or equity-based award, or other right to acquire any shares of, or of any instrument to convert into or based on the value of, the Class A Common Stock or Class B Common Stock of the Converting Entity or other equity security of the Converting Entity, whether vested or unvested, which is outstanding immediately prior to the Effective Time (each, a “</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shall from and after the Effective Time, constitute a warrant, option, restricted stock unit, equity or equity-based award or other right to acquire any shares of, or of any instrument to convert into or based on the value of, the same amount of the Class A Common Stock or Class B Common Stock 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Completion of the Conversion is subject to the following conditions:</w:t>
      </w:r>
    </w:p>
    <w:p>
      <w:pPr>
        <w:spacing w:after="0" w:line="113"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(a)  the resolution of the Board of Directors of the Converting Entity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approving the conversion of the Converting Entity to the Converted Entity pursuant to and in accordance with applicable law and this Plan of Conversion shall have been adopted and approved by the affirmative vote or consent of a majority of the aggregate voting power of the shares of the Class A Common Stock and Class B Common Stock of the Converting Entity outstanding and entitled to vote thereon, voting together as a single class; and</w:t>
      </w:r>
    </w:p>
    <w:p>
      <w:pPr>
        <w:spacing w:after="0" w:line="7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other than the filing of the Articles of Conversion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9 shall be final and conclusive.</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From and after the Effective Time, the Conversion shall, for all purposes of the laws of the State of Delaware, have the effects set forth in Section 266(h) of the DGCL and shall, for all purposes of the laws of the State of Nevada, have the effects set forth in NRS 92A.250(3).</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Record of Conversion</w:t>
      </w:r>
      <w:r>
        <w:rPr>
          <w:rFonts w:ascii="Times New Roman" w:cs="Times New Roman" w:eastAsia="Times New Roman" w:hAnsi="Times New Roman"/>
          <w:sz w:val="18"/>
          <w:szCs w:val="18"/>
          <w:color w:val="auto"/>
        </w:rPr>
        <w:t>. A copy of this Plan of Conversion will be kept at the principal place of business of the Converted Entity and, upon the request of any stockholder of the Converting Entity, a copy of this Plan of Conversion shall promptly be delivered to such stockholder.</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Termination; Abandonment</w:t>
      </w:r>
      <w:r>
        <w:rPr>
          <w:rFonts w:ascii="Times New Roman" w:cs="Times New Roman" w:eastAsia="Times New Roman" w:hAnsi="Times New Roman"/>
          <w:sz w:val="18"/>
          <w:szCs w:val="18"/>
          <w:color w:val="auto"/>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9" w:name="page40"/>
    <w:bookmarkEnd w:id="39"/>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Plan of Reorganization</w:t>
      </w:r>
      <w:r>
        <w:rPr>
          <w:rFonts w:ascii="Times New Roman" w:cs="Times New Roman" w:eastAsia="Times New Roman" w:hAnsi="Times New Roman"/>
          <w:sz w:val="18"/>
          <w:szCs w:val="18"/>
          <w:color w:val="auto"/>
        </w:rPr>
        <w:t>. It is intended that the Conversion qualify as a “reorganization” within the meaning of Section 368(a)(1)(F)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any similar provision of state or local law). This Plan of Conversion shall constitute, and is adopted as, a “plan of reorganization” within the meaning of Sections 1.368-2(g) and 1.368-3(a) of the U.S. Treasury Regulations promulgated under the Code.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7"/>
          <w:szCs w:val="17"/>
          <w:color w:val="auto"/>
        </w:rPr>
        <w:t>This Plan of Conversion has been adopted by the Board of Directors as of the date set forth above.</w:t>
      </w:r>
    </w:p>
    <w:p>
      <w:pPr>
        <w:spacing w:after="0" w:line="1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26035</wp:posOffset>
            </wp:positionV>
            <wp:extent cx="24174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1" w:name="page42"/>
    <w:bookmarkEnd w:id="41"/>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65"/>
          <w:szCs w:val="65"/>
          <w:b w:val="1"/>
          <w:bCs w:val="1"/>
          <w:u w:val="single" w:color="auto"/>
          <w:color w:val="auto"/>
        </w:rPr>
        <w:t>Delaware</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First State</w:t>
      </w:r>
    </w:p>
    <w:p>
      <w:pPr>
        <w:spacing w:after="0" w:line="93" w:lineRule="exact"/>
        <w:rPr>
          <w:sz w:val="20"/>
          <w:szCs w:val="20"/>
          <w:color w:val="auto"/>
        </w:rPr>
      </w:pPr>
    </w:p>
    <w:p>
      <w:pPr>
        <w:jc w:val="both"/>
        <w:ind w:left="1300" w:right="130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 JEFFREY W. BULLOCK, SECRETARY OF STATE OF THE STATE OF DELAWARE, DO HEREBY CERTIFY THE ATTACHED IS A TRUE AND CORRECT COPY OF THE RESTATED CERTIFICATE OF “DROPBOX, INC.”, FILED IN THIS OFFICE ON THE TWENTY-SEVENTH DAY OF MARCH, A.D. 2018, AT 8:08 O`CLOCK A.M.</w:t>
      </w:r>
    </w:p>
    <w:p>
      <w:pPr>
        <w:spacing w:after="0" w:line="68" w:lineRule="exact"/>
        <w:rPr>
          <w:sz w:val="20"/>
          <w:szCs w:val="20"/>
          <w:color w:val="auto"/>
        </w:rPr>
      </w:pPr>
    </w:p>
    <w:p>
      <w:pPr>
        <w:jc w:val="both"/>
        <w:ind w:left="1300" w:right="130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FILED COPY OF THIS CERTIFICATE HAS BEEN FORWARDED TO THE NEW CASTLE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2992755</wp:posOffset>
            </wp:positionV>
            <wp:extent cx="1671955" cy="728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719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146050</wp:posOffset>
            </wp:positionV>
            <wp:extent cx="891540" cy="874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915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0"/>
          <w:szCs w:val="10"/>
          <w:color w:val="auto"/>
        </w:rPr>
        <w:t> </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4348296 8100</w:t>
            </w:r>
          </w:p>
        </w:tc>
        <w:tc>
          <w:tcPr>
            <w:tcW w:w="38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Authentication: 202396296</w:t>
            </w:r>
          </w:p>
        </w:tc>
      </w:tr>
      <w:tr>
        <w:trPr>
          <w:trHeight w:val="243"/>
        </w:trPr>
        <w:tc>
          <w:tcPr>
            <w:tcW w:w="7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SR# 20182206915</w:t>
            </w:r>
          </w:p>
        </w:tc>
        <w:tc>
          <w:tcPr>
            <w:tcW w:w="38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Date: 03-27-18</w:t>
            </w:r>
          </w:p>
        </w:tc>
      </w:tr>
      <w:tr>
        <w:trPr>
          <w:trHeight w:val="391"/>
        </w:trPr>
        <w:tc>
          <w:tcPr>
            <w:tcW w:w="7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You may verify this certificate online at corp.delaware.gov/authver.shtml</w:t>
            </w:r>
          </w:p>
        </w:tc>
        <w:tc>
          <w:tcPr>
            <w:tcW w:w="3880" w:type="dxa"/>
            <w:vAlign w:val="bottom"/>
          </w:tcPr>
          <w:p>
            <w:pPr>
              <w:spacing w:after="0"/>
              <w:rPr>
                <w:sz w:val="24"/>
                <w:szCs w:val="24"/>
                <w:color w:val="auto"/>
              </w:rPr>
            </w:pPr>
          </w:p>
        </w:tc>
      </w:tr>
      <w:tr>
        <w:trPr>
          <w:trHeight w:val="432"/>
        </w:trPr>
        <w:tc>
          <w:tcPr>
            <w:tcW w:w="714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Appendix C-1</w:t>
            </w:r>
          </w:p>
        </w:tc>
        <w:tc>
          <w:tcPr>
            <w:tcW w:w="3880" w:type="dxa"/>
            <w:vAlign w:val="bottom"/>
          </w:tcPr>
          <w:p>
            <w:pPr>
              <w:spacing w:after="0"/>
              <w:rPr>
                <w:sz w:val="24"/>
                <w:szCs w:val="24"/>
                <w:color w:val="auto"/>
              </w:rPr>
            </w:pPr>
          </w:p>
        </w:tc>
      </w:tr>
      <w:tr>
        <w:trPr>
          <w:trHeight w:val="183"/>
        </w:trPr>
        <w:tc>
          <w:tcPr>
            <w:tcW w:w="714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39" w:right="439" w:bottom="1440" w:gutter="0" w:footer="0" w:header="0"/>
        </w:sectPr>
      </w:pPr>
    </w:p>
    <w:bookmarkStart w:id="42" w:name="page43"/>
    <w:bookmarkEnd w:id="42"/>
    <w:p>
      <w:pPr>
        <w:ind w:left="6400"/>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3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Secretary of State</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Division of Corporations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Delivered 08:08 AM 03/27/2018</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FILED 08:08 AM 03/27/2018</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SR 20182206915 - File Number 4348296</w:t>
      </w:r>
    </w:p>
    <w:p>
      <w:pPr>
        <w:spacing w:after="0" w:line="200" w:lineRule="exact"/>
        <w:rPr>
          <w:sz w:val="20"/>
          <w:szCs w:val="20"/>
          <w:color w:val="auto"/>
        </w:rPr>
      </w:pPr>
    </w:p>
    <w:p>
      <w:pPr>
        <w:spacing w:after="0" w:line="23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Dropbox, Inc., a Delaware corporation, hereby certifies that:</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1.  The name of the corporation is Dropbox, Inc. The date of filing its original Certificate of Incorporation with the Secretary of State of the State of Delaware was May 8,2007. The corporation was originally incorporated under the name Evenflow, Inc.</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2.  This Restated Certificate of Incorporation of the corporation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which is incorporated herein by this reference, and which restates, integrates and further amends the provisions of the Certificate of Incorporation of this corporation as heretofore amended and/or restated, has been duly adopted by the corporation's Board of Directors and by the stockholders in accordance with Sections 242 and 245 of the General Corporation Law of the State of Delaware, with the approval of the corporation's stockholders having been given by written consent without a meeting in accordance with Section 228 of the General Corporation Law of the State of Delaware.</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Restated Certificate of Incorporation to be signed by its duly authorized officer and the foregoing facts stated herein are true and correct.</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27, 2018</w:t>
            </w:r>
          </w:p>
        </w:tc>
        <w:tc>
          <w:tcPr>
            <w:tcW w:w="56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DROPBOX, INC.</w:t>
            </w:r>
          </w:p>
        </w:tc>
      </w:tr>
      <w:tr>
        <w:trPr>
          <w:trHeight w:val="506"/>
        </w:trPr>
        <w:tc>
          <w:tcPr>
            <w:tcW w:w="2800" w:type="dxa"/>
            <w:vAlign w:val="bottom"/>
          </w:tcPr>
          <w:p>
            <w:pPr>
              <w:spacing w:after="0"/>
              <w:rPr>
                <w:sz w:val="24"/>
                <w:szCs w:val="24"/>
                <w:color w:val="auto"/>
              </w:rPr>
            </w:pPr>
          </w:p>
        </w:tc>
        <w:tc>
          <w:tcPr>
            <w:tcW w:w="18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Houston</w:t>
            </w:r>
          </w:p>
        </w:tc>
      </w:tr>
      <w:tr>
        <w:trPr>
          <w:trHeight w:val="264"/>
        </w:trPr>
        <w:tc>
          <w:tcPr>
            <w:tcW w:w="2800" w:type="dxa"/>
            <w:vAlign w:val="bottom"/>
          </w:tcPr>
          <w:p>
            <w:pPr>
              <w:spacing w:after="0"/>
              <w:rPr>
                <w:sz w:val="22"/>
                <w:szCs w:val="22"/>
                <w:color w:val="auto"/>
              </w:rPr>
            </w:pPr>
          </w:p>
        </w:tc>
        <w:tc>
          <w:tcPr>
            <w:tcW w:w="18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Houston</w:t>
            </w:r>
          </w:p>
        </w:tc>
      </w:tr>
      <w:tr>
        <w:trPr>
          <w:trHeight w:val="243"/>
        </w:trPr>
        <w:tc>
          <w:tcPr>
            <w:tcW w:w="2800" w:type="dxa"/>
            <w:vAlign w:val="bottom"/>
          </w:tcPr>
          <w:p>
            <w:pPr>
              <w:spacing w:after="0"/>
              <w:rPr>
                <w:sz w:val="21"/>
                <w:szCs w:val="21"/>
                <w:color w:val="auto"/>
              </w:rPr>
            </w:pPr>
          </w:p>
        </w:tc>
        <w:tc>
          <w:tcPr>
            <w:tcW w:w="18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0"/>
        </w:trPr>
        <w:tc>
          <w:tcPr>
            <w:tcW w:w="2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43" w:name="page44"/>
    <w:bookmarkEnd w:id="43"/>
    <w:p>
      <w:pPr>
        <w:ind w:left="394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4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Dropbox,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Wilmington, New Castle County, Delaware 19808. The name of its registered agent at such address is Corporation Service Company.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21" w:lineRule="exact"/>
        <w:rPr>
          <w:sz w:val="20"/>
          <w:szCs w:val="20"/>
          <w:color w:val="auto"/>
        </w:rPr>
      </w:pPr>
    </w:p>
    <w:p>
      <w:pPr>
        <w:jc w:val="both"/>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a corporation may be organized under the General Corporation Law of the State of Delaware (the “</w:t>
      </w:r>
      <w:r>
        <w:rPr>
          <w:rFonts w:ascii="Times New Roman" w:cs="Times New Roman" w:eastAsia="Times New Roman" w:hAnsi="Times New Roman"/>
          <w:sz w:val="17"/>
          <w:szCs w:val="17"/>
          <w:b w:val="1"/>
          <w:bCs w:val="1"/>
          <w:i w:val="1"/>
          <w:iCs w:val="1"/>
          <w:color w:val="auto"/>
        </w:rPr>
        <w:t>Delaware General Corporation Law</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Corporation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authorized to be issued is 3,675,000,000,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2,400,000,000 shares of which are designated Class A Common Stock, par value $0.00001 per share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475,000,000 shares of which are designated Class B Common Stock, par value $0.00001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800,000,000 shares of which are designated Class C Common Stock, par value $0.00001 per share (the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The total number of shares of Preferred Stock authorized to be issued is 240,000,000 shares, par value $0.00001 per share.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rights, powers, preferences, privileges, restrictions and other matters relating to the Common Stock are as follows: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V, the following definitions apply;</w:t>
      </w:r>
    </w:p>
    <w:p>
      <w:pPr>
        <w:spacing w:after="0" w:line="11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Section V.1.1,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75"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Amended and Restated Certificate</w:t>
      </w:r>
      <w:r>
        <w:rPr>
          <w:rFonts w:ascii="Times New Roman" w:cs="Times New Roman" w:eastAsia="Times New Roman" w:hAnsi="Times New Roman"/>
          <w:sz w:val="18"/>
          <w:szCs w:val="18"/>
          <w:color w:val="auto"/>
        </w:rPr>
        <w:t>” means this Restated Certificate of Incorporation of the Corporation, as may be amended.</w:t>
      </w:r>
    </w:p>
    <w:p>
      <w:pPr>
        <w:spacing w:after="0" w:line="47"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a sale, lease, exclusive license or other disposition of all or substantially all of the assets of the 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4" w:name="page45"/>
    <w:bookmarkEnd w:id="44"/>
    <w:p>
      <w:pPr>
        <w:ind w:left="102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11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Controlled Company Exemption</w:t>
      </w:r>
      <w:r>
        <w:rPr>
          <w:rFonts w:ascii="Times New Roman" w:cs="Times New Roman" w:eastAsia="Times New Roman" w:hAnsi="Times New Roman"/>
          <w:sz w:val="18"/>
          <w:szCs w:val="18"/>
          <w:color w:val="auto"/>
        </w:rPr>
        <w:t>” means, if and to the extent otherwise applicable to the Corporation, the exemptions from the Listing Standards available to any company that constitutes a “controlled company” within the meaning of the Listing Standards.</w:t>
      </w:r>
    </w:p>
    <w:p>
      <w:pPr>
        <w:spacing w:after="0" w:line="6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Disabled</w:t>
      </w:r>
      <w:r>
        <w:rPr>
          <w:rFonts w:ascii="Times New Roman" w:cs="Times New Roman" w:eastAsia="Times New Roman" w:hAnsi="Times New Roman"/>
          <w:sz w:val="18"/>
          <w:szCs w:val="18"/>
          <w:color w:val="auto"/>
        </w:rPr>
        <w:t>” means, with respect to a Founder, the permanent and total disability of such Founder such that such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(a)  the date specified by the holders of two-thirds of the then outstanding shares of Class B Common Stock, voting as a separate class;</w:t>
      </w:r>
    </w:p>
    <w:p>
      <w:pPr>
        <w:spacing w:after="0" w:line="54"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(b)  the first date on which the number of outstanding shares of Class B Common Stock represents less than 5% of the aggregate number of outstanding shares of Class A Common Stock and Class B Common Stock; or</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(c)  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either Andrew Houston or Arash Ferdowsi.</w:t>
      </w:r>
    </w:p>
    <w:p>
      <w:pPr>
        <w:spacing w:after="0" w:line="11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means the members of the Board designated as independent directors in accordance with the Listing Standards.</w:t>
      </w:r>
    </w:p>
    <w:p>
      <w:pPr>
        <w:spacing w:after="0" w:line="4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first date that shares of a class of the Corporation's capital stock have been listed for trading on the New York Stock Exchange, NASDAQ Global Select Market or NASDAQ Global Market or any successor markets or exchanges (each, a “</w:t>
      </w:r>
      <w:r>
        <w:rPr>
          <w:rFonts w:ascii="Times New Roman" w:cs="Times New Roman" w:eastAsia="Times New Roman" w:hAnsi="Times New Roman"/>
          <w:sz w:val="18"/>
          <w:szCs w:val="18"/>
          <w:b w:val="1"/>
          <w:bCs w:val="1"/>
          <w:i w:val="1"/>
          <w:iCs w:val="1"/>
          <w:color w:val="auto"/>
        </w:rPr>
        <w:t>Securities Exchange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any liquidation, dissolution, or winding up of the Corporation, whether voluntary or involuntary, or any Acquisition or Asset Transfer.</w:t>
      </w:r>
    </w:p>
    <w:p>
      <w:pPr>
        <w:spacing w:after="0" w:line="4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71"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of such entity.</w:t>
      </w:r>
    </w:p>
    <w:p>
      <w:pPr>
        <w:spacing w:after="0" w:line="4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with respect to any Qualified Stockholder, any trust, account, plan, corporation, partnership, or limited liability company specified in Section V.1.15(b) with respect to such Qualified Stockholder, so long as such Permitted Entity meets the requirements of the exception set forth in Section V.1.15 applicable to such Permitted Entity.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5" w:name="page46"/>
    <w:bookmarkEnd w:id="45"/>
    <w:p>
      <w:pPr>
        <w:ind w:left="102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(a)  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(b)  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68"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(i)  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81" w:lineRule="exact"/>
        <w:rPr>
          <w:sz w:val="20"/>
          <w:szCs w:val="20"/>
          <w:color w:val="auto"/>
        </w:rPr>
      </w:pPr>
    </w:p>
    <w:p>
      <w:pPr>
        <w:jc w:val="both"/>
        <w:ind w:left="1380" w:right="299" w:firstLine="360"/>
        <w:spacing w:after="0" w:line="254" w:lineRule="auto"/>
        <w:rPr>
          <w:sz w:val="20"/>
          <w:szCs w:val="20"/>
          <w:color w:val="auto"/>
        </w:rPr>
      </w:pPr>
      <w:r>
        <w:rPr>
          <w:rFonts w:ascii="Times New Roman" w:cs="Times New Roman" w:eastAsia="Times New Roman" w:hAnsi="Times New Roman"/>
          <w:sz w:val="18"/>
          <w:szCs w:val="18"/>
          <w:color w:val="auto"/>
        </w:rPr>
        <w:t>(ii)  a trust under the terms of which a Qualified Stockholder has retained a “qualified interest” within the meaning of §2702(b)(l)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84"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(iii)  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86"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(iv)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86"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(v)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6" w:name="page47"/>
    <w:bookmarkEnd w:id="46"/>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(vi)  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84" w:lineRule="exact"/>
        <w:rPr>
          <w:sz w:val="20"/>
          <w:szCs w:val="20"/>
          <w:color w:val="auto"/>
        </w:rPr>
      </w:pPr>
    </w:p>
    <w:p>
      <w:pPr>
        <w:jc w:val="both"/>
        <w:ind w:left="138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68"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or rights or interests therein, received in a Transfer that constitutes a Permitted Transfer.</w:t>
      </w:r>
    </w:p>
    <w:p>
      <w:pPr>
        <w:spacing w:after="0" w:line="4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(a) any registered holder of a share of Class B Common Stock immediately after the IPO Date; (b) the initial registered holder of any shares of Class B Common Stock that are originally issued by the Corporation after the IPO Date pursuant to the exercise or conversion of options or warrants or settlement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in each case, are outstanding as the IPO Date; (c) a Permitted Transferee; and (d) the initial registered holder of any shares of Class B Common Stock that are originally issued by the Corporation after the IPO Date in compliance with this Amended and Restated Certificate.</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(a)  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68"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(b)  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81"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(c)  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7" w:name="page48"/>
    <w:bookmarkEnd w:id="47"/>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(d)  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72"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(e)  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81"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(f)  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(g)  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(h)  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  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64"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xml:space="preserve"> ” means, with respect to a share of capital stock or other security, the power (whether exclusive or shared) to vote or direct the voting of such security, including by proxy, voting agreement or otherwise.</w:t>
      </w:r>
    </w:p>
    <w:p>
      <w:pPr>
        <w:spacing w:after="0" w:line="63"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i w:val="1"/>
          <w:iCs w:val="1"/>
          <w:color w:val="auto"/>
        </w:rPr>
        <w:t>Voting Threshold Date</w:t>
      </w:r>
      <w:r>
        <w:rPr>
          <w:rFonts w:ascii="Times New Roman" w:cs="Times New Roman" w:eastAsia="Times New Roman" w:hAnsi="Times New Roman"/>
          <w:sz w:val="18"/>
          <w:szCs w:val="18"/>
          <w:color w:val="auto"/>
        </w:rPr>
        <w:t>” means the first date on which the outstanding shares of Class B Common Stock represent less than a majority of the total voting power of the then outstanding shares of the Corporation entitled to vote generally in the election of directors.</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means the total number of authorized directors whether or not there exist any vacancies or unfilled seats in previously authorized directorships.</w:t>
      </w:r>
    </w:p>
    <w:p>
      <w:pPr>
        <w:spacing w:after="0" w:line="5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Except as otherwise provided in this Amended and Restated Certificate or required by applicable law, shares of Common Stock shall have the same rights and powers, rank equally (including as to dividends and distributions, and any liquidation, dissolution or winding up of the corporation but excluding voting and other matters as described in Section V.3 below), share ratably and be identical in all respects as to all matters, including:</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2.1  Subject to the prior rights of holders of all classes and series of stock at the time outstanding having prior rights as to dividends,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8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8" w:name="page49"/>
    <w:bookmarkEnd w:id="48"/>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 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29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Voting Rights.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Each holder of shares of Class A Common Stock will be entitled to one vote for each share thereof held at the record date for the determination of the stockholders entitled to vote on such matters.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Each holder of shares of Class B Common Stock will be entitled to ten votes for each share thereof held at the record date for the determination of the stockholders entitled to vote on such matters.</w:t>
      </w:r>
    </w:p>
    <w:p>
      <w:pPr>
        <w:spacing w:after="0" w:line="68"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Except as required by law, the Class C Common Stock will have no voting rights and no holder thereof shall be entitled to vote on any matter.</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expressly provided herein or as required by law, the holders of Class A Common Stock, Class B Common Stock and Class C Common Stock will vote together and not as separate series or classes.</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Section V.9) by the affirmative vote of the holders of a majority of the voting power of the Class A Common Stock and Class B Common Stock, voting together as a single class, irrespective of the provisions of Section 242(b)(2) of the Delaware General Corporation Law; provided, that the number of authorized shares of Class B Common Stock shall not be increased without the affirmative vote of the holders of a majority of the outstanding shares of Class B Common Stock, voting as a separate class.</w:t>
      </w:r>
    </w:p>
    <w:p>
      <w:pPr>
        <w:spacing w:after="0" w:line="80"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9" w:name="page50"/>
    <w:bookmarkEnd w:id="49"/>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“distribution to stockholders” for the purpose of this Section V.4; </w:t>
      </w:r>
      <w:r>
        <w:rPr>
          <w:rFonts w:ascii="Times New Roman" w:cs="Times New Roman" w:eastAsia="Times New Roman" w:hAnsi="Times New Roman"/>
          <w:sz w:val="18"/>
          <w:szCs w:val="18"/>
          <w:i w:val="1"/>
          <w:iCs w:val="1"/>
          <w:color w:val="auto"/>
        </w:rPr>
        <w:t xml:space="preserve">provided, farther, however, </w:t>
      </w:r>
      <w:r>
        <w:rPr>
          <w:rFonts w:ascii="Times New Roman" w:cs="Times New Roman" w:eastAsia="Times New Roman" w:hAnsi="Times New Roman"/>
          <w:sz w:val="18"/>
          <w:szCs w:val="18"/>
          <w:color w:val="auto"/>
        </w:rPr>
        <w:t>that shares of such classes may receive, or have the right to elect to receive, different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 (10) times the voting power of any securities distributed to the holder of a share of Class A Common Stock and that any securities distributed to the holder of a share of Class C Common Stock have no voting rights or power.</w:t>
      </w:r>
    </w:p>
    <w:p>
      <w:pPr>
        <w:spacing w:after="0" w:line="8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Conversion of the Class B Common Stock</w:t>
      </w:r>
      <w:r>
        <w:rPr>
          <w:rFonts w:ascii="Times New Roman" w:cs="Times New Roman" w:eastAsia="Times New Roman" w:hAnsi="Times New Roman"/>
          <w:sz w:val="18"/>
          <w:szCs w:val="18"/>
          <w:color w:val="auto"/>
        </w:rPr>
        <w:t>. The Class B Common Stock will be convertible into Class A Common Stock as follows:</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5.1  Each share of Class B Common Stock will automatically convert into one fully paid and nonassessable share of Class A Common Stock on the Final Conversion Date.</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68" w:lineRule="exact"/>
        <w:rPr>
          <w:sz w:val="20"/>
          <w:szCs w:val="20"/>
          <w:color w:val="auto"/>
        </w:rPr>
      </w:pPr>
    </w:p>
    <w:p>
      <w:pPr>
        <w:jc w:val="both"/>
        <w:ind w:left="1020" w:right="319" w:firstLine="360"/>
        <w:spacing w:after="0" w:line="289" w:lineRule="auto"/>
        <w:rPr>
          <w:sz w:val="20"/>
          <w:szCs w:val="20"/>
          <w:color w:val="auto"/>
        </w:rPr>
      </w:pPr>
      <w:r>
        <w:rPr>
          <w:rFonts w:ascii="Times New Roman" w:cs="Times New Roman" w:eastAsia="Times New Roman" w:hAnsi="Times New Roman"/>
          <w:sz w:val="17"/>
          <w:szCs w:val="17"/>
          <w:color w:val="auto"/>
        </w:rPr>
        <w:t>(a)  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50"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(b)  on the occurrence of a Transfer of such share of Class B Common Stock, other than a Permitted Transfer; or</w:t>
      </w:r>
    </w:p>
    <w:p>
      <w:pPr>
        <w:spacing w:after="0" w:line="54" w:lineRule="exact"/>
        <w:rPr>
          <w:sz w:val="20"/>
          <w:szCs w:val="20"/>
          <w:color w:val="auto"/>
        </w:rPr>
      </w:pPr>
    </w:p>
    <w:p>
      <w:pPr>
        <w:jc w:val="both"/>
        <w:ind w:left="1020" w:right="299" w:firstLine="360"/>
        <w:spacing w:after="0" w:line="267" w:lineRule="auto"/>
        <w:rPr>
          <w:sz w:val="20"/>
          <w:szCs w:val="20"/>
          <w:color w:val="auto"/>
        </w:rPr>
      </w:pPr>
      <w:r>
        <w:rPr>
          <w:rFonts w:ascii="Times New Roman" w:cs="Times New Roman" w:eastAsia="Times New Roman" w:hAnsi="Times New Roman"/>
          <w:sz w:val="17"/>
          <w:szCs w:val="17"/>
          <w:color w:val="auto"/>
        </w:rPr>
        <w:t xml:space="preserve">(c)  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with respect to the shares of Class B Common Stock held of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Section V.1.18 of this Amended and Restated Certificate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Times New Roman" w:cs="Times New Roman" w:eastAsia="Times New Roman" w:hAnsi="Times New Roman"/>
          <w:sz w:val="17"/>
          <w:szCs w:val="17"/>
          <w:i w:val="1"/>
          <w:iCs w:val="1"/>
          <w:u w:val="single" w:color="auto"/>
          <w:color w:val="auto"/>
        </w:rPr>
        <w:t>provided, further</w:t>
      </w:r>
      <w:r>
        <w:rPr>
          <w:rFonts w:ascii="Times New Roman" w:cs="Times New Roman" w:eastAsia="Times New Roman" w:hAnsi="Times New Roman"/>
          <w:sz w:val="17"/>
          <w:szCs w:val="17"/>
          <w:color w:val="auto"/>
        </w:rPr>
        <w:t>, that, if both Founders die and/or suffer a Disability simultaneously or the second Founder dies or suffers a Disability following the death or Disability of the other Founder, but prior to the conversion pursuant to this Section V.5.2(c) of the shares of Class B Common Stock held of record by such first Founder to die or become Disabled, his Permitted Entities or his Permitted Transferees, a person (including a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0" w:name="page51"/>
    <w:bookmarkEnd w:id="50"/>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 (18) months after the last applicable death or Disability as may be approved by a majority of the Independent Directors then in office.</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Conversion of the Class C Common Stock</w:t>
      </w:r>
      <w:r>
        <w:rPr>
          <w:rFonts w:ascii="Times New Roman" w:cs="Times New Roman" w:eastAsia="Times New Roman" w:hAnsi="Times New Roman"/>
          <w:sz w:val="18"/>
          <w:szCs w:val="18"/>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Times New Roman" w:cs="Times New Roman" w:eastAsia="Times New Roman" w:hAnsi="Times New Roman"/>
          <w:sz w:val="18"/>
          <w:szCs w:val="18"/>
          <w:b w:val="1"/>
          <w:bCs w:val="1"/>
          <w:i w:val="1"/>
          <w:iCs w:val="1"/>
          <w:color w:val="auto"/>
        </w:rPr>
        <w:t>Class C Conversion Date</w:t>
      </w:r>
      <w:r>
        <w:rPr>
          <w:rFonts w:ascii="Times New Roman" w:cs="Times New Roman" w:eastAsia="Times New Roman" w:hAnsi="Times New Roman"/>
          <w:sz w:val="18"/>
          <w:szCs w:val="18"/>
          <w:color w:val="auto"/>
        </w:rPr>
        <w:t>”), each outstanding share of Class C Capital Stock shall automatically, without further action by the Corporation or the holders thereof, convert into one (1)fully paid and nonassessable share of Class A Common Stock.</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dual 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Immediate Effect</w:t>
      </w:r>
      <w:r>
        <w:rPr>
          <w:rFonts w:ascii="Times New Roman" w:cs="Times New Roman" w:eastAsia="Times New Roman" w:hAnsi="Times New Roman"/>
          <w:sz w:val="18"/>
          <w:szCs w:val="18"/>
          <w:color w:val="auto"/>
        </w:rPr>
        <w:t>. In the event of and upon a conversion of shares of Class B Common Stock to shares of Class A Common Stock pursuant to Section V.5 or Class C Common Stock to Class A Common Stock pursuant to Section V.6,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this Amended and Restated Certificate. Upon any conversion of Class B Common Stock or Class C Common Stock to Class A Common Stock in accordance with this Amended and Restated Certificate,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Reservation of Stock Issuable Upon Conversion</w:t>
      </w:r>
      <w:r>
        <w:rPr>
          <w:rFonts w:ascii="Times New Roman" w:cs="Times New Roman" w:eastAsia="Times New Roman" w:hAnsi="Times New Roman"/>
          <w:sz w:val="18"/>
          <w:szCs w:val="18"/>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8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 Reissuance of Class B Common Stock</w:t>
      </w:r>
      <w:r>
        <w:rPr>
          <w:rFonts w:ascii="Times New Roman" w:cs="Times New Roman" w:eastAsia="Times New Roman" w:hAnsi="Times New Roman"/>
          <w:sz w:val="18"/>
          <w:szCs w:val="18"/>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1" w:name="page52"/>
    <w:bookmarkEnd w:id="51"/>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Class B Protective Provisions</w:t>
      </w:r>
      <w:r>
        <w:rPr>
          <w:rFonts w:ascii="Times New Roman" w:cs="Times New Roman" w:eastAsia="Times New Roman" w:hAnsi="Times New Roman"/>
          <w:sz w:val="18"/>
          <w:szCs w:val="18"/>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this Amended and Restated Certificate:</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12.1  directly or indirectly, whether by amendment, or through merger, recapitalization, consolidation or otherwise, amend or repeal, or adopt any provision of this Amended and Restated Certificate inconsistent with, or otherwise alter, any provision of this Amended and Restated Certificate that modifies the voting, conversion or other rights, powers, preferences, privileges or restrictions of the Class B Common Stock;</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12.4  authorize, or issue any shares of, any class or series of capital stock of the Corporation having the right to more than (1) vote for each share thereof; or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12.5   consummate a Liquidation Event.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u w:val="single" w:color="auto"/>
          <w:color w:val="auto"/>
        </w:rPr>
        <w:t>Rights of Preferred Stock.</w:t>
      </w:r>
      <w:r>
        <w:rPr>
          <w:rFonts w:ascii="Times New Roman" w:cs="Times New Roman" w:eastAsia="Times New Roman" w:hAnsi="Times New Roman"/>
          <w:sz w:val="17"/>
          <w:szCs w:val="17"/>
          <w:color w:val="auto"/>
        </w:rPr>
        <w:t xml:space="preserve"> The Board is authorized, subject to any limitations prescribed by law, to provide for the issuance of shares of Preferred Stock in series, and by filing a certificate pursuant to the applicable law of the State of Delaware (such certificate being hereinafter referred to as a “</w:t>
      </w:r>
      <w:r>
        <w:rPr>
          <w:rFonts w:ascii="Times New Roman" w:cs="Times New Roman" w:eastAsia="Times New Roman" w:hAnsi="Times New Roman"/>
          <w:sz w:val="17"/>
          <w:szCs w:val="17"/>
          <w:b w:val="1"/>
          <w:bCs w:val="1"/>
          <w:i w:val="1"/>
          <w:iCs w:val="1"/>
          <w:color w:val="auto"/>
        </w:rPr>
        <w:t>Preferred Stock Designation</w:t>
      </w:r>
      <w:r>
        <w:rPr>
          <w:rFonts w:ascii="Times New Roman" w:cs="Times New Roman" w:eastAsia="Times New Roman" w:hAnsi="Times New Roman"/>
          <w:sz w:val="17"/>
          <w:szCs w:val="17"/>
          <w:color w:val="auto"/>
        </w:rPr>
        <w:t>”), to establish from time to time the number of shares to be included in each such series, and to fix the designation, powers, preferences, and rights of the shares of each such series and any qualifications, limitations or restrictions thereof.</w:t>
      </w:r>
    </w:p>
    <w:p>
      <w:pPr>
        <w:spacing w:after="0" w:line="6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Vote to Increase or Decrease Authorized Shares</w:t>
      </w:r>
      <w:r>
        <w:rPr>
          <w:rFonts w:ascii="Times New Roman" w:cs="Times New Roman" w:eastAsia="Times New Roman" w:hAnsi="Times New Roman"/>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the provisions of Section 242(b)(2) of the Delaware General Corporation Law.</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Board Size</w:t>
      </w:r>
      <w:r>
        <w:rPr>
          <w:rFonts w:ascii="Times New Roman" w:cs="Times New Roman" w:eastAsia="Times New Roman" w:hAnsi="Times New Roman"/>
          <w:sz w:val="18"/>
          <w:szCs w:val="18"/>
          <w:color w:val="auto"/>
        </w:rPr>
        <w:t>. Subject to the rights of the holders of any series of Preferred Stock to elect additional directors under specified circumstances, the number of directors that constitutes the entire Board shall be fixed by, or in the manner provided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Delaware General Corporation Law.</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Board Structure</w:t>
      </w:r>
      <w:r>
        <w:rPr>
          <w:rFonts w:ascii="Times New Roman" w:cs="Times New Roman" w:eastAsia="Times New Roman" w:hAnsi="Times New Roman"/>
          <w:sz w:val="18"/>
          <w:szCs w:val="18"/>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Times New Roman" w:cs="Times New Roman" w:eastAsia="Times New Roman" w:hAnsi="Times New Roman"/>
          <w:sz w:val="18"/>
          <w:szCs w:val="18"/>
          <w:b w:val="1"/>
          <w:bCs w:val="1"/>
          <w:i w:val="1"/>
          <w:iCs w:val="1"/>
          <w:color w:val="auto"/>
        </w:rPr>
        <w:t>Classified Board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the term of office of the initial Class II directors shall expire at the second annual meeting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2" w:name="page53"/>
    <w:bookmarkEnd w:id="52"/>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Section VII.2 in the event a Classified Board Effective Date occurs) and until his or her successor shall have been duly elected and qualified. Notwithstanding the foregoing provisions of this Article VII,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Any director may be removed from office by the stockholders of the Corporation as provided in Section 141(k) of the Delaware General Corporation Law.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Board Power</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by statute or by this Amended and Restated Certificate or the Bylaws of the Corporation, the Board is hereby empowered to exercise all such powers and do all such acts and things as may be exercised or done by the Corporation.</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Written Ballot</w:t>
      </w:r>
      <w:r>
        <w:rPr>
          <w:rFonts w:ascii="Times New Roman" w:cs="Times New Roman" w:eastAsia="Times New Roman" w:hAnsi="Times New Roman"/>
          <w:sz w:val="18"/>
          <w:szCs w:val="18"/>
          <w:color w:val="auto"/>
        </w:rPr>
        <w:t>. Elections of directors need not be by written ballot unless otherwise provided in the Bylaws of the Corporation.</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by the General Corporation Law, the Board is expressly authorized to adopt, amend or repeal the Bylaws of the Corporation.</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of the Corporation.</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Availability of Stockholder Action bv Written Consent</w:t>
      </w:r>
      <w:r>
        <w:rPr>
          <w:rFonts w:ascii="Times New Roman" w:cs="Times New Roman" w:eastAsia="Times New Roman" w:hAnsi="Times New Roman"/>
          <w:sz w:val="18"/>
          <w:szCs w:val="18"/>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 Reliance on the Controlled Company Exemption</w:t>
      </w:r>
      <w:r>
        <w:rPr>
          <w:rFonts w:ascii="Times New Roman" w:cs="Times New Roman" w:eastAsia="Times New Roman" w:hAnsi="Times New Roman"/>
          <w:sz w:val="18"/>
          <w:szCs w:val="18"/>
          <w:color w:val="auto"/>
        </w:rPr>
        <w:t>. At any time during which shares of capital stock of the Corporation are listed for trading on a Securities Exchange, the Corporation shall not rely upon the Controlled Company Exemption.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no director of the Corporation shall be personally liable for monetary damages for breach of fiduciary duty as a director. Without limiting the effect of the preceding sentence,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Neither any amendment nor repeal of this Article X, nor the adoption of any provision of this Amended and Restated Certificate inconsistent with this Article X, shall eliminate, reduce or otherwise adversely affect any limitation on the personal liability of a director of the Corporation existing at the time of such amendment, repeal or adoption of such an inconsistent provision.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Except as provided in Article X above, the Corporation reserves the right to amend, alter, change or repeal any provision contained in this Amended and Restated Certificate, in the manner now or hereafter prescribed by statute, and all rights conferred upon stockholders herein are granted subject to this reservation;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notwithstanding any other provision of this Amended and Restated Certificate or any provision of law that might otherwise permit a lesser vote, but in addition to any vote of the holders of any class or series of the stock of this Corporation required by law or by this Amended and Restated Certificate, (i) prior to the Final Conversion Date,</w:t>
      </w:r>
    </w:p>
    <w:p>
      <w:pPr>
        <w:spacing w:after="0" w:line="5" w:lineRule="exact"/>
        <w:rPr>
          <w:sz w:val="20"/>
          <w:szCs w:val="20"/>
          <w:color w:val="auto"/>
        </w:rPr>
      </w:pPr>
    </w:p>
    <w:p>
      <w:pPr>
        <w:jc w:val="both"/>
        <w:ind w:left="300" w:right="299" w:hanging="8"/>
        <w:spacing w:after="0" w:line="251" w:lineRule="auto"/>
        <w:tabs>
          <w:tab w:leader="none" w:pos="5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this Amended and Restated Certificate or adopt any new provision of this Amended and Restated Certificate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this Amended and Restated Certificate inconsistent with, Article V or this clause (i)(b) of Article XI of this Amended and Restated Certificate (except in either case by virtue of a filing of a Preferred Stock Designation, but subject to any vote required by law or by other provisions of this Amended and Restated Certificate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this Amended and Restated Certificate inconsistent with, Article VII, Article VIII or this Article XI.</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38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(as amended on 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3"/>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0"/>
        </w:trPr>
        <w:tc>
          <w:tcPr>
            <w:tcW w:w="2820" w:type="dxa"/>
            <w:vAlign w:val="bottom"/>
            <w:tcBorders>
              <w:bottom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ARTICLE I - CORPORATE OFFICES</w:t>
            </w:r>
          </w:p>
        </w:tc>
        <w:tc>
          <w:tcPr>
            <w:tcW w:w="5160" w:type="dxa"/>
            <w:vAlign w:val="bottom"/>
            <w:tcBorders>
              <w:bottom w:val="single" w:sz="8" w:color="CCEEFF"/>
            </w:tcBorders>
            <w:gridSpan w:val="31"/>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2"/>
              </w:rPr>
              <w:t>D-1</w:t>
            </w:r>
          </w:p>
        </w:tc>
        <w:tc>
          <w:tcPr>
            <w:tcW w:w="40" w:type="dxa"/>
            <w:vAlign w:val="bottom"/>
            <w:tcBorders>
              <w:bottom w:val="single" w:sz="8" w:color="CCEEFF"/>
            </w:tcBorders>
            <w:shd w:val="clear" w:color="auto" w:fill="CCEEFF"/>
          </w:tcPr>
          <w:p>
            <w:pPr>
              <w:spacing w:after="0"/>
              <w:rPr>
                <w:sz w:val="20"/>
                <w:szCs w:val="20"/>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REGISTERED OFFICE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1760" w:type="dxa"/>
            <w:vAlign w:val="bottom"/>
            <w:tcBorders>
              <w:top w:val="single" w:sz="8" w:color="0000EE"/>
            </w:tcBorders>
            <w:gridSpan w:val="18"/>
          </w:tcPr>
          <w:p>
            <w:pPr>
              <w:spacing w:after="0"/>
              <w:rPr>
                <w:sz w:val="2"/>
                <w:szCs w:val="2"/>
                <w:color w:val="auto"/>
              </w:rPr>
            </w:pPr>
          </w:p>
        </w:tc>
        <w:tc>
          <w:tcPr>
            <w:tcW w:w="5260" w:type="dxa"/>
            <w:vAlign w:val="bottom"/>
            <w:gridSpan w:val="32"/>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OFFICES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360" w:type="dxa"/>
            <w:vAlign w:val="bottom"/>
            <w:tcBorders>
              <w:top w:val="single" w:sz="8" w:color="0000EE"/>
            </w:tcBorders>
            <w:gridSpan w:val="12"/>
            <w:shd w:val="clear" w:color="auto" w:fill="CCEEFF"/>
          </w:tcPr>
          <w:p>
            <w:pPr>
              <w:spacing w:after="0"/>
              <w:rPr>
                <w:sz w:val="2"/>
                <w:szCs w:val="2"/>
                <w:color w:val="auto"/>
              </w:rPr>
            </w:pPr>
          </w:p>
        </w:tc>
        <w:tc>
          <w:tcPr>
            <w:tcW w:w="5660" w:type="dxa"/>
            <w:vAlign w:val="bottom"/>
            <w:tcBorders>
              <w:top w:val="single" w:sz="8" w:color="CCEEFF"/>
            </w:tcBorders>
            <w:gridSpan w:val="38"/>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52"/>
          </w:tcPr>
          <w:p>
            <w:pPr>
              <w:spacing w:after="0" w:line="189" w:lineRule="exact"/>
              <w:rPr>
                <w:sz w:val="20"/>
                <w:szCs w:val="20"/>
                <w:color w:val="auto"/>
              </w:rPr>
            </w:pPr>
            <w:r>
              <w:rPr>
                <w:rFonts w:ascii="Times New Roman" w:cs="Times New Roman" w:eastAsia="Times New Roman" w:hAnsi="Times New Roman"/>
                <w:sz w:val="18"/>
                <w:szCs w:val="18"/>
                <w:color w:val="0000EE"/>
              </w:rPr>
              <w:t>ARTICLE II - MEETINGS OF STOCKHOLDERS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3700" w:type="dxa"/>
            <w:vAlign w:val="bottom"/>
            <w:tcBorders>
              <w:top w:val="single" w:sz="8" w:color="0000EE"/>
            </w:tcBorders>
            <w:gridSpan w:val="35"/>
          </w:tcPr>
          <w:p>
            <w:pPr>
              <w:spacing w:after="0"/>
              <w:rPr>
                <w:sz w:val="2"/>
                <w:szCs w:val="2"/>
                <w:color w:val="auto"/>
              </w:rPr>
            </w:pPr>
          </w:p>
        </w:tc>
        <w:tc>
          <w:tcPr>
            <w:tcW w:w="4400" w:type="dxa"/>
            <w:vAlign w:val="bottom"/>
            <w:gridSpan w:val="19"/>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PLACE OF MEETINGS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800" w:type="dxa"/>
            <w:vAlign w:val="bottom"/>
            <w:tcBorders>
              <w:top w:val="single" w:sz="8" w:color="0000EE"/>
            </w:tcBorders>
            <w:gridSpan w:val="19"/>
            <w:shd w:val="clear" w:color="auto" w:fill="CCEEFF"/>
          </w:tcPr>
          <w:p>
            <w:pPr>
              <w:spacing w:after="0"/>
              <w:rPr>
                <w:sz w:val="2"/>
                <w:szCs w:val="2"/>
                <w:color w:val="auto"/>
              </w:rPr>
            </w:pPr>
          </w:p>
        </w:tc>
        <w:tc>
          <w:tcPr>
            <w:tcW w:w="5220" w:type="dxa"/>
            <w:vAlign w:val="bottom"/>
            <w:tcBorders>
              <w:top w:val="single" w:sz="8" w:color="CCEEFF"/>
            </w:tcBorders>
            <w:gridSpan w:val="31"/>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ANNUAL MEETING</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1600" w:type="dxa"/>
            <w:vAlign w:val="bottom"/>
            <w:tcBorders>
              <w:top w:val="single" w:sz="8" w:color="0000EE"/>
            </w:tcBorders>
            <w:gridSpan w:val="15"/>
          </w:tcPr>
          <w:p>
            <w:pPr>
              <w:spacing w:after="0"/>
              <w:rPr>
                <w:sz w:val="2"/>
                <w:szCs w:val="2"/>
                <w:color w:val="auto"/>
              </w:rPr>
            </w:pPr>
          </w:p>
        </w:tc>
        <w:tc>
          <w:tcPr>
            <w:tcW w:w="5420" w:type="dxa"/>
            <w:vAlign w:val="bottom"/>
            <w:gridSpan w:val="35"/>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SPECIAL MEETING</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580" w:type="dxa"/>
            <w:vAlign w:val="bottom"/>
            <w:tcBorders>
              <w:top w:val="single" w:sz="8" w:color="0000EE"/>
            </w:tcBorders>
            <w:gridSpan w:val="14"/>
            <w:shd w:val="clear" w:color="auto" w:fill="CCEEFF"/>
          </w:tcPr>
          <w:p>
            <w:pPr>
              <w:spacing w:after="0"/>
              <w:rPr>
                <w:sz w:val="2"/>
                <w:szCs w:val="2"/>
                <w:color w:val="auto"/>
              </w:rPr>
            </w:pPr>
          </w:p>
        </w:tc>
        <w:tc>
          <w:tcPr>
            <w:tcW w:w="5440" w:type="dxa"/>
            <w:vAlign w:val="bottom"/>
            <w:tcBorders>
              <w:top w:val="single" w:sz="8" w:color="CCEEFF"/>
            </w:tcBorders>
            <w:gridSpan w:val="36"/>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ADVANCE NOTICE PROCEDURES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D-2</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760" w:type="dxa"/>
            <w:vAlign w:val="bottom"/>
            <w:tcBorders>
              <w:top w:val="single" w:sz="8" w:color="0000EE"/>
            </w:tcBorders>
            <w:gridSpan w:val="34"/>
          </w:tcPr>
          <w:p>
            <w:pPr>
              <w:spacing w:after="0"/>
              <w:rPr>
                <w:sz w:val="2"/>
                <w:szCs w:val="2"/>
                <w:color w:val="auto"/>
              </w:rPr>
            </w:pPr>
          </w:p>
        </w:tc>
        <w:tc>
          <w:tcPr>
            <w:tcW w:w="4260" w:type="dxa"/>
            <w:vAlign w:val="bottom"/>
            <w:gridSpan w:val="16"/>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NOTICE OF STOCKHOLDERS’ MEETINGS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D-6</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3400" w:type="dxa"/>
            <w:vAlign w:val="bottom"/>
            <w:tcBorders>
              <w:top w:val="single" w:sz="8" w:color="0000EE"/>
            </w:tcBorders>
            <w:gridSpan w:val="36"/>
            <w:shd w:val="clear" w:color="auto" w:fill="CCEEFF"/>
          </w:tcPr>
          <w:p>
            <w:pPr>
              <w:spacing w:after="0"/>
              <w:rPr>
                <w:sz w:val="2"/>
                <w:szCs w:val="2"/>
                <w:color w:val="auto"/>
              </w:rPr>
            </w:pPr>
          </w:p>
        </w:tc>
        <w:tc>
          <w:tcPr>
            <w:tcW w:w="3620" w:type="dxa"/>
            <w:vAlign w:val="bottom"/>
            <w:tcBorders>
              <w:top w:val="single" w:sz="8" w:color="CCEEFF"/>
            </w:tcBorders>
            <w:gridSpan w:val="14"/>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QUORUM</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D-6</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Borders>
              <w:top w:val="single" w:sz="8" w:color="0000EE"/>
            </w:tcBorders>
            <w:gridSpan w:val="5"/>
          </w:tcPr>
          <w:p>
            <w:pPr>
              <w:spacing w:after="0"/>
              <w:rPr>
                <w:sz w:val="2"/>
                <w:szCs w:val="2"/>
                <w:color w:val="auto"/>
              </w:rPr>
            </w:pPr>
          </w:p>
        </w:tc>
        <w:tc>
          <w:tcPr>
            <w:tcW w:w="6220" w:type="dxa"/>
            <w:vAlign w:val="bottom"/>
            <w:gridSpan w:val="45"/>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ADJOURNED MEETING; NOTICE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D-6</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680" w:type="dxa"/>
            <w:vAlign w:val="bottom"/>
            <w:tcBorders>
              <w:top w:val="single" w:sz="8" w:color="0000EE"/>
            </w:tcBorders>
            <w:gridSpan w:val="33"/>
            <w:shd w:val="clear" w:color="auto" w:fill="CCEEFF"/>
          </w:tcPr>
          <w:p>
            <w:pPr>
              <w:spacing w:after="0"/>
              <w:rPr>
                <w:sz w:val="2"/>
                <w:szCs w:val="2"/>
                <w:color w:val="auto"/>
              </w:rPr>
            </w:pPr>
          </w:p>
        </w:tc>
        <w:tc>
          <w:tcPr>
            <w:tcW w:w="4340" w:type="dxa"/>
            <w:vAlign w:val="bottom"/>
            <w:tcBorders>
              <w:top w:val="single" w:sz="8" w:color="CCEEFF"/>
            </w:tcBorders>
            <w:gridSpan w:val="17"/>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CONDUCT OF BUSINESS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D-6</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040" w:type="dxa"/>
            <w:vAlign w:val="bottom"/>
            <w:tcBorders>
              <w:top w:val="single" w:sz="8" w:color="0000EE"/>
            </w:tcBorders>
            <w:gridSpan w:val="23"/>
          </w:tcPr>
          <w:p>
            <w:pPr>
              <w:spacing w:after="0"/>
              <w:rPr>
                <w:sz w:val="2"/>
                <w:szCs w:val="2"/>
                <w:color w:val="auto"/>
              </w:rPr>
            </w:pPr>
          </w:p>
        </w:tc>
        <w:tc>
          <w:tcPr>
            <w:tcW w:w="4980" w:type="dxa"/>
            <w:vAlign w:val="bottom"/>
            <w:gridSpan w:val="27"/>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680" w:type="dxa"/>
            <w:vAlign w:val="bottom"/>
            <w:tcBorders>
              <w:top w:val="single" w:sz="8" w:color="0000EE"/>
            </w:tcBorders>
            <w:gridSpan w:val="2"/>
            <w:shd w:val="clear" w:color="auto" w:fill="CCEEFF"/>
          </w:tcPr>
          <w:p>
            <w:pPr>
              <w:spacing w:after="0"/>
              <w:rPr>
                <w:sz w:val="2"/>
                <w:szCs w:val="2"/>
                <w:color w:val="auto"/>
              </w:rPr>
            </w:pPr>
          </w:p>
        </w:tc>
        <w:tc>
          <w:tcPr>
            <w:tcW w:w="6340" w:type="dxa"/>
            <w:vAlign w:val="bottom"/>
            <w:tcBorders>
              <w:top w:val="single" w:sz="8" w:color="CCEEFF"/>
            </w:tcBorders>
            <w:gridSpan w:val="48"/>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10</w:t>
            </w: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STOCKHOLDER ACTION BY WRITTEN CONSENT WITHOUT A MEETING</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D-7</w:t>
            </w:r>
          </w:p>
        </w:tc>
      </w:tr>
      <w:tr>
        <w:trPr>
          <w:trHeight w:val="34"/>
        </w:trPr>
        <w:tc>
          <w:tcPr>
            <w:tcW w:w="600" w:type="dxa"/>
            <w:vAlign w:val="bottom"/>
          </w:tcPr>
          <w:p>
            <w:pPr>
              <w:spacing w:after="0"/>
              <w:rPr>
                <w:sz w:val="2"/>
                <w:szCs w:val="2"/>
                <w:color w:val="auto"/>
              </w:rPr>
            </w:pPr>
          </w:p>
        </w:tc>
        <w:tc>
          <w:tcPr>
            <w:tcW w:w="300" w:type="dxa"/>
            <w:vAlign w:val="bottom"/>
            <w:tcBorders>
              <w:top w:val="single" w:sz="8" w:color="0000EE"/>
            </w:tcBorders>
            <w:gridSpan w:val="2"/>
          </w:tcPr>
          <w:p>
            <w:pPr>
              <w:spacing w:after="0"/>
              <w:rPr>
                <w:sz w:val="2"/>
                <w:szCs w:val="2"/>
                <w:color w:val="auto"/>
              </w:rPr>
            </w:pPr>
          </w:p>
        </w:tc>
        <w:tc>
          <w:tcPr>
            <w:tcW w:w="180" w:type="dxa"/>
            <w:vAlign w:val="bottom"/>
          </w:tcPr>
          <w:p>
            <w:pPr>
              <w:spacing w:after="0"/>
              <w:rPr>
                <w:sz w:val="2"/>
                <w:szCs w:val="2"/>
                <w:color w:val="auto"/>
              </w:rPr>
            </w:pPr>
          </w:p>
        </w:tc>
        <w:tc>
          <w:tcPr>
            <w:tcW w:w="5980" w:type="dxa"/>
            <w:vAlign w:val="bottom"/>
            <w:tcBorders>
              <w:top w:val="single" w:sz="8" w:color="0000EE"/>
            </w:tcBorders>
            <w:gridSpan w:val="47"/>
          </w:tcPr>
          <w:p>
            <w:pPr>
              <w:spacing w:after="0"/>
              <w:rPr>
                <w:sz w:val="2"/>
                <w:szCs w:val="2"/>
                <w:color w:val="auto"/>
              </w:rPr>
            </w:pPr>
          </w:p>
        </w:tc>
        <w:tc>
          <w:tcPr>
            <w:tcW w:w="1040" w:type="dxa"/>
            <w:vAlign w:val="bottom"/>
            <w:gridSpan w:val="3"/>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11</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RECORD DATES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tcBorders>
            <w:gridSpan w:val="2"/>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0000EE"/>
            </w:tcBorders>
            <w:gridSpan w:val="11"/>
            <w:shd w:val="clear" w:color="auto" w:fill="CCEEFF"/>
          </w:tcPr>
          <w:p>
            <w:pPr>
              <w:spacing w:after="0"/>
              <w:rPr>
                <w:sz w:val="2"/>
                <w:szCs w:val="2"/>
                <w:color w:val="auto"/>
              </w:rPr>
            </w:pPr>
          </w:p>
        </w:tc>
        <w:tc>
          <w:tcPr>
            <w:tcW w:w="5700" w:type="dxa"/>
            <w:vAlign w:val="bottom"/>
            <w:tcBorders>
              <w:top w:val="single" w:sz="8" w:color="CCEEFF"/>
            </w:tcBorders>
            <w:gridSpan w:val="39"/>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12</w:t>
            </w: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PROXIES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Pr>
          <w:p>
            <w:pPr>
              <w:spacing w:after="0"/>
              <w:rPr>
                <w:sz w:val="2"/>
                <w:szCs w:val="2"/>
                <w:color w:val="auto"/>
              </w:rPr>
            </w:pPr>
          </w:p>
        </w:tc>
        <w:tc>
          <w:tcPr>
            <w:tcW w:w="300" w:type="dxa"/>
            <w:vAlign w:val="bottom"/>
            <w:tcBorders>
              <w:top w:val="single" w:sz="8" w:color="0000EE"/>
            </w:tcBorders>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top w:val="single" w:sz="8" w:color="0000EE"/>
            </w:tcBorders>
            <w:gridSpan w:val="4"/>
          </w:tcPr>
          <w:p>
            <w:pPr>
              <w:spacing w:after="0"/>
              <w:rPr>
                <w:sz w:val="2"/>
                <w:szCs w:val="2"/>
                <w:color w:val="auto"/>
              </w:rPr>
            </w:pPr>
          </w:p>
        </w:tc>
        <w:tc>
          <w:tcPr>
            <w:tcW w:w="6280" w:type="dxa"/>
            <w:vAlign w:val="bottom"/>
            <w:gridSpan w:val="46"/>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080" w:type="dxa"/>
            <w:vAlign w:val="bottom"/>
            <w:gridSpan w:val="4"/>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13</w:t>
            </w: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LIST OF STOCKHOLDERS ENTITLED TO VOTE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tcBorders>
            <w:gridSpan w:val="2"/>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20" w:type="dxa"/>
            <w:vAlign w:val="bottom"/>
            <w:tcBorders>
              <w:top w:val="single" w:sz="8" w:color="0000EE"/>
            </w:tcBorders>
            <w:gridSpan w:val="42"/>
            <w:shd w:val="clear" w:color="auto" w:fill="CCEEFF"/>
          </w:tcPr>
          <w:p>
            <w:pPr>
              <w:spacing w:after="0"/>
              <w:rPr>
                <w:sz w:val="2"/>
                <w:szCs w:val="2"/>
                <w:color w:val="auto"/>
              </w:rPr>
            </w:pPr>
          </w:p>
        </w:tc>
        <w:tc>
          <w:tcPr>
            <w:tcW w:w="3200" w:type="dxa"/>
            <w:vAlign w:val="bottom"/>
            <w:tcBorders>
              <w:top w:val="single" w:sz="8" w:color="CCEEFF"/>
            </w:tcBorders>
            <w:gridSpan w:val="8"/>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14</w:t>
            </w: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INSPECTORS OF ELECTION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Pr>
          <w:p>
            <w:pPr>
              <w:spacing w:after="0"/>
              <w:rPr>
                <w:sz w:val="2"/>
                <w:szCs w:val="2"/>
                <w:color w:val="auto"/>
              </w:rPr>
            </w:pPr>
          </w:p>
        </w:tc>
        <w:tc>
          <w:tcPr>
            <w:tcW w:w="300" w:type="dxa"/>
            <w:vAlign w:val="bottom"/>
            <w:tcBorders>
              <w:top w:val="single" w:sz="8" w:color="0000EE"/>
            </w:tcBorders>
            <w:gridSpan w:val="2"/>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Borders>
              <w:top w:val="single" w:sz="8" w:color="0000EE"/>
            </w:tcBorders>
            <w:gridSpan w:val="27"/>
          </w:tcPr>
          <w:p>
            <w:pPr>
              <w:spacing w:after="0"/>
              <w:rPr>
                <w:sz w:val="2"/>
                <w:szCs w:val="2"/>
                <w:color w:val="auto"/>
              </w:rPr>
            </w:pPr>
          </w:p>
        </w:tc>
        <w:tc>
          <w:tcPr>
            <w:tcW w:w="4760" w:type="dxa"/>
            <w:vAlign w:val="bottom"/>
            <w:gridSpan w:val="23"/>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12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ARTICLE III - DIRECTORS</w:t>
            </w:r>
          </w:p>
        </w:tc>
        <w:tc>
          <w:tcPr>
            <w:tcW w:w="5860" w:type="dxa"/>
            <w:vAlign w:val="bottom"/>
            <w:tcBorders>
              <w:bottom w:val="single" w:sz="8" w:color="CCEEFF"/>
            </w:tcBorders>
            <w:gridSpan w:val="39"/>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2"/>
              </w:rPr>
              <w:t>D-8</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POWERS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Borders>
              <w:top w:val="single" w:sz="8" w:color="0000EE"/>
            </w:tcBorders>
            <w:gridSpan w:val="3"/>
          </w:tcPr>
          <w:p>
            <w:pPr>
              <w:spacing w:after="0"/>
              <w:rPr>
                <w:sz w:val="2"/>
                <w:szCs w:val="2"/>
                <w:color w:val="auto"/>
              </w:rPr>
            </w:pPr>
          </w:p>
        </w:tc>
        <w:tc>
          <w:tcPr>
            <w:tcW w:w="6300" w:type="dxa"/>
            <w:vAlign w:val="bottom"/>
            <w:gridSpan w:val="47"/>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NUMBER OF DIRECTORS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080" w:type="dxa"/>
            <w:vAlign w:val="bottom"/>
            <w:tcBorders>
              <w:top w:val="single" w:sz="8" w:color="0000EE"/>
            </w:tcBorders>
            <w:gridSpan w:val="24"/>
            <w:shd w:val="clear" w:color="auto" w:fill="CCEEFF"/>
          </w:tcPr>
          <w:p>
            <w:pPr>
              <w:spacing w:after="0"/>
              <w:rPr>
                <w:sz w:val="2"/>
                <w:szCs w:val="2"/>
                <w:color w:val="auto"/>
              </w:rPr>
            </w:pPr>
          </w:p>
        </w:tc>
        <w:tc>
          <w:tcPr>
            <w:tcW w:w="4940" w:type="dxa"/>
            <w:vAlign w:val="bottom"/>
            <w:tcBorders>
              <w:top w:val="single" w:sz="8" w:color="CCEEFF"/>
            </w:tcBorders>
            <w:gridSpan w:val="26"/>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ELECTION, QUALIFICATION AND TERM OF OFFICE OF DIRECTORS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5580" w:type="dxa"/>
            <w:vAlign w:val="bottom"/>
            <w:tcBorders>
              <w:top w:val="single" w:sz="8" w:color="0000EE"/>
            </w:tcBorders>
            <w:gridSpan w:val="46"/>
          </w:tcPr>
          <w:p>
            <w:pPr>
              <w:spacing w:after="0"/>
              <w:rPr>
                <w:sz w:val="2"/>
                <w:szCs w:val="2"/>
                <w:color w:val="auto"/>
              </w:rPr>
            </w:pPr>
          </w:p>
        </w:tc>
        <w:tc>
          <w:tcPr>
            <w:tcW w:w="1440" w:type="dxa"/>
            <w:vAlign w:val="bottom"/>
            <w:gridSpan w:val="4"/>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RESIGNATION AND VACANCIES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D-9</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660" w:type="dxa"/>
            <w:vAlign w:val="bottom"/>
            <w:tcBorders>
              <w:top w:val="single" w:sz="8" w:color="0000EE"/>
            </w:tcBorders>
            <w:gridSpan w:val="32"/>
            <w:shd w:val="clear" w:color="auto" w:fill="CCEEFF"/>
          </w:tcPr>
          <w:p>
            <w:pPr>
              <w:spacing w:after="0"/>
              <w:rPr>
                <w:sz w:val="2"/>
                <w:szCs w:val="2"/>
                <w:color w:val="auto"/>
              </w:rPr>
            </w:pPr>
          </w:p>
        </w:tc>
        <w:tc>
          <w:tcPr>
            <w:tcW w:w="4360" w:type="dxa"/>
            <w:vAlign w:val="bottom"/>
            <w:tcBorders>
              <w:top w:val="single" w:sz="8" w:color="CCEEFF"/>
            </w:tcBorders>
            <w:gridSpan w:val="18"/>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PLACE OF MEETINGS; MEETINGS BY TELEPHONE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D-9</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4180" w:type="dxa"/>
            <w:vAlign w:val="bottom"/>
            <w:tcBorders>
              <w:top w:val="single" w:sz="8" w:color="0000EE"/>
            </w:tcBorders>
            <w:gridSpan w:val="43"/>
          </w:tcPr>
          <w:p>
            <w:pPr>
              <w:spacing w:after="0"/>
              <w:rPr>
                <w:sz w:val="2"/>
                <w:szCs w:val="2"/>
                <w:color w:val="auto"/>
              </w:rPr>
            </w:pPr>
          </w:p>
        </w:tc>
        <w:tc>
          <w:tcPr>
            <w:tcW w:w="2840" w:type="dxa"/>
            <w:vAlign w:val="bottom"/>
            <w:gridSpan w:val="7"/>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REGULAR MEETINGS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D-9</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800" w:type="dxa"/>
            <w:vAlign w:val="bottom"/>
            <w:tcBorders>
              <w:top w:val="single" w:sz="8" w:color="0000EE"/>
            </w:tcBorders>
            <w:gridSpan w:val="19"/>
            <w:shd w:val="clear" w:color="auto" w:fill="CCEEFF"/>
          </w:tcPr>
          <w:p>
            <w:pPr>
              <w:spacing w:after="0"/>
              <w:rPr>
                <w:sz w:val="2"/>
                <w:szCs w:val="2"/>
                <w:color w:val="auto"/>
              </w:rPr>
            </w:pPr>
          </w:p>
        </w:tc>
        <w:tc>
          <w:tcPr>
            <w:tcW w:w="5220" w:type="dxa"/>
            <w:vAlign w:val="bottom"/>
            <w:tcBorders>
              <w:top w:val="single" w:sz="8" w:color="CCEEFF"/>
            </w:tcBorders>
            <w:gridSpan w:val="31"/>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SPECIAL MEETINGS; NOTICE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D-9</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440" w:type="dxa"/>
            <w:vAlign w:val="bottom"/>
            <w:tcBorders>
              <w:top w:val="single" w:sz="8" w:color="0000EE"/>
            </w:tcBorders>
            <w:gridSpan w:val="29"/>
          </w:tcPr>
          <w:p>
            <w:pPr>
              <w:spacing w:after="0"/>
              <w:rPr>
                <w:sz w:val="2"/>
                <w:szCs w:val="2"/>
                <w:color w:val="auto"/>
              </w:rPr>
            </w:pPr>
          </w:p>
        </w:tc>
        <w:tc>
          <w:tcPr>
            <w:tcW w:w="4580" w:type="dxa"/>
            <w:vAlign w:val="bottom"/>
            <w:gridSpan w:val="21"/>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QUORUM; VOTING</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580" w:type="dxa"/>
            <w:vAlign w:val="bottom"/>
            <w:tcBorders>
              <w:top w:val="single" w:sz="8" w:color="0000EE"/>
            </w:tcBorders>
            <w:gridSpan w:val="14"/>
            <w:shd w:val="clear" w:color="auto" w:fill="CCEEFF"/>
          </w:tcPr>
          <w:p>
            <w:pPr>
              <w:spacing w:after="0"/>
              <w:rPr>
                <w:sz w:val="2"/>
                <w:szCs w:val="2"/>
                <w:color w:val="auto"/>
              </w:rPr>
            </w:pPr>
          </w:p>
        </w:tc>
        <w:tc>
          <w:tcPr>
            <w:tcW w:w="5360" w:type="dxa"/>
            <w:vAlign w:val="bottom"/>
            <w:tcBorders>
              <w:top w:val="single" w:sz="8" w:color="CCEEFF"/>
            </w:tcBorders>
            <w:gridSpan w:val="35"/>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BOARD ACTION BY WRITTEN CONSENT WITHOUT A MEETING</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5280" w:type="dxa"/>
            <w:vAlign w:val="bottom"/>
            <w:tcBorders>
              <w:top w:val="single" w:sz="8" w:color="0000EE"/>
            </w:tcBorders>
            <w:gridSpan w:val="45"/>
          </w:tcPr>
          <w:p>
            <w:pPr>
              <w:spacing w:after="0"/>
              <w:rPr>
                <w:sz w:val="2"/>
                <w:szCs w:val="2"/>
                <w:color w:val="auto"/>
              </w:rPr>
            </w:pPr>
          </w:p>
        </w:tc>
        <w:tc>
          <w:tcPr>
            <w:tcW w:w="1660" w:type="dxa"/>
            <w:vAlign w:val="bottom"/>
            <w:gridSpan w:val="4"/>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080" w:type="dxa"/>
            <w:vAlign w:val="bottom"/>
            <w:gridSpan w:val="4"/>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10</w:t>
            </w: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FEES AND COMPENSATION OF DIRECTORS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tcBorders>
            <w:gridSpan w:val="2"/>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0000EE"/>
            </w:tcBorders>
            <w:gridSpan w:val="39"/>
            <w:shd w:val="clear" w:color="auto" w:fill="CCEEFF"/>
          </w:tcPr>
          <w:p>
            <w:pPr>
              <w:spacing w:after="0"/>
              <w:rPr>
                <w:sz w:val="2"/>
                <w:szCs w:val="2"/>
                <w:color w:val="auto"/>
              </w:rPr>
            </w:pPr>
          </w:p>
        </w:tc>
        <w:tc>
          <w:tcPr>
            <w:tcW w:w="3340" w:type="dxa"/>
            <w:vAlign w:val="bottom"/>
            <w:tcBorders>
              <w:top w:val="single" w:sz="8" w:color="CCEEFF"/>
            </w:tcBorders>
            <w:gridSpan w:val="10"/>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11</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REMOVAL OF DIRECTORS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Pr>
          <w:p>
            <w:pPr>
              <w:spacing w:after="0"/>
              <w:rPr>
                <w:sz w:val="2"/>
                <w:szCs w:val="2"/>
                <w:color w:val="auto"/>
              </w:rPr>
            </w:pPr>
          </w:p>
        </w:tc>
        <w:tc>
          <w:tcPr>
            <w:tcW w:w="300" w:type="dxa"/>
            <w:vAlign w:val="bottom"/>
            <w:tcBorders>
              <w:top w:val="single" w:sz="8" w:color="0000EE"/>
            </w:tcBorders>
            <w:gridSpan w:val="2"/>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Borders>
              <w:top w:val="single" w:sz="8" w:color="0000EE"/>
            </w:tcBorders>
            <w:gridSpan w:val="26"/>
          </w:tcPr>
          <w:p>
            <w:pPr>
              <w:spacing w:after="0"/>
              <w:rPr>
                <w:sz w:val="2"/>
                <w:szCs w:val="2"/>
                <w:color w:val="auto"/>
              </w:rPr>
            </w:pPr>
          </w:p>
        </w:tc>
        <w:tc>
          <w:tcPr>
            <w:tcW w:w="4760" w:type="dxa"/>
            <w:vAlign w:val="bottom"/>
            <w:gridSpan w:val="23"/>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23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ARTICLE IV - COMMITTEES</w:t>
            </w:r>
          </w:p>
        </w:tc>
        <w:tc>
          <w:tcPr>
            <w:tcW w:w="5680" w:type="dxa"/>
            <w:vAlign w:val="bottom"/>
            <w:gridSpan w:val="38"/>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2300" w:type="dxa"/>
            <w:vAlign w:val="bottom"/>
            <w:tcBorders>
              <w:top w:val="single" w:sz="8" w:color="0000EE"/>
            </w:tcBorders>
            <w:gridSpan w:val="14"/>
            <w:shd w:val="clear" w:color="auto" w:fill="CCEEFF"/>
          </w:tcPr>
          <w:p>
            <w:pPr>
              <w:spacing w:after="0"/>
              <w:rPr>
                <w:sz w:val="2"/>
                <w:szCs w:val="2"/>
                <w:color w:val="auto"/>
              </w:rPr>
            </w:pPr>
          </w:p>
        </w:tc>
        <w:tc>
          <w:tcPr>
            <w:tcW w:w="5720" w:type="dxa"/>
            <w:vAlign w:val="bottom"/>
            <w:tcBorders>
              <w:top w:val="single" w:sz="8" w:color="CCEEFF"/>
            </w:tcBorders>
            <w:gridSpan w:val="39"/>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COMMITTEES OF DIRECTORS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480" w:type="dxa"/>
            <w:vAlign w:val="bottom"/>
            <w:tcBorders>
              <w:top w:val="single" w:sz="8" w:color="0000EE"/>
            </w:tcBorders>
            <w:gridSpan w:val="30"/>
          </w:tcPr>
          <w:p>
            <w:pPr>
              <w:spacing w:after="0"/>
              <w:rPr>
                <w:sz w:val="2"/>
                <w:szCs w:val="2"/>
                <w:color w:val="auto"/>
              </w:rPr>
            </w:pPr>
          </w:p>
        </w:tc>
        <w:tc>
          <w:tcPr>
            <w:tcW w:w="4460" w:type="dxa"/>
            <w:vAlign w:val="bottom"/>
            <w:gridSpan w:val="19"/>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COMMITTEE MINUTES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900" w:type="dxa"/>
            <w:vAlign w:val="bottom"/>
            <w:tcBorders>
              <w:top w:val="single" w:sz="8" w:color="0000EE"/>
            </w:tcBorders>
            <w:gridSpan w:val="21"/>
            <w:shd w:val="clear" w:color="auto" w:fill="CCEEFF"/>
          </w:tcPr>
          <w:p>
            <w:pPr>
              <w:spacing w:after="0"/>
              <w:rPr>
                <w:sz w:val="2"/>
                <w:szCs w:val="2"/>
                <w:color w:val="auto"/>
              </w:rPr>
            </w:pPr>
          </w:p>
        </w:tc>
        <w:tc>
          <w:tcPr>
            <w:tcW w:w="5040" w:type="dxa"/>
            <w:vAlign w:val="bottom"/>
            <w:tcBorders>
              <w:top w:val="single" w:sz="8" w:color="CCEEFF"/>
            </w:tcBorders>
            <w:gridSpan w:val="28"/>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MEETINGS AND ACTION OF COMMITTEES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3560" w:type="dxa"/>
            <w:vAlign w:val="bottom"/>
            <w:tcBorders>
              <w:top w:val="single" w:sz="8" w:color="0000EE"/>
            </w:tcBorders>
            <w:gridSpan w:val="38"/>
          </w:tcPr>
          <w:p>
            <w:pPr>
              <w:spacing w:after="0"/>
              <w:rPr>
                <w:sz w:val="2"/>
                <w:szCs w:val="2"/>
                <w:color w:val="auto"/>
              </w:rPr>
            </w:pPr>
          </w:p>
        </w:tc>
        <w:tc>
          <w:tcPr>
            <w:tcW w:w="3380" w:type="dxa"/>
            <w:vAlign w:val="bottom"/>
            <w:gridSpan w:val="11"/>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SUBCOMMITTEES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520" w:type="dxa"/>
            <w:vAlign w:val="bottom"/>
            <w:tcBorders>
              <w:top w:val="single" w:sz="8" w:color="0000EE"/>
            </w:tcBorders>
            <w:gridSpan w:val="13"/>
            <w:shd w:val="clear" w:color="auto" w:fill="CCEEFF"/>
          </w:tcPr>
          <w:p>
            <w:pPr>
              <w:spacing w:after="0"/>
              <w:rPr>
                <w:sz w:val="2"/>
                <w:szCs w:val="2"/>
                <w:color w:val="auto"/>
              </w:rPr>
            </w:pPr>
          </w:p>
        </w:tc>
        <w:tc>
          <w:tcPr>
            <w:tcW w:w="5420" w:type="dxa"/>
            <w:vAlign w:val="bottom"/>
            <w:tcBorders>
              <w:top w:val="single" w:sz="8" w:color="CCEEFF"/>
            </w:tcBorders>
            <w:gridSpan w:val="36"/>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52"/>
          </w:tcPr>
          <w:p>
            <w:pPr>
              <w:spacing w:after="0" w:line="189" w:lineRule="exact"/>
              <w:rPr>
                <w:sz w:val="20"/>
                <w:szCs w:val="20"/>
                <w:color w:val="auto"/>
              </w:rPr>
            </w:pPr>
            <w:r>
              <w:rPr>
                <w:rFonts w:ascii="Times New Roman" w:cs="Times New Roman" w:eastAsia="Times New Roman" w:hAnsi="Times New Roman"/>
                <w:sz w:val="18"/>
                <w:szCs w:val="18"/>
                <w:color w:val="0000EE"/>
              </w:rPr>
              <w:t>ARTICLE V - OFFICERS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1900" w:type="dxa"/>
            <w:vAlign w:val="bottom"/>
            <w:tcBorders>
              <w:top w:val="single" w:sz="8" w:color="0000EE"/>
            </w:tcBorders>
            <w:gridSpan w:val="10"/>
          </w:tcPr>
          <w:p>
            <w:pPr>
              <w:spacing w:after="0"/>
              <w:rPr>
                <w:sz w:val="2"/>
                <w:szCs w:val="2"/>
                <w:color w:val="auto"/>
              </w:rPr>
            </w:pPr>
          </w:p>
        </w:tc>
        <w:tc>
          <w:tcPr>
            <w:tcW w:w="6120" w:type="dxa"/>
            <w:vAlign w:val="bottom"/>
            <w:gridSpan w:val="43"/>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OFFICERS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840" w:type="dxa"/>
            <w:vAlign w:val="bottom"/>
            <w:tcBorders>
              <w:top w:val="single" w:sz="8" w:color="0000EE"/>
            </w:tcBorders>
            <w:gridSpan w:val="7"/>
            <w:shd w:val="clear" w:color="auto" w:fill="CCEEFF"/>
          </w:tcPr>
          <w:p>
            <w:pPr>
              <w:spacing w:after="0"/>
              <w:rPr>
                <w:sz w:val="2"/>
                <w:szCs w:val="2"/>
                <w:color w:val="auto"/>
              </w:rPr>
            </w:pPr>
          </w:p>
        </w:tc>
        <w:tc>
          <w:tcPr>
            <w:tcW w:w="6100" w:type="dxa"/>
            <w:vAlign w:val="bottom"/>
            <w:tcBorders>
              <w:top w:val="single" w:sz="8" w:color="CCEEFF"/>
            </w:tcBorders>
            <w:gridSpan w:val="42"/>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APPOINTMENT OF OFFICERS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420" w:type="dxa"/>
            <w:vAlign w:val="bottom"/>
            <w:tcBorders>
              <w:top w:val="single" w:sz="8" w:color="0000EE"/>
            </w:tcBorders>
            <w:gridSpan w:val="28"/>
          </w:tcPr>
          <w:p>
            <w:pPr>
              <w:spacing w:after="0"/>
              <w:rPr>
                <w:sz w:val="2"/>
                <w:szCs w:val="2"/>
                <w:color w:val="auto"/>
              </w:rPr>
            </w:pPr>
          </w:p>
        </w:tc>
        <w:tc>
          <w:tcPr>
            <w:tcW w:w="4520" w:type="dxa"/>
            <w:vAlign w:val="bottom"/>
            <w:gridSpan w:val="21"/>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SUBORDINATE OFFICERS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120" w:type="dxa"/>
            <w:vAlign w:val="bottom"/>
            <w:tcBorders>
              <w:top w:val="single" w:sz="8" w:color="0000EE"/>
            </w:tcBorders>
            <w:gridSpan w:val="25"/>
            <w:shd w:val="clear" w:color="auto" w:fill="CCEEFF"/>
          </w:tcPr>
          <w:p>
            <w:pPr>
              <w:spacing w:after="0"/>
              <w:rPr>
                <w:sz w:val="2"/>
                <w:szCs w:val="2"/>
                <w:color w:val="auto"/>
              </w:rPr>
            </w:pPr>
          </w:p>
        </w:tc>
        <w:tc>
          <w:tcPr>
            <w:tcW w:w="4820" w:type="dxa"/>
            <w:vAlign w:val="bottom"/>
            <w:tcBorders>
              <w:top w:val="single" w:sz="8" w:color="CCEEFF"/>
            </w:tcBorders>
            <w:gridSpan w:val="24"/>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REMOVAL AND RESIGNATION OF OFFICERS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3680" w:type="dxa"/>
            <w:vAlign w:val="bottom"/>
            <w:tcBorders>
              <w:top w:val="single" w:sz="8" w:color="0000EE"/>
            </w:tcBorders>
            <w:gridSpan w:val="40"/>
          </w:tcPr>
          <w:p>
            <w:pPr>
              <w:spacing w:after="0"/>
              <w:rPr>
                <w:sz w:val="2"/>
                <w:szCs w:val="2"/>
                <w:color w:val="auto"/>
              </w:rPr>
            </w:pPr>
          </w:p>
        </w:tc>
        <w:tc>
          <w:tcPr>
            <w:tcW w:w="3260" w:type="dxa"/>
            <w:vAlign w:val="bottom"/>
            <w:gridSpan w:val="9"/>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5</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VACANCIES IN OFFICES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000" w:type="dxa"/>
            <w:vAlign w:val="bottom"/>
            <w:tcBorders>
              <w:top w:val="single" w:sz="8" w:color="0000EE"/>
            </w:tcBorders>
            <w:gridSpan w:val="22"/>
            <w:shd w:val="clear" w:color="auto" w:fill="CCEEFF"/>
          </w:tcPr>
          <w:p>
            <w:pPr>
              <w:spacing w:after="0"/>
              <w:rPr>
                <w:sz w:val="2"/>
                <w:szCs w:val="2"/>
                <w:color w:val="auto"/>
              </w:rPr>
            </w:pPr>
          </w:p>
        </w:tc>
        <w:tc>
          <w:tcPr>
            <w:tcW w:w="4940" w:type="dxa"/>
            <w:vAlign w:val="bottom"/>
            <w:tcBorders>
              <w:top w:val="single" w:sz="8" w:color="CCEEFF"/>
            </w:tcBorders>
            <w:gridSpan w:val="27"/>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6</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REPRESENTATION OF SECURITIES OF OTHER ENTITIES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4620" w:type="dxa"/>
            <w:vAlign w:val="bottom"/>
            <w:tcBorders>
              <w:top w:val="single" w:sz="8" w:color="0000EE"/>
            </w:tcBorders>
            <w:gridSpan w:val="44"/>
          </w:tcPr>
          <w:p>
            <w:pPr>
              <w:spacing w:after="0"/>
              <w:rPr>
                <w:sz w:val="2"/>
                <w:szCs w:val="2"/>
                <w:color w:val="auto"/>
              </w:rPr>
            </w:pPr>
          </w:p>
        </w:tc>
        <w:tc>
          <w:tcPr>
            <w:tcW w:w="2320" w:type="dxa"/>
            <w:vAlign w:val="bottom"/>
            <w:gridSpan w:val="5"/>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7</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AUTHORITY AND DUTIES OF OFFICERS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3320" w:type="dxa"/>
            <w:vAlign w:val="bottom"/>
            <w:tcBorders>
              <w:top w:val="single" w:sz="8" w:color="0000EE"/>
            </w:tcBorders>
            <w:gridSpan w:val="35"/>
            <w:shd w:val="clear" w:color="auto" w:fill="CCEEFF"/>
          </w:tcPr>
          <w:p>
            <w:pPr>
              <w:spacing w:after="0"/>
              <w:rPr>
                <w:sz w:val="2"/>
                <w:szCs w:val="2"/>
                <w:color w:val="auto"/>
              </w:rPr>
            </w:pPr>
          </w:p>
        </w:tc>
        <w:tc>
          <w:tcPr>
            <w:tcW w:w="3620" w:type="dxa"/>
            <w:vAlign w:val="bottom"/>
            <w:tcBorders>
              <w:top w:val="single" w:sz="8" w:color="CCEEFF"/>
            </w:tcBorders>
            <w:gridSpan w:val="14"/>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52"/>
          </w:tcPr>
          <w:p>
            <w:pPr>
              <w:spacing w:after="0" w:line="189" w:lineRule="exact"/>
              <w:rPr>
                <w:sz w:val="20"/>
                <w:szCs w:val="20"/>
                <w:color w:val="auto"/>
              </w:rPr>
            </w:pPr>
            <w:r>
              <w:rPr>
                <w:rFonts w:ascii="Times New Roman" w:cs="Times New Roman" w:eastAsia="Times New Roman" w:hAnsi="Times New Roman"/>
                <w:sz w:val="18"/>
                <w:szCs w:val="18"/>
                <w:color w:val="0000EE"/>
              </w:rPr>
              <w:t>ARTICLE VI - STOCK</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1720" w:type="dxa"/>
            <w:vAlign w:val="bottom"/>
            <w:tcBorders>
              <w:top w:val="single" w:sz="8" w:color="0000EE"/>
            </w:tcBorders>
            <w:gridSpan w:val="5"/>
          </w:tcPr>
          <w:p>
            <w:pPr>
              <w:spacing w:after="0"/>
              <w:rPr>
                <w:sz w:val="2"/>
                <w:szCs w:val="2"/>
                <w:color w:val="auto"/>
              </w:rPr>
            </w:pPr>
          </w:p>
        </w:tc>
        <w:tc>
          <w:tcPr>
            <w:tcW w:w="6300" w:type="dxa"/>
            <w:vAlign w:val="bottom"/>
            <w:gridSpan w:val="48"/>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 CERTIFICATES; PARTLY PAID SHARES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3780" w:type="dxa"/>
            <w:vAlign w:val="bottom"/>
            <w:tcBorders>
              <w:top w:val="single" w:sz="8" w:color="0000EE"/>
            </w:tcBorders>
            <w:gridSpan w:val="41"/>
            <w:shd w:val="clear" w:color="auto" w:fill="CCEEFF"/>
          </w:tcPr>
          <w:p>
            <w:pPr>
              <w:spacing w:after="0"/>
              <w:rPr>
                <w:sz w:val="2"/>
                <w:szCs w:val="2"/>
                <w:color w:val="auto"/>
              </w:rPr>
            </w:pPr>
          </w:p>
        </w:tc>
        <w:tc>
          <w:tcPr>
            <w:tcW w:w="3160" w:type="dxa"/>
            <w:vAlign w:val="bottom"/>
            <w:tcBorders>
              <w:top w:val="single" w:sz="8" w:color="CCEEFF"/>
            </w:tcBorders>
            <w:gridSpan w:val="8"/>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SPECIAL DESIGNATION ON CERTIFICATES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D-13</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3540" w:type="dxa"/>
            <w:vAlign w:val="bottom"/>
            <w:tcBorders>
              <w:top w:val="single" w:sz="8" w:color="0000EE"/>
            </w:tcBorders>
            <w:gridSpan w:val="37"/>
          </w:tcPr>
          <w:p>
            <w:pPr>
              <w:spacing w:after="0"/>
              <w:rPr>
                <w:sz w:val="2"/>
                <w:szCs w:val="2"/>
                <w:color w:val="auto"/>
              </w:rPr>
            </w:pPr>
          </w:p>
        </w:tc>
        <w:tc>
          <w:tcPr>
            <w:tcW w:w="3400" w:type="dxa"/>
            <w:vAlign w:val="bottom"/>
            <w:gridSpan w:val="12"/>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LOST CERTIFICATES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D-13</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700" w:type="dxa"/>
            <w:vAlign w:val="bottom"/>
            <w:tcBorders>
              <w:top w:val="single" w:sz="8" w:color="0000EE"/>
            </w:tcBorders>
            <w:gridSpan w:val="16"/>
            <w:shd w:val="clear" w:color="auto" w:fill="CCEEFF"/>
          </w:tcPr>
          <w:p>
            <w:pPr>
              <w:spacing w:after="0"/>
              <w:rPr>
                <w:sz w:val="2"/>
                <w:szCs w:val="2"/>
                <w:color w:val="auto"/>
              </w:rPr>
            </w:pPr>
          </w:p>
        </w:tc>
        <w:tc>
          <w:tcPr>
            <w:tcW w:w="5240" w:type="dxa"/>
            <w:vAlign w:val="bottom"/>
            <w:tcBorders>
              <w:top w:val="single" w:sz="8" w:color="CCEEFF"/>
            </w:tcBorders>
            <w:gridSpan w:val="33"/>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4</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DIVIDENDS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D-13</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tcBorders>
              <w:top w:val="single" w:sz="8" w:color="0000EE"/>
            </w:tcBorders>
            <w:gridSpan w:val="8"/>
          </w:tcPr>
          <w:p>
            <w:pPr>
              <w:spacing w:after="0"/>
              <w:rPr>
                <w:sz w:val="2"/>
                <w:szCs w:val="2"/>
                <w:color w:val="auto"/>
              </w:rPr>
            </w:pPr>
          </w:p>
        </w:tc>
        <w:tc>
          <w:tcPr>
            <w:tcW w:w="5960" w:type="dxa"/>
            <w:vAlign w:val="bottom"/>
            <w:gridSpan w:val="41"/>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6.5</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TRANSFER OF STOCK</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D-13</w:t>
            </w:r>
          </w:p>
        </w:tc>
      </w:tr>
      <w:tr>
        <w:trPr>
          <w:trHeight w:val="74"/>
        </w:trPr>
        <w:tc>
          <w:tcPr>
            <w:tcW w:w="6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gridSpan w:val="2"/>
            <w:shd w:val="clear" w:color="auto" w:fill="CCEEFF"/>
          </w:tcPr>
          <w:p>
            <w:pPr>
              <w:spacing w:after="0"/>
              <w:rPr>
                <w:sz w:val="6"/>
                <w:szCs w:val="6"/>
                <w:color w:val="auto"/>
              </w:rPr>
            </w:pPr>
          </w:p>
        </w:tc>
        <w:tc>
          <w:tcPr>
            <w:tcW w:w="1820" w:type="dxa"/>
            <w:vAlign w:val="bottom"/>
            <w:tcBorders>
              <w:top w:val="single" w:sz="8" w:color="0000EE"/>
            </w:tcBorders>
            <w:gridSpan w:val="20"/>
            <w:shd w:val="clear" w:color="auto" w:fill="CCEEFF"/>
          </w:tcPr>
          <w:p>
            <w:pPr>
              <w:spacing w:after="0"/>
              <w:rPr>
                <w:sz w:val="6"/>
                <w:szCs w:val="6"/>
                <w:color w:val="auto"/>
              </w:rPr>
            </w:pPr>
          </w:p>
        </w:tc>
        <w:tc>
          <w:tcPr>
            <w:tcW w:w="5120" w:type="dxa"/>
            <w:vAlign w:val="bottom"/>
            <w:tcBorders>
              <w:top w:val="single" w:sz="8" w:color="CCEEFF"/>
            </w:tcBorders>
            <w:gridSpan w:val="29"/>
            <w:shd w:val="clear" w:color="auto" w:fill="CCEEFF"/>
          </w:tcPr>
          <w:p>
            <w:pPr>
              <w:spacing w:after="0"/>
              <w:rPr>
                <w:sz w:val="6"/>
                <w:szCs w:val="6"/>
                <w:color w:val="auto"/>
              </w:rPr>
            </w:pPr>
          </w:p>
        </w:tc>
        <w:tc>
          <w:tcPr>
            <w:tcW w:w="360" w:type="dxa"/>
            <w:vAlign w:val="bottom"/>
            <w:tcBorders>
              <w:top w:val="single" w:sz="8" w:color="0000EE"/>
            </w:tcBorders>
            <w:gridSpan w:val="2"/>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w w:val="97"/>
              </w:rPr>
              <w:t>Page</w:t>
            </w:r>
          </w:p>
        </w:tc>
      </w:tr>
      <w:tr>
        <w:trPr>
          <w:trHeight w:val="23"/>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900" w:type="dxa"/>
            <w:vAlign w:val="bottom"/>
            <w:gridSpan w:val="3"/>
            <w:shd w:val="clear" w:color="auto" w:fill="CCEEFF"/>
          </w:tcPr>
          <w:p>
            <w:pPr>
              <w:ind w:left="600"/>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6</w:t>
            </w:r>
          </w:p>
        </w:tc>
        <w:tc>
          <w:tcPr>
            <w:tcW w:w="180" w:type="dxa"/>
            <w:vAlign w:val="bottom"/>
            <w:shd w:val="clear" w:color="auto" w:fill="CCEEFF"/>
          </w:tcPr>
          <w:p>
            <w:pPr>
              <w:spacing w:after="0"/>
              <w:rPr>
                <w:sz w:val="17"/>
                <w:szCs w:val="17"/>
                <w:color w:val="auto"/>
              </w:rPr>
            </w:pPr>
          </w:p>
        </w:tc>
        <w:tc>
          <w:tcPr>
            <w:tcW w:w="690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 TRANSFER AGREEMENTS</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7"/>
              </w:rPr>
              <w:t>D-13</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7</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REGISTERED STOCKHOLDERS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D-13</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98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VII - MANNER OF GIVING NOTICE AND WAIVER</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3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NOTICE OF STOCKHOLDERS’ MEETINGS</w:t>
            </w:r>
          </w:p>
        </w:tc>
        <w:tc>
          <w:tcPr>
            <w:tcW w:w="318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NOTICE TO STOCKHOLDERS SHARING AN ADDRESS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3</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NOTICE TO PERSON WITH WHOM COMMUNICATION IS UNLAWFUL</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4</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WAIVER OF NOTICE</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ARTICLE VIII - INDEMNIFICATION</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DIRECTORS AND OFFICERS IN THIRD PARTY</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PROCEEDINGS</w:t>
            </w:r>
          </w:p>
        </w:tc>
        <w:tc>
          <w:tcPr>
            <w:tcW w:w="4420" w:type="dxa"/>
            <w:vAlign w:val="bottom"/>
            <w:tcBorders>
              <w:top w:val="single" w:sz="8" w:color="0000EE"/>
            </w:tcBorders>
            <w:gridSpan w:val="21"/>
            <w:shd w:val="clear" w:color="auto" w:fill="CCEEFF"/>
          </w:tcPr>
          <w:p>
            <w:pPr>
              <w:spacing w:after="0"/>
              <w:rPr>
                <w:sz w:val="17"/>
                <w:szCs w:val="17"/>
                <w:color w:val="auto"/>
              </w:rPr>
            </w:pPr>
          </w:p>
        </w:tc>
        <w:tc>
          <w:tcPr>
            <w:tcW w:w="124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2</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DIRECTORS AND OFFICERS IN ACTIONS BY OR IN THE</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6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0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RIGHT OF THE CORPORATION</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7"/>
              </w:rPr>
              <w:t>D-15</w:t>
            </w:r>
          </w:p>
        </w:tc>
      </w:tr>
      <w:tr>
        <w:trPr>
          <w:trHeight w:val="34"/>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3</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SUCCESSFUL DEFENSE</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D-15</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4</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OTHERS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D-15</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5</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ADVANCE PAYMENT OF EXPENSES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D-15</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6</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LIMITATION ON INDEMNIFICATION</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D-16</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7</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DETERMINATION; CLAIM</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D-16</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8</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NON-EXCLUSIVITY OF RIGHTS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D-16</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9</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INSURANCE</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D-16</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10</w:t>
            </w: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SURVIVAL</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11</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 OF REPEAL OR MODIFICATION</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12</w:t>
            </w: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CERTAIN DEFINITIONS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98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IX - GENERAL MATTERS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EXECUTION OF CORPORATE CONTRACTS AND INSTRUMENTS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FISCAL YEAR</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3</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SEAL</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4</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CONSTRUCTION; DEFINITIONS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ARTICLE X - AMENDMENTS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D-18</w:t>
            </w:r>
          </w:p>
        </w:tc>
      </w:tr>
      <w:tr>
        <w:trPr>
          <w:trHeight w:val="34"/>
        </w:trPr>
        <w:tc>
          <w:tcPr>
            <w:tcW w:w="6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98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XI - EXCLUSIVE FORUM</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D-18</w:t>
            </w:r>
          </w:p>
        </w:tc>
      </w:tr>
      <w:tr>
        <w:trPr>
          <w:trHeight w:val="75"/>
        </w:trPr>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 OF 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182880</wp:posOffset>
            </wp:positionV>
            <wp:extent cx="1097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11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The registered office of Dropbox,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fixed in the corporation’s certificate of incorporation, as the same may be amended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may at any time establish other offices at any place or places.</w:t>
      </w:r>
    </w:p>
    <w:p>
      <w:pPr>
        <w:spacing w:after="0" w:line="275" w:lineRule="exact"/>
        <w:rPr>
          <w:sz w:val="20"/>
          <w:szCs w:val="20"/>
          <w:color w:val="auto"/>
        </w:rPr>
      </w:pPr>
    </w:p>
    <w:p>
      <w:pPr>
        <w:ind w:left="660" w:right="2539" w:firstLine="1870"/>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ARTICLE II - MEETINGS OF STOCKHOLDERS </w:t>
      </w:r>
      <w:r>
        <w:rPr>
          <w:rFonts w:ascii="Times New Roman" w:cs="Times New Roman" w:eastAsia="Times New Roman" w:hAnsi="Times New Roman"/>
          <w:sz w:val="18"/>
          <w:szCs w:val="18"/>
          <w:color w:val="auto"/>
        </w:rPr>
        <w:t>2.1  PLACE OF MEETINGS</w:t>
      </w:r>
    </w:p>
    <w:p>
      <w:pPr>
        <w:spacing w:after="0" w:line="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corporation’s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of stockholders at any time, before or after the notice for such meeting has been sent to the stockholders. For purposes of these bylaws,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 whether or not there exist any vacancies or unfilled seats in previously authorized directorships.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A special meeting of the stockholders, other than as required by statute, may be called at any time by</w:t>
      </w:r>
    </w:p>
    <w:p>
      <w:pPr>
        <w:spacing w:after="0" w:line="27" w:lineRule="exact"/>
        <w:rPr>
          <w:sz w:val="20"/>
          <w:szCs w:val="20"/>
          <w:color w:val="auto"/>
        </w:rPr>
      </w:pPr>
    </w:p>
    <w:p>
      <w:pPr>
        <w:jc w:val="both"/>
        <w:ind w:left="660" w:right="299" w:hanging="8"/>
        <w:spacing w:after="0" w:line="251" w:lineRule="auto"/>
        <w:tabs>
          <w:tab w:leader="none" w:pos="9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pursuant to a resolution adopted by a majority of the Whole Board, (b) the chairperson of the board of directors, (c) the chief executive officer or the president (in the absence of a chief executive officer) or (d) prior to the Final Conversion Date (as such term is defined in the certificate of incorporation), by written request of the holders of at least 30% of the voting power of the corporation’s Class A Common Stock and Class B Common Stock, voting together as a single class, provided that such written request is in compliance with the requirements of Section 2.3(ii) of these bylaws,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If any person(s) other than the board of directors calls a special meeting, the request shall:</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be in writing;</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(b)  specify the general nature of the business proposed to be transacted, subject to any additional applicable requirements as are set forth in Section 2.4(iii) and in Section 2.4(i)(b) (for the proposal of business other than nominations); and</w:t>
      </w:r>
    </w:p>
    <w:p>
      <w:pPr>
        <w:spacing w:after="0" w:line="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be delivered personally or sent by registered mail to the secretary of the corporation.</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Upon receipt of such a request, the board of directors shall determine the date, time and place (if any) of such special meeting, which must be scheduled to be held on a date that is not less than thirty (30) and not more than ninety (90) days after receipt by the secretary of the request therefor, and the secretary of the corporation shall prepare a 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Section 2.3(ii).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(iii)  The notice of a special meeting shall include the purpose for which the meeting is called. Only such business shall be conducted at a special meeting of stockholders as shall have been brought before the meeting by or at the direction of the board of directors, acting pursuant to a resolution adopted by a majority of the Whole Board, chairperson of the board of directors, chief executive officer or president (in the absence of a chief executive officer) or in the notice specified in Section 2.3(ii) above. Nothing contained in this Section 2.3(ii) shall be construed as limiting, fixing or affecting the time when a meeting of stockholders called by action of the board of directors may be held.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11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Advance Notice of Stockholder Business.</w:t>
      </w:r>
      <w:r>
        <w:rPr>
          <w:rFonts w:ascii="Times New Roman" w:cs="Times New Roman" w:eastAsia="Times New Roman" w:hAnsi="Times New Roman"/>
          <w:sz w:val="18"/>
          <w:szCs w:val="18"/>
          <w:color w:val="auto"/>
        </w:rPr>
        <w:t xml:space="preserve"> At an annual meeting of the stockholders, only such business shall be conducted as shall have been properly brought before the meeting. To be properly brought before an annual meeting, business must be brought: (A) pursuant to the corporation’s notice of annual meeting (or any supplement thereto), (B) by or at the direction of the board of directors, or (C) by a stockholder of the corporation who (1) is a stockholder of record at the time of the giving of the notice required by this Section 2.4(i), on the record date for the determination of stockholders entitled to notice of the annual meeting and on the record date for the determination of stockholders entitled to vote at the annual meeting and</w:t>
      </w:r>
    </w:p>
    <w:p>
      <w:pPr>
        <w:spacing w:after="0" w:line="5" w:lineRule="exact"/>
        <w:rPr>
          <w:sz w:val="20"/>
          <w:szCs w:val="20"/>
          <w:color w:val="auto"/>
        </w:rPr>
      </w:pPr>
    </w:p>
    <w:p>
      <w:pPr>
        <w:jc w:val="both"/>
        <w:ind w:left="660" w:right="299" w:hanging="8"/>
        <w:spacing w:after="0" w:line="252" w:lineRule="auto"/>
        <w:tabs>
          <w:tab w:leader="none" w:pos="9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and the rules and regulations thereunder, as amended and inclusive of such rules and regulations and any successor thereto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before an annual meeting of stockholders.</w:t>
      </w:r>
    </w:p>
    <w:p>
      <w:pPr>
        <w:spacing w:after="0" w:line="80"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no annual meeting was held in the previous year or if the date of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Section 2.4(i)(a).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(b)  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Times New Roman" w:cs="Times New Roman" w:eastAsia="Times New Roman" w:hAnsi="Times New Roman"/>
          <w:sz w:val="18"/>
          <w:szCs w:val="18"/>
          <w:b w:val="1"/>
          <w:bCs w:val="1"/>
          <w:color w:val="auto"/>
        </w:rPr>
        <w:t>Business Solicitation Statement</w:t>
      </w:r>
      <w:r>
        <w:rPr>
          <w:rFonts w:ascii="Times New Roman" w:cs="Times New Roman" w:eastAsia="Times New Roman" w:hAnsi="Times New Roman"/>
          <w:sz w:val="18"/>
          <w:szCs w:val="18"/>
          <w:color w:val="auto"/>
        </w:rPr>
        <w:t>”). In addition, to be in proper written form, a stockholder’s notice to the secretary must be supplemented not later than ten days following the record date for the determination of stockholders entitled to notice of the meeting to disclose the information contained in clauses (3) and</w:t>
      </w:r>
    </w:p>
    <w:p>
      <w:pPr>
        <w:spacing w:after="0" w:line="6" w:lineRule="exact"/>
        <w:rPr>
          <w:sz w:val="20"/>
          <w:szCs w:val="20"/>
          <w:color w:val="auto"/>
        </w:rPr>
      </w:pPr>
    </w:p>
    <w:p>
      <w:pPr>
        <w:jc w:val="both"/>
        <w:ind w:left="1020" w:right="299" w:hanging="8"/>
        <w:spacing w:after="0" w:line="252" w:lineRule="auto"/>
        <w:tabs>
          <w:tab w:leader="none" w:pos="12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of such record date. For purposes of this Section 2.4, a “</w:t>
      </w:r>
      <w:r>
        <w:rPr>
          <w:rFonts w:ascii="Times New Roman" w:cs="Times New Roman" w:eastAsia="Times New Roman" w:hAnsi="Times New Roman"/>
          <w:sz w:val="18"/>
          <w:szCs w:val="18"/>
          <w:b w:val="1"/>
          <w:bCs w:val="1"/>
          <w:color w:val="auto"/>
        </w:rPr>
        <w:t>Stockholder Associated Person</w:t>
      </w:r>
      <w:r>
        <w:rPr>
          <w:rFonts w:ascii="Times New Roman" w:cs="Times New Roman" w:eastAsia="Times New Roman" w:hAnsi="Times New Roman"/>
          <w:sz w:val="18"/>
          <w:szCs w:val="18"/>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82"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(c)  Without exception, no business shall be conducted at any annual meeting except in accordance with the provisions set forth in this Section 2.4.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 and, if the chairperson should so determine, the chairperson shall so declare at the annual meeting that any such business not properly brought before the annual meeting shall not be conducted.</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Advance Notice of Director Nominations at Annual Meetings.</w:t>
      </w:r>
      <w:r>
        <w:rPr>
          <w:rFonts w:ascii="Times New Roman" w:cs="Times New Roman" w:eastAsia="Times New Roman" w:hAnsi="Times New Roman"/>
          <w:sz w:val="18"/>
          <w:szCs w:val="18"/>
          <w:color w:val="auto"/>
        </w:rPr>
        <w:t xml:space="preserve"> Notwithstanding anything in these bylaws to the contrary, only persons who are nominated in accordance with the procedures set forth in this Section 2.4(ii)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 (1) is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86"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(a)  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   To be in proper written form, such stockholder’s notice to the secretary must set forth:</w:t>
      </w:r>
    </w:p>
    <w:p>
      <w:pPr>
        <w:spacing w:after="0" w:line="113" w:lineRule="exact"/>
        <w:rPr>
          <w:sz w:val="20"/>
          <w:szCs w:val="20"/>
          <w:color w:val="auto"/>
        </w:rPr>
      </w:pPr>
    </w:p>
    <w:p>
      <w:pPr>
        <w:jc w:val="both"/>
        <w:ind w:left="1380" w:right="299" w:firstLine="360"/>
        <w:spacing w:after="0" w:line="263" w:lineRule="auto"/>
        <w:rPr>
          <w:sz w:val="20"/>
          <w:szCs w:val="20"/>
          <w:color w:val="auto"/>
        </w:rPr>
      </w:pPr>
      <w:r>
        <w:rPr>
          <w:rFonts w:ascii="Times New Roman" w:cs="Times New Roman" w:eastAsia="Times New Roman" w:hAnsi="Times New Roman"/>
          <w:sz w:val="18"/>
          <w:szCs w:val="18"/>
          <w:color w:val="auto"/>
        </w:rPr>
        <w:t>(1)  as to each person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whom the stockholder proposes to nominate for election or re-election as a director: (A) the name, age, business address and residence address of the nominee,</w:t>
      </w:r>
    </w:p>
    <w:p>
      <w:pPr>
        <w:spacing w:after="0" w:line="1" w:lineRule="exact"/>
        <w:rPr>
          <w:sz w:val="20"/>
          <w:szCs w:val="20"/>
          <w:color w:val="auto"/>
        </w:rPr>
      </w:pPr>
    </w:p>
    <w:p>
      <w:pPr>
        <w:ind w:left="3980" w:right="299" w:hanging="2608"/>
        <w:spacing w:after="0" w:line="511" w:lineRule="auto"/>
        <w:tabs>
          <w:tab w:leader="none" w:pos="16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nominee, (C) the class and number of shares of the Appendix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299"/>
        <w:spacing w:after="0" w:line="252" w:lineRule="auto"/>
        <w:rPr>
          <w:sz w:val="20"/>
          <w:szCs w:val="20"/>
          <w:color w:val="auto"/>
        </w:rPr>
      </w:pPr>
      <w:r>
        <w:rPr>
          <w:rFonts w:ascii="Times New Roman" w:cs="Times New Roman" w:eastAsia="Times New Roman" w:hAnsi="Times New Roman"/>
          <w:sz w:val="18"/>
          <w:szCs w:val="18"/>
          <w:color w:val="auto"/>
        </w:rPr>
        <w:t>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the stockholder, any nominee or any other person or persons (naming such person or persons) pursuant to which the nominations are to be made by the stockholder, including a description of any compensatory, payment or other financial agreement, arrangement or understanding involving the nominee and of any compensation or other payment received by or on behalf of the nominee, in each case in connection with candidacy or service as a director of the corporation (such agreement, arrangement or understanding, a “</w:t>
      </w:r>
      <w:r>
        <w:rPr>
          <w:rFonts w:ascii="Times New Roman" w:cs="Times New Roman" w:eastAsia="Times New Roman" w:hAnsi="Times New Roman"/>
          <w:sz w:val="18"/>
          <w:szCs w:val="18"/>
          <w:b w:val="1"/>
          <w:bCs w:val="1"/>
          <w:color w:val="auto"/>
        </w:rPr>
        <w:t>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 Arrangement</w:t>
      </w:r>
      <w:r>
        <w:rPr>
          <w:rFonts w:ascii="Times New Roman" w:cs="Times New Roman" w:eastAsia="Times New Roman" w:hAnsi="Times New Roman"/>
          <w:sz w:val="18"/>
          <w:szCs w:val="18"/>
          <w:color w:val="auto"/>
        </w:rPr>
        <w:t>”), (F) a written statement executed by the nominee consenting to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named as a nominee of such stockholder, (y) serving as a director of the corporation if elected and (z) being named in the corporation’s form of proxy pursuant to Rule 14a-19 under the 1934 Act (“</w:t>
      </w:r>
      <w:r>
        <w:rPr>
          <w:rFonts w:ascii="Times New Roman" w:cs="Times New Roman" w:eastAsia="Times New Roman" w:hAnsi="Times New Roman"/>
          <w:sz w:val="18"/>
          <w:szCs w:val="18"/>
          <w:b w:val="1"/>
          <w:bCs w:val="1"/>
          <w:color w:val="auto"/>
        </w:rPr>
        <w:t>Rule 14a-19</w:t>
      </w:r>
      <w:r>
        <w:rPr>
          <w:rFonts w:ascii="Times New Roman" w:cs="Times New Roman" w:eastAsia="Times New Roman" w:hAnsi="Times New Roman"/>
          <w:sz w:val="18"/>
          <w:szCs w:val="18"/>
          <w:color w:val="auto"/>
        </w:rPr>
        <w:t>”) , and (H) any other information relating to the nominee that would be required to be disclosed about such nominee if proxies were being solicited for the election or re-election of the nominee as a director, or that is otherwise required, in each case pursuant to Section 14 of the 1934 Act; and</w:t>
      </w:r>
    </w:p>
    <w:p>
      <w:pPr>
        <w:spacing w:after="0" w:line="81" w:lineRule="exact"/>
        <w:rPr>
          <w:sz w:val="20"/>
          <w:szCs w:val="20"/>
          <w:color w:val="auto"/>
        </w:rPr>
      </w:pPr>
    </w:p>
    <w:p>
      <w:pPr>
        <w:jc w:val="both"/>
        <w:ind w:left="1380" w:right="299" w:firstLine="360"/>
        <w:spacing w:after="0" w:line="267" w:lineRule="auto"/>
        <w:rPr>
          <w:sz w:val="20"/>
          <w:szCs w:val="20"/>
          <w:color w:val="auto"/>
        </w:rPr>
      </w:pPr>
      <w:r>
        <w:rPr>
          <w:rFonts w:ascii="Times New Roman" w:cs="Times New Roman" w:eastAsia="Times New Roman" w:hAnsi="Times New Roman"/>
          <w:sz w:val="17"/>
          <w:szCs w:val="17"/>
          <w:color w:val="auto"/>
        </w:rPr>
        <w:t>(2)  as to such stockholder giving notice, (A) the information required to be provided pursuant to clauses (2) through (5) of Section 2.4(i)(b) above, and the update and supplement referenced in the second sentence of Section 2.4(i)(b) above (except that the references to “business” in such clauses shall instead refer to nominations of directors for purposes of this paragraph), and (B) a representation and undertaking as to whether such stockholder or Stockholder Associated Person or others acting in concert with them intends, or are part of a group that intends, to (x) deliver a proxy statement or form of proxy to or otherwise solicit proxies from holders of at least the percentage of the voting power of the corporation’s then-outstanding stock required to elect such nominee(s) (which representation and undertaking must include a statement as to whether such stockholder or any Stockholder Associated Person intends to solicit the requisite percentage of the voting power of the corporation’s stock under Rule 14a-19), or (y) otherwise solicit proxies from stockholders in support of such nomination (such information provided and statements made as required by Section 2.4(ii)(b)</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 and this Section 2.4(ii)(b)(2), a “</w:t>
      </w:r>
      <w:r>
        <w:rPr>
          <w:rFonts w:ascii="Times New Roman" w:cs="Times New Roman" w:eastAsia="Times New Roman" w:hAnsi="Times New Roman"/>
          <w:sz w:val="18"/>
          <w:szCs w:val="18"/>
          <w:b w:val="1"/>
          <w:bCs w:val="1"/>
          <w:color w:val="auto"/>
        </w:rPr>
        <w:t>Nominee Solicitation Statement</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(c)  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(2) a written representation and undertaking that, unless previously disclosed to the corporation, such nominee is not, and will not become, a party to any Third-Party Compensation Arrangement and (3)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timely furnishing of any such information, if requested, such stockholder’s nomination shall not be considered in proper form and shall be ineligible for consideration at the annual meeting pursuant to this Section 2.4(ii).</w:t>
      </w:r>
    </w:p>
    <w:p>
      <w:pPr>
        <w:spacing w:after="0" w:line="84" w:lineRule="exact"/>
        <w:rPr>
          <w:sz w:val="20"/>
          <w:szCs w:val="20"/>
          <w:color w:val="auto"/>
        </w:rPr>
      </w:pPr>
    </w:p>
    <w:p>
      <w:pPr>
        <w:jc w:val="both"/>
        <w:ind w:left="1020" w:right="299" w:firstLine="360"/>
        <w:spacing w:after="0" w:line="272" w:lineRule="auto"/>
        <w:rPr>
          <w:sz w:val="20"/>
          <w:szCs w:val="20"/>
          <w:color w:val="auto"/>
        </w:rPr>
      </w:pPr>
      <w:r>
        <w:rPr>
          <w:rFonts w:ascii="Times New Roman" w:cs="Times New Roman" w:eastAsia="Times New Roman" w:hAnsi="Times New Roman"/>
          <w:sz w:val="17"/>
          <w:szCs w:val="17"/>
          <w:color w:val="auto"/>
        </w:rPr>
        <w:t>(d)  Without exception, no person shall be eligible for election or re-election as a director of the corporation at an annual meeting of stockholders unless nominated in accordance with the provisions set forth in this Section 2.4.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The chairperson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w:t>
      </w:r>
    </w:p>
    <w:p>
      <w:pPr>
        <w:spacing w:after="0" w:line="72"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(e)  No later than five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such nominee(s)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Advance Notice of Director Nominations for Special Meetings.</w:t>
      </w:r>
    </w:p>
    <w:p>
      <w:pPr>
        <w:spacing w:after="0" w:line="119"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(a)  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 the nomination to the secretary of the corporation that includes the information set forth in Sections 2.4(ii)(b) and (ii)(c) above(with references therein to “annual meeting” deemed to mean “special meeting” for the purposes of this Section 2.4(iii)).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any adjournment, rescheduling or postponement of a special meeting or the announcement thereof commence a new time period (or extend any time period) for the giving of a stockholder’s notice as described above.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Any person nominated in accordance with this Section 2.4(iii) is subject to, and must comply with, the provisions of Section 2.4(ii)(c).</w:t>
      </w:r>
    </w:p>
    <w:p>
      <w:pPr>
        <w:spacing w:after="0" w:line="96"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Other Requirements and Procedures.</w:t>
      </w:r>
    </w:p>
    <w:p>
      <w:pPr>
        <w:spacing w:after="0" w:line="119"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(a)  In addition to the foregoing provisions of this Section 2.4, a stockholder must also comply with all applicable requirements of state law and of the 1934 Act and the rules and regulations thereunder with respect to the matters set forth in this Section 2.4. Nothing in this Section 2.4 shall be deemed to affect any rights of: (1) a stockholder to request the inclusion of proposals in the corporation’s proxy statement pursuant to Rule 14a-8 (or any successor provision) under the 1934 Act or (2) the corporation to omit a proposal from the corporation’s proxy statement pursuant to Rule 14a-8 (or any successor provision) under the 1934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Section 232 of the DGCL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QUORUM</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corporation’s securities are listed.</w:t>
      </w:r>
    </w:p>
    <w:p>
      <w:pPr>
        <w:spacing w:after="0" w:line="8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whether or not a quorum is present.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VOTING</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STOCKHOLDER ACTION BY CONSENT WITHOUT A MEETING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the manner provided by Section 228(d) of the DGCL. Prompt notice of the taking of the corporate action without a meeting by less than unanimous consent shall be provided to stockholders to the extent required by law. No consent shall be effective to take the corporate action referred to therein unless consents signed by a sufficient number of stockholders to take such action are delivered to the corporation in the manner prescribed in this Section 2.10 and applicable law within sixty (60) days of the first date on which a consent is so delivered to the corporation.</w:t>
      </w: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PROXIES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or such stockholder’s authorized director, officer,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corporation to determine, the identity of the stockholder granting such authorization. The revocability of a proxy that states on its face that it is irrevocable shall be governed by the provisions of Section 212 of the DGCL.</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shall prepare, no later than the tenth day before each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(1) or more persons as alternate inspectors to replace any inspector who fails to act. Such inspectors shall take all actions as contemplated under Section 231 of the DGCL or any successor provision thereto.</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POWERS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except as may be otherwise provided in the DGCL or the certificate of incorporation.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so provided in the certificate of incorporation, the directors of the corporation shall be divided into three classes. Until such time, the directors of the corporation shall be elected at each annual meeting of stockholders to hold office until the next annual meeting and until their successors have been duly elected and qualified or until their earlier resignation or removal.</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chairperson of the board of directors (or, if none, to the chief executive officer of the corporation) or to the secretary of the corporation. A resignation is effective when the resignation is delivered unless the resignation specifies a later effective date or an effective date determined upon the happening of an event or events. Unless otherwise specified in the notice of resignation,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86"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Unless otherwise provided in the certificate of incorporation or these bylaws or permitted in the specific case by resolution of the board of directors, and subject to the rights of holders of Preferred Stock, vacancies occurring on the board of directors for any reason and newly created directorships resulting from any increase in the authorized number of directors may be filled only by a vote of a majority of the remaining members of the board of directors, although less than a quorum, or by a sole remaining director, at any meeting of the board of directors, and not by stockholders. If the directors are divided into classes as provided by the certificate of incorporation, a person so chosen to fill a vacancy or newly created directorship shall hold office until the next election of the class for which such director shall have been chosen and until such director’s successor shall have been duly elected and qualified.</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Delaware.</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of the board of directors shall be: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delivered personally by hand or by courier;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sent by United States first-class mail, postage prepaid;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sent by facsimile;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sent by electronic mail; 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otherwise given by electronic transmission (as defined in Section 232 of the DGCL),</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facsimile number, electronic mail address or other contact for notice by electronic transmission, as the case may be, as shown on the corporation’s records.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notice is (i) delivered personally by hand or by courier,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oral notice is given in person or by telephone at least 24 hours before the time of the holding of the special meeting. The notice need not specify the place of the meeting (if the meeting is to be held at the corporation’s principal executive office) nor the purpose of the meeting, unless required by statute.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(i) any action required or permitted to be taken at any meeting of the board of directors may be taken without a meeting if all members of the board of directors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in the same paper or electronic form as the minutes are maintained.</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Any director may be removed from office at any time, with or without cause, by the affirmative vote of the holders of at least a majority of the voting power of the outstanding shares then entitled to vote for the election of directors; provided, however, for so long as the directors of the corporation are divided into classes, any director may be removed from office by the stockholders of the corporation only for cause.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 term of office.</w:t>
      </w:r>
    </w:p>
    <w:p>
      <w:pPr>
        <w:spacing w:after="0" w:line="19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may, by resolution adopted by the affirmative vote of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specified by the board of directors, meetings and actions of committees shall be governed by, and held and taken in accordance with, the provisions of:</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Section 3.5 (place of meetings and meetings by telephone);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Section 3.6 (regular meetings);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Section 3.7 (special meetings and notice);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Section 3.8 (quorum; voting);</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Section 3.9 (action without a meeting); and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(vi)   Section 7.4 (waiver of notice)</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of directors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the time and place of regular meetings of committees may be determined either by resolution of the board of directors or by resolution of the committee;</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special meetings of committees may also be called by resolution of the board of directors; and</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(iii)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SUBCOMMITTEES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OFFICERS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officers of the corporation shall be a chief executive officer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with such other titles as may be appointed from time to time in accordance with the provisions of these bylaws. Any number of offices may be held by the same person.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corporation, except such officers as may be appointed in accordance with the provisions of Section 5.3 of these bylaws, subject to the rights, if any, of an officer under any contract of employment.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of directors or, except in the case of an officer chosen by the board of directors unless as otherwise provided by resolution of the board of directors, by any officer upon whom such power of removal may be conferred by the board of directors.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of directors or as provided in Section 5.3.</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chief financial officer or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this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32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declaration of any dividend on fully-paid shares, the corporation shall declare a dividend upon partly-paid shares of the same class, but only upon the basis of the percentage of the consideration actually paid thereon.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DIVIDENDS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of directors may set apart out of any of the funds of the corporation available for dividends a reserve or reserves for any proper purpose and may abolish any such reserve.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6.7   REGISTERED STOCKHOLDERS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shall be entitled to recognize the exclusive right of a person registered on its books as the owner of shares to receive dividends and notices and to vote as such owner;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(ii)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26" w:lineRule="exact"/>
        <w:rPr>
          <w:sz w:val="20"/>
          <w:szCs w:val="20"/>
          <w:color w:val="auto"/>
        </w:rPr>
      </w:pPr>
    </w:p>
    <w:p>
      <w:pPr>
        <w:ind w:left="660" w:right="1979" w:firstLine="1311"/>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ARTICLE VII - MANNER OF GIVING NOTICE AND WAIVER </w:t>
      </w:r>
      <w:r>
        <w:rPr>
          <w:rFonts w:ascii="Times New Roman" w:cs="Times New Roman" w:eastAsia="Times New Roman" w:hAnsi="Times New Roman"/>
          <w:sz w:val="18"/>
          <w:szCs w:val="18"/>
          <w:color w:val="auto"/>
        </w:rPr>
        <w:t>7.1  NOTICE TO STOCKHOLDERS</w:t>
      </w:r>
    </w:p>
    <w:p>
      <w:pPr>
        <w:spacing w:after="0" w:line="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Any notice to stockholders given by the corporation under any provision of the DGCL, the certificate of incorporation or these bylaws may be given in the manner set forth in Section 232 of the DGCL.</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Sections 164, 296, 311, 312 or 324 of the DGCL.</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certificate of incorporation or these bylaws.</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CORPORATION</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Proceeding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8.3   SUCCESSFUL DEFENSE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(for the purposes of this Section 8.3 only, as such term is defined in Section 145(c)(1) of the DGCL) of the corporation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Proceeding described in Section 8.1 or Section 8.2 of these bylaws or in defense of any claim, issue or matter therein.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have power to advance expenses to and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 or receive an advancement of expenses.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8.5   ADVANCE PAYMENT OF EXPENSES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8.6   LIMITATION ON INDEMNIFICATION</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Subject to the requirements in Section 8.3 and the DGCL, the corporation shall not be obligated to indemnify any person pursuant to this Article VIII in connection with any Proceeding (or any part of any Proceeding):</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(i)  for which payment has actually been made to or on behalf of such person under any statute, insurance policy, indemnity provision, vote or otherwise, except with respect to any excess beyond the amount paid;</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  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(iii)  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81" w:lineRule="exact"/>
        <w:rPr>
          <w:sz w:val="20"/>
          <w:szCs w:val="20"/>
          <w:color w:val="auto"/>
        </w:rPr>
      </w:pPr>
    </w:p>
    <w:p>
      <w:pPr>
        <w:jc w:val="both"/>
        <w:ind w:left="660" w:right="319" w:firstLine="360"/>
        <w:spacing w:after="0" w:line="257" w:lineRule="auto"/>
        <w:rPr>
          <w:sz w:val="20"/>
          <w:szCs w:val="20"/>
          <w:color w:val="auto"/>
        </w:rPr>
      </w:pPr>
      <w:r>
        <w:rPr>
          <w:rFonts w:ascii="Times New Roman" w:cs="Times New Roman" w:eastAsia="Times New Roman" w:hAnsi="Times New Roman"/>
          <w:sz w:val="18"/>
          <w:szCs w:val="18"/>
          <w:color w:val="auto"/>
        </w:rPr>
        <w:t>(iv)  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w:t>
      </w:r>
    </w:p>
    <w:p>
      <w:pPr>
        <w:spacing w:after="0" w:line="1" w:lineRule="exact"/>
        <w:rPr>
          <w:sz w:val="20"/>
          <w:szCs w:val="20"/>
          <w:color w:val="auto"/>
        </w:rPr>
      </w:pPr>
    </w:p>
    <w:p>
      <w:pPr>
        <w:jc w:val="both"/>
        <w:ind w:left="660" w:right="319" w:hanging="8"/>
        <w:spacing w:after="0" w:line="255" w:lineRule="auto"/>
        <w:tabs>
          <w:tab w:leader="none" w:pos="9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provides the indemnification, in its sole discretion, pursuant to the powers vested in the corporation under applicable law, (c) otherwise required to be made under Section 8.7 or (d) otherwise required by applicable law; or</w:t>
      </w:r>
    </w:p>
    <w:p>
      <w:pPr>
        <w:spacing w:after="0" w:line="1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if prohibited by applicable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such claimant’s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8.9   INSURANCE</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corporation may purchase and maintain insurance to the fullest extent permitted by the DGCL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8.10   SURVIVAL</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11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For purposes of this Article VIII, references to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 of the corporation</w:t>
      </w:r>
      <w:r>
        <w:rPr>
          <w:rFonts w:ascii="Times New Roman" w:cs="Times New Roman" w:eastAsia="Times New Roman" w:hAnsi="Times New Roman"/>
          <w:sz w:val="18"/>
          <w:szCs w:val="18"/>
          <w:color w:val="auto"/>
        </w:rPr>
        <w:t>” shall include any service as a director, officer, employee or agent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 of the corporation</w:t>
      </w:r>
      <w:r>
        <w:rPr>
          <w:rFonts w:ascii="Times New Roman" w:cs="Times New Roman" w:eastAsia="Times New Roman" w:hAnsi="Times New Roman"/>
          <w:sz w:val="18"/>
          <w:szCs w:val="18"/>
          <w:color w:val="auto"/>
        </w:rPr>
        <w:t>” as referred to in this Article VIII.</w:t>
      </w:r>
    </w:p>
    <w:p>
      <w:pPr>
        <w:spacing w:after="0" w:line="34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9.2   FISCAL YEAR</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 and may be changed by the board of directors.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SEAL</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includes the plural, the plural number includes the singular, and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These bylaws may be adopted, amended or repealed by the stockholders entitled to vote;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affirmative vote of the holders of at least two-thirds (2/3) of the total voting power of outstanding voting securities, voting together as a single class, shall be required for the stockholders of the corporation to alter, amend or repeal, or adopt any provision of these bylaws. However,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7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bylaw amendment adopted by stockholders which specifies the votes that shall be necessary for the election of directors shall not be further amended or repealed by the board of directors.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 EXCLUSIVE FORUM</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corporation expressly consents in writing to the selection of an alternative forum, the Court of Chancery of the State of Delaware shall, to the fullest extent permitted by law, be the sole and exclusive forum for</w:t>
      </w:r>
    </w:p>
    <w:p>
      <w:pPr>
        <w:jc w:val="both"/>
        <w:ind w:left="300" w:right="299" w:hanging="8"/>
        <w:spacing w:after="0" w:line="251"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corporation, (ii) any action asserting a claim of breach of a fiduciary duty owed by any director, stockholder or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(10) days following such determination).</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be the sole and exclusive forum for the resolution of any claim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security of the corporation shall be deemed to have notice of and consented to the provisions of this Article XI. This provision shall be enforceable by any party to a claim covered by the provisions of this Article XI.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CORPORATION</w:t>
      </w:r>
    </w:p>
    <w:p>
      <w:pPr>
        <w:spacing w:after="0" w:line="9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The name of the corporation is Dropbox,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The Corporation is the resulting entity in the conversion of Dropbox, Inc., a Delaware corporation (the “</w:t>
      </w:r>
      <w:r>
        <w:rPr>
          <w:rFonts w:ascii="Times New Roman" w:cs="Times New Roman" w:eastAsia="Times New Roman" w:hAnsi="Times New Roman"/>
          <w:sz w:val="18"/>
          <w:szCs w:val="18"/>
          <w:b w:val="1"/>
          <w:bCs w:val="1"/>
          <w:i w:val="1"/>
          <w:iCs w:val="1"/>
          <w:color w:val="auto"/>
        </w:rPr>
        <w:t>Delaware Corporation</w:t>
      </w:r>
      <w:r>
        <w:rPr>
          <w:rFonts w:ascii="Times New Roman" w:cs="Times New Roman" w:eastAsia="Times New Roman" w:hAnsi="Times New Roman"/>
          <w:sz w:val="18"/>
          <w:szCs w:val="18"/>
          <w:color w:val="auto"/>
        </w:rPr>
        <w:t>”), into a Nevada corporation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and is a continuation of the existence thereof pursuant to Chapter 92A of the Nevada Revised Statutes (as amended from time to time,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AGENT AND REGISTERED OFFICE</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31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NRS.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9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Corporation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authorized to be issued is 3,675,000,000,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2,400,000,000 shares of which are designated Class A Common Stock, par value $0.00001 per share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475,000,000 shares of which are designated Class B Common Stock, par value $0.00001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800,000,000 shares of which are designated Class C Common Stock, par value $0.00001 per share (the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The total number of shares of Preferred Stock authorized to be issued is 240,000,000 shares, par value $0.00001 per share.</w:t>
      </w:r>
    </w:p>
    <w:p>
      <w:pPr>
        <w:spacing w:after="0" w:line="3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rights, powers, preferences, privileges, restrictions and other matters relating to the Common Stock are as follows: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following definitions apply;</w:t>
      </w:r>
    </w:p>
    <w:p>
      <w:pPr>
        <w:spacing w:after="0" w:line="113"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xml:space="preserve">”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w:t>
      </w:r>
      <w:r>
        <w:rPr>
          <w:rFonts w:ascii="Times New Roman" w:cs="Times New Roman" w:eastAsia="Times New Roman" w:hAnsi="Times New Roman"/>
          <w:sz w:val="18"/>
          <w:szCs w:val="18"/>
          <w:u w:val="single" w:color="auto"/>
          <w:color w:val="auto"/>
        </w:rPr>
        <w:t>Section V.1.1</w:t>
      </w:r>
      <w:r>
        <w:rPr>
          <w:rFonts w:ascii="Times New Roman" w:cs="Times New Roman" w:eastAsia="Times New Roman" w:hAnsi="Times New Roman"/>
          <w:sz w:val="18"/>
          <w:szCs w:val="18"/>
          <w:color w:val="auto"/>
        </w:rPr>
        <w:t>,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Corporation is a party in which shares of the Corporation are transferred such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6" w:name="page77"/>
    <w:bookmarkEnd w:id="76"/>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these Articles of Incorporation of the Corporation, as amended from time to time.</w:t>
      </w:r>
    </w:p>
    <w:p>
      <w:pPr>
        <w:spacing w:after="0" w:line="11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a sale, lease, exclusive license or other disposition of all or substantially all of the assets of the Corporation.</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11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Controlled Company Exemption</w:t>
      </w:r>
      <w:r>
        <w:rPr>
          <w:rFonts w:ascii="Times New Roman" w:cs="Times New Roman" w:eastAsia="Times New Roman" w:hAnsi="Times New Roman"/>
          <w:sz w:val="18"/>
          <w:szCs w:val="18"/>
          <w:color w:val="auto"/>
        </w:rPr>
        <w:t>” means, if and to the extent otherwise applicable to the Corporation, the exemptions from the Listing Standards available to any company that constitutes a “controlled company” within the meaning of the Listing Standards.</w:t>
      </w:r>
    </w:p>
    <w:p>
      <w:pPr>
        <w:spacing w:after="0" w:line="6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Disabled</w:t>
      </w:r>
      <w:r>
        <w:rPr>
          <w:rFonts w:ascii="Times New Roman" w:cs="Times New Roman" w:eastAsia="Times New Roman" w:hAnsi="Times New Roman"/>
          <w:sz w:val="18"/>
          <w:szCs w:val="18"/>
          <w:color w:val="auto"/>
        </w:rPr>
        <w:t>” means, with respect to a Founder, the permanent and total disability of such Founder such that such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(a)  the date specified by the holders of two-thirds of the then outstanding shares of Class B Common Stock, voting as a separate class;</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(b)  the first date on which the number of outstanding shares of Class B Common Stock represents less than five percent (5%) of the aggregate number of outstanding shares of Class A Common Stock and Class B Common Stock; or</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(c)  the date that is nine months after the death or Disability of the last to die or become Disabled of the Founders, provided, that such date may be extended but not for a total period of longer than eighteen</w:t>
      </w:r>
    </w:p>
    <w:p>
      <w:pPr>
        <w:ind w:left="1020" w:right="319" w:hanging="8"/>
        <w:spacing w:after="0" w:line="260" w:lineRule="auto"/>
        <w:tabs>
          <w:tab w:leader="none" w:pos="14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last applicable death or Disability to a date approved by a majority of the Independent Directors then in office.</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either Andrew Houston or Arash Ferdowsi.</w:t>
      </w:r>
    </w:p>
    <w:p>
      <w:pPr>
        <w:spacing w:after="0" w:line="11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means the members of the Board designated as independent directors in accordance with the Listing Standards.</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March 23, 2018.</w:t>
      </w:r>
    </w:p>
    <w:p>
      <w:pPr>
        <w:spacing w:after="0" w:line="117"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any liquidation, dissolution, or winding up of the Corporation, whether voluntary or involuntary, or any Acquisition or Asset Transfer.</w:t>
      </w:r>
    </w:p>
    <w:p>
      <w:pPr>
        <w:spacing w:after="0" w:line="4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71"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of such entity.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7" w:name="page78"/>
    <w:bookmarkEnd w:id="77"/>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xml:space="preserve">” means, with respect to any Qualified Stockholder, any trust, account, plan, corporation, partnership, or limited liability company specified in </w:t>
      </w:r>
      <w:r>
        <w:rPr>
          <w:rFonts w:ascii="Times New Roman" w:cs="Times New Roman" w:eastAsia="Times New Roman" w:hAnsi="Times New Roman"/>
          <w:sz w:val="18"/>
          <w:szCs w:val="18"/>
          <w:u w:val="single" w:color="auto"/>
          <w:color w:val="auto"/>
        </w:rPr>
        <w:t>Section V.1.15(b)</w:t>
      </w:r>
      <w:r>
        <w:rPr>
          <w:rFonts w:ascii="Times New Roman" w:cs="Times New Roman" w:eastAsia="Times New Roman" w:hAnsi="Times New Roman"/>
          <w:sz w:val="18"/>
          <w:szCs w:val="18"/>
          <w:color w:val="auto"/>
        </w:rPr>
        <w:t xml:space="preserve"> with respect to such Qualified Stockholder, so long as such Permitted Entity meets the requirements of the exception set forth in </w:t>
      </w:r>
      <w:r>
        <w:rPr>
          <w:rFonts w:ascii="Times New Roman" w:cs="Times New Roman" w:eastAsia="Times New Roman" w:hAnsi="Times New Roman"/>
          <w:sz w:val="18"/>
          <w:szCs w:val="18"/>
          <w:u w:val="single" w:color="auto"/>
          <w:color w:val="auto"/>
        </w:rPr>
        <w:t>Section V.1.15</w:t>
      </w:r>
      <w:r>
        <w:rPr>
          <w:rFonts w:ascii="Times New Roman" w:cs="Times New Roman" w:eastAsia="Times New Roman" w:hAnsi="Times New Roman"/>
          <w:sz w:val="18"/>
          <w:szCs w:val="18"/>
          <w:color w:val="auto"/>
        </w:rPr>
        <w:t xml:space="preserve"> applicable to such Permitted Entity.</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(a)  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(b)  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68"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(i)  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81" w:lineRule="exact"/>
        <w:rPr>
          <w:sz w:val="20"/>
          <w:szCs w:val="20"/>
          <w:color w:val="auto"/>
        </w:rPr>
      </w:pPr>
    </w:p>
    <w:p>
      <w:pPr>
        <w:jc w:val="both"/>
        <w:ind w:left="1380" w:right="299" w:firstLine="360"/>
        <w:spacing w:after="0" w:line="254" w:lineRule="auto"/>
        <w:rPr>
          <w:sz w:val="20"/>
          <w:szCs w:val="20"/>
          <w:color w:val="auto"/>
        </w:rPr>
      </w:pPr>
      <w:r>
        <w:rPr>
          <w:rFonts w:ascii="Times New Roman" w:cs="Times New Roman" w:eastAsia="Times New Roman" w:hAnsi="Times New Roman"/>
          <w:sz w:val="18"/>
          <w:szCs w:val="18"/>
          <w:color w:val="auto"/>
        </w:rPr>
        <w:t>(ii)  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84" w:lineRule="exact"/>
        <w:rPr>
          <w:sz w:val="20"/>
          <w:szCs w:val="20"/>
          <w:color w:val="auto"/>
        </w:rPr>
      </w:pPr>
    </w:p>
    <w:p>
      <w:pPr>
        <w:jc w:val="both"/>
        <w:ind w:left="1380" w:right="299" w:firstLine="360"/>
        <w:spacing w:after="0" w:line="271" w:lineRule="auto"/>
        <w:rPr>
          <w:sz w:val="20"/>
          <w:szCs w:val="20"/>
          <w:color w:val="auto"/>
        </w:rPr>
      </w:pPr>
      <w:r>
        <w:rPr>
          <w:rFonts w:ascii="Times New Roman" w:cs="Times New Roman" w:eastAsia="Times New Roman" w:hAnsi="Times New Roman"/>
          <w:sz w:val="17"/>
          <w:szCs w:val="17"/>
          <w:color w:val="auto"/>
        </w:rPr>
        <w:t>(iii)  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65"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(iv)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86"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(v)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8" w:name="page79"/>
    <w:bookmarkEnd w:id="78"/>
    <w:p>
      <w:pPr>
        <w:jc w:val="both"/>
        <w:ind w:left="1380" w:right="299"/>
        <w:spacing w:after="0" w:line="261" w:lineRule="auto"/>
        <w:rPr>
          <w:sz w:val="20"/>
          <w:szCs w:val="20"/>
          <w:color w:val="auto"/>
        </w:rPr>
      </w:pPr>
      <w:r>
        <w:rPr>
          <w:rFonts w:ascii="Times New Roman" w:cs="Times New Roman" w:eastAsia="Times New Roman" w:hAnsi="Times New Roman"/>
          <w:sz w:val="18"/>
          <w:szCs w:val="18"/>
          <w:color w:val="auto"/>
        </w:rPr>
        <w:t>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72"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(vi)  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64"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or rights or interests therein, received in a Transfer that constitutes a Permitted Transfer.</w:t>
      </w:r>
    </w:p>
    <w:p>
      <w:pPr>
        <w:spacing w:after="0" w:line="4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(a) any registered holder of a share of the Delaware Corporation’s Class B Common Stock immediately after the IPO Date; (b) the initial registered holder of any shares of the Delaware Corporation’s Class B Common Stock that were originally issued by the Delaware Corporation after the IPO Date or any shares of Class B Common Stock that are issued by the Corporation after the effectiveness of these Articles, in each case, pursuant to the exercise or conversion of options or warrants or settlement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in each case, were outstanding as of the IPO Date or issued in connection with the Conversion, as applicable; (c) a Permitted Transferee; and (d) the initial registered holder of any shares of the Delaware Corporation’s Class B Common Stock that were originally issued by the Delaware Corporation after the IPO Date in compliance with the certificate of incorporation of the Delaware Corporation or any shares of Class B Common Stock that are issued by the Corporation in connection with the Conversion or otherwise issued by the Corporation after the effectiveness of these Articles in compliance with these Articles.</w:t>
      </w:r>
    </w:p>
    <w:p>
      <w:pPr>
        <w:spacing w:after="0" w:line="7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(a)  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9" w:name="page80"/>
    <w:bookmarkEnd w:id="79"/>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68"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(c)  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7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(d)  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72"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(e)  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81"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(f)  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(g)  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(h)  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  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64"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capital stock or other security, the power (whether exclusive or shared) to vote or direct the voting of such security, including by proxy, voting agreement or otherwise.</w:t>
      </w:r>
    </w:p>
    <w:p>
      <w:pPr>
        <w:spacing w:after="0" w:line="63"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i w:val="1"/>
          <w:iCs w:val="1"/>
          <w:color w:val="auto"/>
        </w:rPr>
        <w:t>Voting Threshold Date</w:t>
      </w:r>
      <w:r>
        <w:rPr>
          <w:rFonts w:ascii="Times New Roman" w:cs="Times New Roman" w:eastAsia="Times New Roman" w:hAnsi="Times New Roman"/>
          <w:sz w:val="18"/>
          <w:szCs w:val="18"/>
          <w:color w:val="auto"/>
        </w:rPr>
        <w:t>” means the first date on which the outstanding shares of Class B Common Stock represent less than a majority of the total voting power of the then outstanding shares of the Corporation entitled to vote generally in the election of directors.</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means the total number of authorized directors whether or not there exist any vacancies or unfilled seats in previously authorized directorships.</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xml:space="preserve">. Except as otherwise provided in these Articles or required by applicable law, shares of Common Stock shall have the same rights and powers, rank equally (including as to dividends and distributions, and any liquidation, dissolution or winding up of the corporation but excluding voting and other matters as described in </w:t>
      </w:r>
      <w:r>
        <w:rPr>
          <w:rFonts w:ascii="Times New Roman" w:cs="Times New Roman" w:eastAsia="Times New Roman" w:hAnsi="Times New Roman"/>
          <w:sz w:val="18"/>
          <w:szCs w:val="18"/>
          <w:u w:val="single" w:color="auto"/>
          <w:color w:val="auto"/>
        </w:rPr>
        <w:t>Section V.3</w:t>
      </w:r>
      <w:r>
        <w:rPr>
          <w:rFonts w:ascii="Times New Roman" w:cs="Times New Roman" w:eastAsia="Times New Roman" w:hAnsi="Times New Roman"/>
          <w:sz w:val="18"/>
          <w:szCs w:val="18"/>
          <w:color w:val="auto"/>
        </w:rPr>
        <w:t xml:space="preserve"> below), share ratably and be identical in all respects as to all matters, including:</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2.1  Subject to the prior rights of holders of all classes and series of stock at the time outstanding having prior rights as to dividends or distributions, the holders of the Common Stock shall be entitled to receive, when, as and if declared by the Board, out of any assets of the Corporation legally available therefor, such dividends or distributions as may be declared from time to time by the Board. Any dividends or distributions paid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0" w:name="page81"/>
    <w:bookmarkEnd w:id="80"/>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holders of shares of Common Stock shall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74"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 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96"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Each holder of shares of Class A Common Stock will be entitled to one (1) vote for each share thereof held at the record date for the determination of the stockholders entitled to vote on such matters.</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Each holder of shares of Class B Common Stock will be entitled to ten</w:t>
      </w:r>
    </w:p>
    <w:p>
      <w:pPr>
        <w:spacing w:after="0" w:line="27" w:lineRule="exact"/>
        <w:rPr>
          <w:sz w:val="20"/>
          <w:szCs w:val="20"/>
          <w:color w:val="auto"/>
        </w:rPr>
      </w:pPr>
    </w:p>
    <w:p>
      <w:pPr>
        <w:ind w:left="1020" w:right="299" w:hanging="8"/>
        <w:spacing w:after="0" w:line="260" w:lineRule="auto"/>
        <w:tabs>
          <w:tab w:leader="none" w:pos="13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for each share thereof held at the record date for the determination of the stockholders entitled to vote on such matters.</w:t>
      </w:r>
    </w:p>
    <w:p>
      <w:pPr>
        <w:spacing w:after="0" w:line="73"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Except as required by law, the Class C Common Stock will have no voting rights and no holder thereof shall be entitled to vote on any matter. For the avoidance of doubt, any right of the Class C Common Stock, or any holder thereof, to vote pursuant to NRS 78.2055(3) or 78.207(3) is hereby specifically denied.</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expressly provided herein or as required by law, the holders of Class A Common Stock, Class B Common Stock and Class C Common Stock will vote together and not as separate series or classes.</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xml:space="preserve">.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w:t>
      </w:r>
      <w:r>
        <w:rPr>
          <w:rFonts w:ascii="Times New Roman" w:cs="Times New Roman" w:eastAsia="Times New Roman" w:hAnsi="Times New Roman"/>
          <w:sz w:val="18"/>
          <w:szCs w:val="18"/>
          <w:u w:val="single" w:color="auto"/>
          <w:color w:val="auto"/>
        </w:rPr>
        <w:t>Section V.9</w:t>
      </w:r>
      <w:r>
        <w:rPr>
          <w:rFonts w:ascii="Times New Roman" w:cs="Times New Roman" w:eastAsia="Times New Roman" w:hAnsi="Times New Roman"/>
          <w:sz w:val="18"/>
          <w:szCs w:val="18"/>
          <w:color w:val="auto"/>
        </w:rPr>
        <w:t>) by the affirmative vote of the holders of a majority of the voting power of the Class A Common Stock and Class B Common Stock, voting together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1" w:name="page82"/>
    <w:bookmarkEnd w:id="81"/>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as a single class, irrespective of any applicable provisions of NRS 78.390(2); provided, that the number of authorized shares of Class B Common Stock shall not be increased without the affirmative vote of the holders of a majority of the outstanding shares of Class B Common Stock, voting as a separate class.</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 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a “distribution to stockholders” for the purpose of this </w:t>
      </w:r>
      <w:r>
        <w:rPr>
          <w:rFonts w:ascii="Times New Roman" w:cs="Times New Roman" w:eastAsia="Times New Roman" w:hAnsi="Times New Roman"/>
          <w:sz w:val="18"/>
          <w:szCs w:val="18"/>
          <w:u w:val="single" w:color="auto"/>
          <w:color w:val="auto"/>
        </w:rPr>
        <w:t>Section V.4</w:t>
      </w:r>
      <w:r>
        <w:rPr>
          <w:rFonts w:ascii="Times New Roman" w:cs="Times New Roman" w:eastAsia="Times New Roman" w:hAnsi="Times New Roman"/>
          <w:sz w:val="18"/>
          <w:szCs w:val="18"/>
          <w:color w:val="auto"/>
        </w:rPr>
        <w:t>; provided, further, however, that shares of such classes may receive, or have the right to elect to receive, different or 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w:t>
      </w:r>
    </w:p>
    <w:p>
      <w:pPr>
        <w:spacing w:after="0" w:line="2" w:lineRule="exact"/>
        <w:rPr>
          <w:sz w:val="20"/>
          <w:szCs w:val="20"/>
          <w:color w:val="auto"/>
        </w:rPr>
      </w:pPr>
    </w:p>
    <w:p>
      <w:pPr>
        <w:ind w:left="300" w:right="319" w:hanging="8"/>
        <w:spacing w:after="0" w:line="260" w:lineRule="auto"/>
        <w:tabs>
          <w:tab w:leader="none" w:pos="6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the voting power of any securities distributed to the holder of a share of Class A Common Stock and that any securities distributed to the holder of a share of Class C Common Stock have no voting rights or power.</w:t>
      </w:r>
    </w:p>
    <w:p>
      <w:pPr>
        <w:spacing w:after="0" w:line="73"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Conversion of the Class B Common Stock</w:t>
      </w:r>
      <w:r>
        <w:rPr>
          <w:rFonts w:ascii="Times New Roman" w:cs="Times New Roman" w:eastAsia="Times New Roman" w:hAnsi="Times New Roman"/>
          <w:sz w:val="18"/>
          <w:szCs w:val="18"/>
          <w:color w:val="auto"/>
        </w:rPr>
        <w:t>. The Class B Common Stock will be convertible into Class A Common Stock as follows:</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5.1  Each share of Class B Common Stock will automatically convert into one fully paid and nonassessable share of Class A Common Stock on the Final Conversion Date.</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68" w:lineRule="exact"/>
        <w:rPr>
          <w:sz w:val="20"/>
          <w:szCs w:val="20"/>
          <w:color w:val="auto"/>
        </w:rPr>
      </w:pPr>
    </w:p>
    <w:p>
      <w:pPr>
        <w:jc w:val="both"/>
        <w:ind w:left="1020" w:right="319" w:firstLine="360"/>
        <w:spacing w:after="0" w:line="289" w:lineRule="auto"/>
        <w:rPr>
          <w:sz w:val="20"/>
          <w:szCs w:val="20"/>
          <w:color w:val="auto"/>
        </w:rPr>
      </w:pPr>
      <w:r>
        <w:rPr>
          <w:rFonts w:ascii="Times New Roman" w:cs="Times New Roman" w:eastAsia="Times New Roman" w:hAnsi="Times New Roman"/>
          <w:sz w:val="17"/>
          <w:szCs w:val="17"/>
          <w:color w:val="auto"/>
        </w:rPr>
        <w:t>(a)  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50"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(b)  on the occurrence of a Transfer of such share of Class B Common Stock, other than a Permitted Transfer; or</w:t>
      </w:r>
    </w:p>
    <w:p>
      <w:pPr>
        <w:spacing w:after="0" w:line="54"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with respect to the shares of Class B Common Stock held of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w:t>
      </w:r>
      <w:r>
        <w:rPr>
          <w:rFonts w:ascii="Times New Roman" w:cs="Times New Roman" w:eastAsia="Times New Roman" w:hAnsi="Times New Roman"/>
          <w:sz w:val="18"/>
          <w:szCs w:val="18"/>
          <w:u w:val="single" w:color="auto"/>
          <w:color w:val="auto"/>
        </w:rPr>
        <w:t>Section V.1.18</w:t>
      </w:r>
      <w:r>
        <w:rPr>
          <w:rFonts w:ascii="Times New Roman" w:cs="Times New Roman" w:eastAsia="Times New Roman" w:hAnsi="Times New Roman"/>
          <w:sz w:val="18"/>
          <w:szCs w:val="18"/>
          <w:color w:val="auto"/>
        </w:rPr>
        <w:t xml:space="preserve"> of these Articles or, if no such proxy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2" w:name="page83"/>
    <w:bookmarkEnd w:id="82"/>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 xml:space="preserve">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xml:space="preserve">, that, if both Founders die and/or suffer a Disability simultaneously or the second Founder dies or suffers a Disability following the death or Disability of the other Founder, but prior to the conversion pursuant to this </w:t>
      </w:r>
      <w:r>
        <w:rPr>
          <w:rFonts w:ascii="Times New Roman" w:cs="Times New Roman" w:eastAsia="Times New Roman" w:hAnsi="Times New Roman"/>
          <w:sz w:val="18"/>
          <w:szCs w:val="18"/>
          <w:u w:val="single" w:color="auto"/>
          <w:color w:val="auto"/>
        </w:rPr>
        <w:t>Section V.5.2(c)</w:t>
      </w:r>
      <w:r>
        <w:rPr>
          <w:rFonts w:ascii="Times New Roman" w:cs="Times New Roman" w:eastAsia="Times New Roman" w:hAnsi="Times New Roman"/>
          <w:sz w:val="18"/>
          <w:szCs w:val="18"/>
          <w:color w:val="auto"/>
        </w:rPr>
        <w:t xml:space="preserve"> of the shares of Class B Common Stock held of record by such first Founder to die or become Disabled, his Permitted Entities or his Permitted Transferees, a person (including a person 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w:t>
      </w:r>
    </w:p>
    <w:p>
      <w:pPr>
        <w:spacing w:after="0" w:line="12" w:lineRule="exact"/>
        <w:rPr>
          <w:sz w:val="20"/>
          <w:szCs w:val="20"/>
          <w:color w:val="auto"/>
        </w:rPr>
      </w:pPr>
    </w:p>
    <w:p>
      <w:pPr>
        <w:ind w:left="1020" w:right="299" w:hanging="8"/>
        <w:spacing w:after="0" w:line="260" w:lineRule="auto"/>
        <w:tabs>
          <w:tab w:leader="none" w:pos="14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last applicable death or Disability as may be approved by a majority of the Independent Directors then in office.</w:t>
      </w:r>
    </w:p>
    <w:p>
      <w:pPr>
        <w:spacing w:after="0" w:line="73"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Conversion of the Class C Common Stock</w:t>
      </w:r>
      <w:r>
        <w:rPr>
          <w:rFonts w:ascii="Times New Roman" w:cs="Times New Roman" w:eastAsia="Times New Roman" w:hAnsi="Times New Roman"/>
          <w:sz w:val="18"/>
          <w:szCs w:val="18"/>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Times New Roman" w:cs="Times New Roman" w:eastAsia="Times New Roman" w:hAnsi="Times New Roman"/>
          <w:sz w:val="18"/>
          <w:szCs w:val="18"/>
          <w:b w:val="1"/>
          <w:bCs w:val="1"/>
          <w:i w:val="1"/>
          <w:iCs w:val="1"/>
          <w:color w:val="auto"/>
        </w:rPr>
        <w:t>Class C Conversion Date</w:t>
      </w:r>
      <w:r>
        <w:rPr>
          <w:rFonts w:ascii="Times New Roman" w:cs="Times New Roman" w:eastAsia="Times New Roman" w:hAnsi="Times New Roman"/>
          <w:sz w:val="18"/>
          <w:szCs w:val="18"/>
          <w:color w:val="auto"/>
        </w:rPr>
        <w:t>”), each outstanding share of Class C Capital Stock shall automatically, without further action by the Corporation or the holders thereof, convert into one (1) fully paid and nonassessable share of Class A Common Stock.</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Immediate Effect</w:t>
      </w:r>
      <w:r>
        <w:rPr>
          <w:rFonts w:ascii="Times New Roman" w:cs="Times New Roman" w:eastAsia="Times New Roman" w:hAnsi="Times New Roman"/>
          <w:sz w:val="18"/>
          <w:szCs w:val="18"/>
          <w:color w:val="auto"/>
        </w:rPr>
        <w:t xml:space="preserve">. In the event of and upon a conversion of shares of Class B Common Stock to shares of Class A Common Stock pursuant to </w:t>
      </w:r>
      <w:r>
        <w:rPr>
          <w:rFonts w:ascii="Times New Roman" w:cs="Times New Roman" w:eastAsia="Times New Roman" w:hAnsi="Times New Roman"/>
          <w:sz w:val="18"/>
          <w:szCs w:val="18"/>
          <w:u w:val="single" w:color="auto"/>
          <w:color w:val="auto"/>
        </w:rPr>
        <w:t>Section V.5</w:t>
      </w:r>
      <w:r>
        <w:rPr>
          <w:rFonts w:ascii="Times New Roman" w:cs="Times New Roman" w:eastAsia="Times New Roman" w:hAnsi="Times New Roman"/>
          <w:sz w:val="18"/>
          <w:szCs w:val="18"/>
          <w:color w:val="auto"/>
        </w:rPr>
        <w:t xml:space="preserve"> or Class C Common Stock to Class A Common Stock pursuant to </w:t>
      </w:r>
      <w:r>
        <w:rPr>
          <w:rFonts w:ascii="Times New Roman" w:cs="Times New Roman" w:eastAsia="Times New Roman" w:hAnsi="Times New Roman"/>
          <w:sz w:val="18"/>
          <w:szCs w:val="18"/>
          <w:u w:val="single" w:color="auto"/>
          <w:color w:val="auto"/>
        </w:rPr>
        <w:t>Section V.6</w:t>
      </w:r>
      <w:r>
        <w:rPr>
          <w:rFonts w:ascii="Times New Roman" w:cs="Times New Roman" w:eastAsia="Times New Roman" w:hAnsi="Times New Roman"/>
          <w:sz w:val="18"/>
          <w:szCs w:val="18"/>
          <w:color w:val="auto"/>
        </w:rPr>
        <w:t>,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these Articles. Upon any conversion of Class B Common Stock or Class C Common Stock to Class A Common Stock in accordance with these Articles,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Reservation of Stock Issuable Upon Conversion</w:t>
      </w:r>
      <w:r>
        <w:rPr>
          <w:rFonts w:ascii="Times New Roman" w:cs="Times New Roman" w:eastAsia="Times New Roman" w:hAnsi="Times New Roman"/>
          <w:sz w:val="18"/>
          <w:szCs w:val="18"/>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3" w:name="page84"/>
    <w:bookmarkEnd w:id="83"/>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 Reissuance of Class B Common Stock</w:t>
      </w:r>
      <w:r>
        <w:rPr>
          <w:rFonts w:ascii="Times New Roman" w:cs="Times New Roman" w:eastAsia="Times New Roman" w:hAnsi="Times New Roman"/>
          <w:sz w:val="18"/>
          <w:szCs w:val="18"/>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Class B Protective Provisions</w:t>
      </w:r>
      <w:r>
        <w:rPr>
          <w:rFonts w:ascii="Times New Roman" w:cs="Times New Roman" w:eastAsia="Times New Roman" w:hAnsi="Times New Roman"/>
          <w:sz w:val="18"/>
          <w:szCs w:val="18"/>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these Articles:</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12.1  directly or indirectly, whether by amendment, or through merger, recapitalization, consolidation or otherwise, amend or repeal, or adopt any provision of these Articles inconsistent with, or otherwise alter, any provision of these Articles that modifies the voting, conversion or other rights, powers, preferences, privileges or restrictions of the Class B Common Stock;</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12.4  authorize, or issue any shares of, any class or series of capital stock of the Corporation having the right to more than (1) vote for each share thereof; or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12.5   consummate a Liquidation Event.</w:t>
      </w:r>
    </w:p>
    <w:p>
      <w:pPr>
        <w:spacing w:after="0" w:line="3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Rights of Preferred Stock</w:t>
      </w:r>
      <w:r>
        <w:rPr>
          <w:rFonts w:ascii="Times New Roman" w:cs="Times New Roman" w:eastAsia="Times New Roman" w:hAnsi="Times New Roman"/>
          <w:sz w:val="18"/>
          <w:szCs w:val="18"/>
          <w:color w:val="auto"/>
        </w:rPr>
        <w:t>. The Board is authorized, subject to any limitations prescribed by law, to provide for the issuance of shares of Preferred Stock in series, and by filing a certificate of designation pursuant to NRS 78.1955 (such certificate being hereinafter referred to as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to establish from time to time the number of shares to be included in each such series, and to fix the designation, powers, preferences, and rights of the shares of each such series and any qualifications, limitations or restrictions thereof.</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Vote to Increase or Decrease Authorized Shares</w:t>
      </w:r>
      <w:r>
        <w:rPr>
          <w:rFonts w:ascii="Times New Roman" w:cs="Times New Roman" w:eastAsia="Times New Roman" w:hAnsi="Times New Roman"/>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any applicable provisions of NRS 78.390(2).</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Board Size</w:t>
      </w:r>
      <w:r>
        <w:rPr>
          <w:rFonts w:ascii="Times New Roman" w:cs="Times New Roman" w:eastAsia="Times New Roman" w:hAnsi="Times New Roman"/>
          <w:sz w:val="18"/>
          <w:szCs w:val="18"/>
          <w:color w:val="auto"/>
        </w:rPr>
        <w:t>. Subject to the rights of the holders of any series of Preferred Stock to elect additional directors under specified circumstances, the number of directors that constitutes the entire Board shall be fixed by, or in the manner provided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NRS.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Board Structure</w:t>
      </w:r>
      <w:r>
        <w:rPr>
          <w:rFonts w:ascii="Times New Roman" w:cs="Times New Roman" w:eastAsia="Times New Roman" w:hAnsi="Times New Roman"/>
          <w:sz w:val="18"/>
          <w:szCs w:val="18"/>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4" w:name="page85"/>
    <w:bookmarkEnd w:id="84"/>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Times New Roman" w:cs="Times New Roman" w:eastAsia="Times New Roman" w:hAnsi="Times New Roman"/>
          <w:sz w:val="18"/>
          <w:szCs w:val="18"/>
          <w:b w:val="1"/>
          <w:bCs w:val="1"/>
          <w:i w:val="1"/>
          <w:iCs w:val="1"/>
          <w:color w:val="auto"/>
        </w:rPr>
        <w:t>Classified Board Effective Date</w:t>
      </w:r>
      <w:r>
        <w:rPr>
          <w:rFonts w:ascii="Times New Roman" w:cs="Times New Roman" w:eastAsia="Times New Roman" w:hAnsi="Times New Roman"/>
          <w:sz w:val="18"/>
          <w:szCs w:val="18"/>
          <w:color w:val="auto"/>
        </w:rPr>
        <w:t xml:space="preserve">”), the term of office of the initial Class II directors shall expire at the second annual meeting of the 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w:t>
      </w:r>
      <w:r>
        <w:rPr>
          <w:rFonts w:ascii="Times New Roman" w:cs="Times New Roman" w:eastAsia="Times New Roman" w:hAnsi="Times New Roman"/>
          <w:sz w:val="18"/>
          <w:szCs w:val="18"/>
          <w:u w:val="single" w:color="auto"/>
          <w:color w:val="auto"/>
        </w:rPr>
        <w:t>Section VII.2</w:t>
      </w:r>
      <w:r>
        <w:rPr>
          <w:rFonts w:ascii="Times New Roman" w:cs="Times New Roman" w:eastAsia="Times New Roman" w:hAnsi="Times New Roman"/>
          <w:sz w:val="18"/>
          <w:szCs w:val="18"/>
          <w:color w:val="auto"/>
        </w:rPr>
        <w:t xml:space="preserve"> in the event a Classified Board Effective Date occurs) and until his or her successor shall have been duly elected and qualified. Notwithstanding the foregoing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Any director may be removed from office by the stockholders of the Corporation as provided in NRS 78.335.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BUSINESS AND CONDUCT OF AFFAIRS</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1. 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Board Power</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by statute or by these Articles or the Bylaws of the Corporation, the Board is hereby empowered to exercise all such powers and do all such acts and things as may be exercised or done by the Corporation.</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Written Ballot</w:t>
      </w:r>
      <w:r>
        <w:rPr>
          <w:rFonts w:ascii="Times New Roman" w:cs="Times New Roman" w:eastAsia="Times New Roman" w:hAnsi="Times New Roman"/>
          <w:sz w:val="18"/>
          <w:szCs w:val="18"/>
          <w:color w:val="auto"/>
        </w:rPr>
        <w:t>. Elections of directors need not be by written ballot unless otherwise provided in the Bylaws of the Corporation.</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by the NRS, the Board is expressly authorized to adopt, amend or repeal the Bylaws of the Corporation.</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of the Corporation.</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Availability of Stockholder Action by Written Consent</w:t>
      </w:r>
      <w:r>
        <w:rPr>
          <w:rFonts w:ascii="Times New Roman" w:cs="Times New Roman" w:eastAsia="Times New Roman" w:hAnsi="Times New Roman"/>
          <w:sz w:val="18"/>
          <w:szCs w:val="18"/>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5" w:name="page86"/>
    <w:bookmarkEnd w:id="85"/>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 Reliance on the Controlled Company Exemption</w:t>
      </w:r>
      <w:r>
        <w:rPr>
          <w:rFonts w:ascii="Times New Roman" w:cs="Times New Roman" w:eastAsia="Times New Roman" w:hAnsi="Times New Roman"/>
          <w:sz w:val="18"/>
          <w:szCs w:val="18"/>
          <w:color w:val="auto"/>
        </w:rPr>
        <w:t>. At any time during which shares of capital stock of the Corporation are listed for trading on the New York Stock Exchange, NASDAQ Global Select Market or NASDAQ Global Market or any successor markets or exchanges, the Corporation shall not rely upon the Controlled Company Exemption.</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Neither any amendment nor repeal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nor the adoption of any provision of these Articles inconsistent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shall eliminate, reduce or otherwise adversely affect any limitation on the personal liability of a director or officer of the Corporation existing at the time of such amendment, repeal or adoption of such an inconsistent provision.</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SEVERABILITY AND AMENDMENT</w:t>
      </w:r>
    </w:p>
    <w:p>
      <w:pPr>
        <w:spacing w:after="0" w:line="99"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1.  If any provision of these Articles becomes or is declared on any ground by a court of competent jurisdiction to be illegal, unenforceable or void, portions of such provision, or such provision in its entirety, to the extent necessary, shall be severed from these Articles, and the court will replace such illegal, void or unenforceable provision of these Articles with a valid and enforceable provision that most accurately reflects the Corporation’s intent, in order to achieve, to the maximum extent possible, the same economic, business and other purposes of the illegal, void or unenforceable provision. The balance of these Articles shall be enforceable in accordance with its terms.</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2.  Except as provided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above, the Corporation reserves the right to amend, alter, change or repeal any provision contained in these Articles, in the manner now or hereafter prescribed by statute, and all rights conferred upon stockholders herein are granted subject to this reservation; provided, however, that, notwithstanding any other provision of these Articles or any provision of law that might otherwise permit a lesser vote, but in addition to any vote of the holders of any class or series of the stock of this Corporation required by law or by these Articles,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these Articles or adopt any new provision of these Articles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these Articles inconsistent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this clause (i)(b)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these Articles (except in either case by virtue of a filing of a Preferred Stock Designation, but subject to any vote required by law or by other provisions of these Articles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these Articles inconsistent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6" w:name="page87"/>
    <w:bookmarkEnd w:id="86"/>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F</w:t>
      </w:r>
    </w:p>
    <w:p>
      <w:pPr>
        <w:spacing w:after="0" w:line="3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5"/>
          <w:szCs w:val="25"/>
          <w:b w:val="1"/>
          <w:bCs w:val="1"/>
          <w:color w:val="auto"/>
        </w:rPr>
        <w:t>BYLAWS OF</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Dropbox, Inc.</w:t>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(effective as of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107315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-29210</wp:posOffset>
            </wp:positionV>
            <wp:extent cx="6858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01"/>
        </w:trPr>
        <w:tc>
          <w:tcPr>
            <w:tcW w:w="282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w w:val="98"/>
              </w:rPr>
              <w:t>ARTICLE I - CORPORATE OFFICES</w:t>
            </w:r>
          </w:p>
        </w:tc>
        <w:tc>
          <w:tcPr>
            <w:tcW w:w="5160" w:type="dxa"/>
            <w:vAlign w:val="bottom"/>
            <w:gridSpan w:val="28"/>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2820" w:type="dxa"/>
            <w:vAlign w:val="bottom"/>
            <w:tcBorders>
              <w:top w:val="single" w:sz="8" w:color="0000EE"/>
            </w:tcBorders>
            <w:gridSpan w:val="25"/>
            <w:shd w:val="clear" w:color="auto" w:fill="CCEEFF"/>
          </w:tcPr>
          <w:p>
            <w:pPr>
              <w:spacing w:after="0"/>
              <w:rPr>
                <w:sz w:val="2"/>
                <w:szCs w:val="2"/>
                <w:color w:val="auto"/>
              </w:rPr>
            </w:pPr>
          </w:p>
        </w:tc>
        <w:tc>
          <w:tcPr>
            <w:tcW w:w="5280" w:type="dxa"/>
            <w:vAlign w:val="bottom"/>
            <w:tcBorders>
              <w:top w:val="single" w:sz="8" w:color="CCEEFF"/>
            </w:tcBorders>
            <w:gridSpan w:val="30"/>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206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REGISTERED OFFICE</w:t>
            </w:r>
          </w:p>
        </w:tc>
        <w:tc>
          <w:tcPr>
            <w:tcW w:w="5160" w:type="dxa"/>
            <w:vAlign w:val="bottom"/>
            <w:gridSpan w:val="28"/>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1760" w:type="dxa"/>
            <w:vAlign w:val="bottom"/>
            <w:tcBorders>
              <w:top w:val="single" w:sz="8" w:color="0000EE"/>
            </w:tcBorders>
            <w:gridSpan w:val="16"/>
          </w:tcPr>
          <w:p>
            <w:pPr>
              <w:spacing w:after="0"/>
              <w:rPr>
                <w:sz w:val="2"/>
                <w:szCs w:val="2"/>
                <w:color w:val="auto"/>
              </w:rPr>
            </w:pPr>
          </w:p>
        </w:tc>
        <w:tc>
          <w:tcPr>
            <w:tcW w:w="5520" w:type="dxa"/>
            <w:vAlign w:val="bottom"/>
            <w:gridSpan w:val="34"/>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OFFICES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360" w:type="dxa"/>
            <w:vAlign w:val="bottom"/>
            <w:tcBorders>
              <w:top w:val="single" w:sz="8" w:color="0000EE"/>
            </w:tcBorders>
            <w:gridSpan w:val="10"/>
            <w:shd w:val="clear" w:color="auto" w:fill="CCEEFF"/>
          </w:tcPr>
          <w:p>
            <w:pPr>
              <w:spacing w:after="0"/>
              <w:rPr>
                <w:sz w:val="2"/>
                <w:szCs w:val="2"/>
                <w:color w:val="auto"/>
              </w:rPr>
            </w:pPr>
          </w:p>
        </w:tc>
        <w:tc>
          <w:tcPr>
            <w:tcW w:w="5920" w:type="dxa"/>
            <w:vAlign w:val="bottom"/>
            <w:tcBorders>
              <w:top w:val="single" w:sz="8" w:color="CCEEFF"/>
            </w:tcBorders>
            <w:gridSpan w:val="40"/>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798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ARTICLE II - MEETINGS OF STOCKHOLDERS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700" w:type="dxa"/>
            <w:vAlign w:val="bottom"/>
            <w:tcBorders>
              <w:top w:val="single" w:sz="8" w:color="0000EE"/>
            </w:tcBorders>
            <w:gridSpan w:val="38"/>
          </w:tcPr>
          <w:p>
            <w:pPr>
              <w:spacing w:after="0"/>
              <w:rPr>
                <w:sz w:val="2"/>
                <w:szCs w:val="2"/>
                <w:color w:val="auto"/>
              </w:rPr>
            </w:pPr>
          </w:p>
        </w:tc>
        <w:tc>
          <w:tcPr>
            <w:tcW w:w="4400" w:type="dxa"/>
            <w:vAlign w:val="bottom"/>
            <w:gridSpan w:val="17"/>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PLACE OF MEETINGS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800" w:type="dxa"/>
            <w:vAlign w:val="bottom"/>
            <w:tcBorders>
              <w:top w:val="single" w:sz="8" w:color="0000EE"/>
            </w:tcBorders>
            <w:gridSpan w:val="17"/>
            <w:shd w:val="clear" w:color="auto" w:fill="CCEEFF"/>
          </w:tcPr>
          <w:p>
            <w:pPr>
              <w:spacing w:after="0"/>
              <w:rPr>
                <w:sz w:val="2"/>
                <w:szCs w:val="2"/>
                <w:color w:val="auto"/>
              </w:rPr>
            </w:pPr>
          </w:p>
        </w:tc>
        <w:tc>
          <w:tcPr>
            <w:tcW w:w="5480" w:type="dxa"/>
            <w:vAlign w:val="bottom"/>
            <w:tcBorders>
              <w:top w:val="single" w:sz="8" w:color="CCEEFF"/>
            </w:tcBorders>
            <w:gridSpan w:val="33"/>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ANNUAL MEETING</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1600" w:type="dxa"/>
            <w:vAlign w:val="bottom"/>
            <w:tcBorders>
              <w:top w:val="single" w:sz="8" w:color="0000EE"/>
            </w:tcBorders>
            <w:gridSpan w:val="14"/>
          </w:tcPr>
          <w:p>
            <w:pPr>
              <w:spacing w:after="0"/>
              <w:rPr>
                <w:sz w:val="2"/>
                <w:szCs w:val="2"/>
                <w:color w:val="auto"/>
              </w:rPr>
            </w:pPr>
          </w:p>
        </w:tc>
        <w:tc>
          <w:tcPr>
            <w:tcW w:w="5680" w:type="dxa"/>
            <w:vAlign w:val="bottom"/>
            <w:gridSpan w:val="36"/>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SPECIAL MEETING</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580" w:type="dxa"/>
            <w:vAlign w:val="bottom"/>
            <w:tcBorders>
              <w:top w:val="single" w:sz="8" w:color="0000EE"/>
            </w:tcBorders>
            <w:gridSpan w:val="13"/>
            <w:shd w:val="clear" w:color="auto" w:fill="CCEEFF"/>
          </w:tcPr>
          <w:p>
            <w:pPr>
              <w:spacing w:after="0"/>
              <w:rPr>
                <w:sz w:val="2"/>
                <w:szCs w:val="2"/>
                <w:color w:val="auto"/>
              </w:rPr>
            </w:pPr>
          </w:p>
        </w:tc>
        <w:tc>
          <w:tcPr>
            <w:tcW w:w="5700" w:type="dxa"/>
            <w:vAlign w:val="bottom"/>
            <w:tcBorders>
              <w:top w:val="single" w:sz="8" w:color="CCEEFF"/>
            </w:tcBorders>
            <w:gridSpan w:val="37"/>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ADVANCE NOTICE PROCEDURES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F-2</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780" w:type="dxa"/>
            <w:vAlign w:val="bottom"/>
            <w:tcBorders>
              <w:top w:val="single" w:sz="8" w:color="0000EE"/>
            </w:tcBorders>
            <w:gridSpan w:val="31"/>
          </w:tcPr>
          <w:p>
            <w:pPr>
              <w:spacing w:after="0"/>
              <w:rPr>
                <w:sz w:val="2"/>
                <w:szCs w:val="2"/>
                <w:color w:val="auto"/>
              </w:rPr>
            </w:pPr>
          </w:p>
        </w:tc>
        <w:tc>
          <w:tcPr>
            <w:tcW w:w="4500" w:type="dxa"/>
            <w:vAlign w:val="bottom"/>
            <w:gridSpan w:val="19"/>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NOTICE OF STOCKHOLDERS’ MEETINGS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3400" w:type="dxa"/>
            <w:vAlign w:val="bottom"/>
            <w:tcBorders>
              <w:top w:val="single" w:sz="8" w:color="0000EE"/>
            </w:tcBorders>
            <w:gridSpan w:val="35"/>
            <w:shd w:val="clear" w:color="auto" w:fill="CCEEFF"/>
          </w:tcPr>
          <w:p>
            <w:pPr>
              <w:spacing w:after="0"/>
              <w:rPr>
                <w:sz w:val="2"/>
                <w:szCs w:val="2"/>
                <w:color w:val="auto"/>
              </w:rPr>
            </w:pPr>
          </w:p>
        </w:tc>
        <w:tc>
          <w:tcPr>
            <w:tcW w:w="3880" w:type="dxa"/>
            <w:vAlign w:val="bottom"/>
            <w:tcBorders>
              <w:top w:val="single" w:sz="8" w:color="CCEEFF"/>
            </w:tcBorders>
            <w:gridSpan w:val="15"/>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QUORUM</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F-6</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800" w:type="dxa"/>
            <w:vAlign w:val="bottom"/>
            <w:tcBorders>
              <w:top w:val="single" w:sz="8" w:color="0000EE"/>
            </w:tcBorders>
            <w:gridSpan w:val="4"/>
          </w:tcPr>
          <w:p>
            <w:pPr>
              <w:spacing w:after="0"/>
              <w:rPr>
                <w:sz w:val="2"/>
                <w:szCs w:val="2"/>
                <w:color w:val="auto"/>
              </w:rPr>
            </w:pPr>
          </w:p>
        </w:tc>
        <w:tc>
          <w:tcPr>
            <w:tcW w:w="6480" w:type="dxa"/>
            <w:vAlign w:val="bottom"/>
            <w:gridSpan w:val="46"/>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ADJOURNED MEETING; NOTICE</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680" w:type="dxa"/>
            <w:vAlign w:val="bottom"/>
            <w:tcBorders>
              <w:top w:val="single" w:sz="8" w:color="0000EE"/>
            </w:tcBorders>
            <w:gridSpan w:val="30"/>
            <w:shd w:val="clear" w:color="auto" w:fill="CCEEFF"/>
          </w:tcPr>
          <w:p>
            <w:pPr>
              <w:spacing w:after="0"/>
              <w:rPr>
                <w:sz w:val="2"/>
                <w:szCs w:val="2"/>
                <w:color w:val="auto"/>
              </w:rPr>
            </w:pPr>
          </w:p>
        </w:tc>
        <w:tc>
          <w:tcPr>
            <w:tcW w:w="4600" w:type="dxa"/>
            <w:vAlign w:val="bottom"/>
            <w:tcBorders>
              <w:top w:val="single" w:sz="8" w:color="CCEEFF"/>
            </w:tcBorders>
            <w:gridSpan w:val="20"/>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CONDUCT OF BUSINESS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F-7</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040" w:type="dxa"/>
            <w:vAlign w:val="bottom"/>
            <w:tcBorders>
              <w:top w:val="single" w:sz="8" w:color="0000EE"/>
            </w:tcBorders>
            <w:gridSpan w:val="21"/>
          </w:tcPr>
          <w:p>
            <w:pPr>
              <w:spacing w:after="0"/>
              <w:rPr>
                <w:sz w:val="2"/>
                <w:szCs w:val="2"/>
                <w:color w:val="auto"/>
              </w:rPr>
            </w:pPr>
          </w:p>
        </w:tc>
        <w:tc>
          <w:tcPr>
            <w:tcW w:w="5240" w:type="dxa"/>
            <w:vAlign w:val="bottom"/>
            <w:gridSpan w:val="29"/>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VOTING</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F-7</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600" w:type="dxa"/>
            <w:vAlign w:val="bottom"/>
            <w:tcBorders>
              <w:top w:val="single" w:sz="8" w:color="CCEEFF"/>
            </w:tcBorders>
            <w:gridSpan w:val="49"/>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10</w:t>
            </w: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STOCKHOLDER ACTION BY CONSENT WITHOUT A MEETING</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F-7</w:t>
            </w:r>
          </w:p>
        </w:tc>
      </w:tr>
      <w:tr>
        <w:trPr>
          <w:trHeight w:val="34"/>
        </w:trPr>
        <w:tc>
          <w:tcPr>
            <w:tcW w:w="380" w:type="dxa"/>
            <w:vAlign w:val="bottom"/>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5120" w:type="dxa"/>
            <w:vAlign w:val="bottom"/>
            <w:tcBorders>
              <w:top w:val="single" w:sz="8" w:color="0000EE"/>
            </w:tcBorders>
            <w:gridSpan w:val="44"/>
          </w:tcPr>
          <w:p>
            <w:pPr>
              <w:spacing w:after="0"/>
              <w:rPr>
                <w:sz w:val="2"/>
                <w:szCs w:val="2"/>
                <w:color w:val="auto"/>
              </w:rPr>
            </w:pPr>
          </w:p>
        </w:tc>
        <w:tc>
          <w:tcPr>
            <w:tcW w:w="2160" w:type="dxa"/>
            <w:vAlign w:val="bottom"/>
            <w:gridSpan w:val="6"/>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11</w:t>
            </w: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RECORD DATES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F-7</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120" w:type="dxa"/>
            <w:vAlign w:val="bottom"/>
            <w:tcBorders>
              <w:top w:val="single" w:sz="8" w:color="CCEEFF"/>
            </w:tcBorders>
            <w:gridSpan w:val="2"/>
            <w:shd w:val="clear" w:color="auto" w:fill="CCEEFF"/>
          </w:tcPr>
          <w:p>
            <w:pPr>
              <w:spacing w:after="0"/>
              <w:rPr>
                <w:sz w:val="2"/>
                <w:szCs w:val="2"/>
                <w:color w:val="auto"/>
              </w:rPr>
            </w:pPr>
          </w:p>
        </w:tc>
        <w:tc>
          <w:tcPr>
            <w:tcW w:w="1340" w:type="dxa"/>
            <w:vAlign w:val="bottom"/>
            <w:tcBorders>
              <w:top w:val="single" w:sz="8" w:color="0000EE"/>
            </w:tcBorders>
            <w:gridSpan w:val="9"/>
            <w:shd w:val="clear" w:color="auto" w:fill="CCEEFF"/>
          </w:tcPr>
          <w:p>
            <w:pPr>
              <w:spacing w:after="0"/>
              <w:rPr>
                <w:sz w:val="2"/>
                <w:szCs w:val="2"/>
                <w:color w:val="auto"/>
              </w:rPr>
            </w:pPr>
          </w:p>
        </w:tc>
        <w:tc>
          <w:tcPr>
            <w:tcW w:w="5940" w:type="dxa"/>
            <w:vAlign w:val="bottom"/>
            <w:tcBorders>
              <w:top w:val="single" w:sz="8" w:color="CCEEFF"/>
            </w:tcBorders>
            <w:gridSpan w:val="41"/>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12</w:t>
            </w: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PROXIES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Borders>
              <w:top w:val="single" w:sz="8" w:color="0000EE"/>
            </w:tcBorders>
            <w:gridSpan w:val="3"/>
          </w:tcPr>
          <w:p>
            <w:pPr>
              <w:spacing w:after="0"/>
              <w:rPr>
                <w:sz w:val="2"/>
                <w:szCs w:val="2"/>
                <w:color w:val="auto"/>
              </w:rPr>
            </w:pPr>
          </w:p>
        </w:tc>
        <w:tc>
          <w:tcPr>
            <w:tcW w:w="6540" w:type="dxa"/>
            <w:vAlign w:val="bottom"/>
            <w:gridSpan w:val="47"/>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3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13</w:t>
            </w: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LIST OF STOCKHOLDERS ENTITLED TO VOTE</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120" w:type="dxa"/>
            <w:vAlign w:val="bottom"/>
            <w:tcBorders>
              <w:top w:val="single" w:sz="8" w:color="CCEEFF"/>
            </w:tcBorders>
            <w:gridSpan w:val="2"/>
            <w:shd w:val="clear" w:color="auto" w:fill="CCEEFF"/>
          </w:tcPr>
          <w:p>
            <w:pPr>
              <w:spacing w:after="0"/>
              <w:rPr>
                <w:sz w:val="2"/>
                <w:szCs w:val="2"/>
                <w:color w:val="auto"/>
              </w:rPr>
            </w:pPr>
          </w:p>
        </w:tc>
        <w:tc>
          <w:tcPr>
            <w:tcW w:w="3840" w:type="dxa"/>
            <w:vAlign w:val="bottom"/>
            <w:tcBorders>
              <w:top w:val="single" w:sz="8" w:color="0000EE"/>
            </w:tcBorders>
            <w:gridSpan w:val="42"/>
            <w:shd w:val="clear" w:color="auto" w:fill="CCEEFF"/>
          </w:tcPr>
          <w:p>
            <w:pPr>
              <w:spacing w:after="0"/>
              <w:rPr>
                <w:sz w:val="2"/>
                <w:szCs w:val="2"/>
                <w:color w:val="auto"/>
              </w:rPr>
            </w:pPr>
          </w:p>
        </w:tc>
        <w:tc>
          <w:tcPr>
            <w:tcW w:w="3440" w:type="dxa"/>
            <w:vAlign w:val="bottom"/>
            <w:tcBorders>
              <w:top w:val="single" w:sz="8" w:color="CCEEFF"/>
            </w:tcBorders>
            <w:gridSpan w:val="8"/>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14</w:t>
            </w: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INSPECTORS OF ELECTION</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280" w:type="dxa"/>
            <w:vAlign w:val="bottom"/>
            <w:tcBorders>
              <w:top w:val="single" w:sz="8" w:color="0000EE"/>
            </w:tcBorders>
            <w:gridSpan w:val="25"/>
          </w:tcPr>
          <w:p>
            <w:pPr>
              <w:spacing w:after="0"/>
              <w:rPr>
                <w:sz w:val="2"/>
                <w:szCs w:val="2"/>
                <w:color w:val="auto"/>
              </w:rPr>
            </w:pPr>
          </w:p>
        </w:tc>
        <w:tc>
          <w:tcPr>
            <w:tcW w:w="5000" w:type="dxa"/>
            <w:vAlign w:val="bottom"/>
            <w:gridSpan w:val="25"/>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2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ARTICLE III - DIRECTORS</w:t>
            </w:r>
          </w:p>
        </w:tc>
        <w:tc>
          <w:tcPr>
            <w:tcW w:w="5860" w:type="dxa"/>
            <w:vAlign w:val="bottom"/>
            <w:gridSpan w:val="40"/>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2120" w:type="dxa"/>
            <w:vAlign w:val="bottom"/>
            <w:tcBorders>
              <w:top w:val="single" w:sz="8" w:color="0000EE"/>
            </w:tcBorders>
            <w:gridSpan w:val="13"/>
            <w:shd w:val="clear" w:color="auto" w:fill="CCEEFF"/>
          </w:tcPr>
          <w:p>
            <w:pPr>
              <w:spacing w:after="0"/>
              <w:rPr>
                <w:sz w:val="2"/>
                <w:szCs w:val="2"/>
                <w:color w:val="auto"/>
              </w:rPr>
            </w:pPr>
          </w:p>
        </w:tc>
        <w:tc>
          <w:tcPr>
            <w:tcW w:w="5980" w:type="dxa"/>
            <w:vAlign w:val="bottom"/>
            <w:tcBorders>
              <w:top w:val="single" w:sz="8" w:color="CCEEFF"/>
            </w:tcBorders>
            <w:gridSpan w:val="42"/>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1360" w:type="dxa"/>
            <w:vAlign w:val="bottom"/>
            <w:gridSpan w:val="9"/>
          </w:tcPr>
          <w:p>
            <w:pPr>
              <w:ind w:left="60"/>
              <w:spacing w:after="0" w:line="176" w:lineRule="exact"/>
              <w:rPr>
                <w:sz w:val="20"/>
                <w:szCs w:val="20"/>
                <w:color w:val="auto"/>
              </w:rPr>
            </w:pPr>
            <w:r>
              <w:rPr>
                <w:rFonts w:ascii="Times New Roman" w:cs="Times New Roman" w:eastAsia="Times New Roman" w:hAnsi="Times New Roman"/>
                <w:sz w:val="18"/>
                <w:szCs w:val="18"/>
                <w:color w:val="0000EE"/>
              </w:rPr>
              <w:t>POWERS</w:t>
            </w:r>
          </w:p>
        </w:tc>
        <w:tc>
          <w:tcPr>
            <w:tcW w:w="5860" w:type="dxa"/>
            <w:vAlign w:val="bottom"/>
            <w:gridSpan w:val="40"/>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720" w:type="dxa"/>
            <w:vAlign w:val="bottom"/>
            <w:tcBorders>
              <w:top w:val="single" w:sz="8" w:color="0000EE"/>
            </w:tcBorders>
            <w:gridSpan w:val="2"/>
          </w:tcPr>
          <w:p>
            <w:pPr>
              <w:spacing w:after="0"/>
              <w:rPr>
                <w:sz w:val="2"/>
                <w:szCs w:val="2"/>
                <w:color w:val="auto"/>
              </w:rPr>
            </w:pPr>
          </w:p>
        </w:tc>
        <w:tc>
          <w:tcPr>
            <w:tcW w:w="6560" w:type="dxa"/>
            <w:vAlign w:val="bottom"/>
            <w:gridSpan w:val="48"/>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NUMBER OF DIRECTORS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080" w:type="dxa"/>
            <w:vAlign w:val="bottom"/>
            <w:tcBorders>
              <w:top w:val="single" w:sz="8" w:color="0000EE"/>
            </w:tcBorders>
            <w:gridSpan w:val="22"/>
            <w:shd w:val="clear" w:color="auto" w:fill="CCEEFF"/>
          </w:tcPr>
          <w:p>
            <w:pPr>
              <w:spacing w:after="0"/>
              <w:rPr>
                <w:sz w:val="2"/>
                <w:szCs w:val="2"/>
                <w:color w:val="auto"/>
              </w:rPr>
            </w:pPr>
          </w:p>
        </w:tc>
        <w:tc>
          <w:tcPr>
            <w:tcW w:w="5200" w:type="dxa"/>
            <w:vAlign w:val="bottom"/>
            <w:tcBorders>
              <w:top w:val="single" w:sz="8" w:color="CCEEFF"/>
            </w:tcBorders>
            <w:gridSpan w:val="28"/>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ELECTION, QUALIFICATION AND TERM OF OFFICE OF DIRECTORS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5580" w:type="dxa"/>
            <w:vAlign w:val="bottom"/>
            <w:tcBorders>
              <w:top w:val="single" w:sz="8" w:color="0000EE"/>
            </w:tcBorders>
            <w:gridSpan w:val="47"/>
          </w:tcPr>
          <w:p>
            <w:pPr>
              <w:spacing w:after="0"/>
              <w:rPr>
                <w:sz w:val="2"/>
                <w:szCs w:val="2"/>
                <w:color w:val="auto"/>
              </w:rPr>
            </w:pPr>
          </w:p>
        </w:tc>
        <w:tc>
          <w:tcPr>
            <w:tcW w:w="1700" w:type="dxa"/>
            <w:vAlign w:val="bottom"/>
            <w:gridSpan w:val="3"/>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RESIGNATION AND VACANCIES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680" w:type="dxa"/>
            <w:vAlign w:val="bottom"/>
            <w:tcBorders>
              <w:top w:val="single" w:sz="8" w:color="0000EE"/>
            </w:tcBorders>
            <w:gridSpan w:val="30"/>
            <w:shd w:val="clear" w:color="auto" w:fill="CCEEFF"/>
          </w:tcPr>
          <w:p>
            <w:pPr>
              <w:spacing w:after="0"/>
              <w:rPr>
                <w:sz w:val="2"/>
                <w:szCs w:val="2"/>
                <w:color w:val="auto"/>
              </w:rPr>
            </w:pPr>
          </w:p>
        </w:tc>
        <w:tc>
          <w:tcPr>
            <w:tcW w:w="4600" w:type="dxa"/>
            <w:vAlign w:val="bottom"/>
            <w:tcBorders>
              <w:top w:val="single" w:sz="8" w:color="CCEEFF"/>
            </w:tcBorders>
            <w:gridSpan w:val="20"/>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PLACE OF MEETINGS; MEETINGS BY REMOTE COMMUNICATION</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5480" w:type="dxa"/>
            <w:vAlign w:val="bottom"/>
            <w:tcBorders>
              <w:top w:val="single" w:sz="8" w:color="0000EE"/>
            </w:tcBorders>
            <w:gridSpan w:val="46"/>
          </w:tcPr>
          <w:p>
            <w:pPr>
              <w:spacing w:after="0"/>
              <w:rPr>
                <w:sz w:val="2"/>
                <w:szCs w:val="2"/>
                <w:color w:val="auto"/>
              </w:rPr>
            </w:pPr>
          </w:p>
        </w:tc>
        <w:tc>
          <w:tcPr>
            <w:tcW w:w="1800" w:type="dxa"/>
            <w:vAlign w:val="bottom"/>
            <w:gridSpan w:val="4"/>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REGULAR MEETINGS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800" w:type="dxa"/>
            <w:vAlign w:val="bottom"/>
            <w:tcBorders>
              <w:top w:val="single" w:sz="8" w:color="0000EE"/>
            </w:tcBorders>
            <w:gridSpan w:val="17"/>
            <w:shd w:val="clear" w:color="auto" w:fill="CCEEFF"/>
          </w:tcPr>
          <w:p>
            <w:pPr>
              <w:spacing w:after="0"/>
              <w:rPr>
                <w:sz w:val="2"/>
                <w:szCs w:val="2"/>
                <w:color w:val="auto"/>
              </w:rPr>
            </w:pPr>
          </w:p>
        </w:tc>
        <w:tc>
          <w:tcPr>
            <w:tcW w:w="5480" w:type="dxa"/>
            <w:vAlign w:val="bottom"/>
            <w:tcBorders>
              <w:top w:val="single" w:sz="8" w:color="CCEEFF"/>
            </w:tcBorders>
            <w:gridSpan w:val="33"/>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SPECIAL MEETINGS; NOTICE</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440" w:type="dxa"/>
            <w:vAlign w:val="bottom"/>
            <w:tcBorders>
              <w:top w:val="single" w:sz="8" w:color="0000EE"/>
            </w:tcBorders>
            <w:gridSpan w:val="27"/>
          </w:tcPr>
          <w:p>
            <w:pPr>
              <w:spacing w:after="0"/>
              <w:rPr>
                <w:sz w:val="2"/>
                <w:szCs w:val="2"/>
                <w:color w:val="auto"/>
              </w:rPr>
            </w:pPr>
          </w:p>
        </w:tc>
        <w:tc>
          <w:tcPr>
            <w:tcW w:w="4840" w:type="dxa"/>
            <w:vAlign w:val="bottom"/>
            <w:gridSpan w:val="23"/>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QUORUM; VOTING</w:t>
            </w:r>
          </w:p>
        </w:tc>
        <w:tc>
          <w:tcPr>
            <w:tcW w:w="44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580" w:type="dxa"/>
            <w:vAlign w:val="bottom"/>
            <w:tcBorders>
              <w:top w:val="single" w:sz="8" w:color="0000EE"/>
            </w:tcBorders>
            <w:gridSpan w:val="13"/>
            <w:shd w:val="clear" w:color="auto" w:fill="CCEEFF"/>
          </w:tcPr>
          <w:p>
            <w:pPr>
              <w:spacing w:after="0"/>
              <w:rPr>
                <w:sz w:val="2"/>
                <w:szCs w:val="2"/>
                <w:color w:val="auto"/>
              </w:rPr>
            </w:pPr>
          </w:p>
        </w:tc>
        <w:tc>
          <w:tcPr>
            <w:tcW w:w="5620" w:type="dxa"/>
            <w:vAlign w:val="bottom"/>
            <w:tcBorders>
              <w:top w:val="single" w:sz="8" w:color="CCEEFF"/>
            </w:tcBorders>
            <w:gridSpan w:val="36"/>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BOARD ACTION BY WRITTEN CONSENT WITHOUT A MEETING</w:t>
            </w:r>
          </w:p>
        </w:tc>
        <w:tc>
          <w:tcPr>
            <w:tcW w:w="440" w:type="dxa"/>
            <w:vAlign w:val="bottom"/>
            <w:gridSpan w:val="5"/>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5280" w:type="dxa"/>
            <w:vAlign w:val="bottom"/>
            <w:tcBorders>
              <w:top w:val="single" w:sz="8" w:color="0000EE"/>
            </w:tcBorders>
            <w:gridSpan w:val="45"/>
          </w:tcPr>
          <w:p>
            <w:pPr>
              <w:spacing w:after="0"/>
              <w:rPr>
                <w:sz w:val="2"/>
                <w:szCs w:val="2"/>
                <w:color w:val="auto"/>
              </w:rPr>
            </w:pPr>
          </w:p>
        </w:tc>
        <w:tc>
          <w:tcPr>
            <w:tcW w:w="1920" w:type="dxa"/>
            <w:vAlign w:val="bottom"/>
            <w:gridSpan w:val="4"/>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3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10</w:t>
            </w: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FEES AND COMPENSATION OF DIRECTORS</w:t>
            </w:r>
          </w:p>
        </w:tc>
        <w:tc>
          <w:tcPr>
            <w:tcW w:w="44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120" w:type="dxa"/>
            <w:vAlign w:val="bottom"/>
            <w:tcBorders>
              <w:top w:val="single" w:sz="8" w:color="CCEEFF"/>
            </w:tcBorders>
            <w:gridSpan w:val="2"/>
            <w:shd w:val="clear" w:color="auto" w:fill="CCEEFF"/>
          </w:tcPr>
          <w:p>
            <w:pPr>
              <w:spacing w:after="0"/>
              <w:rPr>
                <w:sz w:val="2"/>
                <w:szCs w:val="2"/>
                <w:color w:val="auto"/>
              </w:rPr>
            </w:pPr>
          </w:p>
        </w:tc>
        <w:tc>
          <w:tcPr>
            <w:tcW w:w="3600" w:type="dxa"/>
            <w:vAlign w:val="bottom"/>
            <w:tcBorders>
              <w:top w:val="single" w:sz="8" w:color="0000EE"/>
            </w:tcBorders>
            <w:gridSpan w:val="39"/>
            <w:shd w:val="clear" w:color="auto" w:fill="CCEEFF"/>
          </w:tcPr>
          <w:p>
            <w:pPr>
              <w:spacing w:after="0"/>
              <w:rPr>
                <w:sz w:val="2"/>
                <w:szCs w:val="2"/>
                <w:color w:val="auto"/>
              </w:rPr>
            </w:pPr>
          </w:p>
        </w:tc>
        <w:tc>
          <w:tcPr>
            <w:tcW w:w="3600" w:type="dxa"/>
            <w:vAlign w:val="bottom"/>
            <w:tcBorders>
              <w:top w:val="single" w:sz="8" w:color="CCEEFF"/>
            </w:tcBorders>
            <w:gridSpan w:val="10"/>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11</w:t>
            </w: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REMOVAL OF DIRECTORS</w:t>
            </w:r>
          </w:p>
        </w:tc>
        <w:tc>
          <w:tcPr>
            <w:tcW w:w="440" w:type="dxa"/>
            <w:vAlign w:val="bottom"/>
            <w:gridSpan w:val="5"/>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180" w:type="dxa"/>
            <w:vAlign w:val="bottom"/>
            <w:tcBorders>
              <w:top w:val="single" w:sz="8" w:color="0000EE"/>
            </w:tcBorders>
            <w:gridSpan w:val="24"/>
          </w:tcPr>
          <w:p>
            <w:pPr>
              <w:spacing w:after="0"/>
              <w:rPr>
                <w:sz w:val="2"/>
                <w:szCs w:val="2"/>
                <w:color w:val="auto"/>
              </w:rPr>
            </w:pPr>
          </w:p>
        </w:tc>
        <w:tc>
          <w:tcPr>
            <w:tcW w:w="5020" w:type="dxa"/>
            <w:vAlign w:val="bottom"/>
            <w:gridSpan w:val="25"/>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23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ARTICLE IV - COMMITTEES</w:t>
            </w:r>
          </w:p>
        </w:tc>
        <w:tc>
          <w:tcPr>
            <w:tcW w:w="5680" w:type="dxa"/>
            <w:vAlign w:val="bottom"/>
            <w:gridSpan w:val="37"/>
            <w:shd w:val="clear" w:color="auto" w:fill="CCEEFF"/>
          </w:tcPr>
          <w:p>
            <w:pPr>
              <w:spacing w:after="0"/>
              <w:rPr>
                <w:sz w:val="15"/>
                <w:szCs w:val="15"/>
                <w:color w:val="auto"/>
              </w:rPr>
            </w:pPr>
          </w:p>
        </w:tc>
        <w:tc>
          <w:tcPr>
            <w:tcW w:w="44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2300" w:type="dxa"/>
            <w:vAlign w:val="bottom"/>
            <w:tcBorders>
              <w:top w:val="single" w:sz="8" w:color="0000EE"/>
            </w:tcBorders>
            <w:gridSpan w:val="16"/>
            <w:shd w:val="clear" w:color="auto" w:fill="CCEEFF"/>
          </w:tcPr>
          <w:p>
            <w:pPr>
              <w:spacing w:after="0"/>
              <w:rPr>
                <w:sz w:val="2"/>
                <w:szCs w:val="2"/>
                <w:color w:val="auto"/>
              </w:rPr>
            </w:pPr>
          </w:p>
        </w:tc>
        <w:tc>
          <w:tcPr>
            <w:tcW w:w="5720" w:type="dxa"/>
            <w:vAlign w:val="bottom"/>
            <w:tcBorders>
              <w:top w:val="single" w:sz="8" w:color="CCEEFF"/>
            </w:tcBorders>
            <w:gridSpan w:val="38"/>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COMMITTEES OF DIRECTORS</w:t>
            </w:r>
          </w:p>
        </w:tc>
        <w:tc>
          <w:tcPr>
            <w:tcW w:w="440" w:type="dxa"/>
            <w:vAlign w:val="bottom"/>
            <w:gridSpan w:val="5"/>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480" w:type="dxa"/>
            <w:vAlign w:val="bottom"/>
            <w:tcBorders>
              <w:top w:val="single" w:sz="8" w:color="0000EE"/>
            </w:tcBorders>
            <w:gridSpan w:val="28"/>
          </w:tcPr>
          <w:p>
            <w:pPr>
              <w:spacing w:after="0"/>
              <w:rPr>
                <w:sz w:val="2"/>
                <w:szCs w:val="2"/>
                <w:color w:val="auto"/>
              </w:rPr>
            </w:pPr>
          </w:p>
        </w:tc>
        <w:tc>
          <w:tcPr>
            <w:tcW w:w="4720" w:type="dxa"/>
            <w:vAlign w:val="bottom"/>
            <w:gridSpan w:val="21"/>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COMMITTEE MINUTES</w:t>
            </w:r>
          </w:p>
        </w:tc>
        <w:tc>
          <w:tcPr>
            <w:tcW w:w="44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900" w:type="dxa"/>
            <w:vAlign w:val="bottom"/>
            <w:tcBorders>
              <w:top w:val="single" w:sz="8" w:color="0000EE"/>
            </w:tcBorders>
            <w:gridSpan w:val="19"/>
            <w:shd w:val="clear" w:color="auto" w:fill="CCEEFF"/>
          </w:tcPr>
          <w:p>
            <w:pPr>
              <w:spacing w:after="0"/>
              <w:rPr>
                <w:sz w:val="2"/>
                <w:szCs w:val="2"/>
                <w:color w:val="auto"/>
              </w:rPr>
            </w:pPr>
          </w:p>
        </w:tc>
        <w:tc>
          <w:tcPr>
            <w:tcW w:w="5300" w:type="dxa"/>
            <w:vAlign w:val="bottom"/>
            <w:tcBorders>
              <w:top w:val="single" w:sz="8" w:color="CCEEFF"/>
            </w:tcBorders>
            <w:gridSpan w:val="30"/>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MEETINGS AND ACTION OF COMMITTEES</w:t>
            </w:r>
          </w:p>
        </w:tc>
        <w:tc>
          <w:tcPr>
            <w:tcW w:w="4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3560" w:type="dxa"/>
            <w:vAlign w:val="bottom"/>
            <w:tcBorders>
              <w:top w:val="single" w:sz="8" w:color="0000EE"/>
            </w:tcBorders>
            <w:gridSpan w:val="38"/>
          </w:tcPr>
          <w:p>
            <w:pPr>
              <w:spacing w:after="0"/>
              <w:rPr>
                <w:sz w:val="2"/>
                <w:szCs w:val="2"/>
                <w:color w:val="auto"/>
              </w:rPr>
            </w:pPr>
          </w:p>
        </w:tc>
        <w:tc>
          <w:tcPr>
            <w:tcW w:w="3640" w:type="dxa"/>
            <w:vAlign w:val="bottom"/>
            <w:gridSpan w:val="11"/>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SUBCOMMITTEES</w:t>
            </w:r>
          </w:p>
        </w:tc>
        <w:tc>
          <w:tcPr>
            <w:tcW w:w="4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520" w:type="dxa"/>
            <w:vAlign w:val="bottom"/>
            <w:tcBorders>
              <w:top w:val="single" w:sz="8" w:color="0000EE"/>
            </w:tcBorders>
            <w:gridSpan w:val="12"/>
            <w:shd w:val="clear" w:color="auto" w:fill="CCEEFF"/>
          </w:tcPr>
          <w:p>
            <w:pPr>
              <w:spacing w:after="0"/>
              <w:rPr>
                <w:sz w:val="2"/>
                <w:szCs w:val="2"/>
                <w:color w:val="auto"/>
              </w:rPr>
            </w:pPr>
          </w:p>
        </w:tc>
        <w:tc>
          <w:tcPr>
            <w:tcW w:w="5680" w:type="dxa"/>
            <w:vAlign w:val="bottom"/>
            <w:tcBorders>
              <w:top w:val="single" w:sz="8" w:color="CCEEFF"/>
            </w:tcBorders>
            <w:gridSpan w:val="37"/>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798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ARTICLE V - OFFICERS</w:t>
            </w:r>
          </w:p>
        </w:tc>
        <w:tc>
          <w:tcPr>
            <w:tcW w:w="4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1900" w:type="dxa"/>
            <w:vAlign w:val="bottom"/>
            <w:tcBorders>
              <w:top w:val="single" w:sz="8" w:color="0000EE"/>
            </w:tcBorders>
            <w:gridSpan w:val="12"/>
          </w:tcPr>
          <w:p>
            <w:pPr>
              <w:spacing w:after="0"/>
              <w:rPr>
                <w:sz w:val="2"/>
                <w:szCs w:val="2"/>
                <w:color w:val="auto"/>
              </w:rPr>
            </w:pPr>
          </w:p>
        </w:tc>
        <w:tc>
          <w:tcPr>
            <w:tcW w:w="6120" w:type="dxa"/>
            <w:vAlign w:val="bottom"/>
            <w:gridSpan w:val="42"/>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OFFICERS</w:t>
            </w:r>
          </w:p>
        </w:tc>
        <w:tc>
          <w:tcPr>
            <w:tcW w:w="4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840" w:type="dxa"/>
            <w:vAlign w:val="bottom"/>
            <w:tcBorders>
              <w:top w:val="single" w:sz="8" w:color="0000EE"/>
            </w:tcBorders>
            <w:gridSpan w:val="5"/>
            <w:shd w:val="clear" w:color="auto" w:fill="CCEEFF"/>
          </w:tcPr>
          <w:p>
            <w:pPr>
              <w:spacing w:after="0"/>
              <w:rPr>
                <w:sz w:val="2"/>
                <w:szCs w:val="2"/>
                <w:color w:val="auto"/>
              </w:rPr>
            </w:pPr>
          </w:p>
        </w:tc>
        <w:tc>
          <w:tcPr>
            <w:tcW w:w="6360" w:type="dxa"/>
            <w:vAlign w:val="bottom"/>
            <w:tcBorders>
              <w:top w:val="single" w:sz="8" w:color="CCEEFF"/>
            </w:tcBorders>
            <w:gridSpan w:val="44"/>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APPOINTMENT OF OFFICERS</w:t>
            </w:r>
          </w:p>
        </w:tc>
        <w:tc>
          <w:tcPr>
            <w:tcW w:w="4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420" w:type="dxa"/>
            <w:vAlign w:val="bottom"/>
            <w:tcBorders>
              <w:top w:val="single" w:sz="8" w:color="0000EE"/>
            </w:tcBorders>
            <w:gridSpan w:val="26"/>
          </w:tcPr>
          <w:p>
            <w:pPr>
              <w:spacing w:after="0"/>
              <w:rPr>
                <w:sz w:val="2"/>
                <w:szCs w:val="2"/>
                <w:color w:val="auto"/>
              </w:rPr>
            </w:pPr>
          </w:p>
        </w:tc>
        <w:tc>
          <w:tcPr>
            <w:tcW w:w="4780" w:type="dxa"/>
            <w:vAlign w:val="bottom"/>
            <w:gridSpan w:val="23"/>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SUBORDINATE OFFICERS</w:t>
            </w:r>
          </w:p>
        </w:tc>
        <w:tc>
          <w:tcPr>
            <w:tcW w:w="4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120" w:type="dxa"/>
            <w:vAlign w:val="bottom"/>
            <w:tcBorders>
              <w:top w:val="single" w:sz="8" w:color="0000EE"/>
            </w:tcBorders>
            <w:gridSpan w:val="23"/>
            <w:shd w:val="clear" w:color="auto" w:fill="CCEEFF"/>
          </w:tcPr>
          <w:p>
            <w:pPr>
              <w:spacing w:after="0"/>
              <w:rPr>
                <w:sz w:val="2"/>
                <w:szCs w:val="2"/>
                <w:color w:val="auto"/>
              </w:rPr>
            </w:pPr>
          </w:p>
        </w:tc>
        <w:tc>
          <w:tcPr>
            <w:tcW w:w="5080" w:type="dxa"/>
            <w:vAlign w:val="bottom"/>
            <w:tcBorders>
              <w:top w:val="single" w:sz="8" w:color="CCEEFF"/>
            </w:tcBorders>
            <w:gridSpan w:val="26"/>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REMOVAL AND RESIGNATION OF OFFICERS</w:t>
            </w:r>
          </w:p>
        </w:tc>
        <w:tc>
          <w:tcPr>
            <w:tcW w:w="4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3700" w:type="dxa"/>
            <w:vAlign w:val="bottom"/>
            <w:tcBorders>
              <w:top w:val="single" w:sz="8" w:color="0000EE"/>
            </w:tcBorders>
            <w:gridSpan w:val="40"/>
          </w:tcPr>
          <w:p>
            <w:pPr>
              <w:spacing w:after="0"/>
              <w:rPr>
                <w:sz w:val="2"/>
                <w:szCs w:val="2"/>
                <w:color w:val="auto"/>
              </w:rPr>
            </w:pPr>
          </w:p>
        </w:tc>
        <w:tc>
          <w:tcPr>
            <w:tcW w:w="3500" w:type="dxa"/>
            <w:vAlign w:val="bottom"/>
            <w:gridSpan w:val="9"/>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VACANCIES IN OFFICES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000" w:type="dxa"/>
            <w:vAlign w:val="bottom"/>
            <w:tcBorders>
              <w:top w:val="single" w:sz="8" w:color="0000EE"/>
            </w:tcBorders>
            <w:gridSpan w:val="20"/>
            <w:shd w:val="clear" w:color="auto" w:fill="CCEEFF"/>
          </w:tcPr>
          <w:p>
            <w:pPr>
              <w:spacing w:after="0"/>
              <w:rPr>
                <w:sz w:val="2"/>
                <w:szCs w:val="2"/>
                <w:color w:val="auto"/>
              </w:rPr>
            </w:pPr>
          </w:p>
        </w:tc>
        <w:tc>
          <w:tcPr>
            <w:tcW w:w="5200" w:type="dxa"/>
            <w:vAlign w:val="bottom"/>
            <w:tcBorders>
              <w:top w:val="single" w:sz="8" w:color="CCEEFF"/>
            </w:tcBorders>
            <w:gridSpan w:val="29"/>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REPRESENTATION OF SECURITIES OF OTHER ENTITIES</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4620" w:type="dxa"/>
            <w:vAlign w:val="bottom"/>
            <w:tcBorders>
              <w:top w:val="single" w:sz="8" w:color="0000EE"/>
            </w:tcBorders>
            <w:gridSpan w:val="43"/>
          </w:tcPr>
          <w:p>
            <w:pPr>
              <w:spacing w:after="0"/>
              <w:rPr>
                <w:sz w:val="2"/>
                <w:szCs w:val="2"/>
                <w:color w:val="auto"/>
              </w:rPr>
            </w:pPr>
          </w:p>
        </w:tc>
        <w:tc>
          <w:tcPr>
            <w:tcW w:w="2580" w:type="dxa"/>
            <w:vAlign w:val="bottom"/>
            <w:gridSpan w:val="6"/>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AUTHORITY AND DUTIES OF OFFICERS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3320" w:type="dxa"/>
            <w:vAlign w:val="bottom"/>
            <w:tcBorders>
              <w:top w:val="single" w:sz="8" w:color="0000EE"/>
            </w:tcBorders>
            <w:gridSpan w:val="34"/>
            <w:shd w:val="clear" w:color="auto" w:fill="CCEEFF"/>
          </w:tcPr>
          <w:p>
            <w:pPr>
              <w:spacing w:after="0"/>
              <w:rPr>
                <w:sz w:val="2"/>
                <w:szCs w:val="2"/>
                <w:color w:val="auto"/>
              </w:rPr>
            </w:pPr>
          </w:p>
        </w:tc>
        <w:tc>
          <w:tcPr>
            <w:tcW w:w="3880" w:type="dxa"/>
            <w:vAlign w:val="bottom"/>
            <w:tcBorders>
              <w:top w:val="single" w:sz="8" w:color="CCEEFF"/>
            </w:tcBorders>
            <w:gridSpan w:val="15"/>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798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ARTICLE VI - STOCK</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1720" w:type="dxa"/>
            <w:vAlign w:val="bottom"/>
            <w:tcBorders>
              <w:top w:val="single" w:sz="8" w:color="0000EE"/>
            </w:tcBorders>
            <w:gridSpan w:val="11"/>
          </w:tcPr>
          <w:p>
            <w:pPr>
              <w:spacing w:after="0"/>
              <w:rPr>
                <w:sz w:val="2"/>
                <w:szCs w:val="2"/>
                <w:color w:val="auto"/>
              </w:rPr>
            </w:pPr>
          </w:p>
        </w:tc>
        <w:tc>
          <w:tcPr>
            <w:tcW w:w="6300" w:type="dxa"/>
            <w:vAlign w:val="bottom"/>
            <w:gridSpan w:val="43"/>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STOCK CERTIFICATES; PARTLY PAID SHARES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3780" w:type="dxa"/>
            <w:vAlign w:val="bottom"/>
            <w:tcBorders>
              <w:top w:val="single" w:sz="8" w:color="0000EE"/>
            </w:tcBorders>
            <w:gridSpan w:val="41"/>
            <w:shd w:val="clear" w:color="auto" w:fill="CCEEFF"/>
          </w:tcPr>
          <w:p>
            <w:pPr>
              <w:spacing w:after="0"/>
              <w:rPr>
                <w:sz w:val="2"/>
                <w:szCs w:val="2"/>
                <w:color w:val="auto"/>
              </w:rPr>
            </w:pPr>
          </w:p>
        </w:tc>
        <w:tc>
          <w:tcPr>
            <w:tcW w:w="3420" w:type="dxa"/>
            <w:vAlign w:val="bottom"/>
            <w:tcBorders>
              <w:top w:val="single" w:sz="8" w:color="CCEEFF"/>
            </w:tcBorders>
            <w:gridSpan w:val="8"/>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SPECIAL DESIGNATION ON CERTIFICATES</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3540" w:type="dxa"/>
            <w:vAlign w:val="bottom"/>
            <w:tcBorders>
              <w:top w:val="single" w:sz="8" w:color="0000EE"/>
            </w:tcBorders>
            <w:gridSpan w:val="37"/>
          </w:tcPr>
          <w:p>
            <w:pPr>
              <w:spacing w:after="0"/>
              <w:rPr>
                <w:sz w:val="2"/>
                <w:szCs w:val="2"/>
                <w:color w:val="auto"/>
              </w:rPr>
            </w:pPr>
          </w:p>
        </w:tc>
        <w:tc>
          <w:tcPr>
            <w:tcW w:w="3660" w:type="dxa"/>
            <w:vAlign w:val="bottom"/>
            <w:gridSpan w:val="12"/>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LOST CERTIFICATES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700" w:type="dxa"/>
            <w:vAlign w:val="bottom"/>
            <w:tcBorders>
              <w:top w:val="single" w:sz="8" w:color="0000EE"/>
            </w:tcBorders>
            <w:gridSpan w:val="15"/>
            <w:shd w:val="clear" w:color="auto" w:fill="CCEEFF"/>
          </w:tcPr>
          <w:p>
            <w:pPr>
              <w:spacing w:after="0"/>
              <w:rPr>
                <w:sz w:val="2"/>
                <w:szCs w:val="2"/>
                <w:color w:val="auto"/>
              </w:rPr>
            </w:pPr>
          </w:p>
        </w:tc>
        <w:tc>
          <w:tcPr>
            <w:tcW w:w="5500" w:type="dxa"/>
            <w:vAlign w:val="bottom"/>
            <w:tcBorders>
              <w:top w:val="single" w:sz="8" w:color="CCEEFF"/>
            </w:tcBorders>
            <w:gridSpan w:val="34"/>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DIVIDENDS AND OTHER DISTRIBUTIONS</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3460" w:type="dxa"/>
            <w:vAlign w:val="bottom"/>
            <w:tcBorders>
              <w:top w:val="single" w:sz="8" w:color="0000EE"/>
            </w:tcBorders>
            <w:gridSpan w:val="36"/>
          </w:tcPr>
          <w:p>
            <w:pPr>
              <w:spacing w:after="0"/>
              <w:rPr>
                <w:sz w:val="2"/>
                <w:szCs w:val="2"/>
                <w:color w:val="auto"/>
              </w:rPr>
            </w:pPr>
          </w:p>
        </w:tc>
        <w:tc>
          <w:tcPr>
            <w:tcW w:w="3740" w:type="dxa"/>
            <w:vAlign w:val="bottom"/>
            <w:gridSpan w:val="13"/>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TRANSFER OF STOCK</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820" w:type="dxa"/>
            <w:vAlign w:val="bottom"/>
            <w:tcBorders>
              <w:top w:val="single" w:sz="8" w:color="0000EE"/>
            </w:tcBorders>
            <w:gridSpan w:val="18"/>
            <w:shd w:val="clear" w:color="auto" w:fill="CCEEFF"/>
          </w:tcPr>
          <w:p>
            <w:pPr>
              <w:spacing w:after="0"/>
              <w:rPr>
                <w:sz w:val="2"/>
                <w:szCs w:val="2"/>
                <w:color w:val="auto"/>
              </w:rPr>
            </w:pPr>
          </w:p>
        </w:tc>
        <w:tc>
          <w:tcPr>
            <w:tcW w:w="5380" w:type="dxa"/>
            <w:vAlign w:val="bottom"/>
            <w:tcBorders>
              <w:top w:val="single" w:sz="8" w:color="CCEEFF"/>
            </w:tcBorders>
            <w:gridSpan w:val="31"/>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STOCK TRANSFER AGREEMENTS</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800" w:type="dxa"/>
            <w:vAlign w:val="bottom"/>
            <w:tcBorders>
              <w:top w:val="single" w:sz="8" w:color="0000EE"/>
            </w:tcBorders>
            <w:gridSpan w:val="32"/>
          </w:tcPr>
          <w:p>
            <w:pPr>
              <w:spacing w:after="0"/>
              <w:rPr>
                <w:sz w:val="2"/>
                <w:szCs w:val="2"/>
                <w:color w:val="auto"/>
              </w:rPr>
            </w:pPr>
          </w:p>
        </w:tc>
        <w:tc>
          <w:tcPr>
            <w:tcW w:w="4400" w:type="dxa"/>
            <w:vAlign w:val="bottom"/>
            <w:gridSpan w:val="17"/>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700" w:type="dxa"/>
            <w:vAlign w:val="bottom"/>
            <w:gridSpan w:val="3"/>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0000EE"/>
              </w:rPr>
              <w:t>6.7</w:t>
            </w: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REGISTERED STOCKHOLDERS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75"/>
        </w:trPr>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gridSpan w:val="3"/>
            <w:shd w:val="clear" w:color="auto" w:fill="CCEEFF"/>
          </w:tcPr>
          <w:p>
            <w:pPr>
              <w:spacing w:after="0"/>
              <w:rPr>
                <w:sz w:val="6"/>
                <w:szCs w:val="6"/>
                <w:color w:val="auto"/>
              </w:rPr>
            </w:pPr>
          </w:p>
        </w:tc>
        <w:tc>
          <w:tcPr>
            <w:tcW w:w="2560" w:type="dxa"/>
            <w:vAlign w:val="bottom"/>
            <w:tcBorders>
              <w:top w:val="single" w:sz="8" w:color="0000EE"/>
            </w:tcBorders>
            <w:gridSpan w:val="29"/>
            <w:shd w:val="clear" w:color="auto" w:fill="CCEEFF"/>
          </w:tcPr>
          <w:p>
            <w:pPr>
              <w:spacing w:after="0"/>
              <w:rPr>
                <w:sz w:val="6"/>
                <w:szCs w:val="6"/>
                <w:color w:val="auto"/>
              </w:rPr>
            </w:pPr>
          </w:p>
        </w:tc>
        <w:tc>
          <w:tcPr>
            <w:tcW w:w="4640" w:type="dxa"/>
            <w:vAlign w:val="bottom"/>
            <w:tcBorders>
              <w:top w:val="single" w:sz="8" w:color="CCEEFF"/>
            </w:tcBorders>
            <w:gridSpan w:val="20"/>
            <w:shd w:val="clear" w:color="auto" w:fill="CCEEFF"/>
          </w:tcPr>
          <w:p>
            <w:pPr>
              <w:spacing w:after="0"/>
              <w:rPr>
                <w:sz w:val="6"/>
                <w:szCs w:val="6"/>
                <w:color w:val="auto"/>
              </w:rPr>
            </w:pPr>
          </w:p>
        </w:tc>
        <w:tc>
          <w:tcPr>
            <w:tcW w:w="340" w:type="dxa"/>
            <w:vAlign w:val="bottom"/>
            <w:tcBorders>
              <w:top w:val="single" w:sz="8" w:color="0000EE"/>
            </w:tcBorders>
            <w:gridSpan w:val="3"/>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8" w:name="page89"/>
    <w:bookmarkEnd w:id="88"/>
    <w:tbl>
      <w:tblPr>
        <w:tblLayout w:type="fixed"/>
        <w:tblInd w:w="30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01"/>
        </w:trPr>
        <w:tc>
          <w:tcPr>
            <w:tcW w:w="7980" w:type="dxa"/>
            <w:vAlign w:val="bottom"/>
            <w:gridSpan w:val="3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rPr>
              <w:t>ARTICLE VII - MANNER OF GIVING NOTICE AND WAIVER</w:t>
            </w:r>
          </w:p>
        </w:tc>
        <w:tc>
          <w:tcPr>
            <w:tcW w:w="440" w:type="dxa"/>
            <w:vAlign w:val="bottom"/>
            <w:gridSpan w:val="3"/>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404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NOTICE TO STOCKHOLDERS</w:t>
            </w:r>
          </w:p>
        </w:tc>
        <w:tc>
          <w:tcPr>
            <w:tcW w:w="3180" w:type="dxa"/>
            <w:vAlign w:val="bottom"/>
            <w:gridSpan w:val="7"/>
          </w:tcPr>
          <w:p>
            <w:pPr>
              <w:spacing w:after="0"/>
              <w:rPr>
                <w:sz w:val="15"/>
                <w:szCs w:val="15"/>
                <w:color w:val="auto"/>
              </w:rPr>
            </w:pP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NOTICE TO STOCKHOLDERS SHARING AN ADDRESS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NOTICE TO PERSON WITH WHOM COMMUNICATION IS UNLAWFUL</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WAIVER OF NOTICE</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9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ARTICLE VIII - INDEMNIFICATION</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INDEMNIFICATION OF DIRECTORS AND OFFICERS IN THIRD PARTY PROCEEDINGS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INDEMNIFICATION OF DIRECTORS AND OFFICERS IN ACTIONS BY OR IN THE</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28"/>
          </w:tcPr>
          <w:p>
            <w:pPr>
              <w:ind w:left="60"/>
              <w:spacing w:after="0" w:line="196" w:lineRule="exact"/>
              <w:rPr>
                <w:sz w:val="20"/>
                <w:szCs w:val="20"/>
                <w:color w:val="auto"/>
              </w:rPr>
            </w:pPr>
            <w:r>
              <w:rPr>
                <w:rFonts w:ascii="Times New Roman" w:cs="Times New Roman" w:eastAsia="Times New Roman" w:hAnsi="Times New Roman"/>
                <w:sz w:val="18"/>
                <w:szCs w:val="18"/>
                <w:color w:val="0000EE"/>
              </w:rPr>
              <w:t>RIGHT OF THE CORPORATION</w:t>
            </w:r>
          </w:p>
        </w:tc>
        <w:tc>
          <w:tcPr>
            <w:tcW w:w="44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SUCCESSFUL DEFENSE</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F-15</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INDEMNIFICATION OF OTHERS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F-15</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ADVANCE PAYMENT OF EXPENSES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F-15</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LIMITATION ON INDEMNIFICATION</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F-15</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DETERMINATION; CLAIM</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NON-EXCLUSIVITY OF RIGHTS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INSURANCE</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10</w:t>
            </w: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SURVIVAL</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8.</w:t>
            </w:r>
            <w:r>
              <w:rPr>
                <w:rFonts w:ascii="Times New Roman" w:cs="Times New Roman" w:eastAsia="Times New Roman" w:hAnsi="Times New Roman"/>
                <w:sz w:val="18"/>
                <w:szCs w:val="18"/>
                <w:u w:val="single" w:color="auto"/>
                <w:color w:val="0000EE"/>
                <w:w w:val="95"/>
              </w:rPr>
              <w:t>11</w:t>
            </w: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EFFECT OF REPEAL OR MODIFICATION</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12</w:t>
            </w: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CERTAIN DEFINITIONS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79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 IX - GENERAL MATTERS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EXECUTION OF CORPORATE CONTRACTS AND INSTRUMENTS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FISCAL YEAR</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SEAL</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CONSTRUCTION; DEFINITIONS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9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ARTICLE X - AMENDMENTS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F-18</w:t>
            </w:r>
          </w:p>
        </w:tc>
      </w:tr>
      <w:tr>
        <w:trPr>
          <w:trHeight w:val="34"/>
        </w:trPr>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79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 XI - EXCLUSIVE FORUM</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F-18</w:t>
            </w:r>
          </w:p>
        </w:tc>
      </w:tr>
      <w:tr>
        <w:trPr>
          <w:trHeight w:val="34"/>
        </w:trPr>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9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ARTICLE XII - ACQUISITION OF CONTROLLING INTEREST STATUTES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F-18</w:t>
            </w:r>
          </w:p>
        </w:tc>
      </w:tr>
      <w:tr>
        <w:trPr>
          <w:trHeight w:val="20"/>
        </w:trPr>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F-ii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BYLAWS OF 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11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The registered office of Dropbox,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the street address of the corporation’s registered agent in the State of Nevada, as determined by the corporation’s board of directors (the “</w:t>
      </w:r>
      <w:r>
        <w:rPr>
          <w:rFonts w:ascii="Times New Roman" w:cs="Times New Roman" w:eastAsia="Times New Roman" w:hAnsi="Times New Roman"/>
          <w:sz w:val="18"/>
          <w:szCs w:val="18"/>
          <w:b w:val="1"/>
          <w:b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from time to time in accordance with the corporation’s articles of incorporation, as the same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and the corporation’s bylaws, as the same may be amended from time to time (these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corporation may at any time establish other offices at any place or places either within or outside the State of Nevada.</w:t>
      </w:r>
    </w:p>
    <w:p>
      <w:pPr>
        <w:spacing w:after="0" w:line="279" w:lineRule="exact"/>
        <w:rPr>
          <w:sz w:val="20"/>
          <w:szCs w:val="20"/>
          <w:color w:val="auto"/>
        </w:rPr>
      </w:pPr>
    </w:p>
    <w:p>
      <w:pPr>
        <w:ind w:left="660" w:right="2539" w:firstLine="1870"/>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ARTICLE II - MEETINGS OF STOCKHOLDERS </w:t>
      </w:r>
      <w:r>
        <w:rPr>
          <w:rFonts w:ascii="Times New Roman" w:cs="Times New Roman" w:eastAsia="Times New Roman" w:hAnsi="Times New Roman"/>
          <w:sz w:val="18"/>
          <w:szCs w:val="18"/>
          <w:color w:val="auto"/>
        </w:rPr>
        <w:t>2.1  PLACE OF MEETINGS</w:t>
      </w:r>
    </w:p>
    <w:p>
      <w:pPr>
        <w:spacing w:after="0" w:line="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Nevada, designated by the board of directors. The board of directors may, in its sole discretion, determine that a meeting of stockholders shall not be held at any place, but may instead be held solely by means of remote communication as authorized by Section 78.320(4) of the Nevada Revised Statutes (as amended from time to time,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 xml:space="preserve">The annual meeting of stockholders shall be held each year. The board of directors shall designate the date and time of the annual meeting. At the annual meeting, directors shall be elected and any other proper business, brought in accordance with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of these bylaws, may be transacted. The board of directors, acting pursuant to a resolution adopted by a majority of the Whole Board (as defined below), may cancel, postpone or reschedule any previously scheduled annual meeting of stockholders at any time, before or after the notice for such meeting has been sent to the stockholders. For purposes of these bylaws, the term “</w:t>
      </w:r>
      <w:r>
        <w:rPr>
          <w:rFonts w:ascii="Times New Roman" w:cs="Times New Roman" w:eastAsia="Times New Roman" w:hAnsi="Times New Roman"/>
          <w:sz w:val="17"/>
          <w:szCs w:val="17"/>
          <w:b w:val="1"/>
          <w:bCs w:val="1"/>
          <w:color w:val="auto"/>
        </w:rPr>
        <w:t>Whole Board</w:t>
      </w:r>
      <w:r>
        <w:rPr>
          <w:rFonts w:ascii="Times New Roman" w:cs="Times New Roman" w:eastAsia="Times New Roman" w:hAnsi="Times New Roman"/>
          <w:sz w:val="17"/>
          <w:szCs w:val="17"/>
          <w:color w:val="auto"/>
        </w:rPr>
        <w:t>” shall mean the total number of authorized directors whether or not there exist any vacancies or unfilled seats in previously authorized directorships.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A special meeting of the stockholders, other than as may be required by the NRS, may be called at any time by (a) the board of directors, acting pursuant to a resolution adopted by a majority of the Whole Board, (b) the chairperson of the board of directors, (c) the chief executive officer or the president (in the absence of a chief executive officer) or (d) prior to the Final Conversion Date (as such term is defined in the articles of incorporation), by written request of the holders of at least 30% of the voting power of the corporation’s Class A Common Stock and Class B Common Stock, voting together as a single class, provided that such written request is in compliance with the requirements of </w:t>
      </w:r>
      <w:r>
        <w:rPr>
          <w:rFonts w:ascii="Times New Roman" w:cs="Times New Roman" w:eastAsia="Times New Roman" w:hAnsi="Times New Roman"/>
          <w:sz w:val="18"/>
          <w:szCs w:val="18"/>
          <w:u w:val="single" w:color="auto"/>
          <w:color w:val="auto"/>
        </w:rPr>
        <w:t>Section 2.3(ii)</w:t>
      </w:r>
      <w:r>
        <w:rPr>
          <w:rFonts w:ascii="Times New Roman" w:cs="Times New Roman" w:eastAsia="Times New Roman" w:hAnsi="Times New Roman"/>
          <w:sz w:val="18"/>
          <w:szCs w:val="18"/>
          <w:color w:val="auto"/>
        </w:rPr>
        <w:t xml:space="preserve"> of these bylaws,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3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If any person(s) other than the board of directors calls a special meeting, the request shall:</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be in writing;</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specify the general nature of the business proposed to be transacted, subject to any additional applicable requirements as are set forth in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2.4(i)(b)</w:t>
      </w:r>
      <w:r>
        <w:rPr>
          <w:rFonts w:ascii="Times New Roman" w:cs="Times New Roman" w:eastAsia="Times New Roman" w:hAnsi="Times New Roman"/>
          <w:sz w:val="18"/>
          <w:szCs w:val="18"/>
          <w:color w:val="auto"/>
        </w:rPr>
        <w:t xml:space="preserve"> (for the proposal of business other than nominations); and</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be delivered personally or sent by registered mail to the secretary of the corporation.</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Upon receipt of such a request, the board of directors shall determine the date, time and place (if any) of such special meeting, which must be scheduled to be held on a date that is not less than thirty (30) and not more than ninety (90) days after receipt by the secretary of the request therefor, and the secretary of the corporation shall prepare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90" w:name="page91"/>
    <w:bookmarkEnd w:id="90"/>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w:t>
      </w:r>
      <w:r>
        <w:rPr>
          <w:rFonts w:ascii="Times New Roman" w:cs="Times New Roman" w:eastAsia="Times New Roman" w:hAnsi="Times New Roman"/>
          <w:sz w:val="18"/>
          <w:szCs w:val="18"/>
          <w:u w:val="single" w:color="auto"/>
          <w:color w:val="auto"/>
        </w:rPr>
        <w:t>Section 2.3(ii)</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(iii)  The notice of a special meeting shall include the purpose for which the meeting is called. Only such business shall be conducted at a special meeting of stockholders as shall have been brought before the meeting by or at the direction of the board of directors, acting pursuant to a resolution adopted by a majority of the Whole Board, chairperson of the board of directors, chief executive officer or president (in the absence of a chief executive officer) or in the notice specified in </w:t>
      </w:r>
      <w:r>
        <w:rPr>
          <w:rFonts w:ascii="Times New Roman" w:cs="Times New Roman" w:eastAsia="Times New Roman" w:hAnsi="Times New Roman"/>
          <w:sz w:val="18"/>
          <w:szCs w:val="18"/>
          <w:u w:val="single" w:color="auto"/>
          <w:color w:val="auto"/>
        </w:rPr>
        <w:t>Section 2.3(ii)</w:t>
      </w:r>
      <w:r>
        <w:rPr>
          <w:rFonts w:ascii="Times New Roman" w:cs="Times New Roman" w:eastAsia="Times New Roman" w:hAnsi="Times New Roman"/>
          <w:sz w:val="18"/>
          <w:szCs w:val="18"/>
          <w:color w:val="auto"/>
        </w:rPr>
        <w:t xml:space="preserve"> above. Nothing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2.3(ii)</w:t>
      </w:r>
      <w:r>
        <w:rPr>
          <w:rFonts w:ascii="Times New Roman" w:cs="Times New Roman" w:eastAsia="Times New Roman" w:hAnsi="Times New Roman"/>
          <w:sz w:val="18"/>
          <w:szCs w:val="18"/>
          <w:color w:val="auto"/>
        </w:rPr>
        <w:t xml:space="preserve"> shall be construed as limiting, fixing or affecting the time when a meeting of stockholders called by action of the board of directors may be held.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11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Advance Notice of Stockholder Business.</w:t>
      </w:r>
      <w:r>
        <w:rPr>
          <w:rFonts w:ascii="Times New Roman" w:cs="Times New Roman" w:eastAsia="Times New Roman" w:hAnsi="Times New Roman"/>
          <w:sz w:val="18"/>
          <w:szCs w:val="18"/>
          <w:color w:val="auto"/>
        </w:rPr>
        <w:t xml:space="preserve"> At an annual meeting of the stockholders, only such business shall be conducted as shall have been properly brought before the meeting. To be properly brought before an annual meeting, business must be brought: (A) pursuant to the corporation’s notice of annual meeting (or any supplement thereto), (B) by or at the direction of the board of directors, or (C) by a stockholder of the corporation who (1) is a stockholder of record at the time of the giving of the notice required by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xml:space="preserve">, on the record date for the determination of stockholders entitled to notice of, and to vote at, the annual meeting and (2) has timely complied in proper written form with the notice procedures set forth in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and the rules and regulations thereunder, as amended and inclusive of such rules and regulations and any successor thereto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before an annual meeting of stockholders.</w:t>
      </w:r>
    </w:p>
    <w:p>
      <w:pPr>
        <w:spacing w:after="0" w:line="8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To comply with clause (C) of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xml:space="preserve"> above, a stockholder’s notice must set forth all information required under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xml:space="preserve">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provided, however,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w:t>
      </w:r>
      <w:r>
        <w:rPr>
          <w:rFonts w:ascii="Times New Roman" w:cs="Times New Roman" w:eastAsia="Times New Roman" w:hAnsi="Times New Roman"/>
          <w:sz w:val="18"/>
          <w:szCs w:val="18"/>
          <w:u w:val="single" w:color="auto"/>
          <w:color w:val="auto"/>
        </w:rPr>
        <w:t>Section 2.4(i)(a)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(b)  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1" w:name="page92"/>
    <w:bookmarkEnd w:id="91"/>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Times New Roman" w:cs="Times New Roman" w:eastAsia="Times New Roman" w:hAnsi="Times New Roman"/>
          <w:sz w:val="18"/>
          <w:szCs w:val="18"/>
          <w:b w:val="1"/>
          <w:bCs w:val="1"/>
          <w:color w:val="auto"/>
        </w:rPr>
        <w:t>Business Solicitation Statement</w:t>
      </w:r>
      <w:r>
        <w:rPr>
          <w:rFonts w:ascii="Times New Roman" w:cs="Times New Roman" w:eastAsia="Times New Roman" w:hAnsi="Times New Roman"/>
          <w:sz w:val="18"/>
          <w:szCs w:val="18"/>
          <w:color w:val="auto"/>
        </w:rPr>
        <w:t xml:space="preserve">”). In addition, to be in proper written form, a stockholder’s notice to the secretary must be supplemented not later than ten days following the record date for the determination of stockholders entitled to notice of, and to vote at, the meeting to disclose the information contained in clauses (3) and (4) above as of such record date.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Associated Person</w:t>
      </w:r>
      <w:r>
        <w:rPr>
          <w:rFonts w:ascii="Times New Roman" w:cs="Times New Roman" w:eastAsia="Times New Roman" w:hAnsi="Times New Roman"/>
          <w:sz w:val="18"/>
          <w:szCs w:val="18"/>
          <w:color w:val="auto"/>
        </w:rPr>
        <w:t>” of any stockholder shall mean (i) any person controlling, directly or indirectly,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Without exception, no business shall be conducted at any annual meeting except in accordance with the provisions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if the chairperson should so determine, the chairperson shall so declare at the annual meeting that any such business not properly brought before the annual meeting shall not be conducted.</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Advance Notice of Director Nominations at Annual Meetings.</w:t>
      </w:r>
      <w:r>
        <w:rPr>
          <w:rFonts w:ascii="Times New Roman" w:cs="Times New Roman" w:eastAsia="Times New Roman" w:hAnsi="Times New Roman"/>
          <w:sz w:val="18"/>
          <w:szCs w:val="18"/>
          <w:color w:val="auto"/>
        </w:rPr>
        <w:t xml:space="preserve"> Notwithstanding anything in these bylaws to the contrary, only persons who are nominated in accordance with the procedures set forth in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 (1) is a stockholder of record at the time of the giving of the notice required by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on the record date for the determination of stockholders entitled to notice of the annual meeting and on the record date for the determination of stockholders entitled to vote at the annual meeting and (2) has complied with the notice procedures set forth in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In addition to any other applicable requirements, for a nomination to be made by a stockholder, the stockholder must have given timely notice thereof in proper written form to the secretary of the corporation.</w:t>
      </w:r>
    </w:p>
    <w:p>
      <w:pPr>
        <w:spacing w:after="0" w:line="86"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To comply with clause (B) of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above, a nomination to be made by a stockholder must set forth all information required under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and must be received by the secretary of the corporation at the principal executive offices of the corporation at the time set forth in, and in accordance with, the final three sentences of </w:t>
      </w:r>
      <w:r>
        <w:rPr>
          <w:rFonts w:ascii="Times New Roman" w:cs="Times New Roman" w:eastAsia="Times New Roman" w:hAnsi="Times New Roman"/>
          <w:sz w:val="18"/>
          <w:szCs w:val="18"/>
          <w:u w:val="single" w:color="auto"/>
          <w:color w:val="auto"/>
        </w:rPr>
        <w:t>Section 2.4(i)(a)</w:t>
      </w:r>
      <w:r>
        <w:rPr>
          <w:rFonts w:ascii="Times New Roman" w:cs="Times New Roman" w:eastAsia="Times New Roman" w:hAnsi="Times New Roman"/>
          <w:sz w:val="18"/>
          <w:szCs w:val="18"/>
          <w:color w:val="auto"/>
        </w:rPr>
        <w:t xml:space="preserve"> 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2" w:name="page93"/>
    <w:bookmarkEnd w:id="92"/>
    <w:p>
      <w:pPr>
        <w:ind w:left="1380"/>
        <w:spacing w:after="0"/>
        <w:rPr>
          <w:sz w:val="20"/>
          <w:szCs w:val="20"/>
          <w:color w:val="auto"/>
        </w:rPr>
      </w:pPr>
      <w:r>
        <w:rPr>
          <w:rFonts w:ascii="Times New Roman" w:cs="Times New Roman" w:eastAsia="Times New Roman" w:hAnsi="Times New Roman"/>
          <w:sz w:val="18"/>
          <w:szCs w:val="18"/>
          <w:color w:val="auto"/>
        </w:rPr>
        <w:t>(b)   To be in proper written form, such stockholder’s notice to the secretary must set forth:</w:t>
      </w:r>
    </w:p>
    <w:p>
      <w:pPr>
        <w:spacing w:after="0" w:line="113" w:lineRule="exact"/>
        <w:rPr>
          <w:sz w:val="20"/>
          <w:szCs w:val="20"/>
          <w:color w:val="auto"/>
        </w:rPr>
      </w:pPr>
    </w:p>
    <w:p>
      <w:pPr>
        <w:jc w:val="both"/>
        <w:ind w:left="1380" w:right="299" w:firstLine="360"/>
        <w:spacing w:after="0" w:line="263" w:lineRule="auto"/>
        <w:rPr>
          <w:sz w:val="20"/>
          <w:szCs w:val="20"/>
          <w:color w:val="auto"/>
        </w:rPr>
      </w:pPr>
      <w:r>
        <w:rPr>
          <w:rFonts w:ascii="Times New Roman" w:cs="Times New Roman" w:eastAsia="Times New Roman" w:hAnsi="Times New Roman"/>
          <w:sz w:val="18"/>
          <w:szCs w:val="18"/>
          <w:color w:val="auto"/>
        </w:rPr>
        <w:t>(1)  as to each person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whom the stockholder proposes to nominate for election or re-election as a director: (A) the name, age, business address and residence address of the nominee,</w:t>
      </w:r>
    </w:p>
    <w:p>
      <w:pPr>
        <w:spacing w:after="0" w:line="1" w:lineRule="exact"/>
        <w:rPr>
          <w:sz w:val="20"/>
          <w:szCs w:val="20"/>
          <w:color w:val="auto"/>
        </w:rPr>
      </w:pPr>
    </w:p>
    <w:p>
      <w:pPr>
        <w:jc w:val="both"/>
        <w:ind w:left="1380" w:right="299" w:hanging="8"/>
        <w:spacing w:after="0" w:line="250" w:lineRule="auto"/>
        <w:tabs>
          <w:tab w:leader="none" w:pos="1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the stockholder, any nominee or any other person or persons (naming such person or persons) pursuant to which the nominations are to be made by the stockholder, including a description of any compensatory, payment or other financial agreement, arrangement or understanding involving the nominee and of any compensation or other payment received by or on behalf of the nominee, in each case in connection with candidacy or service as a director of the corporation (such agreement, arrangement or understanding, a “</w:t>
      </w:r>
      <w:r>
        <w:rPr>
          <w:rFonts w:ascii="Times New Roman" w:cs="Times New Roman" w:eastAsia="Times New Roman" w:hAnsi="Times New Roman"/>
          <w:sz w:val="18"/>
          <w:szCs w:val="18"/>
          <w:b w:val="1"/>
          <w:bCs w:val="1"/>
          <w:color w:val="auto"/>
        </w:rPr>
        <w:t>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 Arrangement</w:t>
      </w:r>
      <w:r>
        <w:rPr>
          <w:rFonts w:ascii="Times New Roman" w:cs="Times New Roman" w:eastAsia="Times New Roman" w:hAnsi="Times New Roman"/>
          <w:sz w:val="18"/>
          <w:szCs w:val="18"/>
          <w:color w:val="auto"/>
        </w:rPr>
        <w:t>”), (F) a written statement executed by the nominee consenting to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named as a nominee of such stockholder, (y) serving as a director of the corporation if elected and (z) being named in the corporation’s form of proxy pursuant to Rule 14a-19 under the 1934 Act (“</w:t>
      </w:r>
      <w:r>
        <w:rPr>
          <w:rFonts w:ascii="Times New Roman" w:cs="Times New Roman" w:eastAsia="Times New Roman" w:hAnsi="Times New Roman"/>
          <w:sz w:val="18"/>
          <w:szCs w:val="18"/>
          <w:b w:val="1"/>
          <w:bCs w:val="1"/>
          <w:color w:val="auto"/>
        </w:rPr>
        <w:t>Rule 14a-19</w:t>
      </w:r>
      <w:r>
        <w:rPr>
          <w:rFonts w:ascii="Times New Roman" w:cs="Times New Roman" w:eastAsia="Times New Roman" w:hAnsi="Times New Roman"/>
          <w:sz w:val="18"/>
          <w:szCs w:val="18"/>
          <w:color w:val="auto"/>
        </w:rPr>
        <w:t>”) , and (H) any other information relating to the nominee that would be required to be disclosed about such nominee if proxies were being solicited for the election or re-election of the nominee as a director, or that is otherwise required, in each case pursuant to Section 14 of the 1934 Act; and</w:t>
      </w:r>
    </w:p>
    <w:p>
      <w:pPr>
        <w:spacing w:after="0" w:line="98" w:lineRule="exact"/>
        <w:rPr>
          <w:sz w:val="20"/>
          <w:szCs w:val="20"/>
          <w:color w:val="auto"/>
        </w:rPr>
      </w:pPr>
    </w:p>
    <w:p>
      <w:pPr>
        <w:jc w:val="both"/>
        <w:ind w:left="1380" w:right="299" w:firstLine="360"/>
        <w:spacing w:after="0" w:line="267" w:lineRule="auto"/>
        <w:rPr>
          <w:sz w:val="20"/>
          <w:szCs w:val="20"/>
          <w:color w:val="auto"/>
        </w:rPr>
      </w:pPr>
      <w:r>
        <w:rPr>
          <w:rFonts w:ascii="Times New Roman" w:cs="Times New Roman" w:eastAsia="Times New Roman" w:hAnsi="Times New Roman"/>
          <w:sz w:val="17"/>
          <w:szCs w:val="17"/>
          <w:color w:val="auto"/>
        </w:rPr>
        <w:t xml:space="preserve">(2)  as to such stockholder giving notice, (A) the information required to be provided pursuant to clauses (2) through (5) of </w:t>
      </w:r>
      <w:r>
        <w:rPr>
          <w:rFonts w:ascii="Times New Roman" w:cs="Times New Roman" w:eastAsia="Times New Roman" w:hAnsi="Times New Roman"/>
          <w:sz w:val="17"/>
          <w:szCs w:val="17"/>
          <w:u w:val="single" w:color="auto"/>
          <w:color w:val="auto"/>
        </w:rPr>
        <w:t>Section 2.4(i)(b)</w:t>
      </w:r>
      <w:r>
        <w:rPr>
          <w:rFonts w:ascii="Times New Roman" w:cs="Times New Roman" w:eastAsia="Times New Roman" w:hAnsi="Times New Roman"/>
          <w:sz w:val="17"/>
          <w:szCs w:val="17"/>
          <w:color w:val="auto"/>
        </w:rPr>
        <w:t xml:space="preserve"> above, and the update and supplement referenced in the second sentence of </w:t>
      </w:r>
      <w:r>
        <w:rPr>
          <w:rFonts w:ascii="Times New Roman" w:cs="Times New Roman" w:eastAsia="Times New Roman" w:hAnsi="Times New Roman"/>
          <w:sz w:val="17"/>
          <w:szCs w:val="17"/>
          <w:u w:val="single" w:color="auto"/>
          <w:color w:val="auto"/>
        </w:rPr>
        <w:t>Section 2.4(i)(b)</w:t>
      </w:r>
      <w:r>
        <w:rPr>
          <w:rFonts w:ascii="Times New Roman" w:cs="Times New Roman" w:eastAsia="Times New Roman" w:hAnsi="Times New Roman"/>
          <w:sz w:val="17"/>
          <w:szCs w:val="17"/>
          <w:color w:val="auto"/>
        </w:rPr>
        <w:t xml:space="preserve"> above (except that the references to “business” in such clauses shall instead refer to nominations of directors for purposes of this paragraph), and (B) a representation and undertaking as to whether such stockholder or Stockholder Associated Person or others acting in concert with them intends, or are part of a group that intends, to (x) deliver a proxy statement or form of proxy to or otherwise solicit proxies from holders of at least the percentage of the voting power of the corporation’s then-outstanding stock required to elect such nominee(s) (which representation and undertaking must include a statement as to whether such stockholder or any Stockholder Associated Person intends to solicit the requisite percentage of the voting power of the corporation’s stock under Rule 14a-19), or (y) otherwise solicit proxies from stockholders in support of such nomination (such information provided and statements made as required by </w:t>
      </w:r>
      <w:r>
        <w:rPr>
          <w:rFonts w:ascii="Times New Roman" w:cs="Times New Roman" w:eastAsia="Times New Roman" w:hAnsi="Times New Roman"/>
          <w:sz w:val="17"/>
          <w:szCs w:val="17"/>
          <w:u w:val="single" w:color="auto"/>
          <w:color w:val="auto"/>
        </w:rPr>
        <w:t>Section 2.4(ii)(b)</w:t>
      </w:r>
    </w:p>
    <w:p>
      <w:pPr>
        <w:spacing w:after="0" w:line="1" w:lineRule="exact"/>
        <w:rPr>
          <w:sz w:val="20"/>
          <w:szCs w:val="20"/>
          <w:color w:val="auto"/>
        </w:rPr>
      </w:pPr>
    </w:p>
    <w:p>
      <w:pPr>
        <w:ind w:left="1620" w:hanging="248"/>
        <w:spacing w:after="0"/>
        <w:tabs>
          <w:tab w:leader="none" w:pos="1620"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this </w:t>
      </w:r>
      <w:r>
        <w:rPr>
          <w:rFonts w:ascii="Times New Roman" w:cs="Times New Roman" w:eastAsia="Times New Roman" w:hAnsi="Times New Roman"/>
          <w:sz w:val="18"/>
          <w:szCs w:val="18"/>
          <w:u w:val="single" w:color="auto"/>
          <w:color w:val="auto"/>
        </w:rPr>
        <w:t>Section 2.4(ii)(b)(2)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Nominee Solicitation Statement</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(2) a written representation and undertaking that, unless previously disclosed to the corporation, such nominee is not, and will not become, a party to any Third-Party Compensation Arrangement and (3)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timely furnishing of any such information, if requested, such stockholder’s nomination shall not be considered in proper form and shall be ineligible for consideration at the annual meeting pursuant to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  Without exception, no person shall be eligible for election or re-election as a director of the corporation at an annual meeting of stockholders unless nominated in accordance with the provisions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3" w:name="page94"/>
    <w:bookmarkEnd w:id="93"/>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provided to the corporation by or on behalf of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w:t>
      </w:r>
    </w:p>
    <w:p>
      <w:pPr>
        <w:spacing w:after="0" w:line="7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(e)  No later than five (5)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such nominee(s)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Advance Notice of Director Nominations for Special Meetings.</w:t>
      </w:r>
    </w:p>
    <w:p>
      <w:pPr>
        <w:spacing w:after="0" w:line="119"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For a special meeting of stockholders at which directors are to be elected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nominations of persons for election to the board of directors shall be made only (1) by or at the direction of the board of directors or (2) by any stockholder of the corporation who (A) is a stockholder of record at the time of the giving of the notice required by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on the record date for the determination of stockholders entitled to notice of, and to vote at, the special meeting and (B) delivers a timely written notice of the nomination to the secretary of the corporation that includes the information set forth in </w:t>
      </w:r>
      <w:r>
        <w:rPr>
          <w:rFonts w:ascii="Times New Roman" w:cs="Times New Roman" w:eastAsia="Times New Roman" w:hAnsi="Times New Roman"/>
          <w:sz w:val="18"/>
          <w:szCs w:val="18"/>
          <w:u w:val="single" w:color="auto"/>
          <w:color w:val="auto"/>
        </w:rPr>
        <w:t>Sections 2.4(ii)(b)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2.4(ii)(c)</w:t>
      </w:r>
      <w:r>
        <w:rPr>
          <w:rFonts w:ascii="Times New Roman" w:cs="Times New Roman" w:eastAsia="Times New Roman" w:hAnsi="Times New Roman"/>
          <w:sz w:val="18"/>
          <w:szCs w:val="18"/>
          <w:color w:val="auto"/>
        </w:rPr>
        <w:t xml:space="preserve"> above (with references therein to “annual meeting” deemed to mean “special meeting” for the purposes of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any adjournment, rescheduling or postponement of a special meeting or the announcement thereof commence a new time period (or extend any time period) for the giving of a stockholder’s notice as described above. A person shall not be eligible for election or re-election as a director at a special meeting unless the person is nominated (i) by or at the direction of the board of directors or (ii) by a stockholder in accordance with the notice procedures set forth in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Any person nominated in accordance with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is subject to, and must comply with, the provisions of </w:t>
      </w:r>
      <w:r>
        <w:rPr>
          <w:rFonts w:ascii="Times New Roman" w:cs="Times New Roman" w:eastAsia="Times New Roman" w:hAnsi="Times New Roman"/>
          <w:sz w:val="18"/>
          <w:szCs w:val="18"/>
          <w:u w:val="single" w:color="auto"/>
          <w:color w:val="auto"/>
        </w:rPr>
        <w:t>Section 2.4(ii)(c)</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Other Requirements and Procedures.</w:t>
      </w:r>
    </w:p>
    <w:p>
      <w:pPr>
        <w:spacing w:after="0" w:line="119"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In addition to the foregoing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 stockholder must also comply with all applicable requirements of state law and of the 1934 Act and the rules and regulations thereunder with respect to the matters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deemed to affect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4" w:name="page95"/>
    <w:bookmarkEnd w:id="94"/>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rights of: (1) a stockholder to request the inclusion of proposals in the corporation’s proxy statement pursuant to Rule 14a-8 (or any successor provision) under the 1934 Act or (2) the corporation to omit a proposal from the corporation’s proxy statement pursuant to Rule 14a-8 (or any successor provision) under the 1934 Act.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NRS 78.370 (and shall contain or be accompanied by such additional information as may be required by, the NRS, including, without limitation, NRS 78.379, 92A.120 or 92A.410), and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and, in the case of a special meeting, the purpose or purposes for which the meeting is called, provided, however, that (i) if a proposed plan of merger, conversion or exchange is to be submitted to a vote at the meeting,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at the meeting, the notice of the meeting must state that the stockholders are or may be entitled to assert dissenter’s rights under NRS 92A.300 to 92A.500, inclusive, and be accompanied by a copy of those statutory provisions. Except as otherwise provided in the NRS, the articles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and to vote at, the meeting.</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QUORUM</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articles of incorporation, these bylaws or the 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articles of incorporation, these bylaws or the rules of any applicable stock exchange on which the corporation’s securities are listed. 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 subject to NRS 78.350(5).</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the applicable provisions of NRS 78.370. At the adjourned meeting, the corporation may transact any business which might have been transacted at the original meeting. If the adjournment is for more than 60 days after the meeting date set for the original meeting, a new record date for the adjourned meeting must be set and notice of the adjourned meeting shall be given to each stockholder of record entitled to vote at the adjourned meeting. If after the adjournment a new record date for stockholders entitled to vote is fixed for the adjourned meeting, the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5" w:name="page96"/>
    <w:bookmarkEnd w:id="95"/>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of directors shall fix a new record date for notice of such adjourned meeting in accordance with the applicable provisions of NRS 78.350 and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whether or not a quorum is present.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VOTING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stockholders entitled to vote at any meeting of stockholders shall be determined in accordance with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these bylaws, subject to NRS 78.352 (relating to voting rights of fiduciaries, pledgors and joint owners of stock) and NRS 78.365 (relating to voting trusts and other voting agreements). Except as otherwise provided by law, the articles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articles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articles of incorporation, these bylaws or the rules of any applicable stock exchange.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STOCKHOLDER ACTION BY CONSENT WITHOUT A MEETING</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Unless otherwise provided in the articles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(i) shall be delivered to the corporation at the principal place of business of the corporation by hand or by certified or registered mail, return receipt requested and (ii) such consent must set forth or be delivered with information that enables the corporation to determine the date of delivery of such consent and the identity of the person giving such consent and, if such consent is given by a person authorized to act for a stockholder or member as proxy, such consent must comply with the applicable provisions of NRS 78.355. Prompt notice of the taking of the corporate action without a meeting by less than unanimous consent shall be provided to stockholders if and to the extent required by law. No consent shall be effective to take the corporate action referred to therein unless consents signed by a sufficient number of stockholders to take such action are delivered to the corporation in the manner prescribed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applicable law within sixty (60) days of the first date on which a consent is so delivered to the corporation.</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6" w:name="page97"/>
    <w:bookmarkEnd w:id="96"/>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NRS 78.350 and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at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PROXIES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 document or by a transmission permitted by law submitted in accordance with the procedure established for the meeting, but no such proxy shall be voted or acted upon after six (6) months from its date, unless the proxy provides for a longer period, subject to applicable limitations under NRS 78.355. The authorization of a person to act as a proxy may be documented, signed and delivered in accordance with applicable law; provided that such authorization shall set forth, or be delivered with information enabling the corporation to determine, the identity of the stockholder granting such authorization. The revocability of a proxy that states on its face that it is irrevocable shall be governed by the applicable provisions of NRS 78.355.</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Before any meeting of stockholders, the corporation shall appoint an inspector or inspectors of election to act at the meeting or its adjournment and make a written report thereof. The corporation may designate one (1) or more persons as alternate inspectors to replace any inspector who fails to act. 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POWERS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except as may be otherwise provided in the NRS or the articles of incorporation.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shall consist of one or more individuals, each of whom shall be a natural person. Unless the articles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articles of incorporation or these bylaws. The articles of incorporation or these bylaws may prescribe other qualifications for directors. If so provided in the articles of incorporation, the directors of the corporation shall be divided into three classes. Until such time, the directors of the corporation shall be elected at each annual meeting of stockholders to hold office until the next annual meeting and until their successors have been duly elected and qualified or until their earlier resignation or removal.</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chairperson of the board of directors (or, if none, to the chief executive officer of the corporation) or to the secretary of the corporation. A resignation is effective when the resignation is delivered unless the resignation specifies a later effective date or an effective date determined upon the happening of an event or events. Unless otherwise specified in the notice of resignation, acceptance of such resignation shall not be necessary to make it effective. A resignation which is conditioned upon the director failing to receive a specified vote for re-election as a director may provide that it is irrevocable. Unless otherwise provided in the articles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Unless otherwise provided in the articles of incorporation or these bylaws or permitted in the specific case by resolution of the board of directors, and subject to the rights of holders of Preferred Stock, vacancies occurring on the board of directors for any reason and newly created directorships resulting from any increase in the authorized number of directors may be filled only by a vote of a majority of the remaining members of the board of directors, although less than a quorum, or by a sole remaining director, at any meeting of the board of directors, and not by stockholders. If the directors are divided into classes as provided by the articles of incorporation, a person so chosen to fill a vacancy or newly created directorship shall hold office until the next election of the class for which such director shall have been chosen and until such director’s successor shall have been duly elected and qualified.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3.5   PLACE OF MEETINGS; MEETINGS BY REMOTE COMMUNICATION</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Nevada. Unless otherwise restricted by the articles of incorporation or these bylaws, members of the board of directors may participate in a meeting of the board of directors by electronic communications, videoconferencing, teleconferencing or other available technology satisfying the applicable requirements of NRS 78.315(3), and such participation in a meeting shall constitute presence in person at the meeting.</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 chief executive officer, the president, the secretary or a majority of the Whole Board. Notice of the time and place of special meetings of the board of directors shall be:</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delivered personally by hand or by courier;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sent by United States first-class mail, postage prepaid;</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sent by facsimile;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sent by electronic mail; or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otherwise given by electronic transmission (as defined in NRS Chapter 75),</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facsimile number, electronic mail address or other contact for notice by electronic transmission, as the case may be, as shown on the corporation’s records. If the notice 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8" w:name="page99"/>
    <w:bookmarkEnd w:id="98"/>
    <w:p>
      <w:pPr>
        <w:jc w:val="both"/>
        <w:ind w:left="300" w:right="299" w:hanging="8"/>
        <w:spacing w:after="0" w:line="254" w:lineRule="auto"/>
        <w:tabs>
          <w:tab w:leader="none" w:pos="5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or by courier,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oral notice is given in person or by telephone at least 24 hours before the time of the holding of the special meeting. The notice need not specify the place of the meeting (if the meeting is to be held at the corporation’s principal executive office) nor the purpose of the meeting, unless required by statute.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The affirmative vote of a majority of the directors present at any meeting at which a quorum is present shall be the act of the board of directors, except as may be otherwise specifically provided by statute, the articles of incorporation or these bylaws.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restricted by the articles of incorporation or these bylaws, (i) any action required or permitted to be taken at any meeting of the board of directors may be taken without a meeting if all members of the board of directors consent thereto in writing or by electronic transmission and (ii) a consent may be documented, signed and delivered in any manner permitted by the applicable provisions of NRS 78.315.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(i) revocable prior to its becoming effective and (ii) deemed to have been given for purposes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at such effective time so long as such person is then a director and did not revoke the consent prior to such time. After an action is taken, the consent or consents relating thereto shall be filed with the minutes of the proceedings of the board of directors in the same paper or electronic form as the minutes are maintained.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or these bylaws, the board of directors shall have the authority to fix the compensation of directors.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director may be removed from office at any time, with or without cause, in accordance with NRS 78.335. No reduction of the authorized number of directors shall have the effect of removing any director prior to the expiration of such director’s term of office.</w:t>
      </w:r>
    </w:p>
    <w:p>
      <w:pPr>
        <w:spacing w:after="0" w:line="3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may, by resolution adopted by the affirmative vote of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specified by the board of directors, meetings and actions of committees shall be governed by, and held and taken in accordance with, the provisions of:</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(place of meetings and meetings by telephone);</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(regular meetings);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(special meetings and notice);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(quorum; voting);</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(action without a meeting); and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(waiver of notice)</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with such changes in the context of those bylaws as are necessary to substitute the committee and its members for the board of directors and its members, provided, however, that unless and to the extent provided in the resolutions of the board of directors designating a committee:</w:t>
      </w:r>
    </w:p>
    <w:p>
      <w:pPr>
        <w:spacing w:after="0" w:line="68"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the time and place of regular meetings of such committee may be determined either by resolution of the board of directors or by resolution of such committee;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special meetings of such committee may also be called by resolution of the board of directors; and</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(iii)  notice of special meetings of such committee shall also be given to any and all alternate members of such committee, who shall have the right to attend all meetings of the committee.</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board of directors may adopt rules for the government of any committee not inconsistent with the provisions of these bylaws.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SUBCOMMITTEES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articles of incorporation, these bylaws or the resolutions of the board of directors designating the committee, a committee may create one or more subcommittees, each subcommittee to consist of at least one member of the committee, and delegate to a subcommittee any or all of the powers and authority of the committee.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OFFICERS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officers of the corporation shall be a president, a treasurer and a secretary, or the equivalents of such offices. The corporation may also have, at the discretion of the board of directors, a chairperson of the board of directors, a vice chairperson of the board of directors, a chief executive officer, a chief financial officer, one or more vice presidents, one or more assistant vice presidents, one or more assistant treasurers, one or more assistant secretaries, and any such other officers with such other titles as may be appointed from time to time in accordance with the provisions of these bylaws. Any number of offices may be held by the same person.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shall appoint the officers of the corporation, except such officers as may be appointed in accordance with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these bylaws, subject to the rights, if any, of an officer under any contract of employment.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117" w:lineRule="exact"/>
        <w:rPr>
          <w:sz w:val="20"/>
          <w:szCs w:val="20"/>
          <w:color w:val="auto"/>
        </w:rPr>
      </w:pPr>
    </w:p>
    <w:p>
      <w:pPr>
        <w:jc w:val="both"/>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Subject to the rights, if any, of an officer under any contract of employment, any officer may be removed, either with or without cause, by the board of directors or, except in the case of an officer chosen by the board of directors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0" w:name="page101"/>
    <w:bookmarkEnd w:id="100"/>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unless as otherwise provided by resolution of the board of directors, by any officer upon whom such power of removal may be conferred by the board of directors. 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Any vacancy occurring in any office of the corporation shall be filled by the board of directors or as provided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chief financial officer or treasurer, the secretary or assistant secretary of the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this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21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 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may be otherwise provided in NRS 78.235,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1" w:name="page102"/>
    <w:bookmarkEnd w:id="101"/>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the applicable provisions of the NRS, including NRS 78.235 and 78.242, or with respect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Except as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DIVIDENDS AND OTHER DISTRIBUTIONS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articles of incorporation or applicable law, may declare and pay dividends or other distributions upon the shares of the corporation’s capital stock. Dividends and distributions may be paid in cash, in property, or in shares of the corporation’s capital stock, subject to the provisions of the articles of incorporation and the NRS. The board of directors may set apart out of any of the funds of the corporation available for dividends a reserve or reserves for any proper purpose and may abolish any such reserve.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Transfers of record of shares of stock of the corporation shall be made only upon its books by the holders thereof, in person or by an attorney duly authorized, and, subject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these bylaws, if such stock is certificated, upon the surrender of a certificate or certificates for a like number of shares, properly endorsed or accompanied by proper evidence of succession, assignation or authority to transfer.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NRS.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6.7   REGISTERED STOCKHOLDERS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shall be entitled to recognize the exclusive right of a person registered on its books as the owner of shares to receive dividends and notices and to vote as such owner; and</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(ii)  shall not be bound to recognize any equitable or other claim to or interest in such share or shares on the part of another person, whether or not it shall have express or other notice thereof, except as otherwise provided by the laws of Nevada.</w:t>
      </w:r>
    </w:p>
    <w:p>
      <w:pPr>
        <w:spacing w:after="0" w:line="320" w:lineRule="exact"/>
        <w:rPr>
          <w:sz w:val="20"/>
          <w:szCs w:val="20"/>
          <w:color w:val="auto"/>
        </w:rPr>
      </w:pPr>
    </w:p>
    <w:p>
      <w:pPr>
        <w:ind w:left="660" w:right="1979" w:firstLine="1311"/>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ARTICLE VII - MANNER OF GIVING NOTICE AND WAIVER </w:t>
      </w:r>
      <w:r>
        <w:rPr>
          <w:rFonts w:ascii="Times New Roman" w:cs="Times New Roman" w:eastAsia="Times New Roman" w:hAnsi="Times New Roman"/>
          <w:sz w:val="18"/>
          <w:szCs w:val="18"/>
          <w:color w:val="auto"/>
        </w:rPr>
        <w:t>7.1  NOTICE TO STOCKHOLDERS</w:t>
      </w:r>
    </w:p>
    <w:p>
      <w:pPr>
        <w:spacing w:after="0" w:line="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Any notice to stockholders given by the corporation under any provision of the NRS, the articles of incorporation or these bylaws may be given in the manner set forth in NRS 78.370 and in accordance with the applicable provisions of NRS Chapter 75.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prohibited under the NRS, without limiting the manner by which notice otherwise may be given effectively to stockholders, any notice to stockholders given by the corporation under the provisions of the NRS, the articles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notices given pursuant to Sections 78.220 or 78.685, or Chapter 104, of the NRS.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notice is required to be given under the NRS, the articles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NRS, the certificate shall state, if such is the fact and if notice is required, that notice was given to all persons entitled to receive notice except such persons with whom communication is unlawful.</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NRS, the articles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articles of incorporation or these bylaws.</w:t>
      </w:r>
    </w:p>
    <w:p>
      <w:pPr>
        <w:spacing w:after="0" w:line="33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indemnify, to the fullest extent permitted by the NRS,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8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CORPORATION</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indemnify, to the fullest extent permitted by the NRS, as now or hereinafter in effect, any person who was or is a party or is threatened to be made a party to any threatened, pending or completed Proceeding by or in the right of the corporation to procure a judgment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3" w:name="page104"/>
    <w:bookmarkEnd w:id="103"/>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competent jurisdiction in which such Proceeding was brought shall determine upon application that, despite the adjudication of liability but in view of all the circumstances of the case, such person is fairly and reasonably entitled to indemnity for such expenses which such court shall deem proper.</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8.3   SUCCESSFUL DEFENSE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To the extent that a present or former director or officer of the corporation has been successful on the merits or otherwise in defense of any Proceeding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in defense of any claim, issue or matter therein, such person shall be indemnified against expenses (including attorneys’ fees) actually and reasonably incurred by such person in connection therewith.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Proceeding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of these bylaws or in defense of any claim, issue or matter therein.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have power to advance expenses to and indemnify its employees and agents, or any other persons, to the extent not prohibited by the NRS or other applicable law. The board of directors shall have the power to delegate to any person or persons identified in subsections (3)(a) through 3(c) of NRS 78.7502 the determination of whether employees or agents shall be indemnified or receive an advancement of expenses.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8.5   ADVANCE PAYMENT OF EXPENSES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NRS.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w:t>
      </w:r>
      <w:r>
        <w:rPr>
          <w:rFonts w:ascii="Times New Roman" w:cs="Times New Roman" w:eastAsia="Times New Roman" w:hAnsi="Times New Roman"/>
          <w:sz w:val="18"/>
          <w:szCs w:val="18"/>
          <w:u w:val="single" w:color="auto"/>
          <w:color w:val="auto"/>
        </w:rPr>
        <w:t>Section 8.6(ii)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8.6(iii)</w:t>
      </w:r>
      <w:r>
        <w:rPr>
          <w:rFonts w:ascii="Times New Roman" w:cs="Times New Roman" w:eastAsia="Times New Roman" w:hAnsi="Times New Roman"/>
          <w:sz w:val="18"/>
          <w:szCs w:val="18"/>
          <w:color w:val="auto"/>
        </w:rPr>
        <w:t xml:space="preserve"> prior to a determination that the person is not entitled to be indemnified by the corporation.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8.6   LIMITATION ON INDEMNIFICATION</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requirements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the NRS, the corporation shall not be obligated to indemnify any person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connection with any Proceeding (or any part of any Proceeding):</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(i)  for which payment has actually been made to or on behalf of such person under any statute, insurance policy, indemnity provision, vote or otherwise, except with respect to any excess beyond the amount paid;</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  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(iii)  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4" w:name="page105"/>
    <w:bookmarkEnd w:id="104"/>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accounting restatement of the corporation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72" w:lineRule="exact"/>
        <w:rPr>
          <w:sz w:val="20"/>
          <w:szCs w:val="20"/>
          <w:color w:val="auto"/>
        </w:rPr>
      </w:pPr>
    </w:p>
    <w:p>
      <w:pPr>
        <w:jc w:val="both"/>
        <w:ind w:left="660" w:right="319" w:firstLine="360"/>
        <w:spacing w:after="0" w:line="257" w:lineRule="auto"/>
        <w:rPr>
          <w:sz w:val="20"/>
          <w:szCs w:val="20"/>
          <w:color w:val="auto"/>
        </w:rPr>
      </w:pPr>
      <w:r>
        <w:rPr>
          <w:rFonts w:ascii="Times New Roman" w:cs="Times New Roman" w:eastAsia="Times New Roman" w:hAnsi="Times New Roman"/>
          <w:sz w:val="18"/>
          <w:szCs w:val="18"/>
          <w:color w:val="auto"/>
        </w:rPr>
        <w:t>(iv)  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w:t>
      </w:r>
    </w:p>
    <w:p>
      <w:pPr>
        <w:spacing w:after="0" w:line="1" w:lineRule="exact"/>
        <w:rPr>
          <w:sz w:val="20"/>
          <w:szCs w:val="20"/>
          <w:color w:val="auto"/>
        </w:rPr>
      </w:pPr>
    </w:p>
    <w:p>
      <w:pPr>
        <w:jc w:val="both"/>
        <w:ind w:left="660" w:right="299" w:hanging="8"/>
        <w:spacing w:after="0" w:line="255" w:lineRule="auto"/>
        <w:tabs>
          <w:tab w:leader="none" w:pos="9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provides the indemnification, in its sole discretion, pursuant to the powers vested in the corporation under applicable law, (c) otherwise required to be made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or (d) otherwise required by applicable law; or</w:t>
      </w:r>
    </w:p>
    <w:p>
      <w:pPr>
        <w:spacing w:after="0" w:line="1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if prohibited by applicable law.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a claim for indemnification or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not paid in full within ninety (90) days after receipt by the corporation of the written request therefor, the claimant shall be entitled to an adjudication by a court of competent jurisdiction of such claimant’s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indemnification and advancement of expenses provided by, or granted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deemed exclusive of any other rights to which those seeking indemnification or advancement of expenses may be entitled under the articles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NRS or other applicable law.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8.9   INSURANCE</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corporation may purchase and maintain insurance to the fullest extent permitted by the NRS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NRS.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8.10   SURVIVAL</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rights to indemnification and advancement of expenses conferred by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continue as to a person who has ceased to be a director, officer, employee or agent and shall inure to the benefit of the heirs, executors and administrators of such a person.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articles of incorporation or a bylaw shall not be eliminated or impaired by an amendment to or repeal or elimination of the articles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11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references to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the resulting or surviving entity as such person would have with respect to such constituent entity if its separate existence had continued.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 of the corporation</w:t>
      </w:r>
      <w:r>
        <w:rPr>
          <w:rFonts w:ascii="Times New Roman" w:cs="Times New Roman" w:eastAsia="Times New Roman" w:hAnsi="Times New Roman"/>
          <w:sz w:val="18"/>
          <w:szCs w:val="18"/>
          <w:color w:val="auto"/>
        </w:rPr>
        <w:t>” shall include any service as a director, officer, employee or agent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 of the corporation</w:t>
      </w:r>
      <w:r>
        <w:rPr>
          <w:rFonts w:ascii="Times New Roman" w:cs="Times New Roman" w:eastAsia="Times New Roman" w:hAnsi="Times New Roman"/>
          <w:sz w:val="18"/>
          <w:szCs w:val="18"/>
          <w:color w:val="auto"/>
        </w:rPr>
        <w:t xml:space="preserve">” as referred to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34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provided by law, the articles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9.2   FISCAL YEAR</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 and may be changed by the board of directors.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SEAL</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NRS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 corporation, partnership, limited liability company, joint venture, trust or other enterprise and a natural person. Any reference in these bylaws to a section of the NRS shall be deemed to refer to such section as amended from time to time and any successor provisions thereto. If any provision or provisions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paragraph of the bylaws containing any such provision held to be invalid, illegal or unenforceable that is not itself held to be invalid, illegal or unenforceable) shall not in any way be affected or impaired thereby; and (ii) to the fullest extent possible, the provisions of the bylaws (including, without limitation, each such portion of any paragraph of the bylaws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provided, however, that the affirmative vote of the holders of at least two-thirds (2/3) of the total voting power of outstanding voting securities, voting together as a single class, shall be required for the stockholders of the corporation to alter, amend or repeal, or adopt any provision of these bylaws. However, the corporation may, in its articles of incorporation, confer the power to adopt, amend or repeal bylaws upon the directors. The fact that such power has been so conferred upon the directors shall not divest the stockholders of the power, nor limit their power to adopt, amend or repeal bylaws. A bylaw amendment adopted by stockholders which specifies the votes that shall be necessary for the election of directors shall not be further amended or repealed by the board of directors.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 EXCLUSIVE FORUM</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Unless the corporation expressly consents in writing to the selection of an alternative forum, the Eighth Judicial District Court of the State of Nevada, Clark County, Nevada shall, to the fullest extent permitted by law, be the sole and exclusive forum for (i) any derivative action or proceeding brought on behalf of the corporation, (ii) any action asserting a claim of breach of a fiduciary duty owed by any director, stockholder or officer or other employee of the corporation to the corporation or the corporation’s stockholders, (iii) any action arising pursuant to any provision of the NRS or the articles of incorporation or these bylaws (as either may be amended from time to time), including any internal action (as defined in NRS 78.046),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(10) days following such determination). Unless the corporation consents in writing to the selection of an alternative forum, the federal district courts of the United States of America shall be the sole and exclusive forum for the resolution of any claim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 Any person or entity purchasing or otherwise acquiring or holding any interest in any security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This provision shall be enforceable by any party to a claim covered by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 ACQUISITION OF CONTROLLING INTEREST STATUTES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these Bylaws to the contrary, and in accordance with the provisions of NRS 78.378, the provisions of NRS 78.378 to 78.3793, inclusive (or any successor statutes thereto), relating to acquisitions of controlling interests in the corporation, do not apply to the corporation or to any acquisition of shares of the corporation’s capital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F-18</w:t>
      </w:r>
    </w:p>
    <w:sectPr>
      <w:pgSz w:w="11900" w:h="16838" w:orient="portrait"/>
      <w:cols w:equalWidth="0" w:num="1">
        <w:col w:w="9019"/>
      </w:cols>
      <w:pgMar w:left="1440" w:top="2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Roman"/>
      <w:start w:val="2"/>
    </w:lvl>
  </w:abstractNum>
  <w:abstractNum w:abstractNumId="4">
    <w:nsid w:val="7C83E458"/>
    <w:multiLevelType w:val="hybridMultilevel"/>
    <w:lvl w:ilvl="0">
      <w:lvlJc w:val="left"/>
      <w:lvlText w:val="(%1)"/>
      <w:numFmt w:val="lowerRoman"/>
      <w:start w:val="4"/>
    </w:lvl>
  </w:abstractNum>
  <w:abstractNum w:abstractNumId="5">
    <w:nsid w:val="257130A3"/>
    <w:multiLevelType w:val="hybridMultilevel"/>
    <w:lvl w:ilvl="0">
      <w:lvlJc w:val="left"/>
      <w:lvlText w:val="(%1)"/>
      <w:numFmt w:val="lowerRoman"/>
      <w:start w:val="3"/>
    </w:lvl>
  </w:abstractNum>
  <w:abstractNum w:abstractNumId="6">
    <w:nsid w:val="62BBD95A"/>
    <w:multiLevelType w:val="hybridMultilevel"/>
    <w:lvl w:ilvl="0">
      <w:lvlJc w:val="left"/>
      <w:lvlText w:val="(%1)"/>
      <w:numFmt w:val="lowerRoman"/>
      <w:start w:val="4"/>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lowerRoman"/>
      <w:start w:val="3"/>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lowerLetter"/>
      <w:start w:val="2"/>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decimal"/>
      <w:start w:val="4"/>
    </w:lvl>
  </w:abstractNum>
  <w:abstractNum w:abstractNumId="22">
    <w:nsid w:val="2CA88611"/>
    <w:multiLevelType w:val="hybridMultilevel"/>
    <w:lvl w:ilvl="0">
      <w:lvlJc w:val="left"/>
      <w:lvlText w:val="(%1)"/>
      <w:numFmt w:val="upperLetter"/>
      <w:start w:val="2"/>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Roman"/>
      <w:start w:val="1"/>
    </w:lvl>
  </w:abstractNum>
  <w:abstractNum w:abstractNumId="25">
    <w:nsid w:val="3A95F874"/>
    <w:multiLevelType w:val="hybridMultilevel"/>
    <w:lvl w:ilvl="0">
      <w:lvlJc w:val="left"/>
      <w:lvlText w:val="(%1)"/>
      <w:numFmt w:val="decimal"/>
      <w:start w:val="18"/>
    </w:lvl>
  </w:abstractNum>
  <w:abstractNum w:abstractNumId="26">
    <w:nsid w:val="8138641"/>
    <w:multiLevelType w:val="hybridMultilevel"/>
    <w:lvl w:ilvl="0">
      <w:lvlJc w:val="left"/>
      <w:lvlText w:val="(%1)"/>
      <w:numFmt w:val="decimal"/>
      <w:start w:val="10"/>
    </w:lvl>
  </w:abstractNum>
  <w:abstractNum w:abstractNumId="27">
    <w:nsid w:val="1E7FF521"/>
    <w:multiLevelType w:val="hybridMultilevel"/>
    <w:lvl w:ilvl="0">
      <w:lvlJc w:val="left"/>
      <w:lvlText w:val="(%1)"/>
      <w:numFmt w:val="decimal"/>
      <w:start w:val="10"/>
    </w:lvl>
  </w:abstractNum>
  <w:abstractNum w:abstractNumId="28">
    <w:nsid w:val="7C3DBD3D"/>
    <w:multiLevelType w:val="hybridMultilevel"/>
    <w:lvl w:ilvl="0">
      <w:lvlJc w:val="left"/>
      <w:lvlText w:val="(%1)"/>
      <w:numFmt w:val="decimal"/>
      <w:start w:val="18"/>
    </w:lvl>
  </w:abstractNum>
  <w:abstractNum w:abstractNumId="29">
    <w:nsid w:val="737B8DDC"/>
    <w:multiLevelType w:val="hybridMultilevel"/>
    <w:lvl w:ilvl="0">
      <w:lvlJc w:val="left"/>
      <w:lvlText w:val="(%1)"/>
      <w:numFmt w:val="upperLetter"/>
      <w:start w:val="2"/>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2025-01-31T08:31:05Z</dcterms:created>
  <dcterms:modified xsi:type="dcterms:W3CDTF">2025-01-31T08:31:05Z</dcterms:modified>
</cp:coreProperties>
</file>