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2698750</wp:posOffset>
            </wp:positionH>
            <wp:positionV relativeFrom="paragraph">
              <wp:posOffset>114935</wp:posOffset>
            </wp:positionV>
            <wp:extent cx="1744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498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2698750</wp:posOffset>
            </wp:positionH>
            <wp:positionV relativeFrom="paragraph">
              <wp:posOffset>128905</wp:posOffset>
            </wp:positionV>
            <wp:extent cx="1744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4980" cy="8255"/>
                    </a:xfrm>
                    <a:prstGeom prst="rect">
                      <a:avLst/>
                    </a:prstGeom>
                    <a:noFill/>
                  </pic:spPr>
                </pic:pic>
              </a:graphicData>
            </a:graphic>
          </wp:anchor>
        </w:drawing>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0" w:lineRule="exact"/>
        <w:rPr>
          <w:sz w:val="24"/>
          <w:szCs w:val="24"/>
          <w:color w:val="auto"/>
        </w:rPr>
      </w:pPr>
    </w:p>
    <w:p>
      <w:pPr>
        <w:ind w:left="4060" w:right="2200" w:hanging="4056"/>
        <w:spacing w:after="0" w:line="277" w:lineRule="auto"/>
        <w:tabs>
          <w:tab w:leader="none" w:pos="206"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For the quarterly period ended June 30, 2021</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6" w:lineRule="exact"/>
        <w:rPr>
          <w:sz w:val="24"/>
          <w:szCs w:val="24"/>
          <w:color w:val="auto"/>
        </w:rPr>
      </w:pPr>
    </w:p>
    <w:p>
      <w:pPr>
        <w:ind w:left="3740" w:right="2200" w:hanging="3736"/>
        <w:spacing w:after="0" w:line="277" w:lineRule="auto"/>
        <w:tabs>
          <w:tab w:leader="none" w:pos="213"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from________to________</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2094865</wp:posOffset>
            </wp:positionH>
            <wp:positionV relativeFrom="paragraph">
              <wp:posOffset>69215</wp:posOffset>
            </wp:positionV>
            <wp:extent cx="2961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100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Dropbox,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2094865</wp:posOffset>
            </wp:positionH>
            <wp:positionV relativeFrom="paragraph">
              <wp:posOffset>108585</wp:posOffset>
            </wp:positionV>
            <wp:extent cx="2961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1005"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92" w:lineRule="exact"/>
        <w:rPr>
          <w:sz w:val="24"/>
          <w:szCs w:val="24"/>
          <w:color w:val="auto"/>
        </w:rPr>
      </w:pPr>
    </w:p>
    <w:p>
      <w:pPr>
        <w:jc w:val="center"/>
        <w:ind w:right="3020"/>
        <w:spacing w:after="0"/>
        <w:rPr>
          <w:sz w:val="20"/>
          <w:szCs w:val="20"/>
          <w:color w:val="auto"/>
        </w:rPr>
      </w:pPr>
      <w:r>
        <w:rPr>
          <w:rFonts w:ascii="Arial" w:cs="Arial" w:eastAsia="Arial" w:hAnsi="Arial"/>
          <w:sz w:val="14"/>
          <w:szCs w:val="14"/>
          <w:b w:val="1"/>
          <w:bCs w:val="1"/>
          <w:color w:val="auto"/>
        </w:rPr>
        <w:t>Delaware</w:t>
      </w:r>
    </w:p>
    <w:p>
      <w:pPr>
        <w:spacing w:after="0" w:line="21" w:lineRule="exact"/>
        <w:rPr>
          <w:sz w:val="24"/>
          <w:szCs w:val="24"/>
          <w:color w:val="auto"/>
        </w:rPr>
      </w:pPr>
    </w:p>
    <w:p>
      <w:pPr>
        <w:jc w:val="center"/>
        <w:ind w:right="30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2094865</wp:posOffset>
            </wp:positionH>
            <wp:positionV relativeFrom="paragraph">
              <wp:posOffset>133350</wp:posOffset>
            </wp:positionV>
            <wp:extent cx="2961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100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26-0138832</w:t>
      </w:r>
    </w:p>
    <w:p>
      <w:pPr>
        <w:spacing w:after="0" w:line="21" w:lineRule="exact"/>
        <w:rPr>
          <w:sz w:val="24"/>
          <w:szCs w:val="24"/>
          <w:color w:val="auto"/>
        </w:rPr>
      </w:pPr>
    </w:p>
    <w:p>
      <w:pPr>
        <w:jc w:val="center"/>
        <w:ind w:right="420"/>
        <w:spacing w:after="0"/>
        <w:rPr>
          <w:sz w:val="20"/>
          <w:szCs w:val="20"/>
          <w:color w:val="auto"/>
        </w:rPr>
      </w:pPr>
      <w:r>
        <w:rPr>
          <w:rFonts w:ascii="Arial" w:cs="Arial" w:eastAsia="Arial" w:hAnsi="Arial"/>
          <w:sz w:val="13"/>
          <w:szCs w:val="13"/>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7680" w:space="720"/>
            <w:col w:w="2840"/>
          </w:cols>
          <w:pgMar w:left="320" w:top="968" w:right="339" w:bottom="1440" w:gutter="0" w:footer="0" w:header="0"/>
          <w:type w:val="continuous"/>
        </w:sectPr>
      </w:pP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1800 Owens Street</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San Francisco, California 94158</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(415) 857-6800</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2094865</wp:posOffset>
            </wp:positionH>
            <wp:positionV relativeFrom="paragraph">
              <wp:posOffset>115570</wp:posOffset>
            </wp:positionV>
            <wp:extent cx="2961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100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415925</wp:posOffset>
            </wp:positionH>
            <wp:positionV relativeFrom="paragraph">
              <wp:posOffset>25400</wp:posOffset>
            </wp:positionV>
            <wp:extent cx="6252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2210" cy="8255"/>
                    </a:xfrm>
                    <a:prstGeom prst="rect">
                      <a:avLst/>
                    </a:prstGeom>
                    <a:noFill/>
                  </pic:spPr>
                </pic:pic>
              </a:graphicData>
            </a:graphic>
          </wp:anchor>
        </w:drawing>
      </w:r>
    </w:p>
    <w:p>
      <w:pPr>
        <w:spacing w:after="0" w:line="54" w:lineRule="exact"/>
        <w:rPr>
          <w:sz w:val="24"/>
          <w:szCs w:val="24"/>
          <w:color w:val="auto"/>
        </w:rPr>
      </w:pPr>
    </w:p>
    <w:tbl>
      <w:tblPr>
        <w:tblLayout w:type="fixed"/>
        <w:tblInd w:w="80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640" w:type="dxa"/>
            <w:vAlign w:val="bottom"/>
            <w:gridSpan w:val="2"/>
          </w:tcPr>
          <w:p>
            <w:pPr>
              <w:jc w:val="center"/>
              <w:ind w:right="1600"/>
              <w:spacing w:after="0"/>
              <w:rPr>
                <w:sz w:val="20"/>
                <w:szCs w:val="20"/>
                <w:color w:val="auto"/>
              </w:rPr>
            </w:pPr>
            <w:r>
              <w:rPr>
                <w:rFonts w:ascii="Arial" w:cs="Arial" w:eastAsia="Arial" w:hAnsi="Arial"/>
                <w:sz w:val="14"/>
                <w:szCs w:val="14"/>
                <w:b w:val="1"/>
                <w:bCs w:val="1"/>
                <w:color w:val="auto"/>
                <w:w w:val="86"/>
              </w:rPr>
              <w:t>Title of each class</w:t>
            </w:r>
          </w:p>
        </w:tc>
        <w:tc>
          <w:tcPr>
            <w:tcW w:w="25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Trading Symbol(s)</w:t>
            </w:r>
          </w:p>
        </w:tc>
        <w:tc>
          <w:tcPr>
            <w:tcW w:w="3060" w:type="dxa"/>
            <w:vAlign w:val="bottom"/>
            <w:gridSpan w:val="2"/>
          </w:tcPr>
          <w:p>
            <w:pPr>
              <w:jc w:val="center"/>
              <w:ind w:left="711"/>
              <w:spacing w:after="0"/>
              <w:rPr>
                <w:sz w:val="20"/>
                <w:szCs w:val="20"/>
                <w:color w:val="auto"/>
              </w:rPr>
            </w:pPr>
            <w:r>
              <w:rPr>
                <w:rFonts w:ascii="Arial" w:cs="Arial" w:eastAsia="Arial" w:hAnsi="Arial"/>
                <w:sz w:val="14"/>
                <w:szCs w:val="14"/>
                <w:b w:val="1"/>
                <w:bCs w:val="1"/>
                <w:color w:val="auto"/>
                <w:w w:val="87"/>
              </w:rPr>
              <w:t>Name of exchange on which registered</w:t>
            </w:r>
          </w:p>
        </w:tc>
      </w:tr>
      <w:tr>
        <w:trPr>
          <w:trHeight w:val="20"/>
        </w:trPr>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189"/>
        </w:trPr>
        <w:tc>
          <w:tcPr>
            <w:tcW w:w="3620" w:type="dxa"/>
            <w:vAlign w:val="bottom"/>
            <w:gridSpan w:val="3"/>
          </w:tcPr>
          <w:p>
            <w:pPr>
              <w:jc w:val="center"/>
              <w:ind w:right="600"/>
              <w:spacing w:after="0"/>
              <w:rPr>
                <w:sz w:val="20"/>
                <w:szCs w:val="20"/>
                <w:color w:val="auto"/>
              </w:rPr>
            </w:pPr>
            <w:r>
              <w:rPr>
                <w:rFonts w:ascii="Arial" w:cs="Arial" w:eastAsia="Arial" w:hAnsi="Arial"/>
                <w:sz w:val="14"/>
                <w:szCs w:val="14"/>
                <w:color w:val="auto"/>
                <w:w w:val="89"/>
              </w:rPr>
              <w:t>Class A Common Stock, par value $0.00001 per share</w:t>
            </w:r>
          </w:p>
        </w:tc>
        <w:tc>
          <w:tcPr>
            <w:tcW w:w="620" w:type="dxa"/>
            <w:vAlign w:val="bottom"/>
          </w:tcPr>
          <w:p>
            <w:pPr>
              <w:spacing w:after="0"/>
              <w:rPr>
                <w:sz w:val="16"/>
                <w:szCs w:val="16"/>
                <w:color w:val="auto"/>
              </w:rPr>
            </w:pPr>
          </w:p>
        </w:tc>
        <w:tc>
          <w:tcPr>
            <w:tcW w:w="1900" w:type="dxa"/>
            <w:vAlign w:val="bottom"/>
            <w:gridSpan w:val="2"/>
          </w:tcPr>
          <w:p>
            <w:pPr>
              <w:jc w:val="center"/>
              <w:ind w:right="800"/>
              <w:spacing w:after="0"/>
              <w:rPr>
                <w:sz w:val="20"/>
                <w:szCs w:val="20"/>
                <w:color w:val="auto"/>
              </w:rPr>
            </w:pPr>
            <w:r>
              <w:rPr>
                <w:rFonts w:ascii="Arial" w:cs="Arial" w:eastAsia="Arial" w:hAnsi="Arial"/>
                <w:sz w:val="14"/>
                <w:szCs w:val="14"/>
                <w:color w:val="auto"/>
              </w:rPr>
              <w:t>DBX</w:t>
            </w:r>
          </w:p>
        </w:tc>
        <w:tc>
          <w:tcPr>
            <w:tcW w:w="78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182"/>
        </w:trPr>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89"/>
              </w:rPr>
              <w:t>(Nasdaq Global Select Market)</w:t>
            </w:r>
          </w:p>
        </w:tc>
      </w:tr>
    </w:tbl>
    <w:p>
      <w:pPr>
        <w:spacing w:after="0" w:line="371" w:lineRule="exact"/>
        <w:rPr>
          <w:sz w:val="24"/>
          <w:szCs w:val="24"/>
          <w:color w:val="auto"/>
        </w:rPr>
      </w:pPr>
    </w:p>
    <w:p>
      <w:pPr>
        <w:ind w:firstLine="313"/>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9" w:lineRule="exact"/>
        <w:rPr>
          <w:sz w:val="24"/>
          <w:szCs w:val="24"/>
          <w:color w:val="auto"/>
        </w:rPr>
      </w:pPr>
    </w:p>
    <w:p>
      <w:pPr>
        <w:ind w:right="180" w:firstLine="313"/>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9" w:lineRule="exact"/>
        <w:rPr>
          <w:sz w:val="24"/>
          <w:szCs w:val="24"/>
          <w:color w:val="auto"/>
        </w:rPr>
      </w:pPr>
    </w:p>
    <w:p>
      <w:pPr>
        <w:ind w:right="500" w:firstLine="313"/>
        <w:spacing w:after="0" w:line="29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7"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3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210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7"/>
        </w:trPr>
        <w:tc>
          <w:tcPr>
            <w:tcW w:w="316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210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7"/>
        </w:trPr>
        <w:tc>
          <w:tcPr>
            <w:tcW w:w="3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8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210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77" w:lineRule="exact"/>
        <w:rPr>
          <w:sz w:val="24"/>
          <w:szCs w:val="24"/>
          <w:color w:val="auto"/>
        </w:rPr>
      </w:pPr>
    </w:p>
    <w:p>
      <w:pPr>
        <w:ind w:right="40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5" w:lineRule="exact"/>
        <w:rPr>
          <w:sz w:val="24"/>
          <w:szCs w:val="24"/>
          <w:color w:val="auto"/>
        </w:rPr>
      </w:pPr>
    </w:p>
    <w:p>
      <w:pPr>
        <w:ind w:right="80"/>
        <w:spacing w:after="0" w:line="264" w:lineRule="auto"/>
        <w:rPr>
          <w:sz w:val="20"/>
          <w:szCs w:val="20"/>
          <w:color w:val="auto"/>
        </w:rPr>
      </w:pPr>
      <w:r>
        <w:rPr>
          <w:rFonts w:ascii="Arial" w:cs="Arial" w:eastAsia="Arial" w:hAnsi="Arial"/>
          <w:sz w:val="13"/>
          <w:szCs w:val="13"/>
          <w:color w:val="auto"/>
        </w:rPr>
        <w:t>As of August 2, 2021, there were 315,320,393 shares of the registrants’ Class A common stock outstanding (which includes 10,333,333 shares of Class A common stock subject to restricted stock awards that were granted pursuant to the Co-Founder Grants, and vest upon the satisfaction of a service condition and achievement of certain stock price goals and 2,615,519 shares of Class A common stock subject to restricted stock awards that were granted to other Dropbox executives and vest upon the satisfaction of a service condition and as applicable, achievement of certain stock price goals), 83,145,237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813435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FORWARD-LOOKING STATEMENTS</w:t>
      </w:r>
    </w:p>
    <w:p>
      <w:pPr>
        <w:spacing w:after="0" w:line="242" w:lineRule="exact"/>
        <w:rPr>
          <w:sz w:val="20"/>
          <w:szCs w:val="20"/>
          <w:color w:val="auto"/>
        </w:rPr>
      </w:pPr>
    </w:p>
    <w:p>
      <w:pPr>
        <w:ind w:right="220" w:firstLine="391"/>
        <w:spacing w:after="0" w:line="303"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78" w:lineRule="exact"/>
        <w:rPr>
          <w:sz w:val="20"/>
          <w:szCs w:val="20"/>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users or convert registered users to paying users;</w:t>
      </w:r>
    </w:p>
    <w:p>
      <w:pPr>
        <w:spacing w:after="0" w:line="247" w:lineRule="exact"/>
        <w:rPr>
          <w:rFonts w:ascii="Arial" w:cs="Arial" w:eastAsia="Arial" w:hAnsi="Arial"/>
          <w:sz w:val="17"/>
          <w:szCs w:val="17"/>
          <w:color w:val="auto"/>
        </w:rPr>
      </w:pPr>
    </w:p>
    <w:p>
      <w:pPr>
        <w:ind w:left="700" w:right="140" w:hanging="305"/>
        <w:spacing w:after="0" w:line="286"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trends in revenue, costs of revenue, gross profit or gross margin, operating expenses, paying users, annual recurring revenue, average revenue per user, and free cash flow;</w:t>
      </w:r>
    </w:p>
    <w:p>
      <w:pPr>
        <w:spacing w:after="0" w:line="185" w:lineRule="exact"/>
        <w:rPr>
          <w:rFonts w:ascii="Arial" w:cs="Arial" w:eastAsia="Arial" w:hAnsi="Arial"/>
          <w:sz w:val="17"/>
          <w:szCs w:val="17"/>
          <w:color w:val="auto"/>
        </w:rPr>
      </w:pPr>
    </w:p>
    <w:p>
      <w:pPr>
        <w:ind w:left="700" w:right="140" w:hanging="305"/>
        <w:spacing w:after="0" w:line="286"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challenges and anticipated benefits to our business from our shift to a Virtual First work model as well as the impact to our financial results and business operations as a result of this shift;</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competitive markets;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possible harm caused by significant disruption of service or loss or unauthorized access to users’ content;</w:t>
      </w:r>
    </w:p>
    <w:p>
      <w:pPr>
        <w:spacing w:after="0" w:line="247" w:lineRule="exact"/>
        <w:rPr>
          <w:rFonts w:ascii="Arial" w:cs="Arial" w:eastAsia="Arial" w:hAnsi="Arial"/>
          <w:sz w:val="17"/>
          <w:szCs w:val="17"/>
          <w:color w:val="auto"/>
        </w:rPr>
      </w:pPr>
    </w:p>
    <w:p>
      <w:pPr>
        <w:ind w:left="700" w:hanging="305"/>
        <w:spacing w:after="0" w:line="357" w:lineRule="auto"/>
        <w:tabs>
          <w:tab w:leader="none" w:pos="69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the potential impacts of the outbreak of the COVID-19 pandemic and related public health measures, as well as the potential for a more permanent global shift to remote work, on our business, the business of our customers, suppliers and partners, and the economy;</w:t>
      </w:r>
    </w:p>
    <w:p>
      <w:pPr>
        <w:spacing w:after="0" w:line="138" w:lineRule="exact"/>
        <w:rPr>
          <w:rFonts w:ascii="Arial" w:cs="Arial" w:eastAsia="Arial" w:hAnsi="Arial"/>
          <w:sz w:val="15"/>
          <w:szCs w:val="15"/>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demand for our platform or for content collaboration solutions in general;</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integrate our platform with others;</w:t>
      </w:r>
    </w:p>
    <w:p>
      <w:pPr>
        <w:spacing w:after="0" w:line="247" w:lineRule="exact"/>
        <w:rPr>
          <w:rFonts w:ascii="Arial" w:cs="Arial" w:eastAsia="Arial" w:hAnsi="Arial"/>
          <w:sz w:val="17"/>
          <w:szCs w:val="17"/>
          <w:color w:val="auto"/>
        </w:rPr>
      </w:pPr>
    </w:p>
    <w:p>
      <w:pPr>
        <w:ind w:left="700" w:right="280" w:hanging="305"/>
        <w:spacing w:after="0" w:line="286"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respond to rapid technological changes, including our ability to take advantage of potential market opportunities arising from what we believe to be a more permanent shift towards remote work;</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maintain profitability;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management of future growth;</w:t>
      </w:r>
    </w:p>
    <w:p>
      <w:pPr>
        <w:spacing w:after="0" w:line="247" w:lineRule="exact"/>
        <w:rPr>
          <w:rFonts w:ascii="Arial" w:cs="Arial" w:eastAsia="Arial" w:hAnsi="Arial"/>
          <w:sz w:val="17"/>
          <w:szCs w:val="17"/>
          <w:color w:val="auto"/>
        </w:rPr>
      </w:pPr>
    </w:p>
    <w:p>
      <w:pPr>
        <w:ind w:left="700" w:right="260" w:hanging="305"/>
        <w:spacing w:after="0" w:line="286"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retain, integrate, and manage key and other highly qualified personnel, including in light of our workforce reduction in January 2021 and as we transition to a Virtual First model with an increasingly distributed workforce;</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due to our lack of a significant outbound sales force;</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large organizations as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offer high-quality customer support;</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brand;</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our international expansion;</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capital allocation plans, including expected allocations of cash and timing for our share repurchases and other investments;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prevent serious errors or defects in our platform;</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effects of new laws, policies, taxes, and regulations on our business;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 and</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identify, acquire, and integrate companies and assets.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221" w:lineRule="exact"/>
        <w:rPr>
          <w:sz w:val="20"/>
          <w:szCs w:val="20"/>
          <w:color w:val="auto"/>
        </w:rPr>
      </w:pPr>
    </w:p>
    <w:p>
      <w:pPr>
        <w:ind w:right="80" w:firstLine="430"/>
        <w:spacing w:after="0" w:line="278"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1" w:lineRule="exact"/>
        <w:rPr>
          <w:sz w:val="20"/>
          <w:szCs w:val="20"/>
          <w:color w:val="auto"/>
        </w:rPr>
      </w:pPr>
    </w:p>
    <w:p>
      <w:pPr>
        <w:ind w:firstLine="430"/>
        <w:spacing w:after="0" w:line="262"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SUMMARY OF RISK FACTORS</w:t>
      </w:r>
    </w:p>
    <w:p>
      <w:pPr>
        <w:spacing w:after="0" w:line="253" w:lineRule="exact"/>
        <w:rPr>
          <w:sz w:val="20"/>
          <w:szCs w:val="20"/>
          <w:color w:val="auto"/>
        </w:rPr>
      </w:pPr>
    </w:p>
    <w:p>
      <w:pPr>
        <w:ind w:right="220" w:firstLine="391"/>
        <w:spacing w:after="0" w:line="263" w:lineRule="auto"/>
        <w:rPr>
          <w:sz w:val="20"/>
          <w:szCs w:val="20"/>
          <w:color w:val="auto"/>
        </w:rPr>
      </w:pPr>
      <w:r>
        <w:rPr>
          <w:rFonts w:ascii="Arial" w:cs="Arial" w:eastAsia="Arial" w:hAnsi="Arial"/>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spacing w:after="0" w:line="205" w:lineRule="exact"/>
        <w:rPr>
          <w:sz w:val="20"/>
          <w:szCs w:val="20"/>
          <w:color w:val="auto"/>
        </w:rPr>
      </w:pPr>
    </w:p>
    <w:p>
      <w:pPr>
        <w:ind w:left="700" w:right="40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depends on our ability to retain and upgrade paying users, and any decline in renewals or upgrades could adversely affect our future results of operations.</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future growth could be harmed if we fail to attract new users or convert registered users to paying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revenue growth rate has declined in recent periods and may continue to slow in the future.</w:t>
      </w:r>
    </w:p>
    <w:p>
      <w:pPr>
        <w:spacing w:after="0" w:line="247" w:lineRule="exact"/>
        <w:rPr>
          <w:rFonts w:ascii="Arial" w:cs="Arial" w:eastAsia="Arial" w:hAnsi="Arial"/>
          <w:sz w:val="17"/>
          <w:szCs w:val="17"/>
          <w:color w:val="auto"/>
        </w:rPr>
      </w:pPr>
    </w:p>
    <w:p>
      <w:pPr>
        <w:ind w:left="700" w:right="44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history of operating with a Virtual First workforce and the long-term impact on our financial results and business operations is uncertain.</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operate in competitive markets, and we must continue to compete effectively.</w:t>
      </w:r>
    </w:p>
    <w:p>
      <w:pPr>
        <w:spacing w:after="0" w:line="247" w:lineRule="exact"/>
        <w:rPr>
          <w:rFonts w:ascii="Arial" w:cs="Arial" w:eastAsia="Arial" w:hAnsi="Arial"/>
          <w:sz w:val="17"/>
          <w:szCs w:val="17"/>
          <w:color w:val="auto"/>
        </w:rPr>
      </w:pPr>
    </w:p>
    <w:p>
      <w:pPr>
        <w:ind w:left="700" w:right="36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could be damaged, and we could be subject to liability if there is any unauthorized access to our data or our users' content, including through privacy and data security breaches.</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could be harmed by any significant disruption of service on our platform or loss of content.</w:t>
      </w:r>
    </w:p>
    <w:p>
      <w:pPr>
        <w:spacing w:after="0" w:line="247" w:lineRule="exact"/>
        <w:rPr>
          <w:rFonts w:ascii="Arial" w:cs="Arial" w:eastAsia="Arial" w:hAnsi="Arial"/>
          <w:sz w:val="17"/>
          <w:szCs w:val="17"/>
          <w:color w:val="auto"/>
        </w:rPr>
      </w:pPr>
    </w:p>
    <w:p>
      <w:pPr>
        <w:ind w:left="700" w:right="28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full extent of the impacts of the COVID-19 pandemic on our business is currently unknown, but it may adversely affect our financial results as well as our business operations.</w:t>
      </w:r>
    </w:p>
    <w:p>
      <w:pPr>
        <w:spacing w:after="0" w:line="185" w:lineRule="exact"/>
        <w:rPr>
          <w:rFonts w:ascii="Arial" w:cs="Arial" w:eastAsia="Arial" w:hAnsi="Arial"/>
          <w:sz w:val="17"/>
          <w:szCs w:val="17"/>
          <w:color w:val="auto"/>
        </w:rPr>
      </w:pPr>
    </w:p>
    <w:p>
      <w:pPr>
        <w:ind w:left="700" w:right="14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generate revenue from sales of subscriptions to our platform, and any decline in demand for our platform or for content collaboration solutions in general could negatively impact our business.</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depends upon the interoperability of our platform across devices, operating systems, and third-party applications that we do not control.</w:t>
      </w:r>
    </w:p>
    <w:p>
      <w:pPr>
        <w:spacing w:after="0" w:line="270" w:lineRule="exact"/>
        <w:rPr>
          <w:rFonts w:ascii="Arial" w:cs="Arial" w:eastAsia="Arial" w:hAnsi="Arial"/>
          <w:sz w:val="15"/>
          <w:szCs w:val="15"/>
          <w:color w:val="auto"/>
        </w:rPr>
      </w:pPr>
    </w:p>
    <w:p>
      <w:pPr>
        <w:ind w:left="700" w:right="72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respond to rapid technological changes, extend our platform, or develop new features or products may harm our ability to compete effectively, which would adversely affect our business.</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successfully manage our growth or plan for future growth.</w:t>
      </w:r>
    </w:p>
    <w:p>
      <w:pPr>
        <w:spacing w:after="0" w:line="247" w:lineRule="exact"/>
        <w:rPr>
          <w:rFonts w:ascii="Arial" w:cs="Arial" w:eastAsia="Arial" w:hAnsi="Arial"/>
          <w:sz w:val="17"/>
          <w:szCs w:val="17"/>
          <w:color w:val="auto"/>
        </w:rPr>
      </w:pPr>
    </w:p>
    <w:p>
      <w:pPr>
        <w:ind w:left="700" w:right="28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net losses, we may increase expenses in the future, and we may not be able to achieve or to maintain profitability.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lack of a significant outbound sales force may limit the potential growth of our business.</w:t>
      </w:r>
    </w:p>
    <w:p>
      <w:pPr>
        <w:spacing w:after="0" w:line="247" w:lineRule="exact"/>
        <w:rPr>
          <w:rFonts w:ascii="Arial" w:cs="Arial" w:eastAsia="Arial" w:hAnsi="Arial"/>
          <w:sz w:val="17"/>
          <w:szCs w:val="17"/>
          <w:color w:val="auto"/>
        </w:rPr>
      </w:pPr>
    </w:p>
    <w:p>
      <w:pPr>
        <w:ind w:left="70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78"/>
              </w:rPr>
              <w:t>Page</w:t>
            </w:r>
          </w:p>
        </w:tc>
      </w:tr>
      <w:tr>
        <w:trPr>
          <w:trHeight w:val="188"/>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520" w:type="dxa"/>
            <w:vAlign w:val="bottom"/>
            <w:tcBorders>
              <w:bottom w:val="single" w:sz="8" w:color="0000FF"/>
            </w:tcBorders>
            <w:gridSpan w:val="9"/>
          </w:tcPr>
          <w:p>
            <w:pPr>
              <w:jc w:val="center"/>
              <w:spacing w:after="0"/>
              <w:rPr>
                <w:rFonts w:ascii="Arial" w:cs="Arial" w:eastAsia="Arial" w:hAnsi="Arial"/>
                <w:sz w:val="16"/>
                <w:szCs w:val="16"/>
                <w:color w:val="0000FF"/>
                <w:w w:val="96"/>
              </w:rPr>
            </w:pPr>
            <w:hyperlink w:anchor="page5">
              <w:r>
                <w:rPr>
                  <w:rFonts w:ascii="Arial" w:cs="Arial" w:eastAsia="Arial" w:hAnsi="Arial"/>
                  <w:sz w:val="16"/>
                  <w:szCs w:val="16"/>
                  <w:color w:val="0000FF"/>
                  <w:w w:val="96"/>
                </w:rPr>
                <w:t>PART I. FINANCIAL INFORMATION</w:t>
              </w:r>
            </w:hyperlink>
          </w:p>
        </w:tc>
        <w:tc>
          <w:tcPr>
            <w:tcW w:w="408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3700" w:type="dxa"/>
            <w:vAlign w:val="bottom"/>
            <w:tcBorders>
              <w:bottom w:val="single" w:sz="8" w:color="0000FF"/>
            </w:tcBorders>
            <w:gridSpan w:val="10"/>
          </w:tcPr>
          <w:p>
            <w:pPr>
              <w:spacing w:after="0"/>
              <w:rPr>
                <w:rFonts w:ascii="Arial" w:cs="Arial" w:eastAsia="Arial" w:hAnsi="Arial"/>
                <w:sz w:val="16"/>
                <w:szCs w:val="16"/>
                <w:color w:val="0000FF"/>
                <w:w w:val="87"/>
              </w:rPr>
            </w:pPr>
            <w:hyperlink w:anchor="page6">
              <w:r>
                <w:rPr>
                  <w:rFonts w:ascii="Arial" w:cs="Arial" w:eastAsia="Arial" w:hAnsi="Arial"/>
                  <w:sz w:val="16"/>
                  <w:szCs w:val="16"/>
                  <w:color w:val="0000FF"/>
                  <w:w w:val="87"/>
                </w:rPr>
                <w:t>Condensed Consolidated Financial Statements (Unaudited)</w:t>
              </w:r>
            </w:hyperlink>
          </w:p>
        </w:tc>
        <w:tc>
          <w:tcPr>
            <w:tcW w:w="6240" w:type="dxa"/>
            <w:vAlign w:val="bottom"/>
            <w:gridSpan w:val="11"/>
          </w:tcPr>
          <w:p>
            <w:pPr>
              <w:spacing w:after="0"/>
              <w:rPr>
                <w:sz w:val="16"/>
                <w:szCs w:val="16"/>
                <w:color w:val="auto"/>
              </w:rPr>
            </w:pPr>
          </w:p>
        </w:tc>
        <w:tc>
          <w:tcPr>
            <w:tcW w:w="24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r>
      <w:tr>
        <w:trPr>
          <w:trHeight w:val="188"/>
        </w:trPr>
        <w:tc>
          <w:tcPr>
            <w:tcW w:w="920" w:type="dxa"/>
            <w:vAlign w:val="bottom"/>
          </w:tcPr>
          <w:p>
            <w:pPr>
              <w:spacing w:after="0"/>
              <w:rPr>
                <w:sz w:val="16"/>
                <w:szCs w:val="16"/>
                <w:color w:val="auto"/>
              </w:rPr>
            </w:pPr>
          </w:p>
        </w:tc>
        <w:tc>
          <w:tcPr>
            <w:tcW w:w="5580" w:type="dxa"/>
            <w:vAlign w:val="bottom"/>
            <w:tcBorders>
              <w:bottom w:val="single" w:sz="8" w:color="0000FF"/>
            </w:tcBorders>
            <w:gridSpan w:val="14"/>
          </w:tcPr>
          <w:p>
            <w:pPr>
              <w:spacing w:after="0"/>
              <w:rPr>
                <w:rFonts w:ascii="Arial" w:cs="Arial" w:eastAsia="Arial" w:hAnsi="Arial"/>
                <w:sz w:val="16"/>
                <w:szCs w:val="16"/>
                <w:color w:val="0000FF"/>
                <w:w w:val="90"/>
              </w:rPr>
            </w:pPr>
            <w:hyperlink w:anchor="page6">
              <w:r>
                <w:rPr>
                  <w:rFonts w:ascii="Arial" w:cs="Arial" w:eastAsia="Arial" w:hAnsi="Arial"/>
                  <w:sz w:val="16"/>
                  <w:szCs w:val="16"/>
                  <w:color w:val="0000FF"/>
                  <w:w w:val="90"/>
                </w:rPr>
                <w:t>Condensed Consolidated Balance Sheets as of June 30, 2021 and December 31, 2020</w:t>
              </w:r>
            </w:hyperlink>
          </w:p>
        </w:tc>
        <w:tc>
          <w:tcPr>
            <w:tcW w:w="4360" w:type="dxa"/>
            <w:vAlign w:val="bottom"/>
            <w:gridSpan w:val="7"/>
          </w:tcPr>
          <w:p>
            <w:pPr>
              <w:spacing w:after="0"/>
              <w:rPr>
                <w:sz w:val="16"/>
                <w:szCs w:val="16"/>
                <w:color w:val="auto"/>
              </w:rPr>
            </w:pPr>
          </w:p>
        </w:tc>
        <w:tc>
          <w:tcPr>
            <w:tcW w:w="24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r>
      <w:tr>
        <w:trPr>
          <w:trHeight w:val="188"/>
        </w:trPr>
        <w:tc>
          <w:tcPr>
            <w:tcW w:w="920" w:type="dxa"/>
            <w:vAlign w:val="bottom"/>
          </w:tcPr>
          <w:p>
            <w:pPr>
              <w:spacing w:after="0"/>
              <w:rPr>
                <w:sz w:val="16"/>
                <w:szCs w:val="16"/>
                <w:color w:val="auto"/>
              </w:rPr>
            </w:pPr>
          </w:p>
        </w:tc>
        <w:tc>
          <w:tcPr>
            <w:tcW w:w="9940" w:type="dxa"/>
            <w:vAlign w:val="bottom"/>
            <w:gridSpan w:val="21"/>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 xml:space="preserve">Condensed Consolidated Statements of Operations for the Three and </w:t>
              </w:r>
            </w:hyperlink>
            <w:r>
              <w:rPr>
                <w:rFonts w:ascii="Arial" w:cs="Arial" w:eastAsia="Arial" w:hAnsi="Arial"/>
                <w:sz w:val="16"/>
                <w:szCs w:val="16"/>
                <w:color w:val="0000FF"/>
              </w:rPr>
              <w:t xml:space="preserve">Six </w:t>
            </w:r>
            <w:hyperlink w:anchor="page6">
              <w:r>
                <w:rPr>
                  <w:rFonts w:ascii="Arial" w:cs="Arial" w:eastAsia="Arial" w:hAnsi="Arial"/>
                  <w:sz w:val="16"/>
                  <w:szCs w:val="16"/>
                  <w:color w:val="0000FF"/>
                </w:rPr>
                <w:t xml:space="preserve">Months Ended June </w:t>
              </w:r>
            </w:hyperlink>
            <w:r>
              <w:rPr>
                <w:rFonts w:ascii="Arial" w:cs="Arial" w:eastAsia="Arial" w:hAnsi="Arial"/>
                <w:sz w:val="16"/>
                <w:szCs w:val="16"/>
                <w:color w:val="0000FF"/>
              </w:rPr>
              <w:t xml:space="preserve">30, </w:t>
            </w:r>
            <w:hyperlink w:anchor="page6">
              <w:r>
                <w:rPr>
                  <w:rFonts w:ascii="Arial" w:cs="Arial" w:eastAsia="Arial" w:hAnsi="Arial"/>
                  <w:sz w:val="16"/>
                  <w:szCs w:val="16"/>
                  <w:color w:val="0000FF"/>
                </w:rPr>
                <w:t>2021 and 2020</w:t>
              </w:r>
            </w:hyperlink>
          </w:p>
        </w:tc>
        <w:tc>
          <w:tcPr>
            <w:tcW w:w="32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8</w:t>
              </w:r>
            </w:hyperlink>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8"/>
        </w:trPr>
        <w:tc>
          <w:tcPr>
            <w:tcW w:w="920" w:type="dxa"/>
            <w:vAlign w:val="bottom"/>
          </w:tcPr>
          <w:p>
            <w:pPr>
              <w:spacing w:after="0"/>
              <w:rPr>
                <w:sz w:val="16"/>
                <w:szCs w:val="16"/>
                <w:color w:val="auto"/>
              </w:rPr>
            </w:pPr>
          </w:p>
        </w:tc>
        <w:tc>
          <w:tcPr>
            <w:tcW w:w="9940" w:type="dxa"/>
            <w:vAlign w:val="bottom"/>
            <w:gridSpan w:val="21"/>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Condensed Consolidated Statements of Comprehensive Income for the Three and Six Months Ended June 30, 2021 and 2020</w:t>
              </w:r>
            </w:hyperlink>
          </w:p>
        </w:tc>
        <w:tc>
          <w:tcPr>
            <w:tcW w:w="320" w:type="dxa"/>
            <w:vAlign w:val="bottom"/>
            <w:gridSpan w:val="3"/>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9</w:t>
              </w:r>
            </w:hyperlink>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8"/>
        </w:trPr>
        <w:tc>
          <w:tcPr>
            <w:tcW w:w="920" w:type="dxa"/>
            <w:vAlign w:val="bottom"/>
          </w:tcPr>
          <w:p>
            <w:pPr>
              <w:spacing w:after="0"/>
              <w:rPr>
                <w:sz w:val="16"/>
                <w:szCs w:val="16"/>
                <w:color w:val="auto"/>
              </w:rPr>
            </w:pPr>
          </w:p>
        </w:tc>
        <w:tc>
          <w:tcPr>
            <w:tcW w:w="9940" w:type="dxa"/>
            <w:vAlign w:val="bottom"/>
            <w:tcBorders>
              <w:bottom w:val="single" w:sz="8" w:color="0000FF"/>
            </w:tcBorders>
            <w:gridSpan w:val="21"/>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Stockholders' (Deficit) Equity for the Three and Six Months Ended June 30, 2021 and 2020</w:t>
              </w:r>
            </w:hyperlink>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8">
              <w:r>
                <w:rPr>
                  <w:rFonts w:ascii="Arial" w:cs="Arial" w:eastAsia="Arial" w:hAnsi="Arial"/>
                  <w:sz w:val="16"/>
                  <w:szCs w:val="16"/>
                  <w:color w:val="0000FF"/>
                  <w:w w:val="78"/>
                </w:rPr>
                <w:t>10</w:t>
              </w:r>
            </w:hyperlink>
          </w:p>
        </w:tc>
      </w:tr>
      <w:tr>
        <w:trPr>
          <w:trHeight w:val="188"/>
        </w:trPr>
        <w:tc>
          <w:tcPr>
            <w:tcW w:w="920" w:type="dxa"/>
            <w:vAlign w:val="bottom"/>
          </w:tcPr>
          <w:p>
            <w:pPr>
              <w:spacing w:after="0"/>
              <w:rPr>
                <w:sz w:val="16"/>
                <w:szCs w:val="16"/>
                <w:color w:val="auto"/>
              </w:rPr>
            </w:pPr>
          </w:p>
        </w:tc>
        <w:tc>
          <w:tcPr>
            <w:tcW w:w="6400" w:type="dxa"/>
            <w:vAlign w:val="bottom"/>
            <w:tcBorders>
              <w:bottom w:val="single" w:sz="8" w:color="0000FF"/>
            </w:tcBorders>
            <w:gridSpan w:val="17"/>
          </w:tcPr>
          <w:p>
            <w:pPr>
              <w:spacing w:after="0"/>
              <w:rPr>
                <w:rFonts w:ascii="Arial" w:cs="Arial" w:eastAsia="Arial" w:hAnsi="Arial"/>
                <w:sz w:val="16"/>
                <w:szCs w:val="16"/>
                <w:color w:val="0000FF"/>
                <w:w w:val="87"/>
              </w:rPr>
            </w:pPr>
            <w:hyperlink w:anchor="page10">
              <w:r>
                <w:rPr>
                  <w:rFonts w:ascii="Arial" w:cs="Arial" w:eastAsia="Arial" w:hAnsi="Arial"/>
                  <w:sz w:val="16"/>
                  <w:szCs w:val="16"/>
                  <w:color w:val="0000FF"/>
                  <w:w w:val="87"/>
                </w:rPr>
                <w:t>Condensed Consolidated Statements of Cash Flows for the Six Months Ended June 30, 2021 and 2020</w:t>
              </w:r>
            </w:hyperlink>
          </w:p>
        </w:tc>
        <w:tc>
          <w:tcPr>
            <w:tcW w:w="3540" w:type="dxa"/>
            <w:vAlign w:val="bottom"/>
            <w:gridSpan w:val="4"/>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10">
              <w:r>
                <w:rPr>
                  <w:rFonts w:ascii="Arial" w:cs="Arial" w:eastAsia="Arial" w:hAnsi="Arial"/>
                  <w:sz w:val="16"/>
                  <w:szCs w:val="16"/>
                  <w:color w:val="0000FF"/>
                  <w:w w:val="78"/>
                </w:rPr>
                <w:t>12</w:t>
              </w:r>
            </w:hyperlink>
          </w:p>
        </w:tc>
      </w:tr>
      <w:tr>
        <w:trPr>
          <w:trHeight w:val="188"/>
        </w:trPr>
        <w:tc>
          <w:tcPr>
            <w:tcW w:w="920" w:type="dxa"/>
            <w:vAlign w:val="bottom"/>
          </w:tcPr>
          <w:p>
            <w:pPr>
              <w:spacing w:after="0"/>
              <w:rPr>
                <w:sz w:val="16"/>
                <w:szCs w:val="16"/>
                <w:color w:val="auto"/>
              </w:rPr>
            </w:pPr>
          </w:p>
        </w:tc>
        <w:tc>
          <w:tcPr>
            <w:tcW w:w="9940" w:type="dxa"/>
            <w:vAlign w:val="bottom"/>
            <w:gridSpan w:val="21"/>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Notes to Condensed Consolidated Financial Statements</w:t>
              </w:r>
            </w:hyperlink>
          </w:p>
        </w:tc>
        <w:tc>
          <w:tcPr>
            <w:tcW w:w="320" w:type="dxa"/>
            <w:vAlign w:val="bottom"/>
            <w:gridSpan w:val="3"/>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13</w:t>
              </w:r>
            </w:hyperlink>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5720" w:type="dxa"/>
            <w:vAlign w:val="bottom"/>
            <w:tcBorders>
              <w:bottom w:val="single" w:sz="8" w:color="0000FF"/>
            </w:tcBorders>
            <w:gridSpan w:val="15"/>
          </w:tcPr>
          <w:p>
            <w:pPr>
              <w:spacing w:after="0"/>
              <w:rPr>
                <w:rFonts w:ascii="Arial" w:cs="Arial" w:eastAsia="Arial" w:hAnsi="Arial"/>
                <w:sz w:val="16"/>
                <w:szCs w:val="16"/>
                <w:color w:val="0000FF"/>
                <w:w w:val="90"/>
              </w:rPr>
            </w:pPr>
            <w:hyperlink w:anchor="page41">
              <w:r>
                <w:rPr>
                  <w:rFonts w:ascii="Arial" w:cs="Arial" w:eastAsia="Arial" w:hAnsi="Arial"/>
                  <w:sz w:val="16"/>
                  <w:szCs w:val="16"/>
                  <w:color w:val="0000FF"/>
                  <w:w w:val="90"/>
                </w:rPr>
                <w:t>Management's Discussion and Analysis of Financial Condition and Results of Operations</w:t>
              </w:r>
            </w:hyperlink>
          </w:p>
        </w:tc>
        <w:tc>
          <w:tcPr>
            <w:tcW w:w="422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1">
              <w:r>
                <w:rPr>
                  <w:rFonts w:ascii="Arial" w:cs="Arial" w:eastAsia="Arial" w:hAnsi="Arial"/>
                  <w:sz w:val="16"/>
                  <w:szCs w:val="16"/>
                  <w:color w:val="0000FF"/>
                  <w:w w:val="78"/>
                </w:rPr>
                <w:t>43</w:t>
              </w:r>
            </w:hyperlink>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3780" w:type="dxa"/>
            <w:vAlign w:val="bottom"/>
            <w:tcBorders>
              <w:bottom w:val="single" w:sz="8" w:color="0000FF"/>
            </w:tcBorders>
            <w:gridSpan w:val="12"/>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Quantitative and Qualitative Disclosures About Market Risk</w:t>
              </w:r>
            </w:hyperlink>
          </w:p>
        </w:tc>
        <w:tc>
          <w:tcPr>
            <w:tcW w:w="6160" w:type="dxa"/>
            <w:vAlign w:val="bottom"/>
            <w:gridSpan w:val="9"/>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3">
              <w:r>
                <w:rPr>
                  <w:rFonts w:ascii="Arial" w:cs="Arial" w:eastAsia="Arial" w:hAnsi="Arial"/>
                  <w:sz w:val="16"/>
                  <w:szCs w:val="16"/>
                  <w:color w:val="0000FF"/>
                  <w:w w:val="78"/>
                </w:rPr>
                <w:t>65</w:t>
              </w:r>
            </w:hyperlink>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9940" w:type="dxa"/>
            <w:vAlign w:val="bottom"/>
            <w:gridSpan w:val="21"/>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Controls and Procedures</w:t>
              </w:r>
            </w:hyperlink>
          </w:p>
        </w:tc>
        <w:tc>
          <w:tcPr>
            <w:tcW w:w="320" w:type="dxa"/>
            <w:vAlign w:val="bottom"/>
            <w:gridSpan w:val="3"/>
          </w:tcPr>
          <w:p>
            <w:pPr>
              <w:jc w:val="right"/>
              <w:spacing w:after="0"/>
              <w:rPr>
                <w:rFonts w:ascii="Arial" w:cs="Arial" w:eastAsia="Arial" w:hAnsi="Arial"/>
                <w:sz w:val="16"/>
                <w:szCs w:val="16"/>
                <w:color w:val="0000FF"/>
              </w:rPr>
            </w:pPr>
            <w:hyperlink w:anchor="page64">
              <w:r>
                <w:rPr>
                  <w:rFonts w:ascii="Arial" w:cs="Arial" w:eastAsia="Arial" w:hAnsi="Arial"/>
                  <w:sz w:val="16"/>
                  <w:szCs w:val="16"/>
                  <w:color w:val="0000FF"/>
                </w:rPr>
                <w:t>66</w:t>
              </w:r>
            </w:hyperlink>
          </w:p>
        </w:tc>
      </w:tr>
      <w:tr>
        <w:trPr>
          <w:trHeight w:val="449"/>
        </w:trPr>
        <w:tc>
          <w:tcPr>
            <w:tcW w:w="9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0000FF"/>
            </w:tcBorders>
            <w:gridSpan w:val="6"/>
          </w:tcPr>
          <w:p>
            <w:pPr>
              <w:jc w:val="center"/>
              <w:spacing w:after="0"/>
              <w:rPr>
                <w:rFonts w:ascii="Arial" w:cs="Arial" w:eastAsia="Arial" w:hAnsi="Arial"/>
                <w:sz w:val="16"/>
                <w:szCs w:val="16"/>
                <w:color w:val="0000FF"/>
                <w:w w:val="94"/>
              </w:rPr>
            </w:pPr>
            <w:hyperlink w:anchor="page65">
              <w:r>
                <w:rPr>
                  <w:rFonts w:ascii="Arial" w:cs="Arial" w:eastAsia="Arial" w:hAnsi="Arial"/>
                  <w:sz w:val="16"/>
                  <w:szCs w:val="16"/>
                  <w:color w:val="0000FF"/>
                  <w:w w:val="94"/>
                </w:rPr>
                <w:t>PART II. OTHER INFORMATION</w:t>
              </w:r>
            </w:hyperlink>
          </w:p>
        </w:tc>
        <w:tc>
          <w:tcPr>
            <w:tcW w:w="422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3760" w:type="dxa"/>
            <w:vAlign w:val="bottom"/>
            <w:tcBorders>
              <w:bottom w:val="single" w:sz="8" w:color="0000FF"/>
            </w:tcBorders>
            <w:gridSpan w:val="11"/>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Legal Proceedings</w:t>
              </w:r>
            </w:hyperlink>
          </w:p>
        </w:tc>
        <w:tc>
          <w:tcPr>
            <w:tcW w:w="618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6">
              <w:r>
                <w:rPr>
                  <w:rFonts w:ascii="Arial" w:cs="Arial" w:eastAsia="Arial" w:hAnsi="Arial"/>
                  <w:sz w:val="16"/>
                  <w:szCs w:val="16"/>
                  <w:color w:val="0000FF"/>
                  <w:w w:val="78"/>
                </w:rPr>
                <w:t>67</w:t>
              </w:r>
            </w:hyperlink>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780" w:type="dxa"/>
            <w:vAlign w:val="bottom"/>
            <w:tcBorders>
              <w:bottom w:val="single" w:sz="8" w:color="0000FF"/>
            </w:tcBorders>
            <w:gridSpan w:val="3"/>
          </w:tcPr>
          <w:p>
            <w:pPr>
              <w:spacing w:after="0"/>
              <w:rPr>
                <w:rFonts w:ascii="Arial" w:cs="Arial" w:eastAsia="Arial" w:hAnsi="Arial"/>
                <w:sz w:val="16"/>
                <w:szCs w:val="16"/>
                <w:color w:val="0000FF"/>
                <w:w w:val="85"/>
              </w:rPr>
            </w:pPr>
            <w:hyperlink w:anchor="page66">
              <w:r>
                <w:rPr>
                  <w:rFonts w:ascii="Arial" w:cs="Arial" w:eastAsia="Arial" w:hAnsi="Arial"/>
                  <w:sz w:val="16"/>
                  <w:szCs w:val="16"/>
                  <w:color w:val="0000FF"/>
                  <w:w w:val="85"/>
                </w:rPr>
                <w:t>Risk Factors</w:t>
              </w:r>
            </w:hyperlink>
          </w:p>
        </w:tc>
        <w:tc>
          <w:tcPr>
            <w:tcW w:w="9160" w:type="dxa"/>
            <w:vAlign w:val="bottom"/>
            <w:gridSpan w:val="18"/>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6">
              <w:r>
                <w:rPr>
                  <w:rFonts w:ascii="Arial" w:cs="Arial" w:eastAsia="Arial" w:hAnsi="Arial"/>
                  <w:sz w:val="16"/>
                  <w:szCs w:val="16"/>
                  <w:color w:val="0000FF"/>
                  <w:w w:val="78"/>
                </w:rPr>
                <w:t>68</w:t>
              </w:r>
            </w:hyperlink>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9940" w:type="dxa"/>
            <w:vAlign w:val="bottom"/>
            <w:tcBorders>
              <w:bottom w:val="single" w:sz="8" w:color="0000FF"/>
            </w:tcBorders>
            <w:gridSpan w:val="21"/>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Unregistered Sales of Equity Securities and Use of Proceeds</w:t>
              </w:r>
            </w:hyperlink>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4">
              <w:r>
                <w:rPr>
                  <w:rFonts w:ascii="Arial" w:cs="Arial" w:eastAsia="Arial" w:hAnsi="Arial"/>
                  <w:sz w:val="16"/>
                  <w:szCs w:val="16"/>
                  <w:color w:val="0000FF"/>
                  <w:w w:val="78"/>
                </w:rPr>
                <w:t>95</w:t>
              </w:r>
            </w:hyperlink>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520" w:type="dxa"/>
            <w:vAlign w:val="bottom"/>
            <w:tcBorders>
              <w:bottom w:val="single" w:sz="8" w:color="0000FF"/>
            </w:tcBorders>
          </w:tcPr>
          <w:p>
            <w:pPr>
              <w:spacing w:after="0"/>
              <w:rPr>
                <w:rFonts w:ascii="Arial" w:cs="Arial" w:eastAsia="Arial" w:hAnsi="Arial"/>
                <w:sz w:val="16"/>
                <w:szCs w:val="16"/>
                <w:color w:val="0000FF"/>
                <w:w w:val="89"/>
              </w:rPr>
            </w:pPr>
            <w:hyperlink w:anchor="page94">
              <w:r>
                <w:rPr>
                  <w:rFonts w:ascii="Arial" w:cs="Arial" w:eastAsia="Arial" w:hAnsi="Arial"/>
                  <w:sz w:val="16"/>
                  <w:szCs w:val="16"/>
                  <w:color w:val="0000FF"/>
                  <w:w w:val="89"/>
                </w:rPr>
                <w:t>Exhibits</w:t>
              </w:r>
            </w:hyperlink>
          </w:p>
        </w:tc>
        <w:tc>
          <w:tcPr>
            <w:tcW w:w="942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4">
              <w:r>
                <w:rPr>
                  <w:rFonts w:ascii="Arial" w:cs="Arial" w:eastAsia="Arial" w:hAnsi="Arial"/>
                  <w:sz w:val="16"/>
                  <w:szCs w:val="16"/>
                  <w:color w:val="0000FF"/>
                  <w:w w:val="78"/>
                </w:rPr>
                <w:t>95</w:t>
              </w:r>
            </w:hyperlink>
          </w:p>
        </w:tc>
      </w:tr>
      <w:tr>
        <w:trPr>
          <w:trHeight w:val="188"/>
        </w:trPr>
        <w:tc>
          <w:tcPr>
            <w:tcW w:w="920" w:type="dxa"/>
            <w:vAlign w:val="bottom"/>
          </w:tcPr>
          <w:p>
            <w:pPr>
              <w:spacing w:after="0"/>
              <w:rPr>
                <w:sz w:val="16"/>
                <w:szCs w:val="16"/>
                <w:color w:val="auto"/>
              </w:rPr>
            </w:pPr>
          </w:p>
        </w:tc>
        <w:tc>
          <w:tcPr>
            <w:tcW w:w="9940" w:type="dxa"/>
            <w:vAlign w:val="bottom"/>
            <w:gridSpan w:val="21"/>
          </w:tcPr>
          <w:p>
            <w:pPr>
              <w:spacing w:after="0"/>
              <w:rPr>
                <w:rFonts w:ascii="Arial" w:cs="Arial" w:eastAsia="Arial" w:hAnsi="Arial"/>
                <w:sz w:val="16"/>
                <w:szCs w:val="16"/>
                <w:color w:val="0000FF"/>
              </w:rPr>
            </w:pPr>
            <w:hyperlink w:anchor="page94">
              <w:r>
                <w:rPr>
                  <w:rFonts w:ascii="Arial" w:cs="Arial" w:eastAsia="Arial" w:hAnsi="Arial"/>
                  <w:sz w:val="16"/>
                  <w:szCs w:val="16"/>
                  <w:color w:val="0000FF"/>
                </w:rPr>
                <w:t>Exhibit Index</w:t>
              </w:r>
            </w:hyperlink>
          </w:p>
        </w:tc>
        <w:tc>
          <w:tcPr>
            <w:tcW w:w="320" w:type="dxa"/>
            <w:vAlign w:val="bottom"/>
            <w:gridSpan w:val="3"/>
          </w:tcPr>
          <w:p>
            <w:pPr>
              <w:jc w:val="right"/>
              <w:spacing w:after="0"/>
              <w:rPr>
                <w:rFonts w:ascii="Arial" w:cs="Arial" w:eastAsia="Arial" w:hAnsi="Arial"/>
                <w:sz w:val="16"/>
                <w:szCs w:val="16"/>
                <w:color w:val="0000FF"/>
              </w:rPr>
            </w:pPr>
            <w:hyperlink w:anchor="page94">
              <w:r>
                <w:rPr>
                  <w:rFonts w:ascii="Arial" w:cs="Arial" w:eastAsia="Arial" w:hAnsi="Arial"/>
                  <w:sz w:val="16"/>
                  <w:szCs w:val="16"/>
                  <w:color w:val="0000FF"/>
                </w:rPr>
                <w:t>96</w:t>
              </w:r>
            </w:hyperlink>
          </w:p>
        </w:tc>
      </w:tr>
      <w:tr>
        <w:trPr>
          <w:trHeight w:val="188"/>
        </w:trPr>
        <w:tc>
          <w:tcPr>
            <w:tcW w:w="920" w:type="dxa"/>
            <w:vAlign w:val="bottom"/>
          </w:tcPr>
          <w:p>
            <w:pPr>
              <w:spacing w:after="0"/>
              <w:rPr>
                <w:sz w:val="16"/>
                <w:szCs w:val="16"/>
                <w:color w:val="auto"/>
              </w:rPr>
            </w:pPr>
          </w:p>
        </w:tc>
        <w:tc>
          <w:tcPr>
            <w:tcW w:w="66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3"/>
              </w:rPr>
            </w:pPr>
            <w:hyperlink w:anchor="page95">
              <w:r>
                <w:rPr>
                  <w:rFonts w:ascii="Arial" w:cs="Arial" w:eastAsia="Arial" w:hAnsi="Arial"/>
                  <w:sz w:val="16"/>
                  <w:szCs w:val="16"/>
                  <w:color w:val="0000FF"/>
                  <w:w w:val="83"/>
                </w:rPr>
                <w:t>Signatures</w:t>
              </w:r>
            </w:hyperlink>
          </w:p>
        </w:tc>
        <w:tc>
          <w:tcPr>
            <w:tcW w:w="180" w:type="dxa"/>
            <w:vAlign w:val="bottom"/>
            <w:tcBorders>
              <w:top w:val="single" w:sz="8" w:color="0000FF"/>
            </w:tcBorders>
            <w:gridSpan w:val="2"/>
          </w:tcPr>
          <w:p>
            <w:pPr>
              <w:spacing w:after="0"/>
              <w:rPr>
                <w:sz w:val="16"/>
                <w:szCs w:val="16"/>
                <w:color w:val="auto"/>
              </w:rPr>
            </w:pPr>
          </w:p>
        </w:tc>
        <w:tc>
          <w:tcPr>
            <w:tcW w:w="9100" w:type="dxa"/>
            <w:vAlign w:val="bottom"/>
            <w:gridSpan w:val="17"/>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95">
              <w:r>
                <w:rPr>
                  <w:rFonts w:ascii="Arial" w:cs="Arial" w:eastAsia="Arial" w:hAnsi="Arial"/>
                  <w:sz w:val="16"/>
                  <w:szCs w:val="16"/>
                  <w:color w:val="0000FF"/>
                  <w:w w:val="78"/>
                </w:rPr>
                <w:t>97</w:t>
              </w:r>
            </w:hyperlink>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 FINANCIAL INFORMATION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w:t>
            </w:r>
          </w:p>
        </w:tc>
        <w:tc>
          <w:tcPr>
            <w:tcW w:w="1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Arial" w:cs="Arial" w:eastAsia="Arial" w:hAnsi="Arial"/>
                <w:sz w:val="17"/>
                <w:szCs w:val="17"/>
                <w:b w:val="1"/>
                <w:bCs w:val="1"/>
                <w:color w:val="auto"/>
              </w:rPr>
              <w:t>June 30, 2021</w:t>
            </w:r>
          </w:p>
        </w:tc>
        <w:tc>
          <w:tcPr>
            <w:tcW w:w="220" w:type="dxa"/>
            <w:vAlign w:val="bottom"/>
          </w:tcPr>
          <w:p>
            <w:pPr>
              <w:spacing w:after="0"/>
              <w:rPr>
                <w:sz w:val="18"/>
                <w:szCs w:val="18"/>
                <w:color w:val="auto"/>
              </w:rPr>
            </w:pPr>
          </w:p>
        </w:tc>
        <w:tc>
          <w:tcPr>
            <w:tcW w:w="1820" w:type="dxa"/>
            <w:vAlign w:val="bottom"/>
          </w:tcPr>
          <w:p>
            <w:pPr>
              <w:jc w:val="right"/>
              <w:ind w:right="233"/>
              <w:spacing w:after="0"/>
              <w:rPr>
                <w:sz w:val="20"/>
                <w:szCs w:val="20"/>
                <w:color w:val="auto"/>
              </w:rPr>
            </w:pPr>
            <w:r>
              <w:rPr>
                <w:rFonts w:ascii="Arial" w:cs="Arial" w:eastAsia="Arial" w:hAnsi="Arial"/>
                <w:sz w:val="17"/>
                <w:szCs w:val="17"/>
                <w:b w:val="1"/>
                <w:bCs w:val="1"/>
                <w:color w:val="auto"/>
                <w:w w:val="96"/>
              </w:rPr>
              <w:t>December 31, 2020</w:t>
            </w:r>
          </w:p>
        </w:tc>
        <w:tc>
          <w:tcPr>
            <w:tcW w:w="0" w:type="dxa"/>
            <w:vAlign w:val="bottom"/>
          </w:tcPr>
          <w:p>
            <w:pPr>
              <w:spacing w:after="0"/>
              <w:rPr>
                <w:sz w:val="1"/>
                <w:szCs w:val="1"/>
                <w:color w:val="auto"/>
              </w:rPr>
            </w:pPr>
          </w:p>
        </w:tc>
      </w:tr>
      <w:tr>
        <w:trPr>
          <w:trHeight w:val="32"/>
        </w:trPr>
        <w:tc>
          <w:tcPr>
            <w:tcW w:w="67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w:t>
            </w:r>
          </w:p>
        </w:tc>
        <w:tc>
          <w:tcPr>
            <w:tcW w:w="0" w:type="dxa"/>
            <w:vAlign w:val="bottom"/>
          </w:tcPr>
          <w:p>
            <w:pPr>
              <w:spacing w:after="0"/>
              <w:rPr>
                <w:sz w:val="1"/>
                <w:szCs w:val="1"/>
                <w:color w:val="auto"/>
              </w:rPr>
            </w:pPr>
          </w:p>
        </w:tc>
      </w:tr>
      <w:tr>
        <w:trPr>
          <w:trHeight w:val="221"/>
        </w:trPr>
        <w:tc>
          <w:tcPr>
            <w:tcW w:w="6760" w:type="dxa"/>
            <w:vAlign w:val="bottom"/>
          </w:tcPr>
          <w:p>
            <w:pPr>
              <w:ind w:left="220"/>
              <w:spacing w:after="0"/>
              <w:rPr>
                <w:sz w:val="20"/>
                <w:szCs w:val="20"/>
                <w:color w:val="auto"/>
              </w:rPr>
            </w:pPr>
            <w:r>
              <w:rPr>
                <w:rFonts w:ascii="Arial" w:cs="Arial" w:eastAsia="Arial" w:hAnsi="Arial"/>
                <w:sz w:val="17"/>
                <w:szCs w:val="17"/>
                <w:color w:val="auto"/>
              </w:rPr>
              <w:t>Short-term investments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1,058.9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806.4</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Trade and other receivables, net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21"/>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1,227.5</w:t>
            </w:r>
          </w:p>
        </w:tc>
        <w:tc>
          <w:tcPr>
            <w:tcW w:w="0" w:type="dxa"/>
            <w:vAlign w:val="bottom"/>
          </w:tcPr>
          <w:p>
            <w:pPr>
              <w:spacing w:after="0"/>
              <w:rPr>
                <w:sz w:val="1"/>
                <w:szCs w:val="1"/>
                <w:color w:val="auto"/>
              </w:rPr>
            </w:pPr>
          </w:p>
        </w:tc>
      </w:tr>
      <w:tr>
        <w:trPr>
          <w:trHeight w:val="221"/>
        </w:trPr>
        <w:tc>
          <w:tcPr>
            <w:tcW w:w="67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342.9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338.7</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c>
          <w:tcPr>
            <w:tcW w:w="0" w:type="dxa"/>
            <w:vAlign w:val="bottom"/>
          </w:tcPr>
          <w:p>
            <w:pPr>
              <w:spacing w:after="0"/>
              <w:rPr>
                <w:sz w:val="1"/>
                <w:szCs w:val="1"/>
                <w:color w:val="auto"/>
              </w:rPr>
            </w:pPr>
          </w:p>
        </w:tc>
      </w:tr>
      <w:tr>
        <w:trPr>
          <w:trHeight w:val="221"/>
        </w:trPr>
        <w:tc>
          <w:tcPr>
            <w:tcW w:w="676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0" w:type="dxa"/>
            <w:vAlign w:val="bottom"/>
          </w:tcPr>
          <w:p>
            <w:pPr>
              <w:spacing w:after="0"/>
              <w:rPr>
                <w:sz w:val="1"/>
                <w:szCs w:val="1"/>
                <w:color w:val="auto"/>
              </w:rPr>
            </w:pPr>
          </w:p>
        </w:tc>
      </w:tr>
      <w:tr>
        <w:trPr>
          <w:trHeight w:val="221"/>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c>
          <w:tcPr>
            <w:tcW w:w="0" w:type="dxa"/>
            <w:vAlign w:val="bottom"/>
          </w:tcPr>
          <w:p>
            <w:pPr>
              <w:spacing w:after="0"/>
              <w:rPr>
                <w:sz w:val="1"/>
                <w:szCs w:val="1"/>
                <w:color w:val="auto"/>
              </w:rPr>
            </w:pPr>
          </w:p>
        </w:tc>
      </w:tr>
      <w:tr>
        <w:trPr>
          <w:trHeight w:val="23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2,387.2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(deficit)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and other current liabilities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0" w:type="dxa"/>
            <w:vAlign w:val="bottom"/>
          </w:tcPr>
          <w:p>
            <w:pPr>
              <w:spacing w:after="0"/>
              <w:rPr>
                <w:sz w:val="1"/>
                <w:szCs w:val="1"/>
                <w:color w:val="auto"/>
              </w:rPr>
            </w:pPr>
          </w:p>
        </w:tc>
      </w:tr>
      <w:tr>
        <w:trPr>
          <w:trHeight w:val="221"/>
        </w:trPr>
        <w:tc>
          <w:tcPr>
            <w:tcW w:w="6760" w:type="dxa"/>
            <w:vAlign w:val="bottom"/>
          </w:tcPr>
          <w:p>
            <w:pPr>
              <w:ind w:left="220"/>
              <w:spacing w:after="0"/>
              <w:rPr>
                <w:sz w:val="20"/>
                <w:szCs w:val="20"/>
                <w:color w:val="auto"/>
              </w:rPr>
            </w:pPr>
            <w:r>
              <w:rPr>
                <w:rFonts w:ascii="Arial" w:cs="Arial" w:eastAsia="Arial" w:hAnsi="Arial"/>
                <w:sz w:val="17"/>
                <w:szCs w:val="17"/>
                <w:color w:val="auto"/>
              </w:rPr>
              <w:t>Accrued compensation and benefits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liability</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0" w:type="dxa"/>
            <w:vAlign w:val="bottom"/>
          </w:tcPr>
          <w:p>
            <w:pPr>
              <w:spacing w:after="0"/>
              <w:rPr>
                <w:sz w:val="1"/>
                <w:szCs w:val="1"/>
                <w:color w:val="auto"/>
              </w:rPr>
            </w:pPr>
          </w:p>
        </w:tc>
      </w:tr>
      <w:tr>
        <w:trPr>
          <w:trHeight w:val="221"/>
        </w:trPr>
        <w:tc>
          <w:tcPr>
            <w:tcW w:w="6760" w:type="dxa"/>
            <w:vAlign w:val="bottom"/>
          </w:tcPr>
          <w:p>
            <w:pPr>
              <w:ind w:left="220"/>
              <w:spacing w:after="0"/>
              <w:rPr>
                <w:sz w:val="20"/>
                <w:szCs w:val="20"/>
                <w:color w:val="auto"/>
              </w:rPr>
            </w:pPr>
            <w:r>
              <w:rPr>
                <w:rFonts w:ascii="Arial" w:cs="Arial" w:eastAsia="Arial" w:hAnsi="Arial"/>
                <w:sz w:val="17"/>
                <w:szCs w:val="17"/>
                <w:color w:val="auto"/>
              </w:rPr>
              <w:t>Finance lease obligation</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113.9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99.6</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610.5</w:t>
            </w:r>
          </w:p>
        </w:tc>
        <w:tc>
          <w:tcPr>
            <w:tcW w:w="0" w:type="dxa"/>
            <w:vAlign w:val="bottom"/>
          </w:tcPr>
          <w:p>
            <w:pPr>
              <w:spacing w:after="0"/>
              <w:rPr>
                <w:sz w:val="1"/>
                <w:szCs w:val="1"/>
                <w:color w:val="auto"/>
              </w:rPr>
            </w:pPr>
          </w:p>
        </w:tc>
      </w:tr>
      <w:tr>
        <w:trPr>
          <w:trHeight w:val="214"/>
        </w:trPr>
        <w:tc>
          <w:tcPr>
            <w:tcW w:w="676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1,125.0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1,087.8</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 non-current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759.6</w:t>
            </w:r>
          </w:p>
        </w:tc>
        <w:tc>
          <w:tcPr>
            <w:tcW w:w="0" w:type="dxa"/>
            <w:vAlign w:val="bottom"/>
          </w:tcPr>
          <w:p>
            <w:pPr>
              <w:spacing w:after="0"/>
              <w:rPr>
                <w:sz w:val="1"/>
                <w:szCs w:val="1"/>
                <w:color w:val="auto"/>
              </w:rPr>
            </w:pPr>
          </w:p>
        </w:tc>
      </w:tr>
      <w:tr>
        <w:trPr>
          <w:trHeight w:val="221"/>
        </w:trPr>
        <w:tc>
          <w:tcPr>
            <w:tcW w:w="6760" w:type="dxa"/>
            <w:vAlign w:val="bottom"/>
          </w:tcPr>
          <w:p>
            <w:pPr>
              <w:ind w:left="20"/>
              <w:spacing w:after="0"/>
              <w:rPr>
                <w:sz w:val="20"/>
                <w:szCs w:val="20"/>
                <w:color w:val="auto"/>
              </w:rPr>
            </w:pPr>
            <w:r>
              <w:rPr>
                <w:rFonts w:ascii="Arial" w:cs="Arial" w:eastAsia="Arial" w:hAnsi="Arial"/>
                <w:sz w:val="17"/>
                <w:szCs w:val="17"/>
                <w:color w:val="auto"/>
              </w:rPr>
              <w:t>Finance lease obligation, non-current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171.6</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 net, non-current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2,053.4</w:t>
            </w:r>
          </w:p>
        </w:tc>
        <w:tc>
          <w:tcPr>
            <w:tcW w:w="0" w:type="dxa"/>
            <w:vAlign w:val="bottom"/>
          </w:tcPr>
          <w:p>
            <w:pPr>
              <w:spacing w:after="0"/>
              <w:rPr>
                <w:sz w:val="1"/>
                <w:szCs w:val="1"/>
                <w:color w:val="auto"/>
              </w:rPr>
            </w:pPr>
          </w:p>
        </w:tc>
      </w:tr>
      <w:tr>
        <w:trPr>
          <w:trHeight w:val="201"/>
        </w:trPr>
        <w:tc>
          <w:tcPr>
            <w:tcW w:w="6760" w:type="dxa"/>
            <w:vAlign w:val="bottom"/>
          </w:tcPr>
          <w:p>
            <w:pPr>
              <w:ind w:left="20"/>
              <w:spacing w:after="0"/>
              <w:rPr>
                <w:sz w:val="20"/>
                <w:szCs w:val="20"/>
                <w:color w:val="auto"/>
              </w:rPr>
            </w:pPr>
            <w:r>
              <w:rPr>
                <w:rFonts w:ascii="Arial" w:cs="Arial" w:eastAsia="Arial" w:hAnsi="Arial"/>
                <w:sz w:val="17"/>
                <w:szCs w:val="17"/>
                <w:color w:val="auto"/>
              </w:rPr>
              <w:t>Commitments and contingencies (Note 10)</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Pr>
          <w:p>
            <w:pPr>
              <w:ind w:left="220"/>
              <w:spacing w:after="0"/>
              <w:rPr>
                <w:sz w:val="20"/>
                <w:szCs w:val="20"/>
                <w:color w:val="auto"/>
              </w:rPr>
            </w:pPr>
            <w:r>
              <w:rPr>
                <w:rFonts w:ascii="Arial" w:cs="Arial" w:eastAsia="Arial" w:hAnsi="Arial"/>
                <w:sz w:val="17"/>
                <w:szCs w:val="17"/>
                <w:color w:val="auto"/>
              </w:rPr>
              <w:t>Additional paid-in-capital</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2,446.9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2,564.3</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(2,241.4)</w:t>
            </w:r>
          </w:p>
        </w:tc>
        <w:tc>
          <w:tcPr>
            <w:tcW w:w="0" w:type="dxa"/>
            <w:vAlign w:val="bottom"/>
          </w:tcPr>
          <w:p>
            <w:pPr>
              <w:spacing w:after="0"/>
              <w:rPr>
                <w:sz w:val="1"/>
                <w:szCs w:val="1"/>
                <w:color w:val="auto"/>
              </w:rPr>
            </w:pPr>
          </w:p>
        </w:tc>
      </w:tr>
      <w:tr>
        <w:trPr>
          <w:trHeight w:val="221"/>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stockholders' (deficit) equity</w:t>
            </w: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w:t>
            </w:r>
          </w:p>
        </w:tc>
        <w:tc>
          <w:tcPr>
            <w:tcW w:w="0" w:type="dxa"/>
            <w:vAlign w:val="bottom"/>
          </w:tcPr>
          <w:p>
            <w:pPr>
              <w:spacing w:after="0"/>
              <w:rPr>
                <w:sz w:val="1"/>
                <w:szCs w:val="1"/>
                <w:color w:val="auto"/>
              </w:rPr>
            </w:pPr>
          </w:p>
        </w:tc>
      </w:tr>
      <w:tr>
        <w:trPr>
          <w:trHeight w:val="214"/>
        </w:trPr>
        <w:tc>
          <w:tcPr>
            <w:tcW w:w="676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(deficit) equity</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3,328.1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2,387.2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3000"/>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6" w:name="page7"/>
    <w:bookmarkEnd w:id="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millions, except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20" w:type="dxa"/>
            <w:vAlign w:val="bottom"/>
            <w:gridSpan w:val="4"/>
          </w:tcPr>
          <w:p>
            <w:pPr>
              <w:jc w:val="right"/>
              <w:ind w:right="33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7"/>
                <w:szCs w:val="17"/>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2020</w:t>
            </w:r>
          </w:p>
        </w:tc>
        <w:tc>
          <w:tcPr>
            <w:tcW w:w="0" w:type="dxa"/>
            <w:vAlign w:val="bottom"/>
          </w:tcPr>
          <w:p>
            <w:pPr>
              <w:spacing w:after="0"/>
              <w:rPr>
                <w:sz w:val="1"/>
                <w:szCs w:val="1"/>
                <w:color w:val="auto"/>
              </w:rPr>
            </w:pPr>
          </w:p>
        </w:tc>
      </w:tr>
      <w:tr>
        <w:trPr>
          <w:trHeight w:val="32"/>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1,042.2</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922.4</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tcPr>
          <w:p>
            <w:pPr>
              <w:ind w:left="26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216.4</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205.6</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825.8</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716.8</w:t>
            </w:r>
          </w:p>
        </w:tc>
        <w:tc>
          <w:tcPr>
            <w:tcW w:w="0" w:type="dxa"/>
            <w:vAlign w:val="bottom"/>
          </w:tcPr>
          <w:p>
            <w:pPr>
              <w:spacing w:after="0"/>
              <w:rPr>
                <w:sz w:val="1"/>
                <w:szCs w:val="1"/>
                <w:color w:val="auto"/>
              </w:rPr>
            </w:pPr>
          </w:p>
        </w:tc>
      </w:tr>
      <w:tr>
        <w:trPr>
          <w:trHeight w:val="221"/>
        </w:trPr>
        <w:tc>
          <w:tcPr>
            <w:tcW w:w="3960" w:type="dxa"/>
            <w:vAlign w:val="bottom"/>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367.6</w:t>
            </w:r>
          </w:p>
        </w:tc>
        <w:tc>
          <w:tcPr>
            <w:tcW w:w="0" w:type="dxa"/>
            <w:vAlign w:val="bottom"/>
          </w:tcPr>
          <w:p>
            <w:pPr>
              <w:spacing w:after="0"/>
              <w:rPr>
                <w:sz w:val="1"/>
                <w:szCs w:val="1"/>
                <w:color w:val="auto"/>
              </w:rPr>
            </w:pPr>
          </w:p>
        </w:tc>
      </w:tr>
      <w:tr>
        <w:trPr>
          <w:trHeight w:val="221"/>
        </w:trPr>
        <w:tc>
          <w:tcPr>
            <w:tcW w:w="396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102.8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203.5</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207.1</w:t>
            </w: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w:t>
            </w:r>
          </w:p>
        </w:tc>
        <w:tc>
          <w:tcPr>
            <w:tcW w:w="0" w:type="dxa"/>
            <w:vAlign w:val="bottom"/>
          </w:tcPr>
          <w:p>
            <w:pPr>
              <w:spacing w:after="0"/>
              <w:rPr>
                <w:sz w:val="1"/>
                <w:szCs w:val="1"/>
                <w:color w:val="auto"/>
              </w:rPr>
            </w:pPr>
          </w:p>
        </w:tc>
      </w:tr>
      <w:tr>
        <w:trPr>
          <w:trHeight w:val="221"/>
        </w:trPr>
        <w:tc>
          <w:tcPr>
            <w:tcW w:w="3960" w:type="dxa"/>
            <w:vAlign w:val="bottom"/>
          </w:tcPr>
          <w:p>
            <w:pPr>
              <w:ind w:left="220"/>
              <w:spacing w:after="0"/>
              <w:rPr>
                <w:sz w:val="20"/>
                <w:szCs w:val="20"/>
                <w:color w:val="auto"/>
              </w:rPr>
            </w:pPr>
            <w:r>
              <w:rPr>
                <w:rFonts w:ascii="Arial" w:cs="Arial" w:eastAsia="Arial" w:hAnsi="Arial"/>
                <w:sz w:val="17"/>
                <w:szCs w:val="17"/>
                <w:color w:val="auto"/>
              </w:rPr>
              <w:t>Impairment related to real estate assets</w:t>
            </w:r>
          </w:p>
        </w:tc>
        <w:tc>
          <w:tcPr>
            <w:tcW w:w="11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17.3</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339.1</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352.1</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698.9</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677.2</w:t>
            </w:r>
          </w:p>
        </w:tc>
        <w:tc>
          <w:tcPr>
            <w:tcW w:w="0" w:type="dxa"/>
            <w:vAlign w:val="bottom"/>
          </w:tcPr>
          <w:p>
            <w:pPr>
              <w:spacing w:after="0"/>
              <w:rPr>
                <w:sz w:val="1"/>
                <w:szCs w:val="1"/>
                <w:color w:val="auto"/>
              </w:rPr>
            </w:pPr>
          </w:p>
        </w:tc>
      </w:tr>
      <w:tr>
        <w:trPr>
          <w:trHeight w:val="221"/>
        </w:trPr>
        <w:tc>
          <w:tcPr>
            <w:tcW w:w="39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84.4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126.9</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39"/>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share-basic and diluted: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Diluted net income per share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96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ind w:right="973"/>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0.22</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973"/>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0.04</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13"/>
              <w:spacing w:after="0" w:line="194"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0.34</w:t>
            </w:r>
          </w:p>
        </w:tc>
        <w:tc>
          <w:tcPr>
            <w:tcW w:w="80" w:type="dxa"/>
            <w:vAlign w:val="bottom"/>
          </w:tcPr>
          <w:p>
            <w:pPr>
              <w:spacing w:after="0"/>
              <w:rPr>
                <w:sz w:val="16"/>
                <w:szCs w:val="16"/>
                <w:color w:val="auto"/>
              </w:rPr>
            </w:pPr>
          </w:p>
        </w:tc>
        <w:tc>
          <w:tcPr>
            <w:tcW w:w="680" w:type="dxa"/>
            <w:vAlign w:val="bottom"/>
            <w:tcBorders>
              <w:bottom w:val="single" w:sz="8" w:color="auto"/>
            </w:tcBorders>
          </w:tcPr>
          <w:p>
            <w:pPr>
              <w:jc w:val="right"/>
              <w:ind w:right="493"/>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6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color w:val="auto"/>
              </w:rPr>
              <w:t>Weighted-average shares used in computing net income</w:t>
            </w:r>
          </w:p>
        </w:tc>
        <w:tc>
          <w:tcPr>
            <w:tcW w:w="1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388.4</w:t>
            </w: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414.1</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393.3</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415.7</w:t>
            </w:r>
          </w:p>
        </w:tc>
        <w:tc>
          <w:tcPr>
            <w:tcW w:w="0" w:type="dxa"/>
            <w:vAlign w:val="bottom"/>
          </w:tcPr>
          <w:p>
            <w:pPr>
              <w:spacing w:after="0"/>
              <w:rPr>
                <w:sz w:val="1"/>
                <w:szCs w:val="1"/>
                <w:color w:val="auto"/>
              </w:rPr>
            </w:pPr>
          </w:p>
        </w:tc>
      </w:tr>
      <w:tr>
        <w:trPr>
          <w:trHeight w:val="215"/>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4"/>
              </w:rPr>
              <w:t>per share attributable to common stockholders, basic</w:t>
            </w: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line="156" w:lineRule="exact"/>
              <w:rPr>
                <w:sz w:val="20"/>
                <w:szCs w:val="20"/>
                <w:color w:val="auto"/>
              </w:rPr>
            </w:pPr>
            <w:r>
              <w:rPr>
                <w:rFonts w:ascii="Arial" w:cs="Arial" w:eastAsia="Arial" w:hAnsi="Arial"/>
                <w:sz w:val="17"/>
                <w:szCs w:val="17"/>
                <w:color w:val="auto"/>
                <w:w w:val="92"/>
              </w:rPr>
              <w:t>Weighted-average shares used in computing net income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960" w:type="dxa"/>
            <w:vAlign w:val="bottom"/>
          </w:tcPr>
          <w:p>
            <w:pPr>
              <w:ind w:left="180"/>
              <w:spacing w:after="0" w:line="169" w:lineRule="exact"/>
              <w:rPr>
                <w:sz w:val="20"/>
                <w:szCs w:val="20"/>
                <w:color w:val="auto"/>
              </w:rPr>
            </w:pPr>
            <w:r>
              <w:rPr>
                <w:rFonts w:ascii="Arial" w:cs="Arial" w:eastAsia="Arial" w:hAnsi="Arial"/>
                <w:sz w:val="17"/>
                <w:szCs w:val="17"/>
                <w:color w:val="auto"/>
              </w:rPr>
              <w:t>per share attributable to common stockholders,</w:t>
            </w:r>
          </w:p>
        </w:tc>
        <w:tc>
          <w:tcPr>
            <w:tcW w:w="1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397.0</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420.5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401.2</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419.7</w:t>
            </w:r>
          </w:p>
        </w:tc>
        <w:tc>
          <w:tcPr>
            <w:tcW w:w="0" w:type="dxa"/>
            <w:vAlign w:val="bottom"/>
          </w:tcPr>
          <w:p>
            <w:pPr>
              <w:spacing w:after="0"/>
              <w:rPr>
                <w:sz w:val="1"/>
                <w:szCs w:val="1"/>
                <w:color w:val="auto"/>
              </w:rPr>
            </w:pPr>
          </w:p>
        </w:tc>
      </w:tr>
      <w:tr>
        <w:trPr>
          <w:trHeight w:val="221"/>
        </w:trPr>
        <w:tc>
          <w:tcPr>
            <w:tcW w:w="3960" w:type="dxa"/>
            <w:vAlign w:val="bottom"/>
          </w:tcPr>
          <w:p>
            <w:pPr>
              <w:ind w:left="180"/>
              <w:spacing w:after="0"/>
              <w:rPr>
                <w:sz w:val="20"/>
                <w:szCs w:val="20"/>
                <w:color w:val="auto"/>
              </w:rPr>
            </w:pPr>
            <w:r>
              <w:rPr>
                <w:rFonts w:ascii="Arial" w:cs="Arial" w:eastAsia="Arial" w:hAnsi="Arial"/>
                <w:sz w:val="17"/>
                <w:szCs w:val="17"/>
                <w:color w:val="auto"/>
              </w:rPr>
              <w:t>diluted</w:t>
            </w:r>
          </w:p>
        </w:tc>
        <w:tc>
          <w:tcPr>
            <w:tcW w:w="1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0" w:hanging="136"/>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follows (in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center"/>
              <w:ind w:left="473"/>
              <w:spacing w:after="0"/>
              <w:rPr>
                <w:sz w:val="20"/>
                <w:szCs w:val="20"/>
                <w:color w:val="auto"/>
              </w:rPr>
            </w:pPr>
            <w:r>
              <w:rPr>
                <w:rFonts w:ascii="Arial" w:cs="Arial" w:eastAsia="Arial" w:hAnsi="Arial"/>
                <w:sz w:val="17"/>
                <w:szCs w:val="17"/>
                <w:b w:val="1"/>
                <w:bCs w:val="1"/>
                <w:color w:val="auto"/>
                <w:w w:val="93"/>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Six Months Ended</w:t>
            </w:r>
          </w:p>
        </w:tc>
        <w:tc>
          <w:tcPr>
            <w:tcW w:w="1080" w:type="dxa"/>
            <w:vAlign w:val="bottom"/>
          </w:tcPr>
          <w:p>
            <w:pPr>
              <w:spacing w:after="0"/>
              <w:rPr>
                <w:sz w:val="16"/>
                <w:szCs w:val="16"/>
                <w:color w:val="auto"/>
              </w:rPr>
            </w:pPr>
          </w:p>
        </w:tc>
      </w:tr>
      <w:tr>
        <w:trPr>
          <w:trHeight w:val="221"/>
        </w:trPr>
        <w:tc>
          <w:tcPr>
            <w:tcW w:w="39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right="593"/>
              <w:spacing w:after="0"/>
              <w:rPr>
                <w:sz w:val="20"/>
                <w:szCs w:val="20"/>
                <w:color w:val="auto"/>
              </w:rPr>
            </w:pPr>
            <w:r>
              <w:rPr>
                <w:rFonts w:ascii="Arial" w:cs="Arial" w:eastAsia="Arial" w:hAnsi="Arial"/>
                <w:sz w:val="17"/>
                <w:szCs w:val="17"/>
                <w:b w:val="1"/>
                <w:bCs w:val="1"/>
                <w:color w:val="auto"/>
                <w:w w:val="88"/>
              </w:rPr>
              <w:t>June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June 30,</w:t>
            </w:r>
          </w:p>
        </w:tc>
        <w:tc>
          <w:tcPr>
            <w:tcW w:w="1080" w:type="dxa"/>
            <w:vAlign w:val="bottom"/>
            <w:tcBorders>
              <w:bottom w:val="single" w:sz="8" w:color="auto"/>
            </w:tcBorders>
          </w:tcPr>
          <w:p>
            <w:pPr>
              <w:spacing w:after="0"/>
              <w:rPr>
                <w:sz w:val="19"/>
                <w:szCs w:val="19"/>
                <w:color w:val="auto"/>
              </w:rPr>
            </w:pPr>
          </w:p>
        </w:tc>
      </w:tr>
      <w:tr>
        <w:trPr>
          <w:trHeight w:val="214"/>
        </w:trPr>
        <w:tc>
          <w:tcPr>
            <w:tcW w:w="3960" w:type="dxa"/>
            <w:vAlign w:val="bottom"/>
          </w:tcPr>
          <w:p>
            <w:pPr>
              <w:spacing w:after="0"/>
              <w:rPr>
                <w:sz w:val="18"/>
                <w:szCs w:val="18"/>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2020</w:t>
            </w:r>
          </w:p>
        </w:tc>
      </w:tr>
      <w:tr>
        <w:trPr>
          <w:trHeight w:val="32"/>
        </w:trPr>
        <w:tc>
          <w:tcPr>
            <w:tcW w:w="3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revenue</w:t>
            </w:r>
          </w:p>
        </w:tc>
        <w:tc>
          <w:tcPr>
            <w:tcW w:w="122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1"/>
        </w:trPr>
        <w:tc>
          <w:tcPr>
            <w:tcW w:w="39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47.0</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84.2</w:t>
            </w:r>
          </w:p>
        </w:tc>
      </w:tr>
      <w:tr>
        <w:trPr>
          <w:trHeight w:val="221"/>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95"/>
        </w:trPr>
        <w:tc>
          <w:tcPr>
            <w:tcW w:w="3960" w:type="dxa"/>
            <w:vAlign w:val="bottom"/>
          </w:tcPr>
          <w:p>
            <w:pPr>
              <w:ind w:left="22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1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15.6</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w:t>
            </w:r>
          </w:p>
        </w:tc>
      </w:tr>
    </w:tbl>
    <w:p>
      <w:pPr>
        <w:spacing w:after="0" w:line="242" w:lineRule="exact"/>
        <w:rPr>
          <w:sz w:val="20"/>
          <w:szCs w:val="20"/>
          <w:color w:val="auto"/>
        </w:rPr>
      </w:pPr>
    </w:p>
    <w:p>
      <w:pPr>
        <w:ind w:right="100" w:firstLine="4"/>
        <w:spacing w:after="0" w:line="288" w:lineRule="auto"/>
        <w:tabs>
          <w:tab w:leader="none" w:pos="144"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(Deficit) Equity" for further information.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right"/>
              <w:ind w:right="373"/>
              <w:spacing w:after="0"/>
              <w:rPr>
                <w:sz w:val="20"/>
                <w:szCs w:val="20"/>
                <w:color w:val="auto"/>
              </w:rPr>
            </w:pPr>
            <w:r>
              <w:rPr>
                <w:rFonts w:ascii="Arial" w:cs="Arial" w:eastAsia="Arial" w:hAnsi="Arial"/>
                <w:sz w:val="17"/>
                <w:szCs w:val="17"/>
                <w:b w:val="1"/>
                <w:bCs w:val="1"/>
                <w:color w:val="auto"/>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7"/>
                <w:szCs w:val="17"/>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2020</w:t>
            </w:r>
          </w:p>
        </w:tc>
        <w:tc>
          <w:tcPr>
            <w:tcW w:w="0" w:type="dxa"/>
            <w:vAlign w:val="bottom"/>
          </w:tcPr>
          <w:p>
            <w:pPr>
              <w:spacing w:after="0"/>
              <w:rPr>
                <w:sz w:val="1"/>
                <w:szCs w:val="1"/>
                <w:color w:val="auto"/>
              </w:rPr>
            </w:pPr>
          </w:p>
        </w:tc>
      </w:tr>
      <w:tr>
        <w:trPr>
          <w:trHeight w:val="32"/>
        </w:trPr>
        <w:tc>
          <w:tcPr>
            <w:tcW w:w="3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2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21"/>
        </w:trPr>
        <w:tc>
          <w:tcPr>
            <w:tcW w:w="396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6"/>
              </w:rPr>
              <w:t>Change in foreign currency translation adjustments</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170"/>
        </w:trPr>
        <w:tc>
          <w:tcPr>
            <w:tcW w:w="3960" w:type="dxa"/>
            <w:vAlign w:val="bottom"/>
          </w:tcPr>
          <w:p>
            <w:pPr>
              <w:ind w:left="220"/>
              <w:spacing w:after="0" w:line="170" w:lineRule="exact"/>
              <w:rPr>
                <w:sz w:val="20"/>
                <w:szCs w:val="20"/>
                <w:color w:val="auto"/>
              </w:rPr>
            </w:pPr>
            <w:r>
              <w:rPr>
                <w:rFonts w:ascii="Arial" w:cs="Arial" w:eastAsia="Arial" w:hAnsi="Arial"/>
                <w:sz w:val="17"/>
                <w:szCs w:val="17"/>
                <w:color w:val="auto"/>
                <w:w w:val="94"/>
              </w:rPr>
              <w:t>Change in net unrealized gains and losses on short-</w:t>
            </w:r>
          </w:p>
        </w:tc>
        <w:tc>
          <w:tcPr>
            <w:tcW w:w="12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term investments</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comprehensive income (loss)</w:t>
            </w: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1220" w:type="dxa"/>
            <w:vAlign w:val="bottom"/>
            <w:tcBorders>
              <w:bottom w:val="single" w:sz="8" w:color="auto"/>
            </w:tcBorders>
          </w:tcPr>
          <w:p>
            <w:pPr>
              <w:jc w:val="right"/>
              <w:ind w:right="103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130.5</w:t>
            </w: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STOCKHOLDERS' (DEFICIT) EQUITY</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200" w:lineRule="exact"/>
        <w:rPr>
          <w:sz w:val="20"/>
          <w:szCs w:val="20"/>
          <w:color w:val="auto"/>
        </w:rPr>
      </w:pPr>
    </w:p>
    <w:p>
      <w:pPr>
        <w:spacing w:after="0" w:line="307"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1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Three Months Ended June 30, 2021</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Three Months Ended June 30, 2020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6"/>
                <w:szCs w:val="16"/>
                <w:b w:val="1"/>
                <w:bCs w:val="1"/>
                <w:color w:val="auto"/>
                <w:w w:val="88"/>
              </w:rPr>
              <w:t>Total</w:t>
            </w:r>
          </w:p>
        </w:tc>
        <w:tc>
          <w:tcPr>
            <w:tcW w:w="118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85"/>
              </w:rPr>
              <w:t>Class A and</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1"/>
              </w:rPr>
              <w:t>Class B</w:t>
            </w:r>
          </w:p>
        </w:tc>
        <w:tc>
          <w:tcPr>
            <w:tcW w:w="88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7"/>
              </w:rPr>
              <w:t>Additional</w:t>
            </w: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4"/>
              </w:rPr>
              <w:t>Class B common</w:t>
            </w:r>
          </w:p>
        </w:tc>
        <w:tc>
          <w:tcPr>
            <w:tcW w:w="86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4"/>
              </w:rPr>
              <w:t>Additional</w:t>
            </w:r>
          </w:p>
        </w:tc>
        <w:tc>
          <w:tcPr>
            <w:tcW w:w="10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89"/>
              </w:rPr>
              <w:t>other</w:t>
            </w:r>
          </w:p>
        </w:tc>
        <w:tc>
          <w:tcPr>
            <w:tcW w:w="1040" w:type="dxa"/>
            <w:vAlign w:val="bottom"/>
            <w:gridSpan w:val="2"/>
          </w:tcPr>
          <w:p>
            <w:pPr>
              <w:jc w:val="center"/>
              <w:ind w:right="40"/>
              <w:spacing w:after="0" w:line="156" w:lineRule="exact"/>
              <w:rPr>
                <w:sz w:val="20"/>
                <w:szCs w:val="20"/>
                <w:color w:val="auto"/>
              </w:rPr>
            </w:pPr>
            <w:r>
              <w:rPr>
                <w:rFonts w:ascii="Arial" w:cs="Arial" w:eastAsia="Arial" w:hAnsi="Arial"/>
                <w:sz w:val="16"/>
                <w:szCs w:val="16"/>
                <w:b w:val="1"/>
                <w:bCs w:val="1"/>
                <w:color w:val="auto"/>
                <w:w w:val="85"/>
              </w:rPr>
              <w:t>stockholders'</w:t>
            </w:r>
          </w:p>
        </w:tc>
        <w:tc>
          <w:tcPr>
            <w:tcW w:w="11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84"/>
              </w:rPr>
              <w:t>other</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Common Stock</w:t>
            </w:r>
          </w:p>
        </w:tc>
        <w:tc>
          <w:tcPr>
            <w:tcW w:w="880" w:type="dxa"/>
            <w:vAlign w:val="bottom"/>
            <w:vMerge w:val="restart"/>
          </w:tcPr>
          <w:p>
            <w:pPr>
              <w:ind w:left="220"/>
              <w:spacing w:after="0" w:line="156" w:lineRule="exact"/>
              <w:rPr>
                <w:sz w:val="20"/>
                <w:szCs w:val="20"/>
                <w:color w:val="auto"/>
              </w:rPr>
            </w:pPr>
            <w:r>
              <w:rPr>
                <w:rFonts w:ascii="Arial" w:cs="Arial" w:eastAsia="Arial" w:hAnsi="Arial"/>
                <w:sz w:val="16"/>
                <w:szCs w:val="16"/>
                <w:b w:val="1"/>
                <w:bCs w:val="1"/>
                <w:color w:val="auto"/>
              </w:rPr>
              <w:t>paid in</w:t>
            </w:r>
          </w:p>
        </w:tc>
        <w:tc>
          <w:tcPr>
            <w:tcW w:w="1000" w:type="dxa"/>
            <w:vAlign w:val="bottom"/>
            <w:vMerge w:val="restart"/>
          </w:tcPr>
          <w:p>
            <w:pPr>
              <w:jc w:val="center"/>
              <w:spacing w:after="0" w:line="156" w:lineRule="exact"/>
              <w:rPr>
                <w:sz w:val="20"/>
                <w:szCs w:val="20"/>
                <w:color w:val="auto"/>
              </w:rPr>
            </w:pPr>
            <w:r>
              <w:rPr>
                <w:rFonts w:ascii="Arial" w:cs="Arial" w:eastAsia="Arial" w:hAnsi="Arial"/>
                <w:sz w:val="16"/>
                <w:szCs w:val="16"/>
                <w:b w:val="1"/>
                <w:bCs w:val="1"/>
                <w:color w:val="auto"/>
                <w:w w:val="87"/>
              </w:rPr>
              <w:t>Accumulated</w:t>
            </w:r>
          </w:p>
        </w:tc>
        <w:tc>
          <w:tcPr>
            <w:tcW w:w="1120" w:type="dxa"/>
            <w:vAlign w:val="bottom"/>
            <w:vMerge w:val="restart"/>
          </w:tcPr>
          <w:p>
            <w:pPr>
              <w:jc w:val="center"/>
              <w:spacing w:after="0" w:line="156" w:lineRule="exact"/>
              <w:rPr>
                <w:sz w:val="20"/>
                <w:szCs w:val="20"/>
                <w:color w:val="auto"/>
              </w:rPr>
            </w:pPr>
            <w:r>
              <w:rPr>
                <w:rFonts w:ascii="Arial" w:cs="Arial" w:eastAsia="Arial" w:hAnsi="Arial"/>
                <w:sz w:val="16"/>
                <w:szCs w:val="16"/>
                <w:b w:val="1"/>
                <w:bCs w:val="1"/>
                <w:color w:val="auto"/>
                <w:w w:val="85"/>
              </w:rPr>
              <w:t>comprehensive</w:t>
            </w:r>
          </w:p>
        </w:tc>
        <w:tc>
          <w:tcPr>
            <w:tcW w:w="1040" w:type="dxa"/>
            <w:vAlign w:val="bottom"/>
            <w:gridSpan w:val="2"/>
            <w:vMerge w:val="restart"/>
          </w:tcPr>
          <w:p>
            <w:pPr>
              <w:jc w:val="center"/>
              <w:ind w:right="40"/>
              <w:spacing w:after="0" w:line="156" w:lineRule="exact"/>
              <w:rPr>
                <w:sz w:val="20"/>
                <w:szCs w:val="20"/>
                <w:color w:val="auto"/>
              </w:rPr>
            </w:pPr>
            <w:r>
              <w:rPr>
                <w:rFonts w:ascii="Arial" w:cs="Arial" w:eastAsia="Arial" w:hAnsi="Arial"/>
                <w:sz w:val="16"/>
                <w:szCs w:val="16"/>
                <w:b w:val="1"/>
                <w:bCs w:val="1"/>
                <w:color w:val="auto"/>
                <w:w w:val="89"/>
              </w:rPr>
              <w:t>(deficit)</w:t>
            </w:r>
          </w:p>
        </w:tc>
        <w:tc>
          <w:tcPr>
            <w:tcW w:w="118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stock</w:t>
            </w:r>
          </w:p>
        </w:tc>
        <w:tc>
          <w:tcPr>
            <w:tcW w:w="860" w:type="dxa"/>
            <w:vAlign w:val="bottom"/>
            <w:vMerge w:val="restart"/>
          </w:tcPr>
          <w:p>
            <w:pPr>
              <w:ind w:left="220"/>
              <w:spacing w:after="0" w:line="156" w:lineRule="exact"/>
              <w:rPr>
                <w:sz w:val="20"/>
                <w:szCs w:val="20"/>
                <w:color w:val="auto"/>
              </w:rPr>
            </w:pPr>
            <w:r>
              <w:rPr>
                <w:rFonts w:ascii="Arial" w:cs="Arial" w:eastAsia="Arial" w:hAnsi="Arial"/>
                <w:sz w:val="16"/>
                <w:szCs w:val="16"/>
                <w:b w:val="1"/>
                <w:bCs w:val="1"/>
                <w:color w:val="auto"/>
              </w:rPr>
              <w:t>paid-in</w:t>
            </w:r>
          </w:p>
        </w:tc>
        <w:tc>
          <w:tcPr>
            <w:tcW w:w="1020" w:type="dxa"/>
            <w:vAlign w:val="bottom"/>
            <w:vMerge w:val="restart"/>
          </w:tcPr>
          <w:p>
            <w:pPr>
              <w:jc w:val="center"/>
              <w:spacing w:after="0" w:line="156" w:lineRule="exact"/>
              <w:rPr>
                <w:sz w:val="20"/>
                <w:szCs w:val="20"/>
                <w:color w:val="auto"/>
              </w:rPr>
            </w:pPr>
            <w:r>
              <w:rPr>
                <w:rFonts w:ascii="Arial" w:cs="Arial" w:eastAsia="Arial" w:hAnsi="Arial"/>
                <w:sz w:val="16"/>
                <w:szCs w:val="16"/>
                <w:b w:val="1"/>
                <w:bCs w:val="1"/>
                <w:color w:val="auto"/>
                <w:w w:val="89"/>
              </w:rPr>
              <w:t>Accumulated</w:t>
            </w:r>
          </w:p>
        </w:tc>
        <w:tc>
          <w:tcPr>
            <w:tcW w:w="1120" w:type="dxa"/>
            <w:vAlign w:val="bottom"/>
            <w:vMerge w:val="restart"/>
          </w:tcPr>
          <w:p>
            <w:pPr>
              <w:jc w:val="center"/>
              <w:spacing w:after="0" w:line="156" w:lineRule="exact"/>
              <w:rPr>
                <w:sz w:val="20"/>
                <w:szCs w:val="20"/>
                <w:color w:val="auto"/>
              </w:rPr>
            </w:pPr>
            <w:r>
              <w:rPr>
                <w:rFonts w:ascii="Arial" w:cs="Arial" w:eastAsia="Arial" w:hAnsi="Arial"/>
                <w:sz w:val="16"/>
                <w:szCs w:val="16"/>
                <w:b w:val="1"/>
                <w:bCs w:val="1"/>
                <w:color w:val="auto"/>
                <w:w w:val="83"/>
              </w:rPr>
              <w:t>comprehensive</w:t>
            </w:r>
          </w:p>
        </w:tc>
        <w:tc>
          <w:tcPr>
            <w:tcW w:w="960" w:type="dxa"/>
            <w:vAlign w:val="bottom"/>
            <w:vMerge w:val="restart"/>
          </w:tcPr>
          <w:p>
            <w:pPr>
              <w:jc w:val="center"/>
              <w:spacing w:after="0" w:line="156" w:lineRule="exact"/>
              <w:rPr>
                <w:sz w:val="20"/>
                <w:szCs w:val="20"/>
                <w:color w:val="auto"/>
              </w:rPr>
            </w:pPr>
            <w:r>
              <w:rPr>
                <w:rFonts w:ascii="Arial" w:cs="Arial" w:eastAsia="Arial" w:hAnsi="Arial"/>
                <w:sz w:val="16"/>
                <w:szCs w:val="16"/>
                <w:b w:val="1"/>
                <w:bCs w:val="1"/>
                <w:color w:val="auto"/>
                <w:w w:val="84"/>
              </w:rPr>
              <w:t>stockholders’</w:t>
            </w:r>
          </w:p>
        </w:tc>
        <w:tc>
          <w:tcPr>
            <w:tcW w:w="0" w:type="dxa"/>
            <w:vAlign w:val="bottom"/>
          </w:tcPr>
          <w:p>
            <w:pPr>
              <w:spacing w:after="0"/>
              <w:rPr>
                <w:sz w:val="1"/>
                <w:szCs w:val="1"/>
                <w:color w:val="auto"/>
              </w:rPr>
            </w:pPr>
          </w:p>
        </w:tc>
      </w:tr>
      <w:tr>
        <w:trPr>
          <w:trHeight w:val="32"/>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u w:val="single" w:color="auto"/>
                <w:color w:val="auto"/>
                <w:w w:val="91"/>
              </w:rPr>
              <w:t>Shares  Amount</w:t>
            </w:r>
          </w:p>
        </w:tc>
        <w:tc>
          <w:tcPr>
            <w:tcW w:w="8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6"/>
                <w:szCs w:val="16"/>
                <w:b w:val="1"/>
                <w:bCs w:val="1"/>
                <w:color w:val="auto"/>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4"/>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5"/>
              </w:rPr>
              <w:t>income</w:t>
            </w:r>
          </w:p>
        </w:tc>
        <w:tc>
          <w:tcPr>
            <w:tcW w:w="1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equity</w:t>
            </w:r>
          </w:p>
        </w:tc>
        <w:tc>
          <w:tcPr>
            <w:tcW w:w="1180" w:type="dxa"/>
            <w:vAlign w:val="bottom"/>
            <w:vMerge w:val="continue"/>
          </w:tcPr>
          <w:p>
            <w:pPr>
              <w:spacing w:after="0"/>
              <w:rPr>
                <w:sz w:val="17"/>
                <w:szCs w:val="17"/>
                <w:color w:val="auto"/>
              </w:rPr>
            </w:pPr>
          </w:p>
        </w:tc>
        <w:tc>
          <w:tcPr>
            <w:tcW w:w="860" w:type="dxa"/>
            <w:vAlign w:val="bottom"/>
          </w:tcPr>
          <w:p>
            <w:pPr>
              <w:ind w:left="220"/>
              <w:spacing w:after="0"/>
              <w:rPr>
                <w:sz w:val="20"/>
                <w:szCs w:val="20"/>
                <w:color w:val="auto"/>
              </w:rPr>
            </w:pPr>
            <w:r>
              <w:rPr>
                <w:rFonts w:ascii="Arial" w:cs="Arial" w:eastAsia="Arial" w:hAnsi="Arial"/>
                <w:sz w:val="16"/>
                <w:szCs w:val="16"/>
                <w:b w:val="1"/>
                <w:bCs w:val="1"/>
                <w:color w:val="auto"/>
              </w:rPr>
              <w:t>capital</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3"/>
              </w:rPr>
              <w:t>income (loss)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4"/>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98360" cy="330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360" cy="33083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tbl>
      <w:tblPr>
        <w:tblLayout w:type="fixed"/>
        <w:tblInd w:w="20" w:type="dxa"/>
        <w:tblCellMar>
          <w:top w:w="0" w:type="dxa"/>
          <w:left w:w="0" w:type="dxa"/>
          <w:bottom w:w="0" w:type="dxa"/>
          <w:right w:w="0" w:type="dxa"/>
        </w:tblCellMar>
      </w:tblPr>
      <w:tr>
        <w:trPr>
          <w:trHeight w:val="141"/>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b w:val="1"/>
                <w:bCs w:val="1"/>
                <w:color w:val="auto"/>
                <w:w w:val="99"/>
              </w:rPr>
              <w:t>beginning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389.8</w:t>
            </w:r>
          </w:p>
        </w:tc>
        <w:tc>
          <w:tcPr>
            <w:tcW w:w="80" w:type="dxa"/>
            <w:vAlign w:val="bottom"/>
          </w:tcPr>
          <w:p>
            <w:pPr>
              <w:spacing w:after="0"/>
              <w:rPr>
                <w:sz w:val="13"/>
                <w:szCs w:val="13"/>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2,420.2</w:t>
            </w:r>
          </w:p>
        </w:tc>
        <w:tc>
          <w:tcPr>
            <w:tcW w:w="80" w:type="dxa"/>
            <w:vAlign w:val="bottom"/>
          </w:tcPr>
          <w:p>
            <w:pPr>
              <w:spacing w:after="0"/>
              <w:rPr>
                <w:sz w:val="13"/>
                <w:szCs w:val="13"/>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(2,507.8)</w:t>
            </w:r>
          </w:p>
        </w:tc>
        <w:tc>
          <w:tcPr>
            <w:tcW w:w="80" w:type="dxa"/>
            <w:vAlign w:val="bottom"/>
          </w:tcPr>
          <w:p>
            <w:pPr>
              <w:spacing w:after="0"/>
              <w:rPr>
                <w:sz w:val="13"/>
                <w:szCs w:val="13"/>
                <w:color w:val="auto"/>
              </w:rPr>
            </w:pPr>
          </w:p>
        </w:tc>
        <w:tc>
          <w:tcPr>
            <w:tcW w:w="440" w:type="dxa"/>
            <w:vAlign w:val="bottom"/>
            <w:vMerge w:val="restart"/>
          </w:tcPr>
          <w:p>
            <w:pPr>
              <w:jc w:val="right"/>
              <w:ind w:right="262"/>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980" w:type="dxa"/>
            <w:vAlign w:val="bottom"/>
          </w:tcPr>
          <w:p>
            <w:pPr>
              <w:spacing w:after="0" w:line="165" w:lineRule="exact"/>
              <w:rPr>
                <w:sz w:val="20"/>
                <w:szCs w:val="20"/>
                <w:color w:val="auto"/>
              </w:rPr>
            </w:pPr>
            <w:r>
              <w:rPr>
                <w:rFonts w:ascii="Arial" w:cs="Arial" w:eastAsia="Arial" w:hAnsi="Arial"/>
                <w:sz w:val="16"/>
                <w:szCs w:val="16"/>
                <w:color w:val="auto"/>
              </w:rPr>
              <w:t>Release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withheld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related to net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share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settlement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Repurchases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of common</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(108.9)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stock options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and 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Tax benefit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98"/>
              </w:rPr>
              <w:t>attributable to</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bond hedges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purchased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73.9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w w:val="96"/>
              </w:rPr>
              <w:t>compensation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8"/>
              </w:rPr>
              <w:t>comprehensive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income</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386.5</w:t>
            </w:r>
          </w:p>
        </w:tc>
        <w:tc>
          <w:tcPr>
            <w:tcW w:w="80" w:type="dxa"/>
            <w:vAlign w:val="bottom"/>
          </w:tcPr>
          <w:p>
            <w:pPr>
              <w:spacing w:after="0"/>
              <w:rPr>
                <w:sz w:val="12"/>
                <w:szCs w:val="12"/>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2,446.9</w:t>
            </w:r>
          </w:p>
        </w:tc>
        <w:tc>
          <w:tcPr>
            <w:tcW w:w="8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(2,547.5)</w:t>
            </w:r>
          </w:p>
        </w:tc>
        <w:tc>
          <w:tcPr>
            <w:tcW w:w="80" w:type="dxa"/>
            <w:vAlign w:val="bottom"/>
          </w:tcPr>
          <w:p>
            <w:pPr>
              <w:spacing w:after="0"/>
              <w:rPr>
                <w:sz w:val="12"/>
                <w:szCs w:val="12"/>
                <w:color w:val="auto"/>
              </w:rPr>
            </w:pPr>
          </w:p>
        </w:tc>
        <w:tc>
          <w:tcPr>
            <w:tcW w:w="440" w:type="dxa"/>
            <w:vAlign w:val="bottom"/>
            <w:vMerge w:val="restart"/>
          </w:tcPr>
          <w:p>
            <w:pPr>
              <w:jc w:val="right"/>
              <w:ind w:right="262"/>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980" w:type="dxa"/>
            <w:vAlign w:val="bottom"/>
          </w:tcPr>
          <w:p>
            <w:pPr>
              <w:spacing w:after="0" w:line="182" w:lineRule="exact"/>
              <w:rPr>
                <w:sz w:val="20"/>
                <w:szCs w:val="20"/>
                <w:color w:val="auto"/>
              </w:rPr>
            </w:pPr>
            <w:r>
              <w:rPr>
                <w:rFonts w:ascii="Arial" w:cs="Arial" w:eastAsia="Arial" w:hAnsi="Arial"/>
                <w:sz w:val="16"/>
                <w:szCs w:val="16"/>
                <w:b w:val="1"/>
                <w:bCs w:val="1"/>
                <w:color w:val="auto"/>
                <w:w w:val="94"/>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99"/>
        </w:trPr>
        <w:tc>
          <w:tcPr>
            <w:tcW w:w="480" w:type="dxa"/>
            <w:vAlign w:val="bottom"/>
          </w:tcPr>
          <w:p>
            <w:pPr>
              <w:jc w:val="right"/>
              <w:ind w:right="22"/>
              <w:spacing w:after="0"/>
              <w:rPr>
                <w:sz w:val="20"/>
                <w:szCs w:val="20"/>
                <w:color w:val="auto"/>
              </w:rPr>
            </w:pPr>
            <w:r>
              <w:rPr>
                <w:rFonts w:ascii="Arial" w:cs="Arial" w:eastAsia="Arial" w:hAnsi="Arial"/>
                <w:sz w:val="16"/>
                <w:szCs w:val="16"/>
                <w:color w:val="auto"/>
                <w:w w:val="86"/>
              </w:rPr>
              <w:t>(83.0)</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415.1</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  2,528.5</w:t>
            </w:r>
          </w:p>
        </w:tc>
        <w:tc>
          <w:tcPr>
            <w:tcW w:w="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(1,726.6)</w:t>
            </w: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800.4</w:t>
            </w:r>
          </w:p>
        </w:tc>
      </w:tr>
      <w:tr>
        <w:trPr>
          <w:trHeight w:val="677"/>
        </w:trPr>
        <w:tc>
          <w:tcPr>
            <w:tcW w:w="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3.4</w:t>
            </w:r>
          </w:p>
        </w:tc>
        <w:tc>
          <w:tcPr>
            <w:tcW w:w="30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660" w:type="dxa"/>
            <w:vAlign w:val="bottom"/>
          </w:tcPr>
          <w:p>
            <w:pPr>
              <w:jc w:val="center"/>
              <w:ind w:left="242"/>
              <w:spacing w:after="0"/>
              <w:rPr>
                <w:sz w:val="20"/>
                <w:szCs w:val="20"/>
                <w:color w:val="auto"/>
              </w:rPr>
            </w:pPr>
            <w:r>
              <w:rPr>
                <w:rFonts w:ascii="Arial" w:cs="Arial" w:eastAsia="Arial" w:hAnsi="Arial"/>
                <w:sz w:val="16"/>
                <w:szCs w:val="16"/>
                <w:color w:val="auto"/>
                <w:w w:val="87"/>
              </w:rPr>
              <w:t>—</w:t>
            </w:r>
          </w:p>
        </w:tc>
        <w:tc>
          <w:tcPr>
            <w:tcW w:w="3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3810</wp:posOffset>
            </wp:positionV>
            <wp:extent cx="7198360" cy="826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360" cy="826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0" w:type="dxa"/>
            <w:vAlign w:val="bottom"/>
          </w:tcPr>
          <w:p>
            <w:pPr>
              <w:jc w:val="right"/>
              <w:ind w:right="62"/>
              <w:spacing w:after="0"/>
              <w:rPr>
                <w:sz w:val="20"/>
                <w:szCs w:val="20"/>
                <w:color w:val="auto"/>
              </w:rPr>
            </w:pPr>
            <w:r>
              <w:rPr>
                <w:rFonts w:ascii="Arial" w:cs="Arial" w:eastAsia="Arial" w:hAnsi="Arial"/>
                <w:sz w:val="16"/>
                <w:szCs w:val="16"/>
                <w:color w:val="auto"/>
              </w:rPr>
              <w:t>(26.9)</w:t>
            </w:r>
          </w:p>
        </w:tc>
        <w:tc>
          <w:tcPr>
            <w:tcW w:w="680" w:type="dxa"/>
            <w:vAlign w:val="bottom"/>
          </w:tcPr>
          <w:p>
            <w:pPr>
              <w:jc w:val="center"/>
              <w:ind w:right="22"/>
              <w:spacing w:after="0"/>
              <w:rPr>
                <w:sz w:val="20"/>
                <w:szCs w:val="20"/>
                <w:color w:val="auto"/>
              </w:rPr>
            </w:pPr>
            <w:r>
              <w:rPr>
                <w:rFonts w:ascii="Arial" w:cs="Arial" w:eastAsia="Arial" w:hAnsi="Arial"/>
                <w:sz w:val="16"/>
                <w:szCs w:val="16"/>
                <w:color w:val="auto"/>
                <w:w w:val="91"/>
              </w:rPr>
              <w:t>(1.2)</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42"/>
              <w:spacing w:after="0"/>
              <w:rPr>
                <w:sz w:val="20"/>
                <w:szCs w:val="20"/>
                <w:color w:val="auto"/>
              </w:rPr>
            </w:pPr>
            <w:r>
              <w:rPr>
                <w:rFonts w:ascii="Arial" w:cs="Arial" w:eastAsia="Arial" w:hAnsi="Arial"/>
                <w:sz w:val="16"/>
                <w:szCs w:val="16"/>
                <w:color w:val="auto"/>
              </w:rPr>
              <w:t>(11.0)</w:t>
            </w:r>
          </w:p>
        </w:tc>
        <w:tc>
          <w:tcPr>
            <w:tcW w:w="1140" w:type="dxa"/>
            <w:vAlign w:val="bottom"/>
          </w:tcPr>
          <w:p>
            <w:pPr>
              <w:jc w:val="right"/>
              <w:ind w:right="382"/>
              <w:spacing w:after="0"/>
              <w:rPr>
                <w:sz w:val="20"/>
                <w:szCs w:val="20"/>
                <w:color w:val="auto"/>
              </w:rPr>
            </w:pPr>
            <w:r>
              <w:rPr>
                <w:rFonts w:ascii="Arial" w:cs="Arial" w:eastAsia="Arial" w:hAnsi="Arial"/>
                <w:sz w:val="16"/>
                <w:szCs w:val="16"/>
                <w:color w:val="auto"/>
              </w:rPr>
              <w:t>(14.1)</w:t>
            </w:r>
          </w:p>
        </w:tc>
        <w:tc>
          <w:tcPr>
            <w:tcW w:w="960" w:type="dxa"/>
            <w:vAlign w:val="bottom"/>
          </w:tcPr>
          <w:p>
            <w:pPr>
              <w:ind w:left="4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521"/>
        </w:trPr>
        <w:tc>
          <w:tcPr>
            <w:tcW w:w="600" w:type="dxa"/>
            <w:vAlign w:val="bottom"/>
          </w:tcPr>
          <w:p>
            <w:pPr>
              <w:jc w:val="right"/>
              <w:ind w:right="62"/>
              <w:spacing w:after="0"/>
              <w:rPr>
                <w:sz w:val="20"/>
                <w:szCs w:val="20"/>
                <w:color w:val="auto"/>
              </w:rPr>
            </w:pPr>
            <w:r>
              <w:rPr>
                <w:rFonts w:ascii="Arial" w:cs="Arial" w:eastAsia="Arial" w:hAnsi="Arial"/>
                <w:sz w:val="16"/>
                <w:szCs w:val="16"/>
                <w:color w:val="auto"/>
                <w:w w:val="86"/>
              </w:rPr>
              <w:t>(150.8)</w:t>
            </w:r>
          </w:p>
        </w:tc>
        <w:tc>
          <w:tcPr>
            <w:tcW w:w="680" w:type="dxa"/>
            <w:vAlign w:val="bottom"/>
          </w:tcPr>
          <w:p>
            <w:pPr>
              <w:jc w:val="center"/>
              <w:ind w:right="22"/>
              <w:spacing w:after="0"/>
              <w:rPr>
                <w:sz w:val="20"/>
                <w:szCs w:val="20"/>
                <w:color w:val="auto"/>
              </w:rPr>
            </w:pPr>
            <w:r>
              <w:rPr>
                <w:rFonts w:ascii="Arial" w:cs="Arial" w:eastAsia="Arial" w:hAnsi="Arial"/>
                <w:sz w:val="16"/>
                <w:szCs w:val="16"/>
                <w:color w:val="auto"/>
                <w:w w:val="91"/>
              </w:rPr>
              <w:t>(3.7)</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42"/>
              <w:spacing w:after="0"/>
              <w:rPr>
                <w:sz w:val="20"/>
                <w:szCs w:val="20"/>
                <w:color w:val="auto"/>
              </w:rPr>
            </w:pPr>
            <w:r>
              <w:rPr>
                <w:rFonts w:ascii="Arial" w:cs="Arial" w:eastAsia="Arial" w:hAnsi="Arial"/>
                <w:sz w:val="16"/>
                <w:szCs w:val="16"/>
                <w:color w:val="auto"/>
              </w:rPr>
              <w:t>(34.6)</w:t>
            </w:r>
          </w:p>
        </w:tc>
        <w:tc>
          <w:tcPr>
            <w:tcW w:w="1140" w:type="dxa"/>
            <w:vAlign w:val="bottom"/>
          </w:tcPr>
          <w:p>
            <w:pPr>
              <w:jc w:val="right"/>
              <w:ind w:right="382"/>
              <w:spacing w:after="0"/>
              <w:rPr>
                <w:sz w:val="20"/>
                <w:szCs w:val="20"/>
                <w:color w:val="auto"/>
              </w:rPr>
            </w:pPr>
            <w:r>
              <w:rPr>
                <w:rFonts w:ascii="Arial" w:cs="Arial" w:eastAsia="Arial" w:hAnsi="Arial"/>
                <w:sz w:val="16"/>
                <w:szCs w:val="16"/>
                <w:color w:val="auto"/>
              </w:rPr>
              <w:t>(41.2)</w:t>
            </w:r>
          </w:p>
        </w:tc>
        <w:tc>
          <w:tcPr>
            <w:tcW w:w="960" w:type="dxa"/>
            <w:vAlign w:val="bottom"/>
          </w:tcPr>
          <w:p>
            <w:pPr>
              <w:ind w:left="4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521"/>
        </w:trPr>
        <w:tc>
          <w:tcPr>
            <w:tcW w:w="600" w:type="dxa"/>
            <w:vAlign w:val="bottom"/>
          </w:tcPr>
          <w:p>
            <w:pPr>
              <w:jc w:val="right"/>
              <w:ind w:right="102"/>
              <w:spacing w:after="0"/>
              <w:rPr>
                <w:sz w:val="20"/>
                <w:szCs w:val="20"/>
                <w:color w:val="auto"/>
              </w:rPr>
            </w:pPr>
            <w:r>
              <w:rPr>
                <w:rFonts w:ascii="Arial" w:cs="Arial" w:eastAsia="Arial" w:hAnsi="Arial"/>
                <w:sz w:val="16"/>
                <w:szCs w:val="16"/>
                <w:color w:val="auto"/>
              </w:rPr>
              <w:t>2.6</w:t>
            </w:r>
          </w:p>
        </w:tc>
        <w:tc>
          <w:tcPr>
            <w:tcW w:w="680" w:type="dxa"/>
            <w:vAlign w:val="bottom"/>
          </w:tcPr>
          <w:p>
            <w:pPr>
              <w:jc w:val="center"/>
              <w:spacing w:after="0"/>
              <w:rPr>
                <w:sz w:val="20"/>
                <w:szCs w:val="20"/>
                <w:color w:val="auto"/>
              </w:rPr>
            </w:pPr>
            <w:r>
              <w:rPr>
                <w:rFonts w:ascii="Arial" w:cs="Arial" w:eastAsia="Arial" w:hAnsi="Arial"/>
                <w:sz w:val="16"/>
                <w:szCs w:val="16"/>
                <w:color w:val="auto"/>
                <w:w w:val="80"/>
              </w:rPr>
              <w:t>0.2</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82"/>
              <w:spacing w:after="0"/>
              <w:rPr>
                <w:sz w:val="20"/>
                <w:szCs w:val="20"/>
                <w:color w:val="auto"/>
              </w:rPr>
            </w:pPr>
            <w:r>
              <w:rPr>
                <w:rFonts w:ascii="Arial" w:cs="Arial" w:eastAsia="Arial" w:hAnsi="Arial"/>
                <w:sz w:val="16"/>
                <w:szCs w:val="16"/>
                <w:color w:val="auto"/>
              </w:rPr>
              <w:t>0.9</w:t>
            </w:r>
          </w:p>
        </w:tc>
        <w:tc>
          <w:tcPr>
            <w:tcW w:w="114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960" w:type="dxa"/>
            <w:vAlign w:val="bottom"/>
          </w:tcPr>
          <w:p>
            <w:pPr>
              <w:ind w:left="4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-326390</wp:posOffset>
            </wp:positionV>
            <wp:extent cx="7198360" cy="330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360"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80" w:type="dxa"/>
        <w:tblCellMar>
          <w:top w:w="0" w:type="dxa"/>
          <w:left w:w="0" w:type="dxa"/>
          <w:bottom w:w="0" w:type="dxa"/>
          <w:right w:w="0" w:type="dxa"/>
        </w:tblCellMar>
      </w:tblPr>
      <w:tr>
        <w:trPr>
          <w:trHeight w:val="199"/>
        </w:trPr>
        <w:tc>
          <w:tcPr>
            <w:tcW w:w="480" w:type="dxa"/>
            <w:vAlign w:val="bottom"/>
          </w:tcPr>
          <w:p>
            <w:pPr>
              <w:jc w:val="right"/>
              <w:ind w:right="62"/>
              <w:spacing w:after="0"/>
              <w:rPr>
                <w:sz w:val="20"/>
                <w:szCs w:val="20"/>
                <w:color w:val="auto"/>
              </w:rPr>
            </w:pPr>
            <w:r>
              <w:rPr>
                <w:rFonts w:ascii="Arial" w:cs="Arial" w:eastAsia="Arial" w:hAnsi="Arial"/>
                <w:sz w:val="16"/>
                <w:szCs w:val="16"/>
                <w:color w:val="auto"/>
              </w:rPr>
              <w:t>0.2</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65"/>
        </w:trPr>
        <w:tc>
          <w:tcPr>
            <w:tcW w:w="480" w:type="dxa"/>
            <w:vAlign w:val="bottom"/>
          </w:tcPr>
          <w:p>
            <w:pPr>
              <w:jc w:val="right"/>
              <w:ind w:right="62"/>
              <w:spacing w:after="0"/>
              <w:rPr>
                <w:sz w:val="20"/>
                <w:szCs w:val="20"/>
                <w:color w:val="auto"/>
              </w:rPr>
            </w:pPr>
            <w:r>
              <w:rPr>
                <w:rFonts w:ascii="Arial" w:cs="Arial" w:eastAsia="Arial" w:hAnsi="Arial"/>
                <w:sz w:val="16"/>
                <w:szCs w:val="16"/>
                <w:color w:val="auto"/>
              </w:rPr>
              <w:t>73.9</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76.6</w:t>
            </w:r>
          </w:p>
        </w:tc>
      </w:tr>
      <w:tr>
        <w:trPr>
          <w:trHeight w:val="521"/>
        </w:trPr>
        <w:tc>
          <w:tcPr>
            <w:tcW w:w="480" w:type="dxa"/>
            <w:vAlign w:val="bottom"/>
          </w:tcPr>
          <w:p>
            <w:pPr>
              <w:jc w:val="right"/>
              <w:ind w:right="62"/>
              <w:spacing w:after="0"/>
              <w:rPr>
                <w:sz w:val="20"/>
                <w:szCs w:val="20"/>
                <w:color w:val="auto"/>
              </w:rPr>
            </w:pPr>
            <w:r>
              <w:rPr>
                <w:rFonts w:ascii="Arial" w:cs="Arial" w:eastAsia="Arial" w:hAnsi="Arial"/>
                <w:sz w:val="16"/>
                <w:szCs w:val="16"/>
                <w:color w:val="auto"/>
              </w:rPr>
              <w:t>1.2</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1"/>
        </w:trPr>
        <w:tc>
          <w:tcPr>
            <w:tcW w:w="480" w:type="dxa"/>
            <w:vAlign w:val="bottom"/>
          </w:tcPr>
          <w:p>
            <w:pPr>
              <w:jc w:val="right"/>
              <w:ind w:right="62"/>
              <w:spacing w:after="0"/>
              <w:rPr>
                <w:sz w:val="20"/>
                <w:szCs w:val="20"/>
                <w:color w:val="auto"/>
              </w:rPr>
            </w:pPr>
            <w:r>
              <w:rPr>
                <w:rFonts w:ascii="Arial" w:cs="Arial" w:eastAsia="Arial" w:hAnsi="Arial"/>
                <w:sz w:val="16"/>
                <w:szCs w:val="16"/>
                <w:color w:val="auto"/>
              </w:rPr>
              <w:t>88.0</w:t>
            </w: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319"/>
        </w:trPr>
        <w:tc>
          <w:tcPr>
            <w:tcW w:w="480" w:type="dxa"/>
            <w:vAlign w:val="bottom"/>
          </w:tcPr>
          <w:p>
            <w:pPr>
              <w:jc w:val="right"/>
              <w:ind w:right="22"/>
              <w:spacing w:after="0"/>
              <w:rPr>
                <w:sz w:val="20"/>
                <w:szCs w:val="20"/>
                <w:color w:val="auto"/>
              </w:rPr>
            </w:pPr>
            <w:r>
              <w:rPr>
                <w:rFonts w:ascii="Arial" w:cs="Arial" w:eastAsia="Arial" w:hAnsi="Arial"/>
                <w:sz w:val="16"/>
                <w:szCs w:val="16"/>
                <w:color w:val="auto"/>
                <w:w w:val="86"/>
              </w:rPr>
              <w:t>(94.8)</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413.8</w:t>
            </w:r>
          </w:p>
        </w:tc>
        <w:tc>
          <w:tcPr>
            <w:tcW w:w="6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  2,560.4</w:t>
            </w:r>
          </w:p>
        </w:tc>
        <w:tc>
          <w:tcPr>
            <w:tcW w:w="8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(1,764.4)</w:t>
            </w:r>
          </w:p>
        </w:tc>
        <w:tc>
          <w:tcPr>
            <w:tcW w:w="80" w:type="dxa"/>
            <w:vAlign w:val="bottom"/>
          </w:tcPr>
          <w:p>
            <w:pPr>
              <w:spacing w:after="0"/>
              <w:rPr>
                <w:sz w:val="24"/>
                <w:szCs w:val="24"/>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24"/>
                <w:szCs w:val="24"/>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803.4</w:t>
            </w:r>
          </w:p>
        </w:tc>
      </w:tr>
      <w:tr>
        <w:trPr>
          <w:trHeight w:val="22"/>
        </w:trPr>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-942340</wp:posOffset>
            </wp:positionV>
            <wp:extent cx="7198360"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360" cy="23177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-379730</wp:posOffset>
            </wp:positionV>
            <wp:extent cx="7198360" cy="380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360" cy="3803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40"/>
            <w:col w:w="5700"/>
          </w:cols>
          <w:pgMar w:left="32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91440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right"/>
        <w:ind w:right="1480"/>
        <w:spacing w:after="0"/>
        <w:tabs>
          <w:tab w:leader="none" w:pos="2160" w:val="left"/>
        </w:tabs>
        <w:rPr>
          <w:sz w:val="20"/>
          <w:szCs w:val="20"/>
          <w:color w:val="auto"/>
        </w:rPr>
      </w:pPr>
      <w:r>
        <w:rPr>
          <w:rFonts w:ascii="Arial" w:cs="Arial" w:eastAsia="Arial" w:hAnsi="Arial"/>
          <w:sz w:val="16"/>
          <w:szCs w:val="16"/>
          <w:b w:val="1"/>
          <w:bCs w:val="1"/>
          <w:color w:val="auto"/>
        </w:rPr>
        <w:t>Six Months Ended June 30, 2021</w:t>
      </w:r>
      <w:r>
        <w:rPr>
          <w:sz w:val="20"/>
          <w:szCs w:val="20"/>
          <w:color w:val="auto"/>
        </w:rPr>
        <w:tab/>
      </w:r>
      <w:r>
        <w:rPr>
          <w:rFonts w:ascii="Arial" w:cs="Arial" w:eastAsia="Arial" w:hAnsi="Arial"/>
          <w:sz w:val="13"/>
          <w:szCs w:val="13"/>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15875</wp:posOffset>
            </wp:positionV>
            <wp:extent cx="3258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7"/>
              </w:rPr>
              <w:t>Class A and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880" w:type="dxa"/>
            <w:vAlign w:val="bottom"/>
            <w:gridSpan w:val="3"/>
          </w:tcPr>
          <w:p>
            <w:pPr>
              <w:jc w:val="center"/>
              <w:ind w:left="202"/>
              <w:spacing w:after="0" w:line="156" w:lineRule="exact"/>
              <w:rPr>
                <w:sz w:val="20"/>
                <w:szCs w:val="20"/>
                <w:color w:val="auto"/>
              </w:rPr>
            </w:pPr>
            <w:r>
              <w:rPr>
                <w:rFonts w:ascii="Arial" w:cs="Arial" w:eastAsia="Arial" w:hAnsi="Arial"/>
                <w:sz w:val="16"/>
                <w:szCs w:val="16"/>
                <w:b w:val="1"/>
                <w:bCs w:val="1"/>
                <w:color w:val="auto"/>
                <w:w w:val="81"/>
              </w:rPr>
              <w:t>Class B</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Additional</w:t>
            </w:r>
          </w:p>
        </w:tc>
        <w:tc>
          <w:tcPr>
            <w:tcW w:w="0" w:type="dxa"/>
            <w:vAlign w:val="bottom"/>
          </w:tcPr>
          <w:p>
            <w:pPr>
              <w:spacing w:after="0"/>
              <w:rPr>
                <w:sz w:val="1"/>
                <w:szCs w:val="1"/>
                <w:color w:val="auto"/>
              </w:rPr>
            </w:pPr>
          </w:p>
        </w:tc>
      </w:tr>
      <w:tr>
        <w:trPr>
          <w:trHeight w:val="104"/>
        </w:trPr>
        <w:tc>
          <w:tcPr>
            <w:tcW w:w="980" w:type="dxa"/>
            <w:vAlign w:val="bottom"/>
          </w:tcPr>
          <w:p>
            <w:pPr>
              <w:spacing w:after="0"/>
              <w:rPr>
                <w:sz w:val="9"/>
                <w:szCs w:val="9"/>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1"/>
              </w:rPr>
              <w:t>Common Stock</w:t>
            </w:r>
          </w:p>
        </w:tc>
        <w:tc>
          <w:tcPr>
            <w:tcW w:w="80" w:type="dxa"/>
            <w:vAlign w:val="bottom"/>
            <w:vMerge w:val="restart"/>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rPr>
                <w:sz w:val="8"/>
                <w:szCs w:val="8"/>
                <w:color w:val="auto"/>
              </w:rPr>
            </w:pPr>
          </w:p>
        </w:tc>
        <w:tc>
          <w:tcPr>
            <w:tcW w:w="11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ind w:right="62"/>
              <w:spacing w:after="0" w:line="156" w:lineRule="exact"/>
              <w:rPr>
                <w:sz w:val="20"/>
                <w:szCs w:val="20"/>
                <w:color w:val="auto"/>
              </w:rPr>
            </w:pPr>
            <w:r>
              <w:rPr>
                <w:rFonts w:ascii="Arial" w:cs="Arial" w:eastAsia="Arial" w:hAnsi="Arial"/>
                <w:sz w:val="16"/>
                <w:szCs w:val="16"/>
                <w:b w:val="1"/>
                <w:bCs w:val="1"/>
                <w:color w:val="auto"/>
                <w:w w:val="92"/>
              </w:rPr>
              <w:t>paid in</w:t>
            </w:r>
          </w:p>
        </w:tc>
        <w:tc>
          <w:tcPr>
            <w:tcW w:w="0" w:type="dxa"/>
            <w:vAlign w:val="bottom"/>
          </w:tcPr>
          <w:p>
            <w:pPr>
              <w:spacing w:after="0"/>
              <w:rPr>
                <w:sz w:val="1"/>
                <w:szCs w:val="1"/>
                <w:color w:val="auto"/>
              </w:rPr>
            </w:pPr>
          </w:p>
        </w:tc>
      </w:tr>
      <w:tr>
        <w:trPr>
          <w:trHeight w:val="35"/>
        </w:trPr>
        <w:tc>
          <w:tcPr>
            <w:tcW w:w="9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b w:val="1"/>
                <w:bCs w:val="1"/>
                <w:color w:val="auto"/>
                <w:w w:val="90"/>
              </w:rPr>
              <w:t>capital</w:t>
            </w:r>
          </w:p>
        </w:tc>
        <w:tc>
          <w:tcPr>
            <w:tcW w:w="0" w:type="dxa"/>
            <w:vAlign w:val="bottom"/>
          </w:tcPr>
          <w:p>
            <w:pPr>
              <w:spacing w:after="0"/>
              <w:rPr>
                <w:sz w:val="1"/>
                <w:szCs w:val="1"/>
                <w:color w:val="auto"/>
              </w:rPr>
            </w:pPr>
          </w:p>
        </w:tc>
      </w:tr>
      <w:tr>
        <w:trPr>
          <w:trHeight w:val="141"/>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b w:val="1"/>
                <w:bCs w:val="1"/>
                <w:color w:val="auto"/>
                <w:w w:val="99"/>
              </w:rPr>
              <w:t>beginning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405.7</w:t>
            </w:r>
          </w:p>
        </w:tc>
        <w:tc>
          <w:tcPr>
            <w:tcW w:w="80" w:type="dxa"/>
            <w:vAlign w:val="bottom"/>
          </w:tcPr>
          <w:p>
            <w:pPr>
              <w:spacing w:after="0"/>
              <w:rPr>
                <w:sz w:val="13"/>
                <w:szCs w:val="13"/>
                <w:color w:val="auto"/>
              </w:rPr>
            </w:pPr>
          </w:p>
        </w:tc>
        <w:tc>
          <w:tcPr>
            <w:tcW w:w="3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2,564.3</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980" w:type="dxa"/>
            <w:vAlign w:val="bottom"/>
          </w:tcPr>
          <w:p>
            <w:pPr>
              <w:spacing w:after="0" w:line="165" w:lineRule="exact"/>
              <w:rPr>
                <w:sz w:val="20"/>
                <w:szCs w:val="20"/>
                <w:color w:val="auto"/>
              </w:rPr>
            </w:pPr>
            <w:r>
              <w:rPr>
                <w:rFonts w:ascii="Arial" w:cs="Arial" w:eastAsia="Arial" w:hAnsi="Arial"/>
                <w:sz w:val="16"/>
                <w:szCs w:val="16"/>
                <w:color w:val="auto"/>
              </w:rPr>
              <w:t>Release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withheld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related to net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share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settlement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Repurchases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of common</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stock options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and 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w w:val="88"/>
              </w:rPr>
              <w:t>Assumed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options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with</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acquisition</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Purchase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7"/>
              </w:rPr>
              <w:t>bond hedges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(265.3)</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Sale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warrants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Tax benefit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98"/>
              </w:rPr>
              <w:t>attributable to</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bond hedges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purchased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w w:val="96"/>
              </w:rPr>
              <w:t>compensation</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8"/>
              </w:rPr>
              <w:t>comprehensive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income (loss)</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386.5</w:t>
            </w:r>
          </w:p>
        </w:tc>
        <w:tc>
          <w:tcPr>
            <w:tcW w:w="8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2,446.9</w:t>
            </w:r>
          </w:p>
        </w:tc>
        <w:tc>
          <w:tcPr>
            <w:tcW w:w="0" w:type="dxa"/>
            <w:vAlign w:val="bottom"/>
          </w:tcPr>
          <w:p>
            <w:pPr>
              <w:spacing w:after="0"/>
              <w:rPr>
                <w:sz w:val="1"/>
                <w:szCs w:val="1"/>
                <w:color w:val="auto"/>
              </w:rPr>
            </w:pPr>
          </w:p>
        </w:tc>
      </w:tr>
      <w:tr>
        <w:trPr>
          <w:trHeight w:val="182"/>
        </w:trPr>
        <w:tc>
          <w:tcPr>
            <w:tcW w:w="980" w:type="dxa"/>
            <w:vAlign w:val="bottom"/>
          </w:tcPr>
          <w:p>
            <w:pPr>
              <w:spacing w:after="0" w:line="182" w:lineRule="exact"/>
              <w:rPr>
                <w:sz w:val="20"/>
                <w:szCs w:val="20"/>
                <w:color w:val="auto"/>
              </w:rPr>
            </w:pPr>
            <w:r>
              <w:rPr>
                <w:rFonts w:ascii="Arial" w:cs="Arial" w:eastAsia="Arial" w:hAnsi="Arial"/>
                <w:sz w:val="16"/>
                <w:szCs w:val="16"/>
                <w:b w:val="1"/>
                <w:bCs w:val="1"/>
                <w:color w:val="auto"/>
                <w:w w:val="94"/>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7"/>
              </w:rPr>
              <w:t>Accumulated</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8"/>
              </w:rPr>
              <w:t>Total</w:t>
            </w:r>
          </w:p>
        </w:tc>
        <w:tc>
          <w:tcPr>
            <w:tcW w:w="1260" w:type="dxa"/>
            <w:vAlign w:val="bottom"/>
            <w:tcBorders>
              <w:top w:val="single" w:sz="8" w:color="auto"/>
            </w:tcBorders>
            <w:gridSpan w:val="5"/>
          </w:tcPr>
          <w:p>
            <w:pPr>
              <w:jc w:val="center"/>
              <w:ind w:right="80"/>
              <w:spacing w:after="0" w:line="155" w:lineRule="exact"/>
              <w:rPr>
                <w:sz w:val="20"/>
                <w:szCs w:val="20"/>
                <w:color w:val="auto"/>
              </w:rPr>
            </w:pPr>
            <w:r>
              <w:rPr>
                <w:rFonts w:ascii="Arial" w:cs="Arial" w:eastAsia="Arial" w:hAnsi="Arial"/>
                <w:sz w:val="16"/>
                <w:szCs w:val="16"/>
                <w:b w:val="1"/>
                <w:bCs w:val="1"/>
                <w:color w:val="auto"/>
                <w:w w:val="85"/>
              </w:rPr>
              <w:t>Class A and</w:t>
            </w: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6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w w:val="84"/>
              </w:rPr>
              <w:t>Class B common</w:t>
            </w:r>
          </w:p>
        </w:tc>
        <w:tc>
          <w:tcPr>
            <w:tcW w:w="8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Additional</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60"/>
              <w:spacing w:after="0" w:line="156" w:lineRule="exact"/>
              <w:rPr>
                <w:sz w:val="20"/>
                <w:szCs w:val="20"/>
                <w:color w:val="auto"/>
              </w:rPr>
            </w:pPr>
            <w:r>
              <w:rPr>
                <w:rFonts w:ascii="Arial" w:cs="Arial" w:eastAsia="Arial" w:hAnsi="Arial"/>
                <w:sz w:val="16"/>
                <w:szCs w:val="16"/>
                <w:b w:val="1"/>
                <w:bCs w:val="1"/>
                <w:color w:val="auto"/>
                <w:w w:val="89"/>
              </w:rPr>
              <w:t>other</w:t>
            </w:r>
          </w:p>
        </w:tc>
        <w:tc>
          <w:tcPr>
            <w:tcW w:w="1000" w:type="dxa"/>
            <w:vAlign w:val="bottom"/>
            <w:gridSpan w:val="3"/>
          </w:tcPr>
          <w:p>
            <w:pPr>
              <w:jc w:val="center"/>
              <w:ind w:right="80"/>
              <w:spacing w:after="0" w:line="156" w:lineRule="exact"/>
              <w:rPr>
                <w:sz w:val="20"/>
                <w:szCs w:val="20"/>
                <w:color w:val="auto"/>
              </w:rPr>
            </w:pPr>
            <w:r>
              <w:rPr>
                <w:rFonts w:ascii="Arial" w:cs="Arial" w:eastAsia="Arial" w:hAnsi="Arial"/>
                <w:sz w:val="16"/>
                <w:szCs w:val="16"/>
                <w:b w:val="1"/>
                <w:bCs w:val="1"/>
                <w:color w:val="auto"/>
                <w:w w:val="85"/>
              </w:rPr>
              <w:t>stockholders'</w:t>
            </w:r>
          </w:p>
        </w:tc>
        <w:tc>
          <w:tcPr>
            <w:tcW w:w="1260" w:type="dxa"/>
            <w:vAlign w:val="bottom"/>
            <w:gridSpan w:val="5"/>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6" w:lineRule="exact"/>
              <w:rPr>
                <w:sz w:val="20"/>
                <w:szCs w:val="20"/>
                <w:color w:val="auto"/>
              </w:rPr>
            </w:pPr>
            <w:r>
              <w:rPr>
                <w:rFonts w:ascii="Arial" w:cs="Arial" w:eastAsia="Arial" w:hAnsi="Arial"/>
                <w:sz w:val="16"/>
                <w:szCs w:val="16"/>
                <w:b w:val="1"/>
                <w:bCs w:val="1"/>
                <w:color w:val="auto"/>
                <w:w w:val="84"/>
              </w:rPr>
              <w:t>other</w:t>
            </w: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000" w:type="dxa"/>
            <w:vAlign w:val="bottom"/>
            <w:gridSpan w:val="3"/>
            <w:vMerge w:val="restart"/>
          </w:tcPr>
          <w:p>
            <w:pPr>
              <w:ind w:left="20"/>
              <w:spacing w:after="0" w:line="156" w:lineRule="exact"/>
              <w:rPr>
                <w:sz w:val="20"/>
                <w:szCs w:val="20"/>
                <w:color w:val="auto"/>
              </w:rPr>
            </w:pPr>
            <w:r>
              <w:rPr>
                <w:rFonts w:ascii="Arial" w:cs="Arial" w:eastAsia="Arial" w:hAnsi="Arial"/>
                <w:sz w:val="16"/>
                <w:szCs w:val="16"/>
                <w:b w:val="1"/>
                <w:bCs w:val="1"/>
                <w:color w:val="auto"/>
                <w:w w:val="95"/>
              </w:rPr>
              <w:t>Accumulated</w:t>
            </w:r>
          </w:p>
        </w:tc>
        <w:tc>
          <w:tcPr>
            <w:tcW w:w="1120" w:type="dxa"/>
            <w:vAlign w:val="bottom"/>
            <w:gridSpan w:val="3"/>
            <w:vMerge w:val="restart"/>
          </w:tcPr>
          <w:p>
            <w:pPr>
              <w:jc w:val="center"/>
              <w:ind w:right="80"/>
              <w:spacing w:after="0" w:line="156" w:lineRule="exact"/>
              <w:rPr>
                <w:sz w:val="20"/>
                <w:szCs w:val="20"/>
                <w:color w:val="auto"/>
              </w:rPr>
            </w:pPr>
            <w:r>
              <w:rPr>
                <w:rFonts w:ascii="Arial" w:cs="Arial" w:eastAsia="Arial" w:hAnsi="Arial"/>
                <w:sz w:val="16"/>
                <w:szCs w:val="16"/>
                <w:b w:val="1"/>
                <w:bCs w:val="1"/>
                <w:color w:val="auto"/>
                <w:w w:val="85"/>
              </w:rPr>
              <w:t>comprehensive</w:t>
            </w:r>
          </w:p>
        </w:tc>
        <w:tc>
          <w:tcPr>
            <w:tcW w:w="140" w:type="dxa"/>
            <w:vAlign w:val="bottom"/>
          </w:tcPr>
          <w:p>
            <w:pPr>
              <w:spacing w:after="0"/>
              <w:rPr>
                <w:sz w:val="9"/>
                <w:szCs w:val="9"/>
                <w:color w:val="auto"/>
              </w:rPr>
            </w:pPr>
          </w:p>
        </w:tc>
        <w:tc>
          <w:tcPr>
            <w:tcW w:w="860" w:type="dxa"/>
            <w:vAlign w:val="bottom"/>
            <w:gridSpan w:val="2"/>
            <w:vMerge w:val="restart"/>
          </w:tcPr>
          <w:p>
            <w:pPr>
              <w:jc w:val="center"/>
              <w:ind w:right="220"/>
              <w:spacing w:after="0" w:line="156" w:lineRule="exact"/>
              <w:rPr>
                <w:sz w:val="20"/>
                <w:szCs w:val="20"/>
                <w:color w:val="auto"/>
              </w:rPr>
            </w:pPr>
            <w:r>
              <w:rPr>
                <w:rFonts w:ascii="Arial" w:cs="Arial" w:eastAsia="Arial" w:hAnsi="Arial"/>
                <w:sz w:val="16"/>
                <w:szCs w:val="16"/>
                <w:b w:val="1"/>
                <w:bCs w:val="1"/>
                <w:color w:val="auto"/>
                <w:w w:val="89"/>
              </w:rPr>
              <w:t>(deficit)</w:t>
            </w:r>
          </w:p>
        </w:tc>
        <w:tc>
          <w:tcPr>
            <w:tcW w:w="860" w:type="dxa"/>
            <w:vAlign w:val="bottom"/>
            <w:tcBorders>
              <w:bottom w:val="single" w:sz="8" w:color="auto"/>
            </w:tcBorders>
            <w:gridSpan w:val="3"/>
          </w:tcPr>
          <w:p>
            <w:pPr>
              <w:jc w:val="center"/>
              <w:ind w:left="243"/>
              <w:spacing w:after="0" w:line="105" w:lineRule="exact"/>
              <w:rPr>
                <w:sz w:val="20"/>
                <w:szCs w:val="20"/>
                <w:color w:val="auto"/>
              </w:rPr>
            </w:pPr>
            <w:r>
              <w:rPr>
                <w:rFonts w:ascii="Arial" w:cs="Arial" w:eastAsia="Arial" w:hAnsi="Arial"/>
                <w:sz w:val="12"/>
                <w:szCs w:val="12"/>
                <w:b w:val="1"/>
                <w:bCs w:val="1"/>
                <w:color w:val="auto"/>
              </w:rPr>
              <w:t>stock</w:t>
            </w: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ind w:left="20"/>
              <w:spacing w:after="0" w:line="156" w:lineRule="exact"/>
              <w:rPr>
                <w:sz w:val="20"/>
                <w:szCs w:val="20"/>
                <w:color w:val="auto"/>
              </w:rPr>
            </w:pPr>
            <w:r>
              <w:rPr>
                <w:rFonts w:ascii="Arial" w:cs="Arial" w:eastAsia="Arial" w:hAnsi="Arial"/>
                <w:sz w:val="16"/>
                <w:szCs w:val="16"/>
                <w:b w:val="1"/>
                <w:bCs w:val="1"/>
                <w:color w:val="auto"/>
              </w:rPr>
              <w:t>paid-in</w:t>
            </w:r>
          </w:p>
        </w:tc>
        <w:tc>
          <w:tcPr>
            <w:tcW w:w="1020" w:type="dxa"/>
            <w:vAlign w:val="bottom"/>
            <w:gridSpan w:val="3"/>
            <w:vMerge w:val="restart"/>
          </w:tcPr>
          <w:p>
            <w:pPr>
              <w:ind w:left="20"/>
              <w:spacing w:after="0" w:line="156" w:lineRule="exact"/>
              <w:rPr>
                <w:sz w:val="20"/>
                <w:szCs w:val="20"/>
                <w:color w:val="auto"/>
              </w:rPr>
            </w:pPr>
            <w:r>
              <w:rPr>
                <w:rFonts w:ascii="Arial" w:cs="Arial" w:eastAsia="Arial" w:hAnsi="Arial"/>
                <w:sz w:val="16"/>
                <w:szCs w:val="16"/>
                <w:b w:val="1"/>
                <w:bCs w:val="1"/>
                <w:color w:val="auto"/>
                <w:w w:val="97"/>
              </w:rPr>
              <w:t>Accumulated</w:t>
            </w:r>
          </w:p>
        </w:tc>
        <w:tc>
          <w:tcPr>
            <w:tcW w:w="1120" w:type="dxa"/>
            <w:vAlign w:val="bottom"/>
            <w:gridSpan w:val="3"/>
            <w:vMerge w:val="restart"/>
          </w:tcPr>
          <w:p>
            <w:pPr>
              <w:jc w:val="center"/>
              <w:ind w:right="100"/>
              <w:spacing w:after="0" w:line="156" w:lineRule="exact"/>
              <w:rPr>
                <w:sz w:val="20"/>
                <w:szCs w:val="20"/>
                <w:color w:val="auto"/>
              </w:rPr>
            </w:pPr>
            <w:r>
              <w:rPr>
                <w:rFonts w:ascii="Arial" w:cs="Arial" w:eastAsia="Arial" w:hAnsi="Arial"/>
                <w:sz w:val="16"/>
                <w:szCs w:val="16"/>
                <w:b w:val="1"/>
                <w:bCs w:val="1"/>
                <w:color w:val="auto"/>
                <w:w w:val="83"/>
              </w:rPr>
              <w:t>comprehensive</w:t>
            </w:r>
          </w:p>
        </w:tc>
        <w:tc>
          <w:tcPr>
            <w:tcW w:w="920" w:type="dxa"/>
            <w:vAlign w:val="bottom"/>
            <w:gridSpan w:val="2"/>
            <w:vMerge w:val="restart"/>
          </w:tcPr>
          <w:p>
            <w:pPr>
              <w:ind w:left="20"/>
              <w:spacing w:after="0" w:line="156" w:lineRule="exact"/>
              <w:rPr>
                <w:sz w:val="20"/>
                <w:szCs w:val="20"/>
                <w:color w:val="auto"/>
              </w:rPr>
            </w:pPr>
            <w:r>
              <w:rPr>
                <w:rFonts w:ascii="Arial" w:cs="Arial" w:eastAsia="Arial" w:hAnsi="Arial"/>
                <w:sz w:val="16"/>
                <w:szCs w:val="16"/>
                <w:b w:val="1"/>
                <w:bCs w:val="1"/>
                <w:color w:val="auto"/>
                <w:w w:val="84"/>
              </w:rPr>
              <w:t>stockholders’</w:t>
            </w:r>
          </w:p>
        </w:tc>
        <w:tc>
          <w:tcPr>
            <w:tcW w:w="0" w:type="dxa"/>
            <w:vAlign w:val="bottom"/>
          </w:tcPr>
          <w:p>
            <w:pPr>
              <w:spacing w:after="0"/>
              <w:rPr>
                <w:sz w:val="1"/>
                <w:szCs w:val="1"/>
                <w:color w:val="auto"/>
              </w:rPr>
            </w:pPr>
          </w:p>
        </w:tc>
      </w:tr>
      <w:tr>
        <w:trPr>
          <w:trHeight w:val="32"/>
        </w:trPr>
        <w:tc>
          <w:tcPr>
            <w:tcW w:w="100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6"/>
              </w:rPr>
              <w:t>Shares</w:t>
            </w:r>
          </w:p>
        </w:tc>
        <w:tc>
          <w:tcPr>
            <w:tcW w:w="60" w:type="dxa"/>
            <w:vAlign w:val="bottom"/>
            <w:vMerge w:val="restart"/>
          </w:tcPr>
          <w:p>
            <w:pPr>
              <w:spacing w:after="0"/>
              <w:rPr>
                <w:sz w:val="2"/>
                <w:szCs w:val="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7"/>
              </w:rPr>
              <w:t>deficit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5"/>
              </w:rPr>
              <w:t>income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equity</w:t>
            </w:r>
          </w:p>
        </w:tc>
        <w:tc>
          <w:tcPr>
            <w:tcW w:w="8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tcBorders>
              <w:bottom w:val="single" w:sz="8" w:color="auto"/>
            </w:tcBorders>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0"/>
              </w:rPr>
              <w:t>capital</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5"/>
              </w:rPr>
              <w:t>income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497"/>
        </w:trPr>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(2,241.4)</w:t>
            </w:r>
          </w:p>
        </w:tc>
        <w:tc>
          <w:tcPr>
            <w:tcW w:w="80" w:type="dxa"/>
            <w:vAlign w:val="bottom"/>
          </w:tcPr>
          <w:p>
            <w:pPr>
              <w:spacing w:after="0"/>
              <w:rPr>
                <w:sz w:val="24"/>
                <w:szCs w:val="24"/>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333.8</w:t>
            </w:r>
          </w:p>
        </w:tc>
        <w:tc>
          <w:tcPr>
            <w:tcW w:w="80" w:type="dxa"/>
            <w:vAlign w:val="bottom"/>
          </w:tcPr>
          <w:p>
            <w:pPr>
              <w:spacing w:after="0"/>
              <w:rPr>
                <w:sz w:val="24"/>
                <w:szCs w:val="24"/>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417.0</w:t>
            </w:r>
          </w:p>
        </w:tc>
        <w:tc>
          <w:tcPr>
            <w:tcW w:w="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2,531.3</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(1,726.2)</w:t>
            </w:r>
          </w:p>
        </w:tc>
        <w:tc>
          <w:tcPr>
            <w:tcW w:w="8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808.4</w:t>
            </w:r>
          </w:p>
        </w:tc>
        <w:tc>
          <w:tcPr>
            <w:tcW w:w="0" w:type="dxa"/>
            <w:vAlign w:val="bottom"/>
          </w:tcPr>
          <w:p>
            <w:pPr>
              <w:spacing w:after="0"/>
              <w:rPr>
                <w:sz w:val="1"/>
                <w:szCs w:val="1"/>
                <w:color w:val="auto"/>
              </w:rPr>
            </w:pPr>
          </w:p>
        </w:tc>
      </w:tr>
      <w:tr>
        <w:trPr>
          <w:trHeight w:val="677"/>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02"/>
        </w:trPr>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(62.7)</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521"/>
        </w:trPr>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(398.3)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(582.7)</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521"/>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24"/>
                <w:szCs w:val="24"/>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0.3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834"/>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0"/>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(265.3)</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0"/>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202.9</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02"/>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141.8</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521"/>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1"/>
        </w:trPr>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56.8</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319"/>
        </w:trPr>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(2,547.5)</w:t>
            </w:r>
          </w:p>
        </w:tc>
        <w:tc>
          <w:tcPr>
            <w:tcW w:w="80" w:type="dxa"/>
            <w:vAlign w:val="bottom"/>
          </w:tcPr>
          <w:p>
            <w:pPr>
              <w:spacing w:after="0"/>
              <w:rPr>
                <w:sz w:val="24"/>
                <w:szCs w:val="24"/>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(94.8)</w:t>
            </w:r>
          </w:p>
        </w:tc>
        <w:tc>
          <w:tcPr>
            <w:tcW w:w="80" w:type="dxa"/>
            <w:vAlign w:val="bottom"/>
          </w:tcPr>
          <w:p>
            <w:pPr>
              <w:spacing w:after="0"/>
              <w:rPr>
                <w:sz w:val="24"/>
                <w:szCs w:val="24"/>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413.8</w:t>
            </w:r>
          </w:p>
        </w:tc>
        <w:tc>
          <w:tcPr>
            <w:tcW w:w="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2,560.4</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(1,764.4)</w:t>
            </w:r>
          </w:p>
        </w:tc>
        <w:tc>
          <w:tcPr>
            <w:tcW w:w="8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803.4</w:t>
            </w:r>
          </w:p>
        </w:tc>
        <w:tc>
          <w:tcPr>
            <w:tcW w:w="0" w:type="dxa"/>
            <w:vAlign w:val="bottom"/>
          </w:tcPr>
          <w:p>
            <w:pPr>
              <w:spacing w:after="0"/>
              <w:rPr>
                <w:sz w:val="1"/>
                <w:szCs w:val="1"/>
                <w:color w:val="auto"/>
              </w:rPr>
            </w:pPr>
          </w:p>
        </w:tc>
      </w:tr>
      <w:tr>
        <w:trPr>
          <w:trHeight w:val="22"/>
        </w:trPr>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-5805170</wp:posOffset>
            </wp:positionV>
            <wp:extent cx="7198360" cy="330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360" cy="330835"/>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-5044440</wp:posOffset>
            </wp:positionV>
            <wp:extent cx="7198360" cy="826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360" cy="826770"/>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-3886200</wp:posOffset>
            </wp:positionV>
            <wp:extent cx="7198360" cy="330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360" cy="330835"/>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-3026410</wp:posOffset>
            </wp:positionV>
            <wp:extent cx="7198360" cy="6286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360" cy="628650"/>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-1769110</wp:posOffset>
            </wp:positionV>
            <wp:extent cx="7198360" cy="826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360" cy="826770"/>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-710565</wp:posOffset>
            </wp:positionV>
            <wp:extent cx="7198360" cy="330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360" cy="330835"/>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-247650</wp:posOffset>
            </wp:positionV>
            <wp:extent cx="7198360" cy="231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8360"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80"/>
            <w:col w:w="8260"/>
          </w:cols>
          <w:pgMar w:left="32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0"/>
        <w:spacing w:after="0"/>
        <w:rPr>
          <w:sz w:val="20"/>
          <w:szCs w:val="20"/>
          <w:color w:val="auto"/>
        </w:rPr>
      </w:pPr>
      <w:r>
        <w:rPr>
          <w:rFonts w:ascii="Arial" w:cs="Arial" w:eastAsia="Arial" w:hAnsi="Arial"/>
          <w:sz w:val="15"/>
          <w:szCs w:val="15"/>
          <w:i w:val="1"/>
          <w:iCs w:val="1"/>
          <w:color w:val="auto"/>
        </w:rPr>
        <w:t>See accompanying Notes to Condensed Consolidated Financial Statement</w:t>
      </w:r>
    </w:p>
    <w:p>
      <w:pPr>
        <w:spacing w:after="0" w:line="200" w:lineRule="exact"/>
        <w:rPr>
          <w:sz w:val="20"/>
          <w:szCs w:val="20"/>
          <w:color w:val="auto"/>
        </w:rPr>
      </w:pPr>
    </w:p>
    <w:p>
      <w:pPr>
        <w:spacing w:after="0" w:line="33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20" w:lineRule="exact"/>
        <w:rPr>
          <w:sz w:val="20"/>
          <w:szCs w:val="20"/>
          <w:color w:val="auto"/>
        </w:rPr>
      </w:pPr>
    </w:p>
    <w:p>
      <w:pPr>
        <w:jc w:val="center"/>
        <w:ind w:left="7980"/>
        <w:spacing w:after="0"/>
        <w:rPr>
          <w:sz w:val="20"/>
          <w:szCs w:val="20"/>
          <w:color w:val="auto"/>
        </w:rPr>
      </w:pPr>
      <w:r>
        <w:rPr>
          <w:rFonts w:ascii="Arial" w:cs="Arial" w:eastAsia="Arial" w:hAnsi="Arial"/>
          <w:sz w:val="16"/>
          <w:szCs w:val="16"/>
          <w:b w:val="1"/>
          <w:bCs w:val="1"/>
          <w:color w:val="auto"/>
        </w:rPr>
        <w:t>Six Months Ended</w:t>
      </w:r>
    </w:p>
    <w:p>
      <w:pPr>
        <w:jc w:val="center"/>
        <w:ind w:left="7980"/>
        <w:spacing w:after="0"/>
        <w:rPr>
          <w:sz w:val="20"/>
          <w:szCs w:val="20"/>
          <w:color w:val="auto"/>
        </w:rPr>
      </w:pPr>
      <w:r>
        <w:rPr>
          <w:rFonts w:ascii="Arial" w:cs="Arial" w:eastAsia="Arial" w:hAnsi="Arial"/>
          <w:sz w:val="16"/>
          <w:szCs w:val="16"/>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r>
      <w:tr>
        <w:trPr>
          <w:trHeight w:val="34"/>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8"/>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5"/>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79.6</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10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05"/>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0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w:t>
            </w:r>
          </w:p>
        </w:tc>
      </w:tr>
      <w:tr>
        <w:trPr>
          <w:trHeight w:val="18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(429.2)</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145.3</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w:t>
            </w:r>
          </w:p>
        </w:tc>
      </w:tr>
      <w:tr>
        <w:trPr>
          <w:trHeight w:val="205"/>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0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(189.6)</w:t>
            </w:r>
          </w:p>
        </w:tc>
      </w:tr>
      <w:tr>
        <w:trPr>
          <w:trHeight w:val="18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1,389.1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Purchases of convertible note hedge in connection with issuance of convertible senior notes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warrants in connection with issuance of convertible senior notes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Common stock repurchases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(139.8)</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198"/>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612.4</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(226.2)</w:t>
            </w:r>
          </w:p>
        </w:tc>
      </w:tr>
      <w:tr>
        <w:trPr>
          <w:trHeight w:val="20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198"/>
        </w:trPr>
        <w:tc>
          <w:tcPr>
            <w:tcW w:w="7980" w:type="dxa"/>
            <w:vAlign w:val="bottom"/>
          </w:tcPr>
          <w:p>
            <w:pPr>
              <w:ind w:left="20"/>
              <w:spacing w:after="0" w:line="182" w:lineRule="exact"/>
              <w:rPr>
                <w:sz w:val="20"/>
                <w:szCs w:val="20"/>
                <w:color w:val="auto"/>
              </w:rPr>
            </w:pPr>
            <w:r>
              <w:rPr>
                <w:rFonts w:ascii="Arial" w:cs="Arial" w:eastAsia="Arial" w:hAnsi="Arial"/>
                <w:sz w:val="16"/>
                <w:szCs w:val="16"/>
                <w:color w:val="auto"/>
              </w:rPr>
              <w:t>Change in cash and cash equivalents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(217.2)</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551.3</w:t>
            </w:r>
          </w:p>
        </w:tc>
      </w:tr>
      <w:tr>
        <w:trPr>
          <w:trHeight w:val="19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3"/>
        </w:trPr>
        <w:tc>
          <w:tcPr>
            <w:tcW w:w="79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0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2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Property and equipment acquired under finance leases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the Business and Summary of Significant Accounting Policies</w:t>
      </w:r>
    </w:p>
    <w:p>
      <w:pPr>
        <w:spacing w:after="0" w:line="35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w:t>
      </w:r>
    </w:p>
    <w:p>
      <w:pPr>
        <w:spacing w:after="0" w:line="117" w:lineRule="exact"/>
        <w:rPr>
          <w:sz w:val="20"/>
          <w:szCs w:val="20"/>
          <w:color w:val="auto"/>
        </w:rPr>
      </w:pPr>
    </w:p>
    <w:p>
      <w:pPr>
        <w:ind w:right="240" w:firstLine="430"/>
        <w:spacing w:after="0" w:line="319" w:lineRule="auto"/>
        <w:rPr>
          <w:sz w:val="20"/>
          <w:szCs w:val="20"/>
          <w:color w:val="auto"/>
        </w:rPr>
      </w:pPr>
      <w:r>
        <w:rPr>
          <w:rFonts w:ascii="Arial" w:cs="Arial" w:eastAsia="Arial" w:hAnsi="Arial"/>
          <w:sz w:val="16"/>
          <w:szCs w:val="16"/>
          <w:color w:val="auto"/>
        </w:rPr>
        <w:t>Dropbox, Inc. (the “Company” or “Dropbox”) helps keep life organized and work moving. Dropbox was incorporated in May 2007 as Evenflow, Inc., a Delaware corporation, and changed its name to Dropbox, Inc. in October 2009. The Company is headquartered in San Francisco, California.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17" w:lineRule="exact"/>
        <w:rPr>
          <w:sz w:val="20"/>
          <w:szCs w:val="20"/>
          <w:color w:val="auto"/>
        </w:rPr>
      </w:pPr>
    </w:p>
    <w:p>
      <w:pPr>
        <w:ind w:right="120" w:firstLine="430"/>
        <w:spacing w:after="0" w:line="26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201" w:lineRule="exact"/>
        <w:rPr>
          <w:sz w:val="20"/>
          <w:szCs w:val="20"/>
          <w:color w:val="auto"/>
        </w:rPr>
      </w:pPr>
    </w:p>
    <w:p>
      <w:pPr>
        <w:ind w:right="80" w:firstLine="430"/>
        <w:spacing w:after="0" w:line="287" w:lineRule="auto"/>
        <w:rPr>
          <w:sz w:val="20"/>
          <w:szCs w:val="20"/>
          <w:color w:val="auto"/>
        </w:rPr>
      </w:pPr>
      <w:r>
        <w:rPr>
          <w:rFonts w:ascii="Arial" w:cs="Arial" w:eastAsia="Arial" w:hAnsi="Arial"/>
          <w:sz w:val="16"/>
          <w:szCs w:val="16"/>
          <w:color w:val="auto"/>
        </w:rPr>
        <w:t>The condensed consolidated balance sheet as of December 31, 2020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equity and the statements of cash flows for the interim periods, but are not necessarily indicative of the results of operations to be anticipated for the full fiscal year ended December 31, 2021 or any future period.</w:t>
      </w:r>
    </w:p>
    <w:p>
      <w:pPr>
        <w:spacing w:after="0" w:line="188" w:lineRule="exact"/>
        <w:rPr>
          <w:sz w:val="20"/>
          <w:szCs w:val="20"/>
          <w:color w:val="auto"/>
        </w:rPr>
      </w:pPr>
    </w:p>
    <w:p>
      <w:pPr>
        <w:ind w:firstLine="430"/>
        <w:spacing w:after="0" w:line="357" w:lineRule="auto"/>
        <w:rPr>
          <w:sz w:val="20"/>
          <w:szCs w:val="20"/>
          <w:color w:val="auto"/>
        </w:rPr>
      </w:pPr>
      <w:r>
        <w:rPr>
          <w:rFonts w:ascii="Arial" w:cs="Arial" w:eastAsia="Arial" w:hAnsi="Arial"/>
          <w:sz w:val="15"/>
          <w:szCs w:val="15"/>
          <w:color w:val="auto"/>
        </w:rPr>
        <w:t>The unaudited condensed consolidated financial statements should be read in conjunction with the audited consolidated financial statements and the related notes thereto as of and for the year ended December 31, 2020, included in the Company's Annual Report on Form 10-K on file with the SEC ("Annual Report").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7" w:lineRule="exact"/>
        <w:rPr>
          <w:sz w:val="20"/>
          <w:szCs w:val="20"/>
          <w:color w:val="auto"/>
        </w:rPr>
      </w:pPr>
    </w:p>
    <w:p>
      <w:pPr>
        <w:ind w:right="280" w:firstLine="430"/>
        <w:spacing w:after="0" w:line="26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201" w:lineRule="exact"/>
        <w:rPr>
          <w:sz w:val="20"/>
          <w:szCs w:val="20"/>
          <w:color w:val="auto"/>
        </w:rPr>
      </w:pPr>
    </w:p>
    <w:p>
      <w:pPr>
        <w:ind w:right="40" w:firstLine="430"/>
        <w:spacing w:after="0" w:line="286" w:lineRule="auto"/>
        <w:rPr>
          <w:sz w:val="20"/>
          <w:szCs w:val="20"/>
          <w:color w:val="auto"/>
        </w:rPr>
      </w:pPr>
      <w:r>
        <w:rPr>
          <w:rFonts w:ascii="Arial" w:cs="Arial" w:eastAsia="Arial" w:hAnsi="Arial"/>
          <w:sz w:val="17"/>
          <w:szCs w:val="17"/>
          <w:color w:val="auto"/>
        </w:rPr>
        <w:t>The Company’s most significant estimates and judgments involves the valuation of acquired intangible assets and goodwill from business combinations as well as the valuation of right-of-use and other lease related assets.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Financial information about segments and geographic areas</w:t>
      </w:r>
    </w:p>
    <w:p>
      <w:pPr>
        <w:spacing w:after="0" w:line="117" w:lineRule="exact"/>
        <w:rPr>
          <w:sz w:val="20"/>
          <w:szCs w:val="20"/>
          <w:color w:val="auto"/>
        </w:rPr>
      </w:pPr>
    </w:p>
    <w:p>
      <w:pPr>
        <w:ind w:right="400" w:firstLine="430"/>
        <w:spacing w:after="0" w:line="287" w:lineRule="auto"/>
        <w:rPr>
          <w:sz w:val="20"/>
          <w:szCs w:val="20"/>
          <w:color w:val="auto"/>
        </w:rPr>
      </w:pPr>
      <w:r>
        <w:rPr>
          <w:rFonts w:ascii="Arial" w:cs="Arial" w:eastAsia="Arial" w:hAnsi="Arial"/>
          <w:sz w:val="16"/>
          <w:szCs w:val="16"/>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for information regarding the Company’s long-lived assets and revenue by geography.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17" w:lineRule="exact"/>
        <w:rPr>
          <w:sz w:val="20"/>
          <w:szCs w:val="20"/>
          <w:color w:val="auto"/>
        </w:rPr>
      </w:pPr>
    </w:p>
    <w:p>
      <w:pPr>
        <w:ind w:right="120" w:firstLine="430"/>
        <w:spacing w:after="0" w:line="271" w:lineRule="auto"/>
        <w:rPr>
          <w:sz w:val="20"/>
          <w:szCs w:val="20"/>
          <w:color w:val="auto"/>
        </w:rPr>
      </w:pPr>
      <w:r>
        <w:rPr>
          <w:rFonts w:ascii="Arial" w:cs="Arial" w:eastAsia="Arial" w:hAnsi="Arial"/>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w:t>
      </w:r>
    </w:p>
    <w:p>
      <w:pPr>
        <w:spacing w:after="0" w:line="197" w:lineRule="exact"/>
        <w:rPr>
          <w:sz w:val="20"/>
          <w:szCs w:val="20"/>
          <w:color w:val="auto"/>
        </w:rPr>
      </w:pPr>
    </w:p>
    <w:p>
      <w:pPr>
        <w:ind w:right="160" w:firstLine="430"/>
        <w:spacing w:after="0" w:line="266"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net foreign currency transaction gains of $0.4 million and $0.6 million during the three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and six months ended June 30, 2021, respectively, and net foreign currency transaction gains of $1.2 million and losses of $0.1 million during the three and six months ended June 30, 2020, respectively.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jc w:val="both"/>
        <w:ind w:right="280" w:firstLine="430"/>
        <w:spacing w:after="0" w:line="271" w:lineRule="auto"/>
        <w:rPr>
          <w:sz w:val="20"/>
          <w:szCs w:val="20"/>
          <w:color w:val="auto"/>
        </w:rPr>
      </w:pPr>
      <w:r>
        <w:rPr>
          <w:rFonts w:ascii="Arial" w:cs="Arial" w:eastAsia="Arial" w:hAnsi="Arial"/>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67" w:lineRule="exact"/>
        <w:rPr>
          <w:sz w:val="20"/>
          <w:szCs w:val="20"/>
          <w:color w:val="auto"/>
        </w:rPr>
      </w:pPr>
    </w:p>
    <w:p>
      <w:pPr>
        <w:ind w:left="940" w:hanging="311"/>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17" w:lineRule="exact"/>
        <w:rPr>
          <w:rFonts w:ascii="Arial" w:cs="Arial" w:eastAsia="Arial" w:hAnsi="Arial"/>
          <w:sz w:val="17"/>
          <w:szCs w:val="17"/>
          <w:color w:val="auto"/>
        </w:rPr>
      </w:pPr>
    </w:p>
    <w:p>
      <w:pPr>
        <w:ind w:left="940" w:hanging="311"/>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17" w:lineRule="exact"/>
        <w:rPr>
          <w:rFonts w:ascii="Arial" w:cs="Arial" w:eastAsia="Arial" w:hAnsi="Arial"/>
          <w:sz w:val="17"/>
          <w:szCs w:val="17"/>
          <w:color w:val="auto"/>
        </w:rPr>
      </w:pPr>
    </w:p>
    <w:p>
      <w:pPr>
        <w:ind w:left="940" w:hanging="311"/>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17" w:lineRule="exact"/>
        <w:rPr>
          <w:rFonts w:ascii="Arial" w:cs="Arial" w:eastAsia="Arial" w:hAnsi="Arial"/>
          <w:sz w:val="17"/>
          <w:szCs w:val="17"/>
          <w:color w:val="auto"/>
        </w:rPr>
      </w:pPr>
    </w:p>
    <w:p>
      <w:pPr>
        <w:ind w:left="940" w:hanging="311"/>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17" w:lineRule="exact"/>
        <w:rPr>
          <w:rFonts w:ascii="Arial" w:cs="Arial" w:eastAsia="Arial" w:hAnsi="Arial"/>
          <w:sz w:val="17"/>
          <w:szCs w:val="17"/>
          <w:color w:val="auto"/>
        </w:rPr>
      </w:pPr>
    </w:p>
    <w:p>
      <w:pPr>
        <w:ind w:left="940" w:hanging="311"/>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47" w:lineRule="exact"/>
        <w:rPr>
          <w:sz w:val="20"/>
          <w:szCs w:val="20"/>
          <w:color w:val="auto"/>
        </w:rPr>
      </w:pPr>
    </w:p>
    <w:p>
      <w:pPr>
        <w:ind w:right="180" w:firstLine="430"/>
        <w:spacing w:after="0" w:line="306"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77" w:lineRule="exact"/>
        <w:rPr>
          <w:sz w:val="20"/>
          <w:szCs w:val="20"/>
          <w:color w:val="auto"/>
        </w:rPr>
      </w:pPr>
    </w:p>
    <w:p>
      <w:pPr>
        <w:jc w:val="both"/>
        <w:ind w:right="120" w:firstLine="430"/>
        <w:spacing w:after="0" w:line="295"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81" w:lineRule="exact"/>
        <w:rPr>
          <w:sz w:val="20"/>
          <w:szCs w:val="20"/>
          <w:color w:val="auto"/>
        </w:rPr>
      </w:pPr>
    </w:p>
    <w:p>
      <w:pPr>
        <w:ind w:right="500" w:firstLine="430"/>
        <w:spacing w:after="0" w:line="286" w:lineRule="auto"/>
        <w:rPr>
          <w:sz w:val="20"/>
          <w:szCs w:val="20"/>
          <w:color w:val="auto"/>
        </w:rPr>
      </w:pPr>
      <w:r>
        <w:rPr>
          <w:rFonts w:ascii="Arial" w:cs="Arial" w:eastAsia="Arial" w:hAnsi="Arial"/>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85" w:lineRule="exact"/>
        <w:rPr>
          <w:sz w:val="20"/>
          <w:szCs w:val="20"/>
          <w:color w:val="auto"/>
        </w:rPr>
      </w:pPr>
    </w:p>
    <w:p>
      <w:pPr>
        <w:jc w:val="both"/>
        <w:ind w:right="180" w:firstLine="430"/>
        <w:spacing w:after="0" w:line="271" w:lineRule="auto"/>
        <w:rPr>
          <w:sz w:val="20"/>
          <w:szCs w:val="20"/>
          <w:color w:val="auto"/>
        </w:rPr>
      </w:pPr>
      <w:r>
        <w:rPr>
          <w:rFonts w:ascii="Arial" w:cs="Arial" w:eastAsia="Arial" w:hAnsi="Arial"/>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97"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The Company recognized $298.2 million and $463.2 million of revenue during the three and six months ended June 30, 2021, respectively, and recognized $267.1 million and $421.2 million of revenue during the three and six months ended June 30, 2020, respectively, that was included in the deferred revenue balances at the beginning of their respective periods.</w:t>
      </w:r>
    </w:p>
    <w:p>
      <w:pPr>
        <w:spacing w:after="0" w:line="197" w:lineRule="exact"/>
        <w:rPr>
          <w:sz w:val="20"/>
          <w:szCs w:val="20"/>
          <w:color w:val="auto"/>
        </w:rPr>
      </w:pPr>
    </w:p>
    <w:p>
      <w:pPr>
        <w:ind w:right="320" w:firstLine="430"/>
        <w:spacing w:after="0" w:line="286" w:lineRule="auto"/>
        <w:rPr>
          <w:sz w:val="20"/>
          <w:szCs w:val="20"/>
          <w:color w:val="auto"/>
        </w:rPr>
      </w:pPr>
      <w:r>
        <w:rPr>
          <w:rFonts w:ascii="Arial" w:cs="Arial" w:eastAsia="Arial" w:hAnsi="Arial"/>
          <w:sz w:val="17"/>
          <w:szCs w:val="17"/>
          <w:color w:val="auto"/>
        </w:rPr>
        <w:t>As of June 30, 2021, future estimated revenue related to performance obligations that were unsatisfied or partially unsatisfied was $715.0 million. The substantial majority of the unsatisfied performance obligations will be satisfied over the next twelve months.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7" w:lineRule="exact"/>
        <w:rPr>
          <w:sz w:val="20"/>
          <w:szCs w:val="20"/>
          <w:color w:val="auto"/>
        </w:rPr>
      </w:pPr>
    </w:p>
    <w:p>
      <w:pPr>
        <w:ind w:firstLine="430"/>
        <w:spacing w:after="0" w:line="261" w:lineRule="auto"/>
        <w:rPr>
          <w:sz w:val="20"/>
          <w:szCs w:val="20"/>
          <w:color w:val="auto"/>
        </w:rPr>
      </w:pPr>
      <w:r>
        <w:rPr>
          <w:rFonts w:ascii="Arial" w:cs="Arial" w:eastAsia="Arial" w:hAnsi="Arial"/>
          <w:sz w:val="17"/>
          <w:szCs w:val="17"/>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The RSUs granted by the Company under the Dropbox Equity Incentive Plans have a service-based vesting condition over a four-year period. These awards typically have a cliff vesting period of one year and continue to vest quarterly thereafter. The Company recognizes compensation expense associated with RSUs ratably on a straight-line basis over the requisite service period and accounts for forfeitures in the period in which they occur. As of June 30, 2021, the Company had RSUs and restricted stock awards ("RSAs") granted to certain executives outstanding under the Dropbox Equity Incentive Plans.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60" w:firstLine="430"/>
        <w:spacing w:after="0" w:line="266" w:lineRule="auto"/>
        <w:rPr>
          <w:sz w:val="20"/>
          <w:szCs w:val="20"/>
          <w:color w:val="auto"/>
        </w:rPr>
      </w:pPr>
      <w:r>
        <w:rPr>
          <w:rFonts w:ascii="Arial" w:cs="Arial" w:eastAsia="Arial" w:hAnsi="Arial"/>
          <w:sz w:val="17"/>
          <w:szCs w:val="17"/>
          <w:color w:val="auto"/>
        </w:rPr>
        <w:t>The fair values of the common stock underlying the RSUs granted in periods prior to the date of the Company's initial public offering ("IPO") were determined by the Board of Directors, with input from management and contemporaneous third-party valuations, which were performed at least quarterly. For valuations after the Company's IPO, the Board of Directors determines the fair value of each share of underlying common stock based on the closing price of the Company's Class A common stock as reported on the Nasdaq Global Select Market on the date of the grant.</w:t>
      </w:r>
    </w:p>
    <w:p>
      <w:pPr>
        <w:spacing w:after="0" w:line="201" w:lineRule="exact"/>
        <w:rPr>
          <w:sz w:val="20"/>
          <w:szCs w:val="20"/>
          <w:color w:val="auto"/>
        </w:rPr>
      </w:pPr>
    </w:p>
    <w:p>
      <w:pPr>
        <w:ind w:firstLine="430"/>
        <w:spacing w:after="0" w:line="295" w:lineRule="auto"/>
        <w:rPr>
          <w:sz w:val="20"/>
          <w:szCs w:val="20"/>
          <w:color w:val="auto"/>
        </w:rPr>
      </w:pPr>
      <w:r>
        <w:rPr>
          <w:rFonts w:ascii="Arial" w:cs="Arial" w:eastAsia="Arial" w:hAnsi="Arial"/>
          <w:sz w:val="16"/>
          <w:szCs w:val="16"/>
          <w:color w:val="auto"/>
        </w:rPr>
        <w:t>In connection with the acquisition of DocSend, Inc. ("DocSend"), the Company assumed unvested stock options and an immaterial number of unvested RSUs that had been granted under DocSend's 2013 Stock Plan and DocSend's 2015 Stock Option and Grant Plan. The fair value of the DocSend options assumed were based upon the Black-Scholes option-pricing model. See Note 12 "Stockholders' (Deficit) Equity" for further information.</w:t>
      </w:r>
    </w:p>
    <w:p>
      <w:pPr>
        <w:spacing w:after="0" w:line="181" w:lineRule="exact"/>
        <w:rPr>
          <w:sz w:val="20"/>
          <w:szCs w:val="20"/>
          <w:color w:val="auto"/>
        </w:rPr>
      </w:pPr>
    </w:p>
    <w:p>
      <w:pPr>
        <w:ind w:firstLine="430"/>
        <w:spacing w:after="0" w:line="260" w:lineRule="auto"/>
        <w:rPr>
          <w:sz w:val="20"/>
          <w:szCs w:val="20"/>
          <w:color w:val="auto"/>
        </w:rPr>
      </w:pPr>
      <w:r>
        <w:rPr>
          <w:rFonts w:ascii="Arial" w:cs="Arial" w:eastAsia="Arial" w:hAnsi="Arial"/>
          <w:sz w:val="17"/>
          <w:szCs w:val="17"/>
          <w:color w:val="auto"/>
        </w:rPr>
        <w:t>In December 2017, the Board of Directors approved a grant to the Company’s co-founders of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a former director. These Co-Founder Grants have service-based, market-based, and performance-based vesting conditions.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Effective March 19, 2020, Mr. Ferdowsi resigned as a member of the Board of Directors and as an officer of the Company. As of the date of Mr. Ferdowsi's resignation, none of the Stock Price Targets had been met, resulting in the forfeiture of his 4.4 million RSAs. See Note 12 "Stockholders' (Deficit) Equity" for further information.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7" w:lineRule="exact"/>
        <w:rPr>
          <w:sz w:val="20"/>
          <w:szCs w:val="20"/>
          <w:color w:val="auto"/>
        </w:rPr>
      </w:pPr>
    </w:p>
    <w:p>
      <w:pPr>
        <w:ind w:right="20" w:firstLine="430"/>
        <w:spacing w:after="0" w:line="277"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also known as Basic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7" w:lineRule="exact"/>
        <w:rPr>
          <w:sz w:val="20"/>
          <w:szCs w:val="20"/>
          <w:color w:val="auto"/>
        </w:rPr>
      </w:pPr>
    </w:p>
    <w:p>
      <w:pPr>
        <w:ind w:right="220" w:firstLine="430"/>
        <w:spacing w:after="0" w:line="271" w:lineRule="auto"/>
        <w:rPr>
          <w:sz w:val="20"/>
          <w:szCs w:val="20"/>
          <w:color w:val="auto"/>
        </w:rPr>
      </w:pPr>
      <w:r>
        <w:rPr>
          <w:rFonts w:ascii="Arial" w:cs="Arial" w:eastAsia="Arial" w:hAnsi="Arial"/>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97" w:lineRule="exact"/>
        <w:rPr>
          <w:sz w:val="20"/>
          <w:szCs w:val="20"/>
          <w:color w:val="auto"/>
        </w:rPr>
      </w:pPr>
    </w:p>
    <w:p>
      <w:pPr>
        <w:ind w:right="100" w:firstLine="430"/>
        <w:spacing w:after="0" w:line="286" w:lineRule="auto"/>
        <w:rPr>
          <w:sz w:val="20"/>
          <w:szCs w:val="20"/>
          <w:color w:val="auto"/>
        </w:rPr>
      </w:pPr>
      <w:r>
        <w:rPr>
          <w:rFonts w:ascii="Arial" w:cs="Arial" w:eastAsia="Arial" w:hAnsi="Arial"/>
          <w:sz w:val="17"/>
          <w:szCs w:val="17"/>
          <w:color w:val="auto"/>
        </w:rPr>
        <w:t>The Company monitors its credit risk by considering factors such as historical experience, credit ratings, current economic conditions, and reasonable and supportable forecasts.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17" w:lineRule="exact"/>
        <w:rPr>
          <w:sz w:val="20"/>
          <w:szCs w:val="20"/>
          <w:color w:val="auto"/>
        </w:rPr>
      </w:pPr>
    </w:p>
    <w:p>
      <w:pPr>
        <w:ind w:right="80" w:firstLine="430"/>
        <w:spacing w:after="0" w:line="281" w:lineRule="auto"/>
        <w:rPr>
          <w:sz w:val="20"/>
          <w:szCs w:val="20"/>
          <w:color w:val="auto"/>
        </w:rPr>
      </w:pPr>
      <w:r>
        <w:rPr>
          <w:rFonts w:ascii="Arial" w:cs="Arial" w:eastAsia="Arial" w:hAnsi="Arial"/>
          <w:sz w:val="16"/>
          <w:szCs w:val="16"/>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0" w:firstLine="430"/>
        <w:spacing w:after="0" w:line="279" w:lineRule="auto"/>
        <w:rPr>
          <w:sz w:val="20"/>
          <w:szCs w:val="20"/>
          <w:color w:val="auto"/>
        </w:rPr>
      </w:pPr>
      <w:r>
        <w:rPr>
          <w:rFonts w:ascii="Arial" w:cs="Arial" w:eastAsia="Arial" w:hAnsi="Arial"/>
          <w:sz w:val="16"/>
          <w:szCs w:val="16"/>
          <w:color w:val="auto"/>
        </w:rPr>
        <w:t>The Company's short-term investments are recorded at fair value each reporting period. Unrealized gains and losses on these short-term investments are reported as a separate component of accumulated other comprehensive income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six months ended June 30, 2021.</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17" w:lineRule="exact"/>
        <w:rPr>
          <w:sz w:val="20"/>
          <w:szCs w:val="20"/>
          <w:color w:val="auto"/>
        </w:rPr>
      </w:pPr>
    </w:p>
    <w:p>
      <w:pPr>
        <w:ind w:right="60" w:firstLine="430"/>
        <w:spacing w:after="0" w:line="271"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9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One distribution partner accounted for 47% of total trade and other receivables, net as of June 30, 2021. Two distribution partners accounted for 11% and 28% of total trade and other receivables, net as of December 31, 2020. No customer accounted for more than 10% of the Company’s revenue in the periods presented.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Deferred commissions, net</w:t>
      </w:r>
    </w:p>
    <w:p>
      <w:pPr>
        <w:spacing w:after="0" w:line="117" w:lineRule="exact"/>
        <w:rPr>
          <w:sz w:val="20"/>
          <w:szCs w:val="20"/>
          <w:color w:val="auto"/>
        </w:rPr>
      </w:pPr>
    </w:p>
    <w:p>
      <w:pPr>
        <w:ind w:firstLine="430"/>
        <w:spacing w:after="0" w:line="283" w:lineRule="auto"/>
        <w:rPr>
          <w:sz w:val="20"/>
          <w:szCs w:val="20"/>
          <w:color w:val="auto"/>
        </w:rPr>
      </w:pPr>
      <w:r>
        <w:rPr>
          <w:rFonts w:ascii="Arial" w:cs="Arial" w:eastAsia="Arial" w:hAnsi="Arial"/>
          <w:sz w:val="16"/>
          <w:szCs w:val="16"/>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$4.9 million and $9.8 million during the three and six months ended June 30, 2021, respectively, and $11.2 million and $19.0 million during the three and six months ended June 30, 2020, respectively.</w:t>
      </w:r>
    </w:p>
    <w:p>
      <w:pPr>
        <w:spacing w:after="0" w:line="192" w:lineRule="exact"/>
        <w:rPr>
          <w:sz w:val="20"/>
          <w:szCs w:val="20"/>
          <w:color w:val="auto"/>
        </w:rPr>
      </w:pPr>
    </w:p>
    <w:p>
      <w:pPr>
        <w:jc w:val="both"/>
        <w:ind w:right="80" w:firstLine="430"/>
        <w:spacing w:after="0" w:line="357" w:lineRule="auto"/>
        <w:rPr>
          <w:sz w:val="20"/>
          <w:szCs w:val="20"/>
          <w:color w:val="auto"/>
        </w:rPr>
      </w:pPr>
      <w:r>
        <w:rPr>
          <w:rFonts w:ascii="Arial" w:cs="Arial" w:eastAsia="Arial" w:hAnsi="Arial"/>
          <w:sz w:val="15"/>
          <w:szCs w:val="15"/>
          <w:color w:val="auto"/>
        </w:rPr>
        <w:t>Deferred commissions, net included in prepaid and other current assets were $27.7 million and $26.7 million as of June 30, 2021 and December 31, 2020, respectively. Deferred commissions, net included in other assets were $40.7 million and $47.3 million as of June 30, 2021 and December 31, 2020, respectively.</w:t>
      </w:r>
    </w:p>
    <w:p>
      <w:pPr>
        <w:spacing w:after="0" w:line="138" w:lineRule="exact"/>
        <w:rPr>
          <w:sz w:val="20"/>
          <w:szCs w:val="20"/>
          <w:color w:val="auto"/>
        </w:rPr>
      </w:pPr>
    </w:p>
    <w:p>
      <w:pPr>
        <w:ind w:firstLine="430"/>
        <w:spacing w:after="0" w:line="262" w:lineRule="auto"/>
        <w:rPr>
          <w:sz w:val="20"/>
          <w:szCs w:val="20"/>
          <w:color w:val="auto"/>
        </w:rPr>
      </w:pPr>
      <w:r>
        <w:rPr>
          <w:rFonts w:ascii="Arial" w:cs="Arial" w:eastAsia="Arial" w:hAnsi="Arial"/>
          <w:sz w:val="17"/>
          <w:szCs w:val="17"/>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commissions are typically amortized over one year. Amortized costs were $7.7 million and $15.4 million for the three and six months ended June 30, 2021, respectively, $5.7 million and $10.8 million for the three and six months ended June 30, 2020. Amortized costs are included in sales and marketing expense in the accompanying condensed consolidated statements of operations. There was no material impairment loss in relation to the deferred costs during the three and six months ended June 30, 2021.</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7" w:lineRule="exact"/>
        <w:rPr>
          <w:sz w:val="20"/>
          <w:szCs w:val="20"/>
          <w:color w:val="auto"/>
        </w:rPr>
      </w:pPr>
    </w:p>
    <w:p>
      <w:pPr>
        <w:jc w:val="both"/>
        <w:ind w:right="280" w:firstLine="430"/>
        <w:spacing w:after="0" w:line="271"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40" w:type="dxa"/>
            <w:vAlign w:val="bottom"/>
            <w:gridSpan w:val="3"/>
          </w:tcPr>
          <w:p>
            <w:pPr>
              <w:ind w:left="440"/>
              <w:spacing w:after="0"/>
              <w:rPr>
                <w:sz w:val="20"/>
                <w:szCs w:val="20"/>
                <w:color w:val="auto"/>
              </w:rPr>
            </w:pPr>
            <w:r>
              <w:rPr>
                <w:rFonts w:ascii="Arial" w:cs="Arial" w:eastAsia="Arial" w:hAnsi="Arial"/>
                <w:sz w:val="17"/>
                <w:szCs w:val="17"/>
                <w:color w:val="auto"/>
                <w:w w:val="95"/>
              </w:rPr>
              <w:t>The following table presents the estimated useful lives of property and equipment:</w:t>
            </w:r>
          </w:p>
        </w:tc>
        <w:tc>
          <w:tcPr>
            <w:tcW w:w="4880" w:type="dxa"/>
            <w:vAlign w:val="bottom"/>
          </w:tcPr>
          <w:p>
            <w:pPr>
              <w:spacing w:after="0"/>
              <w:rPr>
                <w:sz w:val="19"/>
                <w:szCs w:val="19"/>
                <w:color w:val="auto"/>
              </w:rPr>
            </w:pPr>
          </w:p>
        </w:tc>
      </w:tr>
      <w:tr>
        <w:trPr>
          <w:trHeight w:val="482"/>
        </w:trPr>
        <w:tc>
          <w:tcPr>
            <w:tcW w:w="6340" w:type="dxa"/>
            <w:vAlign w:val="bottom"/>
            <w:gridSpan w:val="3"/>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4880" w:type="dxa"/>
            <w:vAlign w:val="bottom"/>
          </w:tcPr>
          <w:p>
            <w:pPr>
              <w:jc w:val="center"/>
              <w:ind w:right="653"/>
              <w:spacing w:after="0"/>
              <w:rPr>
                <w:sz w:val="20"/>
                <w:szCs w:val="20"/>
                <w:color w:val="auto"/>
              </w:rPr>
            </w:pPr>
            <w:r>
              <w:rPr>
                <w:rFonts w:ascii="Arial" w:cs="Arial" w:eastAsia="Arial" w:hAnsi="Arial"/>
                <w:sz w:val="17"/>
                <w:szCs w:val="17"/>
                <w:b w:val="1"/>
                <w:bCs w:val="1"/>
                <w:color w:val="auto"/>
                <w:w w:val="91"/>
              </w:rPr>
              <w:t>Useful life</w:t>
            </w:r>
          </w:p>
        </w:tc>
      </w:tr>
      <w:tr>
        <w:trPr>
          <w:trHeight w:val="32"/>
        </w:trPr>
        <w:tc>
          <w:tcPr>
            <w:tcW w:w="5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880" w:type="dxa"/>
            <w:vAlign w:val="bottom"/>
            <w:tcBorders>
              <w:top w:val="single" w:sz="8" w:color="auto"/>
            </w:tcBorders>
          </w:tcPr>
          <w:p>
            <w:pPr>
              <w:spacing w:after="0"/>
              <w:rPr>
                <w:sz w:val="2"/>
                <w:szCs w:val="2"/>
                <w:color w:val="auto"/>
              </w:rPr>
            </w:pPr>
          </w:p>
        </w:tc>
      </w:tr>
      <w:tr>
        <w:trPr>
          <w:trHeight w:val="221"/>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4880" w:type="dxa"/>
            <w:vAlign w:val="bottom"/>
            <w:shd w:val="clear" w:color="auto" w:fill="CCEEFF"/>
          </w:tcPr>
          <w:p>
            <w:pPr>
              <w:jc w:val="center"/>
              <w:ind w:right="653"/>
              <w:spacing w:after="0"/>
              <w:rPr>
                <w:sz w:val="20"/>
                <w:szCs w:val="20"/>
                <w:color w:val="auto"/>
              </w:rPr>
            </w:pPr>
            <w:r>
              <w:rPr>
                <w:rFonts w:ascii="Arial" w:cs="Arial" w:eastAsia="Arial" w:hAnsi="Arial"/>
                <w:sz w:val="17"/>
                <w:szCs w:val="17"/>
                <w:color w:val="auto"/>
                <w:w w:val="90"/>
              </w:rPr>
              <w:t>20 to 30 years</w:t>
            </w:r>
          </w:p>
        </w:tc>
      </w:tr>
      <w:tr>
        <w:trPr>
          <w:trHeight w:val="221"/>
        </w:trPr>
        <w:tc>
          <w:tcPr>
            <w:tcW w:w="6340" w:type="dxa"/>
            <w:vAlign w:val="bottom"/>
            <w:gridSpan w:val="3"/>
          </w:tcPr>
          <w:p>
            <w:pPr>
              <w:ind w:left="20"/>
              <w:spacing w:after="0"/>
              <w:rPr>
                <w:sz w:val="20"/>
                <w:szCs w:val="20"/>
                <w:color w:val="auto"/>
              </w:rPr>
            </w:pPr>
            <w:r>
              <w:rPr>
                <w:rFonts w:ascii="Arial" w:cs="Arial" w:eastAsia="Arial" w:hAnsi="Arial"/>
                <w:sz w:val="17"/>
                <w:szCs w:val="17"/>
                <w:color w:val="auto"/>
              </w:rPr>
              <w:t>Datacenter and other computer equipment</w:t>
            </w:r>
          </w:p>
        </w:tc>
        <w:tc>
          <w:tcPr>
            <w:tcW w:w="4880" w:type="dxa"/>
            <w:vAlign w:val="bottom"/>
          </w:tcPr>
          <w:p>
            <w:pPr>
              <w:jc w:val="center"/>
              <w:ind w:right="673"/>
              <w:spacing w:after="0"/>
              <w:rPr>
                <w:sz w:val="20"/>
                <w:szCs w:val="20"/>
                <w:color w:val="auto"/>
              </w:rPr>
            </w:pPr>
            <w:r>
              <w:rPr>
                <w:rFonts w:ascii="Arial" w:cs="Arial" w:eastAsia="Arial" w:hAnsi="Arial"/>
                <w:sz w:val="17"/>
                <w:szCs w:val="17"/>
                <w:color w:val="auto"/>
                <w:w w:val="90"/>
              </w:rPr>
              <w:t>3 to 5 years</w:t>
            </w:r>
          </w:p>
        </w:tc>
      </w:tr>
      <w:tr>
        <w:trPr>
          <w:trHeight w:val="221"/>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Office equipment and other</w:t>
            </w:r>
          </w:p>
        </w:tc>
        <w:tc>
          <w:tcPr>
            <w:tcW w:w="4880" w:type="dxa"/>
            <w:vAlign w:val="bottom"/>
            <w:shd w:val="clear" w:color="auto" w:fill="CCEEFF"/>
          </w:tcPr>
          <w:p>
            <w:pPr>
              <w:jc w:val="center"/>
              <w:ind w:right="673"/>
              <w:spacing w:after="0"/>
              <w:rPr>
                <w:sz w:val="20"/>
                <w:szCs w:val="20"/>
                <w:color w:val="auto"/>
              </w:rPr>
            </w:pPr>
            <w:r>
              <w:rPr>
                <w:rFonts w:ascii="Arial" w:cs="Arial" w:eastAsia="Arial" w:hAnsi="Arial"/>
                <w:sz w:val="17"/>
                <w:szCs w:val="17"/>
                <w:color w:val="auto"/>
                <w:w w:val="90"/>
              </w:rPr>
              <w:t>3 to 7 years</w:t>
            </w:r>
          </w:p>
        </w:tc>
      </w:tr>
      <w:tr>
        <w:trPr>
          <w:trHeight w:val="221"/>
        </w:trPr>
        <w:tc>
          <w:tcPr>
            <w:tcW w:w="6340" w:type="dxa"/>
            <w:vAlign w:val="bottom"/>
            <w:gridSpan w:val="3"/>
          </w:tcPr>
          <w:p>
            <w:pPr>
              <w:ind w:left="20"/>
              <w:spacing w:after="0"/>
              <w:rPr>
                <w:sz w:val="20"/>
                <w:szCs w:val="20"/>
                <w:color w:val="auto"/>
              </w:rPr>
            </w:pPr>
            <w:r>
              <w:rPr>
                <w:rFonts w:ascii="Arial" w:cs="Arial" w:eastAsia="Arial" w:hAnsi="Arial"/>
                <w:sz w:val="17"/>
                <w:szCs w:val="17"/>
                <w:color w:val="auto"/>
              </w:rPr>
              <w:t>Leasehold improvements</w:t>
            </w:r>
          </w:p>
        </w:tc>
        <w:tc>
          <w:tcPr>
            <w:tcW w:w="4880" w:type="dxa"/>
            <w:vAlign w:val="bottom"/>
          </w:tcPr>
          <w:p>
            <w:pPr>
              <w:jc w:val="center"/>
              <w:ind w:right="653"/>
              <w:spacing w:after="0"/>
              <w:rPr>
                <w:sz w:val="20"/>
                <w:szCs w:val="20"/>
                <w:color w:val="auto"/>
              </w:rPr>
            </w:pPr>
            <w:r>
              <w:rPr>
                <w:rFonts w:ascii="Arial" w:cs="Arial" w:eastAsia="Arial" w:hAnsi="Arial"/>
                <w:sz w:val="17"/>
                <w:szCs w:val="17"/>
                <w:color w:val="auto"/>
                <w:w w:val="92"/>
              </w:rPr>
              <w:t>Lesser of estimated useful life or remaining lease term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leases office space, data centers, and equipment under non-cancelable finance and operating leases with various expiration dates through</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2036. The Company determines if an arrangement contains a lease at inception.</w:t>
      </w:r>
    </w:p>
    <w:p>
      <w:pPr>
        <w:spacing w:after="0" w:line="235" w:lineRule="exact"/>
        <w:rPr>
          <w:sz w:val="20"/>
          <w:szCs w:val="20"/>
          <w:color w:val="auto"/>
        </w:rPr>
      </w:pPr>
    </w:p>
    <w:p>
      <w:pPr>
        <w:ind w:right="40" w:firstLine="430"/>
        <w:spacing w:after="0" w:line="287" w:lineRule="auto"/>
        <w:rPr>
          <w:sz w:val="20"/>
          <w:szCs w:val="20"/>
          <w:color w:val="auto"/>
        </w:rPr>
      </w:pPr>
      <w:r>
        <w:rPr>
          <w:rFonts w:ascii="Arial" w:cs="Arial" w:eastAsia="Arial" w:hAnsi="Arial"/>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8" w:lineRule="exact"/>
        <w:rPr>
          <w:sz w:val="20"/>
          <w:szCs w:val="20"/>
          <w:color w:val="auto"/>
        </w:rPr>
      </w:pPr>
    </w:p>
    <w:p>
      <w:pPr>
        <w:ind w:right="140" w:firstLine="430"/>
        <w:spacing w:after="0" w:line="263"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05" w:lineRule="exact"/>
        <w:rPr>
          <w:sz w:val="20"/>
          <w:szCs w:val="20"/>
          <w:color w:val="auto"/>
        </w:rPr>
      </w:pPr>
    </w:p>
    <w:p>
      <w:pPr>
        <w:ind w:right="340" w:firstLine="430"/>
        <w:spacing w:after="0" w:line="286" w:lineRule="auto"/>
        <w:rPr>
          <w:sz w:val="20"/>
          <w:szCs w:val="20"/>
          <w:color w:val="auto"/>
        </w:rPr>
      </w:pPr>
      <w:r>
        <w:rPr>
          <w:rFonts w:ascii="Arial" w:cs="Arial" w:eastAsia="Arial" w:hAnsi="Arial"/>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85"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As part of the Company's Virtual First strategy, Dropbox will retain a portion of its office space to be used for the Company’s team collaboration use and a portion will be marketed for sublease. During the first quarter of 2021, the Company recorded an impairment charge of $17.3 million related to right-of-use assets and other lease related property and equipment assets. During the fourth quarter of 2020, the Company recorded an impairment charge of $398.2 million related to right-of-use assets and other lease related property and equipment assets. These impairment charges were recorded in conjunction with the Company's decision to move towards a Virtual First work model. See Note 9 "Leases" for further information.</w:t>
      </w:r>
    </w:p>
    <w:p>
      <w:pPr>
        <w:spacing w:after="0" w:line="205" w:lineRule="exact"/>
        <w:rPr>
          <w:sz w:val="20"/>
          <w:szCs w:val="20"/>
          <w:color w:val="auto"/>
        </w:rPr>
      </w:pPr>
    </w:p>
    <w:p>
      <w:pPr>
        <w:ind w:right="20" w:firstLine="430"/>
        <w:spacing w:after="0" w:line="263" w:lineRule="auto"/>
        <w:rPr>
          <w:sz w:val="20"/>
          <w:szCs w:val="20"/>
          <w:color w:val="auto"/>
        </w:rPr>
      </w:pPr>
      <w:r>
        <w:rPr>
          <w:rFonts w:ascii="Arial" w:cs="Arial" w:eastAsia="Arial" w:hAnsi="Arial"/>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205" w:lineRule="exact"/>
        <w:rPr>
          <w:sz w:val="20"/>
          <w:szCs w:val="20"/>
          <w:color w:val="auto"/>
        </w:rPr>
      </w:pPr>
    </w:p>
    <w:p>
      <w:pPr>
        <w:ind w:right="260" w:firstLine="430"/>
        <w:spacing w:after="0" w:line="271" w:lineRule="auto"/>
        <w:rPr>
          <w:sz w:val="20"/>
          <w:szCs w:val="20"/>
          <w:color w:val="auto"/>
        </w:rPr>
      </w:pPr>
      <w:r>
        <w:rPr>
          <w:rFonts w:ascii="Arial" w:cs="Arial" w:eastAsia="Arial" w:hAnsi="Arial"/>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7" w:lineRule="exact"/>
        <w:rPr>
          <w:sz w:val="20"/>
          <w:szCs w:val="20"/>
          <w:color w:val="auto"/>
        </w:rPr>
      </w:pPr>
    </w:p>
    <w:p>
      <w:pPr>
        <w:ind w:right="200" w:firstLine="430"/>
        <w:spacing w:after="0" w:line="312" w:lineRule="auto"/>
        <w:rPr>
          <w:sz w:val="20"/>
          <w:szCs w:val="20"/>
          <w:color w:val="auto"/>
        </w:rPr>
      </w:pPr>
      <w:r>
        <w:rPr>
          <w:rFonts w:ascii="Arial" w:cs="Arial" w:eastAsia="Arial" w:hAnsi="Arial"/>
          <w:sz w:val="15"/>
          <w:szCs w:val="15"/>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w:t>
      </w:r>
    </w:p>
    <w:p>
      <w:pPr>
        <w:spacing w:after="0" w:line="41" w:lineRule="exact"/>
        <w:rPr>
          <w:sz w:val="20"/>
          <w:szCs w:val="20"/>
          <w:color w:val="auto"/>
        </w:rPr>
      </w:pPr>
    </w:p>
    <w:p>
      <w:pPr>
        <w:ind w:right="20" w:firstLine="430"/>
        <w:spacing w:after="0" w:line="286" w:lineRule="auto"/>
        <w:rPr>
          <w:sz w:val="20"/>
          <w:szCs w:val="20"/>
          <w:color w:val="auto"/>
        </w:rPr>
      </w:pPr>
      <w:r>
        <w:rPr>
          <w:rFonts w:ascii="Arial" w:cs="Arial" w:eastAsia="Arial" w:hAnsi="Arial"/>
          <w:sz w:val="17"/>
          <w:szCs w:val="17"/>
          <w:color w:val="auto"/>
        </w:rPr>
        <w:t>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Long-lived assets, including goodwill and other acquired intangible assets, net</w:t>
      </w:r>
    </w:p>
    <w:p>
      <w:pPr>
        <w:spacing w:after="0" w:line="117"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97" w:lineRule="exact"/>
        <w:rPr>
          <w:sz w:val="20"/>
          <w:szCs w:val="20"/>
          <w:color w:val="auto"/>
        </w:rPr>
      </w:pPr>
    </w:p>
    <w:p>
      <w:pPr>
        <w:ind w:right="340" w:firstLine="430"/>
        <w:spacing w:after="0" w:line="286" w:lineRule="auto"/>
        <w:rPr>
          <w:sz w:val="20"/>
          <w:szCs w:val="20"/>
          <w:color w:val="auto"/>
        </w:rPr>
      </w:pPr>
      <w:r>
        <w:rPr>
          <w:rFonts w:ascii="Arial" w:cs="Arial" w:eastAsia="Arial" w:hAnsi="Arial"/>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85" w:lineRule="exact"/>
        <w:rPr>
          <w:sz w:val="20"/>
          <w:szCs w:val="20"/>
          <w:color w:val="auto"/>
        </w:rPr>
      </w:pPr>
    </w:p>
    <w:p>
      <w:pPr>
        <w:ind w:right="240" w:firstLine="430"/>
        <w:spacing w:after="0" w:line="286" w:lineRule="auto"/>
        <w:rPr>
          <w:sz w:val="20"/>
          <w:szCs w:val="20"/>
          <w:color w:val="auto"/>
        </w:rPr>
      </w:pPr>
      <w:r>
        <w:rPr>
          <w:rFonts w:ascii="Arial" w:cs="Arial" w:eastAsia="Arial" w:hAnsi="Arial"/>
          <w:sz w:val="17"/>
          <w:szCs w:val="17"/>
          <w:color w:val="auto"/>
        </w:rPr>
        <w:t>The Company has not recorded impairment charges on goodwill or intangible assets for the periods presented in these condensed consolidated financial statements.</w:t>
      </w:r>
    </w:p>
    <w:p>
      <w:pPr>
        <w:spacing w:after="0" w:line="185" w:lineRule="exact"/>
        <w:rPr>
          <w:sz w:val="20"/>
          <w:szCs w:val="20"/>
          <w:color w:val="auto"/>
        </w:rPr>
      </w:pPr>
    </w:p>
    <w:p>
      <w:pPr>
        <w:ind w:right="100" w:firstLine="430"/>
        <w:spacing w:after="0" w:line="286" w:lineRule="auto"/>
        <w:rPr>
          <w:sz w:val="20"/>
          <w:szCs w:val="20"/>
          <w:color w:val="auto"/>
        </w:rPr>
      </w:pPr>
      <w:r>
        <w:rPr>
          <w:rFonts w:ascii="Arial" w:cs="Arial" w:eastAsia="Arial" w:hAnsi="Arial"/>
          <w:sz w:val="17"/>
          <w:szCs w:val="17"/>
          <w:color w:val="auto"/>
        </w:rPr>
        <w:t>During the first quarter of 2021 and the fourth quarter of 2020, the Company recorded impairment charges in conjunction with the Company's decision to move towards a Virtual First work model. See Note 9 "Leases" for further information.</w:t>
      </w:r>
    </w:p>
    <w:p>
      <w:pPr>
        <w:spacing w:after="0" w:line="185" w:lineRule="exact"/>
        <w:rPr>
          <w:sz w:val="20"/>
          <w:szCs w:val="20"/>
          <w:color w:val="auto"/>
        </w:rPr>
      </w:pPr>
    </w:p>
    <w:p>
      <w:pPr>
        <w:ind w:right="100" w:firstLine="430"/>
        <w:spacing w:after="0" w:line="266" w:lineRule="auto"/>
        <w:rPr>
          <w:sz w:val="20"/>
          <w:szCs w:val="20"/>
          <w:color w:val="auto"/>
        </w:rPr>
      </w:pPr>
      <w:r>
        <w:rPr>
          <w:rFonts w:ascii="Arial" w:cs="Arial" w:eastAsia="Arial" w:hAnsi="Arial"/>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Income taxes</w:t>
      </w:r>
    </w:p>
    <w:p>
      <w:pPr>
        <w:spacing w:after="0" w:line="117" w:lineRule="exact"/>
        <w:rPr>
          <w:sz w:val="20"/>
          <w:szCs w:val="20"/>
          <w:color w:val="auto"/>
        </w:rPr>
      </w:pPr>
    </w:p>
    <w:p>
      <w:pPr>
        <w:ind w:right="100" w:firstLine="430"/>
        <w:spacing w:after="0" w:line="271"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97" w:lineRule="exact"/>
        <w:rPr>
          <w:sz w:val="20"/>
          <w:szCs w:val="20"/>
          <w:color w:val="auto"/>
        </w:rPr>
      </w:pPr>
    </w:p>
    <w:p>
      <w:pPr>
        <w:ind w:right="120" w:firstLine="430"/>
        <w:spacing w:after="0" w:line="271"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97"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201" w:lineRule="exact"/>
        <w:rPr>
          <w:sz w:val="20"/>
          <w:szCs w:val="20"/>
          <w:color w:val="auto"/>
        </w:rPr>
      </w:pPr>
    </w:p>
    <w:p>
      <w:pPr>
        <w:ind w:right="320" w:firstLine="430"/>
        <w:spacing w:after="0" w:line="266"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201" w:lineRule="exact"/>
        <w:rPr>
          <w:sz w:val="20"/>
          <w:szCs w:val="20"/>
          <w:color w:val="auto"/>
        </w:rPr>
      </w:pPr>
    </w:p>
    <w:p>
      <w:pPr>
        <w:ind w:right="100" w:firstLine="430"/>
        <w:spacing w:after="0" w:line="319"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17" w:lineRule="exact"/>
        <w:rPr>
          <w:sz w:val="20"/>
          <w:szCs w:val="20"/>
          <w:color w:val="auto"/>
        </w:rPr>
      </w:pPr>
    </w:p>
    <w:p>
      <w:pPr>
        <w:ind w:firstLine="430"/>
        <w:spacing w:after="0" w:line="279"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08" w:lineRule="exact"/>
        <w:rPr>
          <w:sz w:val="20"/>
          <w:szCs w:val="20"/>
          <w:color w:val="auto"/>
        </w:rPr>
      </w:pPr>
    </w:p>
    <w:p>
      <w:pPr>
        <w:jc w:val="both"/>
        <w:ind w:left="480" w:right="260"/>
        <w:spacing w:after="0" w:line="271"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quoted prices in active markets for identical assets and liabilities,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w:t>
      </w:r>
    </w:p>
    <w:p>
      <w:pPr>
        <w:spacing w:after="0" w:line="67" w:lineRule="exact"/>
        <w:rPr>
          <w:sz w:val="20"/>
          <w:szCs w:val="20"/>
          <w:color w:val="auto"/>
        </w:rPr>
      </w:pPr>
    </w:p>
    <w:p>
      <w:pPr>
        <w:ind w:left="480" w:right="40"/>
        <w:spacing w:after="0" w:line="286"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that are generally unobservable and typically reflect management’s estimate of assumptions that market participants would use in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or liability.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7" w:lineRule="exact"/>
        <w:rPr>
          <w:sz w:val="20"/>
          <w:szCs w:val="20"/>
          <w:color w:val="auto"/>
        </w:rPr>
      </w:pPr>
    </w:p>
    <w:p>
      <w:pPr>
        <w:ind w:right="60" w:firstLine="430"/>
        <w:spacing w:after="0" w:line="276"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w:t>
      </w:r>
      <w:r>
        <w:rPr>
          <w:rFonts w:ascii="Arial" w:cs="Arial" w:eastAsia="Arial" w:hAnsi="Arial"/>
          <w:sz w:val="16"/>
          <w:szCs w:val="16"/>
          <w:color w:val="auto"/>
        </w:rPr>
        <w:t>This ASU simplifies the accounting for convertible instruments and contracts in an entity’s own equity,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its overall simplification initiative to reduce costs and complexity of applying accounting standards while maintaining or improving the usefulness of the information provided to users of financial statements. Among other changes, the new guidance eliminates the requirement to separate the convertible debt into debt and equity components, unless the conversion feature is required to be bifurcated and accounted for as a derivative or the debt is issued at a substantial premium. As a result, after adopting the guidance, entities will no longer separately present such embedded conversion features in equity, and will instead account for the convertible debt wholly as debt. The ASU also removes certain settlement conditions that are required for equity contracts to qualify for the derivative scope exception, which will permit more equity contracts to qualify for it. Lastly, entities are required to use the if-converted method for convertible instruments in the diluted earnings per share calculation. The guidance is effective for financial statements issued for fiscal years beginning after December 15, 2021, and interim periods within those fiscal years, with early adoption permitted, but only at the beginning of the fiscal year. This update permits the use of either the modified retrospective or fully retrospective method of transition.</w:t>
      </w:r>
    </w:p>
    <w:p>
      <w:pPr>
        <w:spacing w:after="0" w:line="199" w:lineRule="exact"/>
        <w:rPr>
          <w:sz w:val="20"/>
          <w:szCs w:val="20"/>
          <w:color w:val="auto"/>
        </w:rPr>
      </w:pPr>
    </w:p>
    <w:p>
      <w:pPr>
        <w:ind w:firstLine="430"/>
        <w:spacing w:after="0" w:line="283" w:lineRule="auto"/>
        <w:rPr>
          <w:sz w:val="20"/>
          <w:szCs w:val="20"/>
          <w:color w:val="auto"/>
        </w:rPr>
      </w:pPr>
      <w:r>
        <w:rPr>
          <w:rFonts w:ascii="Arial" w:cs="Arial" w:eastAsia="Arial" w:hAnsi="Arial"/>
          <w:sz w:val="16"/>
          <w:szCs w:val="16"/>
          <w:color w:val="auto"/>
        </w:rPr>
        <w:t>The Company early adopted this guidance as of January 1, 2021 using the modified retrospective approach. The adoption of the guidance did not have an impact on the Company’s financial statement as of the adoption date. As further discussed in Note 8 "Debt", the Company issued certain convertible senior notes and entered into certain contracts in the Company’s own equity during the six months ended June 30, 2021, and the accounting for these instruments was based on the guidance in ASU 2020-06. Additionally, the impact on diluted earnings per share of the convertible senior notes was calculated based on the if-converted method, as further described in Note 13 "Net Income Per Share" for further information.</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8" w:name="page19"/>
    <w:bookmarkEnd w:id="1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Short-Term Investments</w:t>
      </w:r>
    </w:p>
    <w:p>
      <w:pPr>
        <w:spacing w:after="0" w:line="253" w:lineRule="exact"/>
        <w:rPr>
          <w:sz w:val="20"/>
          <w:szCs w:val="20"/>
          <w:color w:val="auto"/>
        </w:rPr>
      </w:pPr>
    </w:p>
    <w:p>
      <w:pPr>
        <w:ind w:right="20" w:firstLine="430"/>
        <w:spacing w:after="0" w:line="286" w:lineRule="auto"/>
        <w:rPr>
          <w:sz w:val="20"/>
          <w:szCs w:val="20"/>
          <w:color w:val="auto"/>
        </w:rPr>
      </w:pPr>
      <w:r>
        <w:rPr>
          <w:rFonts w:ascii="Arial" w:cs="Arial" w:eastAsia="Arial" w:hAnsi="Arial"/>
          <w:sz w:val="17"/>
          <w:szCs w:val="17"/>
          <w:color w:val="auto"/>
        </w:rPr>
        <w:t>The amortized cost, unrealized gains and losses and estimated fair value of the Company's cash, cash equivalents and short-term investments as of June 30, 2021 and December 31, 2020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5"/>
          </w:tcPr>
          <w:p>
            <w:pPr>
              <w:ind w:left="920"/>
              <w:spacing w:after="0"/>
              <w:rPr>
                <w:sz w:val="20"/>
                <w:szCs w:val="20"/>
                <w:color w:val="auto"/>
              </w:rPr>
            </w:pPr>
            <w:r>
              <w:rPr>
                <w:rFonts w:ascii="Arial" w:cs="Arial" w:eastAsia="Arial" w:hAnsi="Arial"/>
                <w:sz w:val="17"/>
                <w:szCs w:val="17"/>
                <w:b w:val="1"/>
                <w:bCs w:val="1"/>
                <w:color w:val="auto"/>
              </w:rPr>
              <w:t>As of June 30, 2021</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14"/>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Amortized Cost</w:t>
            </w:r>
          </w:p>
        </w:tc>
        <w:tc>
          <w:tcPr>
            <w:tcW w:w="28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Loss</w:t>
            </w:r>
          </w:p>
        </w:tc>
        <w:tc>
          <w:tcPr>
            <w:tcW w:w="120" w:type="dxa"/>
            <w:vAlign w:val="bottom"/>
          </w:tcPr>
          <w:p>
            <w:pPr>
              <w:spacing w:after="0"/>
              <w:rPr>
                <w:sz w:val="18"/>
                <w:szCs w:val="18"/>
                <w:color w:val="auto"/>
              </w:rPr>
            </w:pPr>
          </w:p>
        </w:tc>
        <w:tc>
          <w:tcPr>
            <w:tcW w:w="1720" w:type="dxa"/>
            <w:vAlign w:val="bottom"/>
          </w:tcPr>
          <w:p>
            <w:pPr>
              <w:jc w:val="right"/>
              <w:ind w:right="53"/>
              <w:spacing w:after="0"/>
              <w:rPr>
                <w:sz w:val="20"/>
                <w:szCs w:val="20"/>
                <w:color w:val="auto"/>
              </w:rPr>
            </w:pPr>
            <w:r>
              <w:rPr>
                <w:rFonts w:ascii="Arial" w:cs="Arial" w:eastAsia="Arial" w:hAnsi="Arial"/>
                <w:sz w:val="17"/>
                <w:szCs w:val="17"/>
                <w:b w:val="1"/>
                <w:bCs w:val="1"/>
                <w:color w:val="auto"/>
                <w:w w:val="93"/>
              </w:rPr>
              <w:t>Estimated Fair Value</w:t>
            </w:r>
          </w:p>
        </w:tc>
      </w:tr>
      <w:tr>
        <w:trPr>
          <w:trHeight w:val="32"/>
        </w:trPr>
        <w:tc>
          <w:tcPr>
            <w:tcW w:w="35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221"/>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r>
      <w:tr>
        <w:trPr>
          <w:trHeight w:val="221"/>
        </w:trPr>
        <w:tc>
          <w:tcPr>
            <w:tcW w:w="354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790.1</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21.1</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4"/>
        </w:trPr>
        <w:tc>
          <w:tcPr>
            <w:tcW w:w="3540" w:type="dxa"/>
            <w:vAlign w:val="bottom"/>
          </w:tcPr>
          <w:p>
            <w:pPr>
              <w:ind w:left="20"/>
              <w:spacing w:after="0"/>
              <w:rPr>
                <w:sz w:val="20"/>
                <w:szCs w:val="20"/>
                <w:color w:val="auto"/>
              </w:rPr>
            </w:pPr>
            <w:r>
              <w:rPr>
                <w:rFonts w:ascii="Arial" w:cs="Arial" w:eastAsia="Arial" w:hAnsi="Arial"/>
                <w:sz w:val="17"/>
                <w:szCs w:val="17"/>
                <w:color w:val="auto"/>
              </w:rPr>
              <w:t>Total cash &amp; cash equivalents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885.3</w:t>
            </w:r>
          </w:p>
        </w:tc>
        <w:tc>
          <w:tcPr>
            <w:tcW w:w="100" w:type="dxa"/>
            <w:vAlign w:val="bottom"/>
          </w:tcPr>
          <w:p>
            <w:pPr>
              <w:spacing w:after="0"/>
              <w:rPr>
                <w:sz w:val="18"/>
                <w:szCs w:val="18"/>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885.3</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87"/>
        </w:trPr>
        <w:tc>
          <w:tcPr>
            <w:tcW w:w="354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467.2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280"/>
              <w:spacing w:after="0"/>
              <w:rPr>
                <w:sz w:val="20"/>
                <w:szCs w:val="20"/>
                <w:color w:val="auto"/>
              </w:rPr>
            </w:pPr>
            <w:r>
              <w:rPr>
                <w:rFonts w:ascii="Arial" w:cs="Arial" w:eastAsia="Arial" w:hAnsi="Arial"/>
                <w:sz w:val="17"/>
                <w:szCs w:val="17"/>
                <w:color w:val="auto"/>
                <w:w w:val="97"/>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468.0</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ind w:left="1280"/>
              <w:spacing w:after="0"/>
              <w:rPr>
                <w:sz w:val="20"/>
                <w:szCs w:val="20"/>
                <w:color w:val="auto"/>
              </w:rPr>
            </w:pPr>
            <w:r>
              <w:rPr>
                <w:rFonts w:ascii="Arial" w:cs="Arial" w:eastAsia="Arial" w:hAnsi="Arial"/>
                <w:sz w:val="17"/>
                <w:szCs w:val="17"/>
                <w:color w:val="auto"/>
                <w:w w:val="97"/>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228.5</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280"/>
              <w:spacing w:after="0"/>
              <w:rPr>
                <w:sz w:val="20"/>
                <w:szCs w:val="20"/>
                <w:color w:val="auto"/>
              </w:rPr>
            </w:pPr>
            <w:r>
              <w:rPr>
                <w:rFonts w:ascii="Arial" w:cs="Arial" w:eastAsia="Arial" w:hAnsi="Arial"/>
                <w:sz w:val="17"/>
                <w:szCs w:val="17"/>
                <w:color w:val="auto"/>
                <w:w w:val="97"/>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119.1</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280"/>
              <w:spacing w:after="0"/>
              <w:rPr>
                <w:sz w:val="20"/>
                <w:szCs w:val="20"/>
                <w:color w:val="auto"/>
              </w:rPr>
            </w:pPr>
            <w:r>
              <w:rPr>
                <w:rFonts w:ascii="Arial" w:cs="Arial" w:eastAsia="Arial" w:hAnsi="Arial"/>
                <w:sz w:val="17"/>
                <w:szCs w:val="17"/>
                <w:color w:val="auto"/>
                <w:w w:val="97"/>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62.8</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18.4</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40" w:type="dxa"/>
            <w:vAlign w:val="bottom"/>
          </w:tcPr>
          <w:p>
            <w:pPr>
              <w:ind w:left="1280"/>
              <w:spacing w:after="0"/>
              <w:rPr>
                <w:sz w:val="20"/>
                <w:szCs w:val="20"/>
                <w:color w:val="auto"/>
              </w:rPr>
            </w:pPr>
            <w:r>
              <w:rPr>
                <w:rFonts w:ascii="Arial" w:cs="Arial" w:eastAsia="Arial" w:hAnsi="Arial"/>
                <w:sz w:val="17"/>
                <w:szCs w:val="17"/>
                <w:color w:val="auto"/>
                <w:w w:val="97"/>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14.5</w:t>
            </w:r>
          </w:p>
        </w:tc>
      </w:tr>
      <w:tr>
        <w:trPr>
          <w:trHeight w:val="214"/>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7"/>
                <w:szCs w:val="17"/>
                <w:color w:val="auto"/>
                <w:w w:val="97"/>
              </w:rPr>
              <w:t>(2.1)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1,058.9</w:t>
            </w:r>
          </w:p>
        </w:tc>
      </w:tr>
      <w:tr>
        <w:trPr>
          <w:trHeight w:val="214"/>
        </w:trPr>
        <w:tc>
          <w:tcPr>
            <w:tcW w:w="354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ind w:left="1280"/>
              <w:spacing w:after="0"/>
              <w:rPr>
                <w:sz w:val="20"/>
                <w:szCs w:val="20"/>
                <w:color w:val="auto"/>
              </w:rPr>
            </w:pPr>
            <w:r>
              <w:rPr>
                <w:rFonts w:ascii="Arial" w:cs="Arial" w:eastAsia="Arial" w:hAnsi="Arial"/>
                <w:sz w:val="17"/>
                <w:szCs w:val="17"/>
                <w:color w:val="auto"/>
                <w:w w:val="97"/>
              </w:rPr>
              <w:t>(2.1)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1,944.2</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865"/>
        </w:trPr>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19</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0"/>
        </w:trPr>
        <w:tc>
          <w:tcPr>
            <w:tcW w:w="3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7"/>
                <w:szCs w:val="17"/>
                <w:b w:val="1"/>
                <w:bCs w:val="1"/>
                <w:color w:val="auto"/>
              </w:rPr>
              <w:t>As of December 31, 2020</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214"/>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7"/>
                <w:szCs w:val="17"/>
                <w:b w:val="1"/>
                <w:bCs w:val="1"/>
                <w:color w:val="auto"/>
              </w:rPr>
              <w:t>Amortized cost</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gain</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Unrealized loss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73"/>
              <w:spacing w:after="0"/>
              <w:rPr>
                <w:sz w:val="20"/>
                <w:szCs w:val="20"/>
                <w:color w:val="auto"/>
              </w:rPr>
            </w:pPr>
            <w:r>
              <w:rPr>
                <w:rFonts w:ascii="Arial" w:cs="Arial" w:eastAsia="Arial" w:hAnsi="Arial"/>
                <w:sz w:val="17"/>
                <w:szCs w:val="17"/>
                <w:b w:val="1"/>
                <w:bCs w:val="1"/>
                <w:color w:val="auto"/>
                <w:w w:val="94"/>
              </w:rPr>
              <w:t>Estimated fair value</w:t>
            </w:r>
          </w:p>
        </w:tc>
      </w:tr>
      <w:tr>
        <w:trPr>
          <w:trHeight w:val="32"/>
        </w:trPr>
        <w:tc>
          <w:tcPr>
            <w:tcW w:w="35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r>
      <w:tr>
        <w:trPr>
          <w:trHeight w:val="221"/>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r>
      <w:tr>
        <w:trPr>
          <w:trHeight w:val="221"/>
        </w:trPr>
        <w:tc>
          <w:tcPr>
            <w:tcW w:w="354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4"/>
        </w:trPr>
        <w:tc>
          <w:tcPr>
            <w:tcW w:w="3540" w:type="dxa"/>
            <w:vAlign w:val="bottom"/>
          </w:tcPr>
          <w:p>
            <w:pPr>
              <w:ind w:left="140"/>
              <w:spacing w:after="0"/>
              <w:rPr>
                <w:sz w:val="20"/>
                <w:szCs w:val="20"/>
                <w:color w:val="auto"/>
              </w:rPr>
            </w:pPr>
            <w:r>
              <w:rPr>
                <w:rFonts w:ascii="Arial" w:cs="Arial" w:eastAsia="Arial" w:hAnsi="Arial"/>
                <w:sz w:val="17"/>
                <w:szCs w:val="17"/>
                <w:color w:val="auto"/>
              </w:rPr>
              <w:t>Total cash and cash equivalents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314.9</w:t>
            </w:r>
          </w:p>
        </w:tc>
        <w:tc>
          <w:tcPr>
            <w:tcW w:w="100" w:type="dxa"/>
            <w:vAlign w:val="bottom"/>
          </w:tcPr>
          <w:p>
            <w:pPr>
              <w:spacing w:after="0"/>
              <w:rPr>
                <w:sz w:val="18"/>
                <w:szCs w:val="18"/>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293"/>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314.9</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187"/>
        </w:trPr>
        <w:tc>
          <w:tcPr>
            <w:tcW w:w="354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w w:val="97"/>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376.7</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74.1</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23.1</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Supranational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14"/>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7"/>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806.4</w:t>
            </w:r>
          </w:p>
        </w:tc>
      </w:tr>
      <w:tr>
        <w:trPr>
          <w:trHeight w:val="214"/>
        </w:trPr>
        <w:tc>
          <w:tcPr>
            <w:tcW w:w="3540" w:type="dxa"/>
            <w:vAlign w:val="bottom"/>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1293"/>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7"/>
              </w:rPr>
              <w:t>(0.1)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1,121.3</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00" w:firstLine="430"/>
        <w:spacing w:after="0" w:line="286" w:lineRule="auto"/>
        <w:rPr>
          <w:sz w:val="20"/>
          <w:szCs w:val="20"/>
          <w:color w:val="auto"/>
        </w:rPr>
      </w:pPr>
      <w:r>
        <w:rPr>
          <w:rFonts w:ascii="Arial" w:cs="Arial" w:eastAsia="Arial" w:hAnsi="Arial"/>
          <w:sz w:val="17"/>
          <w:szCs w:val="17"/>
          <w:color w:val="auto"/>
        </w:rPr>
        <w:t>Included in cash and cash equivalents is cash in transit from payment processors for credit and debit card transactions of $10.7 million and $9.8 million as of June 30, 2021 and December 31, 2020, respectively.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short-term investments were designated as available-for-sale securities as of June 30, 2021 and December 31, 2020.</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contractual maturities of the Company’s short-term investments as of June 30,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4"/>
          </w:tcPr>
          <w:p>
            <w:pPr>
              <w:jc w:val="right"/>
              <w:ind w:right="1453"/>
              <w:spacing w:after="0"/>
              <w:rPr>
                <w:sz w:val="20"/>
                <w:szCs w:val="20"/>
                <w:color w:val="auto"/>
              </w:rPr>
            </w:pPr>
            <w:r>
              <w:rPr>
                <w:rFonts w:ascii="Arial" w:cs="Arial" w:eastAsia="Arial" w:hAnsi="Arial"/>
                <w:sz w:val="17"/>
                <w:szCs w:val="17"/>
                <w:b w:val="1"/>
                <w:bCs w:val="1"/>
                <w:color w:val="auto"/>
              </w:rPr>
              <w:t>As of June 30, 2021</w:t>
            </w:r>
          </w:p>
        </w:tc>
      </w:tr>
      <w:tr>
        <w:trPr>
          <w:trHeight w:val="214"/>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Arial" w:cs="Arial" w:eastAsia="Arial" w:hAnsi="Arial"/>
                <w:sz w:val="17"/>
                <w:szCs w:val="17"/>
                <w:b w:val="1"/>
                <w:bCs w:val="1"/>
                <w:color w:val="auto"/>
              </w:rPr>
              <w:t>Amortized cost</w:t>
            </w:r>
          </w:p>
        </w:tc>
        <w:tc>
          <w:tcPr>
            <w:tcW w:w="240" w:type="dxa"/>
            <w:vAlign w:val="bottom"/>
          </w:tcPr>
          <w:p>
            <w:pPr>
              <w:spacing w:after="0"/>
              <w:rPr>
                <w:sz w:val="18"/>
                <w:szCs w:val="18"/>
                <w:color w:val="auto"/>
              </w:rPr>
            </w:pPr>
          </w:p>
        </w:tc>
        <w:tc>
          <w:tcPr>
            <w:tcW w:w="1980" w:type="dxa"/>
            <w:vAlign w:val="bottom"/>
          </w:tcPr>
          <w:p>
            <w:pPr>
              <w:jc w:val="right"/>
              <w:ind w:right="273"/>
              <w:spacing w:after="0"/>
              <w:rPr>
                <w:sz w:val="20"/>
                <w:szCs w:val="20"/>
                <w:color w:val="auto"/>
              </w:rPr>
            </w:pPr>
            <w:r>
              <w:rPr>
                <w:rFonts w:ascii="Arial" w:cs="Arial" w:eastAsia="Arial" w:hAnsi="Arial"/>
                <w:sz w:val="17"/>
                <w:szCs w:val="17"/>
                <w:b w:val="1"/>
                <w:bCs w:val="1"/>
                <w:color w:val="auto"/>
                <w:w w:val="99"/>
              </w:rPr>
              <w:t>Estimated fair value</w:t>
            </w:r>
          </w:p>
        </w:tc>
      </w:tr>
      <w:tr>
        <w:trPr>
          <w:trHeight w:val="32"/>
        </w:trPr>
        <w:tc>
          <w:tcPr>
            <w:tcW w:w="67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980" w:type="dxa"/>
            <w:vAlign w:val="bottom"/>
            <w:tcBorders>
              <w:top w:val="single" w:sz="8" w:color="auto"/>
            </w:tcBorders>
          </w:tcPr>
          <w:p>
            <w:pPr>
              <w:spacing w:after="0"/>
              <w:rPr>
                <w:sz w:val="2"/>
                <w:szCs w:val="2"/>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296.1</w:t>
            </w:r>
          </w:p>
        </w:tc>
      </w:tr>
      <w:tr>
        <w:trPr>
          <w:trHeight w:val="221"/>
        </w:trPr>
        <w:tc>
          <w:tcPr>
            <w:tcW w:w="6720" w:type="dxa"/>
            <w:vAlign w:val="bottom"/>
          </w:tcPr>
          <w:p>
            <w:pPr>
              <w:ind w:left="20"/>
              <w:spacing w:after="0"/>
              <w:rPr>
                <w:sz w:val="20"/>
                <w:szCs w:val="20"/>
                <w:color w:val="auto"/>
              </w:rPr>
            </w:pPr>
            <w:r>
              <w:rPr>
                <w:rFonts w:ascii="Arial" w:cs="Arial" w:eastAsia="Arial" w:hAnsi="Arial"/>
                <w:sz w:val="17"/>
                <w:szCs w:val="17"/>
                <w:color w:val="auto"/>
              </w:rPr>
              <w:t>Due between one to three years</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500.9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501.3</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after three years</w:t>
            </w:r>
          </w:p>
        </w:tc>
        <w:tc>
          <w:tcPr>
            <w:tcW w:w="3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261.5</w:t>
            </w:r>
          </w:p>
        </w:tc>
      </w:tr>
      <w:tr>
        <w:trPr>
          <w:trHeight w:val="214"/>
        </w:trPr>
        <w:tc>
          <w:tcPr>
            <w:tcW w:w="672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1,059.1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1,058.9</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200" w:firstLine="430"/>
        <w:spacing w:after="0" w:line="271" w:lineRule="auto"/>
        <w:rPr>
          <w:sz w:val="20"/>
          <w:szCs w:val="20"/>
          <w:color w:val="auto"/>
        </w:rPr>
      </w:pPr>
      <w:r>
        <w:rPr>
          <w:rFonts w:ascii="Arial" w:cs="Arial" w:eastAsia="Arial" w:hAnsi="Arial"/>
          <w:sz w:val="17"/>
          <w:szCs w:val="17"/>
          <w:color w:val="auto"/>
        </w:rPr>
        <w:t>The Company had 232 short-term investments in unrealized loss positions as of June 30, 2021. There were no material unrealized losses from short-term investments and no material realized gains or losses from short-term investments that were reclassified out of accumulated other comprehensive income for the three and six months ended June 30, 2021.</w:t>
      </w:r>
    </w:p>
    <w:p>
      <w:pPr>
        <w:spacing w:after="0" w:line="197"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As of June 30, 2021, the Company’s short-term investments portfolio consisted of nine security types, six of which were in an unrealized loss position. The Company’s short-term investments had unrealized losses of approximately $2.1 million as of June 30, 2021. Unrealized losses on short-term investments have not been recorded into income because management does not intend to sell nor will be required to sell these securities prior to their anticipated recovery, and for which the decline in fair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value is largely due to changes in credit spreads. The credit ratings associated with the corporate notes and obligations are mostly unchanged, are highly rated and the issuers continue to make timely principal and interest payments.</w:t>
      </w:r>
    </w:p>
    <w:p>
      <w:pPr>
        <w:spacing w:after="0" w:line="185" w:lineRule="exact"/>
        <w:rPr>
          <w:sz w:val="20"/>
          <w:szCs w:val="20"/>
          <w:color w:val="auto"/>
        </w:rPr>
      </w:pPr>
    </w:p>
    <w:p>
      <w:pPr>
        <w:ind w:right="220" w:firstLine="430"/>
        <w:spacing w:after="0" w:line="319" w:lineRule="auto"/>
        <w:rPr>
          <w:sz w:val="20"/>
          <w:szCs w:val="20"/>
          <w:color w:val="auto"/>
        </w:rPr>
      </w:pPr>
      <w:r>
        <w:rPr>
          <w:rFonts w:ascii="Arial" w:cs="Arial" w:eastAsia="Arial" w:hAnsi="Arial"/>
          <w:sz w:val="16"/>
          <w:szCs w:val="16"/>
          <w:color w:val="auto"/>
        </w:rPr>
        <w:t>The Company recorded interest income from its cash, cash equivalents, and short-term investments of $1.9 million and $3.8 million during the three and six months ended June 30, 2021, respectively, and $2.7 million and $7.8 million during the three and six months ended June 30, 2020.</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w:t>
      </w:r>
    </w:p>
    <w:p>
      <w:pPr>
        <w:spacing w:after="0" w:line="253" w:lineRule="exact"/>
        <w:rPr>
          <w:sz w:val="20"/>
          <w:szCs w:val="20"/>
          <w:color w:val="auto"/>
        </w:rPr>
      </w:pPr>
    </w:p>
    <w:p>
      <w:pPr>
        <w:jc w:val="both"/>
        <w:ind w:right="40" w:firstLine="430"/>
        <w:spacing w:after="0" w:line="271" w:lineRule="auto"/>
        <w:rPr>
          <w:sz w:val="20"/>
          <w:szCs w:val="20"/>
          <w:color w:val="auto"/>
        </w:rPr>
      </w:pPr>
      <w:r>
        <w:rPr>
          <w:rFonts w:ascii="Arial" w:cs="Arial" w:eastAsia="Arial" w:hAnsi="Arial"/>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97" w:lineRule="exact"/>
        <w:rPr>
          <w:sz w:val="20"/>
          <w:szCs w:val="20"/>
          <w:color w:val="auto"/>
        </w:rPr>
      </w:pPr>
    </w:p>
    <w:p>
      <w:pPr>
        <w:ind w:right="320" w:firstLine="430"/>
        <w:spacing w:after="0" w:line="286" w:lineRule="auto"/>
        <w:rPr>
          <w:sz w:val="20"/>
          <w:szCs w:val="20"/>
          <w:color w:val="auto"/>
        </w:rPr>
      </w:pPr>
      <w:r>
        <w:rPr>
          <w:rFonts w:ascii="Arial" w:cs="Arial" w:eastAsia="Arial" w:hAnsi="Arial"/>
          <w:sz w:val="17"/>
          <w:szCs w:val="17"/>
          <w:color w:val="auto"/>
        </w:rPr>
        <w:t>The following table presents information about the Company’s financial instruments that are measured at fair value on a recurring basis using the input categories discussed in Note 1:</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7"/>
                <w:szCs w:val="17"/>
                <w:b w:val="1"/>
                <w:bCs w:val="1"/>
                <w:color w:val="auto"/>
                <w:w w:val="89"/>
              </w:rPr>
              <w:t>As of June 30, 2021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280" w:type="dxa"/>
            <w:vAlign w:val="bottom"/>
          </w:tcPr>
          <w:p>
            <w:pPr>
              <w:jc w:val="right"/>
              <w:ind w:right="109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790.1</w:t>
            </w:r>
          </w:p>
        </w:tc>
        <w:tc>
          <w:tcPr>
            <w:tcW w:w="120" w:type="dxa"/>
            <w:vAlign w:val="bottom"/>
          </w:tcPr>
          <w:p>
            <w:pPr>
              <w:spacing w:after="0"/>
              <w:rPr>
                <w:sz w:val="19"/>
                <w:szCs w:val="19"/>
                <w:color w:val="auto"/>
              </w:rPr>
            </w:pPr>
          </w:p>
        </w:tc>
        <w:tc>
          <w:tcPr>
            <w:tcW w:w="1200" w:type="dxa"/>
            <w:vAlign w:val="bottom"/>
          </w:tcPr>
          <w:p>
            <w:pPr>
              <w:jc w:val="right"/>
              <w:ind w:right="1013"/>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233"/>
              <w:spacing w:after="0"/>
              <w:rPr>
                <w:sz w:val="20"/>
                <w:szCs w:val="20"/>
                <w:color w:val="auto"/>
              </w:rPr>
            </w:pPr>
            <w:r>
              <w:rPr>
                <w:rFonts w:ascii="Arial" w:cs="Arial" w:eastAsia="Arial" w:hAnsi="Arial"/>
                <w:sz w:val="17"/>
                <w:szCs w:val="17"/>
                <w:color w:val="auto"/>
              </w:rPr>
              <w:t>$</w:t>
            </w:r>
          </w:p>
        </w:tc>
        <w:tc>
          <w:tcPr>
            <w:tcW w:w="460" w:type="dxa"/>
            <w:vAlign w:val="bottom"/>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53"/>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790.1</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21"/>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Certificates of deposit</w:t>
            </w: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equivalents</w:t>
            </w:r>
          </w:p>
        </w:tc>
        <w:tc>
          <w:tcPr>
            <w:tcW w:w="1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$790.1</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520" w:type="dxa"/>
            <w:vAlign w:val="bottom"/>
            <w:gridSpan w:val="2"/>
            <w:shd w:val="clear" w:color="auto" w:fill="CCEEFF"/>
          </w:tcPr>
          <w:p>
            <w:pPr>
              <w:jc w:val="right"/>
              <w:ind w:right="123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8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1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228.5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228.5</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1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77.5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77.5</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1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1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53.1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1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Supranational Securities</w:t>
            </w:r>
          </w:p>
        </w:tc>
        <w:tc>
          <w:tcPr>
            <w:tcW w:w="1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4"/>
        </w:trPr>
        <w:tc>
          <w:tcPr>
            <w:tcW w:w="3380" w:type="dxa"/>
            <w:vAlign w:val="bottom"/>
          </w:tcPr>
          <w:p>
            <w:pPr>
              <w:ind w:left="20"/>
              <w:spacing w:after="0"/>
              <w:rPr>
                <w:sz w:val="20"/>
                <w:szCs w:val="20"/>
                <w:color w:val="auto"/>
              </w:rPr>
            </w:pPr>
            <w:r>
              <w:rPr>
                <w:rFonts w:ascii="Arial" w:cs="Arial" w:eastAsia="Arial" w:hAnsi="Arial"/>
                <w:sz w:val="17"/>
                <w:szCs w:val="17"/>
                <w:color w:val="auto"/>
              </w:rPr>
              <w:t>Total short-term investments</w:t>
            </w:r>
          </w:p>
        </w:tc>
        <w:tc>
          <w:tcPr>
            <w:tcW w:w="12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1,058.9</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1,058.9</w:t>
            </w:r>
          </w:p>
        </w:tc>
        <w:tc>
          <w:tcPr>
            <w:tcW w:w="0" w:type="dxa"/>
            <w:vAlign w:val="bottom"/>
          </w:tcPr>
          <w:p>
            <w:pPr>
              <w:spacing w:after="0"/>
              <w:rPr>
                <w:sz w:val="1"/>
                <w:szCs w:val="1"/>
                <w:color w:val="auto"/>
              </w:rPr>
            </w:pPr>
          </w:p>
        </w:tc>
      </w:tr>
      <w:tr>
        <w:trPr>
          <w:trHeight w:val="239"/>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8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1,083.6</w:t>
            </w:r>
          </w:p>
        </w:tc>
        <w:tc>
          <w:tcPr>
            <w:tcW w:w="100" w:type="dxa"/>
            <w:vAlign w:val="bottom"/>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1,873.7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580" w:firstLine="430"/>
        <w:spacing w:after="0" w:line="286" w:lineRule="auto"/>
        <w:rPr>
          <w:sz w:val="20"/>
          <w:szCs w:val="20"/>
          <w:color w:val="auto"/>
        </w:rPr>
      </w:pPr>
      <w:r>
        <w:rPr>
          <w:rFonts w:ascii="Arial" w:cs="Arial" w:eastAsia="Arial" w:hAnsi="Arial"/>
          <w:sz w:val="17"/>
          <w:szCs w:val="17"/>
          <w:color w:val="auto"/>
        </w:rPr>
        <w:t>The Company has an investment in a non-marketable equity security in a privately held company without a readily determinable market value. The investments had a carrying value of $5.6 million and was categorized as Level 3 as of June 30, 2021 and December 31,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7"/>
                <w:szCs w:val="17"/>
                <w:b w:val="1"/>
                <w:bCs w:val="1"/>
                <w:color w:val="auto"/>
              </w:rPr>
              <w:t>As of December 31, 2020</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80" w:type="dxa"/>
            <w:vAlign w:val="bottom"/>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Level 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Level 2</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84"/>
        </w:trPr>
        <w:tc>
          <w:tcPr>
            <w:tcW w:w="3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320" w:type="dxa"/>
            <w:vAlign w:val="bottom"/>
          </w:tcPr>
          <w:p>
            <w:pPr>
              <w:jc w:val="right"/>
              <w:ind w:right="113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222.6</w:t>
            </w:r>
          </w:p>
        </w:tc>
        <w:tc>
          <w:tcPr>
            <w:tcW w:w="100" w:type="dxa"/>
            <w:vAlign w:val="bottom"/>
          </w:tcPr>
          <w:p>
            <w:pPr>
              <w:spacing w:after="0"/>
              <w:rPr>
                <w:sz w:val="19"/>
                <w:szCs w:val="19"/>
                <w:color w:val="auto"/>
              </w:rPr>
            </w:pPr>
          </w:p>
        </w:tc>
        <w:tc>
          <w:tcPr>
            <w:tcW w:w="1320" w:type="dxa"/>
            <w:vAlign w:val="bottom"/>
          </w:tcPr>
          <w:p>
            <w:pPr>
              <w:jc w:val="right"/>
              <w:ind w:right="1133"/>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222.6</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1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1"/>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Municipal securities</w:t>
            </w: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Equivalents</w:t>
            </w:r>
          </w:p>
        </w:tc>
        <w:tc>
          <w:tcPr>
            <w:tcW w:w="132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8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1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216.4</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Asset-backed securities</w:t>
            </w:r>
          </w:p>
        </w:tc>
        <w:tc>
          <w:tcPr>
            <w:tcW w:w="1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1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1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1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13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14"/>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806.4</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806.4</w:t>
            </w: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32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831.5</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no transfers between levels of the fair value hierarchy.</w:t>
      </w:r>
    </w:p>
    <w:p>
      <w:pPr>
        <w:spacing w:after="0" w:line="247" w:lineRule="exact"/>
        <w:rPr>
          <w:sz w:val="20"/>
          <w:szCs w:val="20"/>
          <w:color w:val="auto"/>
        </w:rPr>
      </w:pPr>
    </w:p>
    <w:p>
      <w:pPr>
        <w:ind w:right="120" w:firstLine="430"/>
        <w:spacing w:after="0" w:line="286" w:lineRule="auto"/>
        <w:rPr>
          <w:sz w:val="20"/>
          <w:szCs w:val="20"/>
          <w:color w:val="auto"/>
        </w:rPr>
      </w:pPr>
      <w:r>
        <w:rPr>
          <w:rFonts w:ascii="Arial" w:cs="Arial" w:eastAsia="Arial" w:hAnsi="Arial"/>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85" w:lineRule="exact"/>
        <w:rPr>
          <w:sz w:val="20"/>
          <w:szCs w:val="20"/>
          <w:color w:val="auto"/>
        </w:rPr>
      </w:pPr>
    </w:p>
    <w:p>
      <w:pPr>
        <w:jc w:val="both"/>
        <w:ind w:right="400" w:firstLine="430"/>
        <w:spacing w:after="0" w:line="271" w:lineRule="auto"/>
        <w:rPr>
          <w:sz w:val="20"/>
          <w:szCs w:val="20"/>
          <w:color w:val="auto"/>
        </w:rPr>
      </w:pPr>
      <w:r>
        <w:rPr>
          <w:rFonts w:ascii="Arial" w:cs="Arial" w:eastAsia="Arial" w:hAnsi="Arial"/>
          <w:sz w:val="17"/>
          <w:szCs w:val="17"/>
          <w:color w:val="auto"/>
        </w:rPr>
        <w:t>The Company has $695.8 million in aggregate principal amount of 0% convertible senior notes due in 2026 (the "2026 Notes"), and $693.3 million in aggregate principal amount of 0% convertible senior notes due in 2028 (the "2028 Notes" and together with the 2026 Notes, the "Notes"), outstanding as of June 30, 2021. Refer to Note 8 "Debt" for further details on the 2026 Notes and 2028 Notes.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estimated fair value of the 2026 Notes and the 2028 Notes, based on a market approach as of June 30, 2021 was approximately $745.8 million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$763.4 million, respectively. The Notes were categorized as Level 2 instruments as the estimated fair value was determined based on the estimated or actual bids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and offers of the Notes in an over-the-counter market on the last business day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gridSpan w:val="2"/>
          </w:tcPr>
          <w:p>
            <w:pPr>
              <w:spacing w:after="0"/>
              <w:rPr>
                <w:sz w:val="20"/>
                <w:szCs w:val="20"/>
                <w:color w:val="auto"/>
              </w:rPr>
            </w:pPr>
            <w:r>
              <w:rPr>
                <w:rFonts w:ascii="Arial" w:cs="Arial" w:eastAsia="Arial" w:hAnsi="Arial"/>
                <w:sz w:val="17"/>
                <w:szCs w:val="17"/>
                <w:b w:val="1"/>
                <w:bCs w:val="1"/>
                <w:color w:val="auto"/>
              </w:rPr>
              <w:t>Note 4. Property and Equipment, Net</w:t>
            </w:r>
          </w:p>
        </w:tc>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43"/>
        </w:trPr>
        <w:tc>
          <w:tcPr>
            <w:tcW w:w="40" w:type="dxa"/>
            <w:vAlign w:val="bottom"/>
          </w:tcPr>
          <w:p>
            <w:pPr>
              <w:spacing w:after="0"/>
              <w:rPr>
                <w:sz w:val="24"/>
                <w:szCs w:val="24"/>
                <w:color w:val="auto"/>
              </w:rPr>
            </w:pPr>
          </w:p>
        </w:tc>
        <w:tc>
          <w:tcPr>
            <w:tcW w:w="6740" w:type="dxa"/>
            <w:vAlign w:val="bottom"/>
          </w:tcPr>
          <w:p>
            <w:pPr>
              <w:ind w:left="400"/>
              <w:spacing w:after="0"/>
              <w:rPr>
                <w:sz w:val="20"/>
                <w:szCs w:val="20"/>
                <w:color w:val="auto"/>
              </w:rPr>
            </w:pPr>
            <w:r>
              <w:rPr>
                <w:rFonts w:ascii="Arial" w:cs="Arial" w:eastAsia="Arial" w:hAnsi="Arial"/>
                <w:sz w:val="17"/>
                <w:szCs w:val="17"/>
                <w:color w:val="auto"/>
              </w:rPr>
              <w:t>Property and equipment, net consisted of the following:</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2"/>
        </w:trPr>
        <w:tc>
          <w:tcPr>
            <w:tcW w:w="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4"/>
        </w:trPr>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 2021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97"/>
              </w:rPr>
              <w:t>December 31, 2020</w:t>
            </w:r>
          </w:p>
        </w:tc>
      </w:tr>
      <w:tr>
        <w:trPr>
          <w:trHeight w:val="32"/>
        </w:trPr>
        <w:tc>
          <w:tcPr>
            <w:tcW w:w="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1"/>
        </w:trPr>
        <w:tc>
          <w:tcPr>
            <w:tcW w:w="4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Data center and other computer equipment</w:t>
            </w:r>
          </w:p>
        </w:tc>
        <w:tc>
          <w:tcPr>
            <w:tcW w:w="1620" w:type="dxa"/>
            <w:vAlign w:val="bottom"/>
            <w:shd w:val="clear" w:color="auto" w:fill="CCEEFF"/>
          </w:tcPr>
          <w:p>
            <w:pPr>
              <w:jc w:val="right"/>
              <w:ind w:right="14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652.7</w:t>
            </w:r>
          </w:p>
        </w:tc>
      </w:tr>
      <w:tr>
        <w:trPr>
          <w:trHeight w:val="221"/>
        </w:trPr>
        <w:tc>
          <w:tcPr>
            <w:tcW w:w="4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19.9</w:t>
            </w:r>
          </w:p>
        </w:tc>
      </w:tr>
      <w:tr>
        <w:trPr>
          <w:trHeight w:val="221"/>
        </w:trPr>
        <w:tc>
          <w:tcPr>
            <w:tcW w:w="4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r>
      <w:tr>
        <w:trPr>
          <w:trHeight w:val="221"/>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1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r>
      <w:tr>
        <w:trPr>
          <w:trHeight w:val="214"/>
        </w:trPr>
        <w:tc>
          <w:tcPr>
            <w:tcW w:w="4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property and equipment</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790.5</w:t>
            </w:r>
          </w:p>
        </w:tc>
      </w:tr>
      <w:tr>
        <w:trPr>
          <w:trHeight w:val="221"/>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Accumulated depreciation and amortization</w:t>
            </w:r>
          </w:p>
        </w:tc>
        <w:tc>
          <w:tcPr>
            <w:tcW w:w="1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(450.8)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(451.8)</w:t>
            </w:r>
          </w:p>
        </w:tc>
      </w:tr>
      <w:tr>
        <w:trPr>
          <w:trHeight w:val="239"/>
        </w:trPr>
        <w:tc>
          <w:tcPr>
            <w:tcW w:w="4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620" w:type="dxa"/>
            <w:vAlign w:val="bottom"/>
            <w:tcBorders>
              <w:bottom w:val="single" w:sz="8" w:color="auto"/>
            </w:tcBorders>
            <w:shd w:val="clear" w:color="auto" w:fill="CCEEFF"/>
          </w:tcPr>
          <w:p>
            <w:pPr>
              <w:jc w:val="right"/>
              <w:ind w:right="143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w:t>
            </w:r>
          </w:p>
        </w:tc>
      </w:tr>
      <w:tr>
        <w:trPr>
          <w:trHeight w:val="20"/>
        </w:trPr>
        <w:tc>
          <w:tcPr>
            <w:tcW w:w="40" w:type="dxa"/>
            <w:vAlign w:val="bottom"/>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00" w:firstLine="430"/>
        <w:spacing w:after="0" w:line="263" w:lineRule="auto"/>
        <w:rPr>
          <w:sz w:val="20"/>
          <w:szCs w:val="20"/>
          <w:color w:val="auto"/>
        </w:rPr>
      </w:pPr>
      <w:r>
        <w:rPr>
          <w:rFonts w:ascii="Arial" w:cs="Arial" w:eastAsia="Arial" w:hAnsi="Arial"/>
          <w:sz w:val="17"/>
          <w:szCs w:val="17"/>
          <w:color w:val="auto"/>
        </w:rPr>
        <w:t>The Company leases certain infrastructure, computer equipment, and furniture from various third parties, through equipment finance leases. Infrastructure assets as of June 30, 2021 and December 31, 2020, respectively, included a total of $452.9 million and $395.2 million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$202.9 million and $156.6 million as of June 30, 2021 and December 31, 2020, respectively.</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Construction in progress includes costs primarily related to construction of leasehold improvements for office spaces and data centers.</w:t>
      </w:r>
    </w:p>
    <w:p>
      <w:pPr>
        <w:spacing w:after="0" w:line="247" w:lineRule="exact"/>
        <w:rPr>
          <w:sz w:val="20"/>
          <w:szCs w:val="20"/>
          <w:color w:val="auto"/>
        </w:rPr>
      </w:pPr>
    </w:p>
    <w:p>
      <w:pPr>
        <w:ind w:right="840" w:firstLine="430"/>
        <w:spacing w:after="0" w:line="286" w:lineRule="auto"/>
        <w:rPr>
          <w:sz w:val="20"/>
          <w:szCs w:val="20"/>
          <w:color w:val="auto"/>
        </w:rPr>
      </w:pPr>
      <w:r>
        <w:rPr>
          <w:rFonts w:ascii="Arial" w:cs="Arial" w:eastAsia="Arial" w:hAnsi="Arial"/>
          <w:sz w:val="17"/>
          <w:szCs w:val="17"/>
          <w:color w:val="auto"/>
        </w:rPr>
        <w:t>Depreciation expense related to property and equipment was $32.7 million and $64.2 million for the three and six months ended June 30, 2021, respectively, and $36.5 million and $72.5 million for the three and six months ended June 30,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Business Combinations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Business Combination</w:t>
      </w:r>
    </w:p>
    <w:p>
      <w:pPr>
        <w:spacing w:after="0" w:line="253" w:lineRule="exact"/>
        <w:rPr>
          <w:sz w:val="20"/>
          <w:szCs w:val="20"/>
          <w:color w:val="auto"/>
        </w:rPr>
      </w:pPr>
    </w:p>
    <w:p>
      <w:pPr>
        <w:ind w:right="100" w:firstLine="430"/>
        <w:spacing w:after="0" w:line="266" w:lineRule="auto"/>
        <w:rPr>
          <w:sz w:val="20"/>
          <w:szCs w:val="20"/>
          <w:color w:val="auto"/>
        </w:rPr>
      </w:pPr>
      <w:r>
        <w:rPr>
          <w:rFonts w:ascii="Arial" w:cs="Arial" w:eastAsia="Arial" w:hAnsi="Arial"/>
          <w:sz w:val="17"/>
          <w:szCs w:val="17"/>
          <w:color w:val="auto"/>
        </w:rPr>
        <w:t>On March 22, 2021, the Company acquired all outstanding stock of DocSend, a secure document sharing and analytics company. The combination of Dropbox, HelloSign, and DocSend will help customers across industries manage end-to-end document workflows—from content collaboration to sharing and e-signature—giving them more control over their business results. The results of DocSend's operations have been included in the Company’s consolidated results of operations since the date of acquisition and were immaterial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0" w:type="dxa"/>
            <w:vAlign w:val="bottom"/>
          </w:tcPr>
          <w:p>
            <w:pPr>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82"/>
        </w:trPr>
        <w:tc>
          <w:tcPr>
            <w:tcW w:w="8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Purchase consideration</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r>
      <w:tr>
        <w:trPr>
          <w:trHeight w:val="221"/>
        </w:trPr>
        <w:tc>
          <w:tcPr>
            <w:tcW w:w="820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DocSend</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1"/>
        </w:trPr>
        <w:tc>
          <w:tcPr>
            <w:tcW w:w="820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Fair value of assumed DocSend options attributable to pre-combination services</w:t>
            </w:r>
            <w:r>
              <w:rPr>
                <w:rFonts w:ascii="Arial" w:cs="Arial" w:eastAsia="Arial" w:hAnsi="Arial"/>
                <w:sz w:val="22"/>
                <w:szCs w:val="22"/>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4"/>
        </w:trPr>
        <w:tc>
          <w:tcPr>
            <w:tcW w:w="8200" w:type="dxa"/>
            <w:vAlign w:val="bottom"/>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2660" w:type="dxa"/>
            <w:vAlign w:val="bottom"/>
          </w:tcPr>
          <w:p>
            <w:pPr>
              <w:jc w:val="right"/>
              <w:spacing w:after="0"/>
              <w:rPr>
                <w:sz w:val="20"/>
                <w:szCs w:val="20"/>
                <w:color w:val="auto"/>
              </w:rPr>
            </w:pPr>
            <w:r>
              <w:rPr>
                <w:rFonts w:ascii="Arial" w:cs="Arial" w:eastAsia="Arial" w:hAnsi="Arial"/>
                <w:sz w:val="17"/>
                <w:szCs w:val="17"/>
                <w:color w:val="auto"/>
              </w:rPr>
              <w:t>131.7</w:t>
            </w:r>
          </w:p>
        </w:tc>
      </w:tr>
    </w:tbl>
    <w:p>
      <w:pPr>
        <w:spacing w:after="0" w:line="294" w:lineRule="exact"/>
        <w:rPr>
          <w:sz w:val="20"/>
          <w:szCs w:val="20"/>
          <w:color w:val="auto"/>
        </w:rPr>
      </w:pPr>
    </w:p>
    <w:p>
      <w:pPr>
        <w:ind w:left="140" w:hanging="136"/>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fair value of options assumed was determined based upon the Black-Scholes option-pricing model.</w:t>
      </w:r>
    </w:p>
    <w:p>
      <w:pPr>
        <w:spacing w:after="0" w:line="236" w:lineRule="exact"/>
        <w:rPr>
          <w:sz w:val="20"/>
          <w:szCs w:val="20"/>
          <w:color w:val="auto"/>
        </w:rPr>
      </w:pPr>
    </w:p>
    <w:p>
      <w:pPr>
        <w:jc w:val="both"/>
        <w:ind w:right="80" w:firstLine="430"/>
        <w:spacing w:after="0" w:line="271" w:lineRule="auto"/>
        <w:rPr>
          <w:sz w:val="20"/>
          <w:szCs w:val="20"/>
          <w:color w:val="auto"/>
        </w:rPr>
      </w:pPr>
      <w:r>
        <w:rPr>
          <w:rFonts w:ascii="Arial" w:cs="Arial" w:eastAsia="Arial" w:hAnsi="Arial"/>
          <w:sz w:val="17"/>
          <w:szCs w:val="17"/>
          <w:color w:val="auto"/>
        </w:rPr>
        <w:t>In addition to the total purchase consideration above, the Company has compensation agreements with key DocSend personnel consisting of $30.7 million in future cash payments subject to ongoing employee service. The related expense will be recognized within sales and marketing and research and development expenses over the required service period of three years.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related payments will be paid out evenly on an annual basis in the first and second year, and in quarterly installments in the third year. Payments will begin in the first quarter of 2022 if the requisite service is provided.</w:t>
      </w:r>
    </w:p>
    <w:p>
      <w:pPr>
        <w:spacing w:after="0" w:line="185"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 The fair value of assets and liabilities acquired may change as additional information is received during the measurement period. The measurement period will end no later than one-year from the acquisition date.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340" w:type="dxa"/>
            <w:vAlign w:val="bottom"/>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intangible assets</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21"/>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Accounts receivable, prepaid and other assets</w:t>
            </w: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r>
      <w:tr>
        <w:trPr>
          <w:trHeight w:val="23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 acquired</w:t>
            </w: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8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assumed: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7"/>
                <w:szCs w:val="17"/>
                <w:color w:val="auto"/>
              </w:rPr>
              <w:t>Accounts payable, accrued and other liabilities</w:t>
            </w:r>
          </w:p>
        </w:tc>
        <w:tc>
          <w:tcPr>
            <w:tcW w:w="1340" w:type="dxa"/>
            <w:vAlign w:val="bottom"/>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1"/>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Deferred tax liability</w:t>
            </w: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assumed</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4"/>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131.7</w:t>
            </w:r>
          </w:p>
        </w:tc>
      </w:tr>
      <w:tr>
        <w:trPr>
          <w:trHeight w:val="214"/>
        </w:trPr>
        <w:tc>
          <w:tcPr>
            <w:tcW w:w="8200" w:type="dxa"/>
            <w:vAlign w:val="bottom"/>
          </w:tcPr>
          <w:p>
            <w:pPr>
              <w:ind w:left="20"/>
              <w:spacing w:after="0" w:line="214"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1340" w:type="dxa"/>
            <w:vAlign w:val="bottom"/>
            <w:tcBorders>
              <w:bottom w:val="single" w:sz="8" w:color="auto"/>
            </w:tcBorders>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w:t>
            </w:r>
          </w:p>
        </w:tc>
      </w:tr>
      <w:tr>
        <w:trPr>
          <w:trHeight w:val="20"/>
        </w:trPr>
        <w:tc>
          <w:tcPr>
            <w:tcW w:w="8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40" w:hanging="136"/>
        <w:spacing w:after="0"/>
        <w:tabs>
          <w:tab w:leader="none" w:pos="140" w:val="left"/>
        </w:tabs>
        <w:numPr>
          <w:ilvl w:val="0"/>
          <w:numId w:val="10"/>
        </w:numPr>
        <w:rPr>
          <w:rFonts w:ascii="Arial" w:cs="Arial" w:eastAsia="Arial" w:hAnsi="Arial"/>
          <w:sz w:val="8"/>
          <w:szCs w:val="8"/>
          <w:color w:val="auto"/>
        </w:rPr>
      </w:pPr>
      <w:r>
        <w:rPr>
          <w:rFonts w:ascii="Arial" w:cs="Arial" w:eastAsia="Arial" w:hAnsi="Arial"/>
          <w:sz w:val="13"/>
          <w:szCs w:val="13"/>
          <w:color w:val="auto"/>
        </w:rPr>
        <w:t>The goodwill recognized was primarily attributable to the opportunity to expand the user base of the Company's platform. The goodwill is not deductible for U.S. federal income tax purposes.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0"/>
              </w:rPr>
              <w:t>Estimated weighted average</w:t>
            </w: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vMerge w:val="restart"/>
          </w:tcPr>
          <w:p>
            <w:pPr>
              <w:jc w:val="right"/>
              <w:ind w:right="273"/>
              <w:spacing w:after="0"/>
              <w:rPr>
                <w:sz w:val="20"/>
                <w:szCs w:val="20"/>
                <w:color w:val="auto"/>
              </w:rPr>
            </w:pPr>
            <w:r>
              <w:rPr>
                <w:rFonts w:ascii="Arial" w:cs="Arial" w:eastAsia="Arial" w:hAnsi="Arial"/>
                <w:sz w:val="17"/>
                <w:szCs w:val="17"/>
                <w:color w:val="auto"/>
              </w:rPr>
              <w:t>Estimated fair values</w:t>
            </w:r>
          </w:p>
        </w:tc>
        <w:tc>
          <w:tcPr>
            <w:tcW w:w="140" w:type="dxa"/>
            <w:vAlign w:val="bottom"/>
          </w:tcPr>
          <w:p>
            <w:pPr>
              <w:spacing w:after="0"/>
              <w:rPr>
                <w:sz w:val="14"/>
                <w:szCs w:val="14"/>
                <w:color w:val="auto"/>
              </w:rPr>
            </w:pPr>
          </w:p>
        </w:tc>
        <w:tc>
          <w:tcPr>
            <w:tcW w:w="2180" w:type="dxa"/>
            <w:vAlign w:val="bottom"/>
          </w:tcPr>
          <w:p>
            <w:pPr>
              <w:jc w:val="center"/>
              <w:spacing w:after="0" w:line="169" w:lineRule="exact"/>
              <w:rPr>
                <w:sz w:val="20"/>
                <w:szCs w:val="20"/>
                <w:color w:val="auto"/>
              </w:rPr>
            </w:pPr>
            <w:r>
              <w:rPr>
                <w:rFonts w:ascii="Arial" w:cs="Arial" w:eastAsia="Arial" w:hAnsi="Arial"/>
                <w:sz w:val="17"/>
                <w:szCs w:val="17"/>
                <w:color w:val="auto"/>
                <w:w w:val="92"/>
              </w:rPr>
              <w:t>useful lives</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(In years)</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3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8.1</w:t>
            </w:r>
          </w:p>
        </w:tc>
        <w:tc>
          <w:tcPr>
            <w:tcW w:w="2320" w:type="dxa"/>
            <w:vAlign w:val="bottom"/>
            <w:gridSpan w:val="2"/>
          </w:tcPr>
          <w:p>
            <w:pPr>
              <w:jc w:val="center"/>
              <w:ind w:left="5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3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14"/>
        </w:trPr>
        <w:tc>
          <w:tcPr>
            <w:tcW w:w="672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both"/>
        <w:ind w:right="200" w:firstLine="430"/>
        <w:spacing w:after="0" w:line="323" w:lineRule="auto"/>
        <w:rPr>
          <w:sz w:val="20"/>
          <w:szCs w:val="20"/>
          <w:color w:val="auto"/>
        </w:rPr>
      </w:pPr>
      <w:r>
        <w:rPr>
          <w:rFonts w:ascii="Arial" w:cs="Arial" w:eastAsia="Arial" w:hAnsi="Arial"/>
          <w:sz w:val="15"/>
          <w:szCs w:val="15"/>
          <w:color w:val="auto"/>
        </w:rPr>
        <w:t>The fair values of the acquisition-related intangible assets were determined using the following methodologies: the multi-period excess earnings method for customer relationships, and the relief from royalty method for developed technology, and the trade name, respectively. The valuation model inputs required the application of significant judgment by management. The acquired intangible assets have a total weighted average amortization period of 5.0 years.</w:t>
      </w:r>
    </w:p>
    <w:p>
      <w:pPr>
        <w:spacing w:after="0" w:line="163" w:lineRule="exact"/>
        <w:rPr>
          <w:sz w:val="20"/>
          <w:szCs w:val="20"/>
          <w:color w:val="auto"/>
        </w:rPr>
      </w:pPr>
    </w:p>
    <w:p>
      <w:pPr>
        <w:ind w:right="40" w:firstLine="430"/>
        <w:spacing w:after="0" w:line="286" w:lineRule="auto"/>
        <w:rPr>
          <w:sz w:val="20"/>
          <w:szCs w:val="20"/>
          <w:color w:val="auto"/>
        </w:rPr>
      </w:pPr>
      <w:r>
        <w:rPr>
          <w:rFonts w:ascii="Arial" w:cs="Arial" w:eastAsia="Arial" w:hAnsi="Arial"/>
          <w:sz w:val="17"/>
          <w:szCs w:val="17"/>
          <w:color w:val="auto"/>
        </w:rPr>
        <w:t>One-time acquisition-related diligence costs of $1.2 million were expensed within general and administrative expenses as incurred during the three months ended March 31, 2021.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Business Combination</w:t>
      </w:r>
    </w:p>
    <w:p>
      <w:pPr>
        <w:spacing w:after="0" w:line="253" w:lineRule="exact"/>
        <w:rPr>
          <w:sz w:val="20"/>
          <w:szCs w:val="20"/>
          <w:color w:val="auto"/>
        </w:rPr>
      </w:pPr>
    </w:p>
    <w:p>
      <w:pPr>
        <w:ind w:right="120" w:firstLine="430"/>
        <w:spacing w:after="0" w:line="295" w:lineRule="auto"/>
        <w:rPr>
          <w:sz w:val="20"/>
          <w:szCs w:val="20"/>
          <w:color w:val="auto"/>
        </w:rPr>
      </w:pPr>
      <w:r>
        <w:rPr>
          <w:rFonts w:ascii="Arial" w:cs="Arial" w:eastAsia="Arial" w:hAnsi="Arial"/>
          <w:sz w:val="16"/>
          <w:szCs w:val="16"/>
          <w:color w:val="auto"/>
        </w:rPr>
        <w:t>On February 8, 2019, the Company acquired all outstanding stock of JN Projects, Inc. (d/b/a HelloSign) ("HelloSign"), which provides an e-signature and document workflow platform. The acquisition of HelloSign expands the Company's content collaboration capabilities to include additional business-critical workflows. The results of HelloSign operations have been included in the Company’s consolidated results of operations since the date of acquisition.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0" w:type="dxa"/>
            <w:vAlign w:val="bottom"/>
          </w:tcPr>
          <w:p>
            <w:pPr>
              <w:ind w:left="440"/>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573"/>
        </w:trPr>
        <w:tc>
          <w:tcPr>
            <w:tcW w:w="8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Purchase consideration</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r>
      <w:tr>
        <w:trPr>
          <w:trHeight w:val="221"/>
        </w:trPr>
        <w:tc>
          <w:tcPr>
            <w:tcW w:w="820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HelloSign</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1"/>
        </w:trPr>
        <w:tc>
          <w:tcPr>
            <w:tcW w:w="820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Fair value of assumed HelloSign options attributable to pre-combination services</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1"/>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price adjustments</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w:t>
            </w:r>
          </w:p>
        </w:tc>
      </w:tr>
    </w:tbl>
    <w:p>
      <w:pPr>
        <w:spacing w:after="0" w:line="294" w:lineRule="exact"/>
        <w:rPr>
          <w:sz w:val="20"/>
          <w:szCs w:val="20"/>
          <w:color w:val="auto"/>
        </w:rPr>
      </w:pPr>
    </w:p>
    <w:p>
      <w:pPr>
        <w:ind w:left="140" w:hanging="136"/>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The fair value of options assumed were based upon the Black-Scholes option-pricing model.</w:t>
      </w:r>
    </w:p>
    <w:p>
      <w:pPr>
        <w:spacing w:after="0" w:line="236" w:lineRule="exact"/>
        <w:rPr>
          <w:sz w:val="20"/>
          <w:szCs w:val="20"/>
          <w:color w:val="auto"/>
        </w:rPr>
      </w:pPr>
    </w:p>
    <w:p>
      <w:pPr>
        <w:jc w:val="both"/>
        <w:ind w:firstLine="430"/>
        <w:spacing w:after="0" w:line="287" w:lineRule="auto"/>
        <w:rPr>
          <w:sz w:val="20"/>
          <w:szCs w:val="20"/>
          <w:color w:val="auto"/>
        </w:rPr>
      </w:pPr>
      <w:r>
        <w:rPr>
          <w:rFonts w:ascii="Arial" w:cs="Arial" w:eastAsia="Arial" w:hAnsi="Arial"/>
          <w:sz w:val="16"/>
          <w:szCs w:val="16"/>
          <w:color w:val="auto"/>
        </w:rPr>
        <w:t>In addition to the total purchase consideration above, the Company has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first quarter of 2020, with $4.0 million and $8.0 million paid during the three and six months ended June 30, 2021. The remaining balance of $12.1 million will be paid evenly in quarterly installments over the remaining required service period.</w:t>
      </w:r>
    </w:p>
    <w:p>
      <w:pPr>
        <w:spacing w:after="0" w:line="188" w:lineRule="exact"/>
        <w:rPr>
          <w:sz w:val="20"/>
          <w:szCs w:val="20"/>
          <w:color w:val="auto"/>
        </w:rPr>
      </w:pPr>
    </w:p>
    <w:p>
      <w:pPr>
        <w:ind w:right="20" w:firstLine="430"/>
        <w:spacing w:after="0" w:line="286"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340" w:type="dxa"/>
            <w:vAlign w:val="bottom"/>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investments</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21"/>
        </w:trPr>
        <w:tc>
          <w:tcPr>
            <w:tcW w:w="8200" w:type="dxa"/>
            <w:vAlign w:val="bottom"/>
          </w:tcPr>
          <w:p>
            <w:pPr>
              <w:ind w:left="220"/>
              <w:spacing w:after="0"/>
              <w:rPr>
                <w:sz w:val="20"/>
                <w:szCs w:val="20"/>
                <w:color w:val="auto"/>
              </w:rPr>
            </w:pPr>
            <w:r>
              <w:rPr>
                <w:rFonts w:ascii="Arial" w:cs="Arial" w:eastAsia="Arial" w:hAnsi="Arial"/>
                <w:sz w:val="17"/>
                <w:szCs w:val="17"/>
                <w:color w:val="auto"/>
              </w:rPr>
              <w:t>Acquisition-related intangible assets</w:t>
            </w:r>
          </w:p>
        </w:tc>
        <w:tc>
          <w:tcPr>
            <w:tcW w:w="1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44.6</w:t>
            </w:r>
          </w:p>
        </w:tc>
      </w:tr>
      <w:tr>
        <w:trPr>
          <w:trHeight w:val="22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prepaid and other assets</w:t>
            </w:r>
          </w:p>
        </w:tc>
        <w:tc>
          <w:tcPr>
            <w:tcW w:w="1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4"/>
        </w:trPr>
        <w:tc>
          <w:tcPr>
            <w:tcW w:w="8200" w:type="dxa"/>
            <w:vAlign w:val="bottom"/>
          </w:tcPr>
          <w:p>
            <w:pPr>
              <w:ind w:left="20"/>
              <w:spacing w:after="0"/>
              <w:rPr>
                <w:sz w:val="20"/>
                <w:szCs w:val="20"/>
                <w:color w:val="auto"/>
              </w:rPr>
            </w:pPr>
            <w:r>
              <w:rPr>
                <w:rFonts w:ascii="Arial" w:cs="Arial" w:eastAsia="Arial" w:hAnsi="Arial"/>
                <w:sz w:val="17"/>
                <w:szCs w:val="17"/>
                <w:color w:val="auto"/>
              </w:rPr>
              <w:t>Total assets acquired</w:t>
            </w:r>
          </w:p>
        </w:tc>
        <w:tc>
          <w:tcPr>
            <w:tcW w:w="1340" w:type="dxa"/>
            <w:vAlign w:val="bottom"/>
            <w:tcBorders>
              <w:bottom w:val="single" w:sz="8" w:color="auto"/>
            </w:tcBorders>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14"/>
        </w:trPr>
        <w:tc>
          <w:tcPr>
            <w:tcW w:w="8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1"/>
        </w:trPr>
        <w:tc>
          <w:tcPr>
            <w:tcW w:w="8200" w:type="dxa"/>
            <w:vAlign w:val="bottom"/>
          </w:tcPr>
          <w:p>
            <w:pPr>
              <w:ind w:left="20"/>
              <w:spacing w:after="0"/>
              <w:rPr>
                <w:sz w:val="20"/>
                <w:szCs w:val="20"/>
                <w:color w:val="auto"/>
              </w:rPr>
            </w:pPr>
            <w:r>
              <w:rPr>
                <w:rFonts w:ascii="Arial" w:cs="Arial" w:eastAsia="Arial" w:hAnsi="Arial"/>
                <w:sz w:val="17"/>
                <w:szCs w:val="17"/>
                <w:color w:val="auto"/>
              </w:rPr>
              <w:t>Liabilities assumed:</w:t>
            </w:r>
          </w:p>
        </w:tc>
        <w:tc>
          <w:tcPr>
            <w:tcW w:w="1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 accrued and other liabilities</w:t>
            </w:r>
          </w:p>
        </w:tc>
        <w:tc>
          <w:tcPr>
            <w:tcW w:w="134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1"/>
        </w:trPr>
        <w:tc>
          <w:tcPr>
            <w:tcW w:w="8200" w:type="dxa"/>
            <w:vAlign w:val="bottom"/>
          </w:tcPr>
          <w:p>
            <w:pPr>
              <w:ind w:left="220"/>
              <w:spacing w:after="0"/>
              <w:rPr>
                <w:sz w:val="20"/>
                <w:szCs w:val="20"/>
                <w:color w:val="auto"/>
              </w:rPr>
            </w:pPr>
            <w:r>
              <w:rPr>
                <w:rFonts w:ascii="Arial" w:cs="Arial" w:eastAsia="Arial" w:hAnsi="Arial"/>
                <w:sz w:val="17"/>
                <w:szCs w:val="17"/>
                <w:color w:val="auto"/>
              </w:rPr>
              <w:t>Deferred revenue</w:t>
            </w:r>
          </w:p>
        </w:tc>
        <w:tc>
          <w:tcPr>
            <w:tcW w:w="1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liability</w:t>
            </w:r>
          </w:p>
        </w:tc>
        <w:tc>
          <w:tcPr>
            <w:tcW w:w="1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14"/>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 assumed</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r>
      <w:tr>
        <w:trPr>
          <w:trHeight w:val="214"/>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purchase consideration</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w:t>
            </w:r>
          </w:p>
        </w:tc>
      </w:tr>
      <w:tr>
        <w:trPr>
          <w:trHeight w:val="239"/>
        </w:trPr>
        <w:tc>
          <w:tcPr>
            <w:tcW w:w="8200" w:type="dxa"/>
            <w:vAlign w:val="bottom"/>
            <w:tcBorders>
              <w:bottom w:val="single" w:sz="8" w:color="CCEEFF"/>
            </w:tcBorders>
            <w:shd w:val="clear" w:color="auto" w:fill="CCEEFF"/>
          </w:tcPr>
          <w:p>
            <w:pPr>
              <w:ind w:left="20"/>
              <w:spacing w:after="0" w:line="214"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40" w:hanging="136"/>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The goodwill recognized was primarily attributable to the opportunity to expand the user base of the Company's platform. The goodwill is not deductible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0"/>
              </w:rPr>
              <w:t>Estimated weighted average</w:t>
            </w: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vMerge w:val="restart"/>
          </w:tcPr>
          <w:p>
            <w:pPr>
              <w:jc w:val="right"/>
              <w:ind w:right="273"/>
              <w:spacing w:after="0"/>
              <w:rPr>
                <w:sz w:val="20"/>
                <w:szCs w:val="20"/>
                <w:color w:val="auto"/>
              </w:rPr>
            </w:pPr>
            <w:r>
              <w:rPr>
                <w:rFonts w:ascii="Arial" w:cs="Arial" w:eastAsia="Arial" w:hAnsi="Arial"/>
                <w:sz w:val="17"/>
                <w:szCs w:val="17"/>
                <w:color w:val="auto"/>
              </w:rPr>
              <w:t>Estimated fair values</w:t>
            </w:r>
          </w:p>
        </w:tc>
        <w:tc>
          <w:tcPr>
            <w:tcW w:w="140" w:type="dxa"/>
            <w:vAlign w:val="bottom"/>
          </w:tcPr>
          <w:p>
            <w:pPr>
              <w:spacing w:after="0"/>
              <w:rPr>
                <w:sz w:val="14"/>
                <w:szCs w:val="14"/>
                <w:color w:val="auto"/>
              </w:rPr>
            </w:pPr>
          </w:p>
        </w:tc>
        <w:tc>
          <w:tcPr>
            <w:tcW w:w="2180" w:type="dxa"/>
            <w:vAlign w:val="bottom"/>
          </w:tcPr>
          <w:p>
            <w:pPr>
              <w:jc w:val="center"/>
              <w:spacing w:after="0" w:line="169" w:lineRule="exact"/>
              <w:rPr>
                <w:sz w:val="20"/>
                <w:szCs w:val="20"/>
                <w:color w:val="auto"/>
              </w:rPr>
            </w:pPr>
            <w:r>
              <w:rPr>
                <w:rFonts w:ascii="Arial" w:cs="Arial" w:eastAsia="Arial" w:hAnsi="Arial"/>
                <w:sz w:val="17"/>
                <w:szCs w:val="17"/>
                <w:color w:val="auto"/>
                <w:w w:val="92"/>
              </w:rPr>
              <w:t>useful lives</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(In years)</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23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2"/>
              </w:rPr>
              <w:t>4.9</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19.6</w:t>
            </w:r>
          </w:p>
        </w:tc>
        <w:tc>
          <w:tcPr>
            <w:tcW w:w="2320" w:type="dxa"/>
            <w:vAlign w:val="bottom"/>
            <w:gridSpan w:val="2"/>
          </w:tcPr>
          <w:p>
            <w:pPr>
              <w:jc w:val="center"/>
              <w:ind w:left="5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3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14"/>
        </w:trPr>
        <w:tc>
          <w:tcPr>
            <w:tcW w:w="672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160" w:firstLine="430"/>
        <w:spacing w:after="0" w:line="266" w:lineRule="auto"/>
        <w:rPr>
          <w:sz w:val="20"/>
          <w:szCs w:val="20"/>
          <w:color w:val="auto"/>
        </w:rPr>
      </w:pPr>
      <w:r>
        <w:rPr>
          <w:rFonts w:ascii="Arial" w:cs="Arial" w:eastAsia="Arial" w:hAnsi="Arial"/>
          <w:sz w:val="17"/>
          <w:szCs w:val="17"/>
          <w:color w:val="auto"/>
        </w:rPr>
        <w:t>The fair values of the acquisition-related intangibles were determined using the following methodologies: the multi-period excess earnings method, replacement cost method, and the relief from royalty method, for customer relationships, developed technology, and the trade name, respectively. The valuation model inputs required the application of significant judgment by management. At the time of acquisition, the acquired intangible assets had a total weighted average amortization period of 4.9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tcPr>
          <w:p>
            <w:pPr>
              <w:spacing w:after="0"/>
              <w:rPr>
                <w:sz w:val="20"/>
                <w:szCs w:val="20"/>
                <w:color w:val="auto"/>
              </w:rPr>
            </w:pPr>
            <w:r>
              <w:rPr>
                <w:rFonts w:ascii="Arial" w:cs="Arial" w:eastAsia="Arial" w:hAnsi="Arial"/>
                <w:sz w:val="17"/>
                <w:szCs w:val="17"/>
                <w:b w:val="1"/>
                <w:bCs w:val="1"/>
                <w:color w:val="auto"/>
              </w:rPr>
              <w:t>Note 6. Intangible Assets</w:t>
            </w: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5100" w:type="dxa"/>
            <w:vAlign w:val="bottom"/>
          </w:tcPr>
          <w:p>
            <w:pPr>
              <w:ind w:left="440"/>
              <w:spacing w:after="0"/>
              <w:rPr>
                <w:sz w:val="20"/>
                <w:szCs w:val="20"/>
                <w:color w:val="auto"/>
              </w:rPr>
            </w:pPr>
            <w:r>
              <w:rPr>
                <w:rFonts w:ascii="Arial" w:cs="Arial" w:eastAsia="Arial" w:hAnsi="Arial"/>
                <w:sz w:val="17"/>
                <w:szCs w:val="17"/>
                <w:color w:val="auto"/>
              </w:rPr>
              <w:t>Intangible assets consisted of the following:</w:t>
            </w: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2"/>
              </w:rPr>
              <w:t>Weighted-</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69" w:lineRule="exact"/>
              <w:rPr>
                <w:sz w:val="20"/>
                <w:szCs w:val="20"/>
                <w:color w:val="auto"/>
              </w:rPr>
            </w:pPr>
            <w:r>
              <w:rPr>
                <w:rFonts w:ascii="Arial" w:cs="Arial" w:eastAsia="Arial" w:hAnsi="Arial"/>
                <w:sz w:val="17"/>
                <w:szCs w:val="17"/>
                <w:b w:val="1"/>
                <w:bCs w:val="1"/>
                <w:color w:val="auto"/>
                <w:w w:val="87"/>
              </w:rPr>
              <w:t>average</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69" w:lineRule="exact"/>
              <w:rPr>
                <w:sz w:val="20"/>
                <w:szCs w:val="20"/>
                <w:color w:val="auto"/>
              </w:rPr>
            </w:pPr>
            <w:r>
              <w:rPr>
                <w:rFonts w:ascii="Arial" w:cs="Arial" w:eastAsia="Arial" w:hAnsi="Arial"/>
                <w:sz w:val="17"/>
                <w:szCs w:val="17"/>
                <w:b w:val="1"/>
                <w:bCs w:val="1"/>
                <w:color w:val="auto"/>
                <w:w w:val="93"/>
              </w:rPr>
              <w:t>remaining</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0"/>
              </w:rPr>
              <w:t>useful life</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As of June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vMerge w:val="restart"/>
          </w:tcPr>
          <w:p>
            <w:pPr>
              <w:jc w:val="right"/>
              <w:ind w:right="193"/>
              <w:spacing w:after="0"/>
              <w:rPr>
                <w:sz w:val="20"/>
                <w:szCs w:val="20"/>
                <w:color w:val="auto"/>
              </w:rPr>
            </w:pPr>
            <w:r>
              <w:rPr>
                <w:rFonts w:ascii="Arial" w:cs="Arial" w:eastAsia="Arial" w:hAnsi="Arial"/>
                <w:sz w:val="17"/>
                <w:szCs w:val="17"/>
                <w:b w:val="1"/>
                <w:bCs w:val="1"/>
                <w:color w:val="auto"/>
              </w:rPr>
              <w:t>As of December 31,</w:t>
            </w:r>
          </w:p>
        </w:tc>
        <w:tc>
          <w:tcPr>
            <w:tcW w:w="100" w:type="dxa"/>
            <w:vAlign w:val="bottom"/>
          </w:tcPr>
          <w:p>
            <w:pPr>
              <w:spacing w:after="0"/>
              <w:rPr>
                <w:sz w:val="14"/>
                <w:szCs w:val="14"/>
                <w:color w:val="auto"/>
              </w:rPr>
            </w:pPr>
          </w:p>
        </w:tc>
        <w:tc>
          <w:tcPr>
            <w:tcW w:w="1960" w:type="dxa"/>
            <w:vAlign w:val="bottom"/>
          </w:tcPr>
          <w:p>
            <w:pPr>
              <w:jc w:val="center"/>
              <w:spacing w:after="0" w:line="169" w:lineRule="exact"/>
              <w:rPr>
                <w:sz w:val="20"/>
                <w:szCs w:val="20"/>
                <w:color w:val="auto"/>
              </w:rPr>
            </w:pPr>
            <w:r>
              <w:rPr>
                <w:rFonts w:ascii="Arial" w:cs="Arial" w:eastAsia="Arial" w:hAnsi="Arial"/>
                <w:sz w:val="17"/>
                <w:szCs w:val="17"/>
                <w:color w:val="auto"/>
                <w:w w:val="94"/>
              </w:rPr>
              <w:t>(In years)</w:t>
            </w:r>
          </w:p>
        </w:tc>
        <w:tc>
          <w:tcPr>
            <w:tcW w:w="0" w:type="dxa"/>
            <w:vAlign w:val="bottom"/>
          </w:tcPr>
          <w:p>
            <w:pPr>
              <w:spacing w:after="0"/>
              <w:rPr>
                <w:sz w:val="1"/>
                <w:szCs w:val="1"/>
                <w:color w:val="auto"/>
              </w:rPr>
            </w:pPr>
          </w:p>
        </w:tc>
      </w:tr>
      <w:tr>
        <w:trPr>
          <w:trHeight w:val="221"/>
        </w:trPr>
        <w:tc>
          <w:tcPr>
            <w:tcW w:w="5100" w:type="dxa"/>
            <w:vAlign w:val="bottom"/>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As of June 30,</w:t>
            </w:r>
          </w:p>
        </w:tc>
        <w:tc>
          <w:tcPr>
            <w:tcW w:w="0" w:type="dxa"/>
            <w:vAlign w:val="bottom"/>
          </w:tcPr>
          <w:p>
            <w:pPr>
              <w:spacing w:after="0"/>
              <w:rPr>
                <w:sz w:val="1"/>
                <w:szCs w:val="1"/>
                <w:color w:val="auto"/>
              </w:rPr>
            </w:pPr>
          </w:p>
        </w:tc>
      </w:tr>
      <w:tr>
        <w:trPr>
          <w:trHeight w:val="214"/>
        </w:trPr>
        <w:tc>
          <w:tcPr>
            <w:tcW w:w="5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2021</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540" w:type="dxa"/>
            <w:vAlign w:val="bottom"/>
            <w:shd w:val="clear" w:color="auto" w:fill="CCEEFF"/>
          </w:tcPr>
          <w:p>
            <w:pPr>
              <w:jc w:val="right"/>
              <w:ind w:right="135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3.7</w:t>
            </w:r>
          </w:p>
        </w:tc>
        <w:tc>
          <w:tcPr>
            <w:tcW w:w="0" w:type="dxa"/>
            <w:vAlign w:val="bottom"/>
          </w:tcPr>
          <w:p>
            <w:pPr>
              <w:spacing w:after="0"/>
              <w:rPr>
                <w:sz w:val="1"/>
                <w:szCs w:val="1"/>
                <w:color w:val="auto"/>
              </w:rPr>
            </w:pPr>
          </w:p>
        </w:tc>
      </w:tr>
      <w:tr>
        <w:trPr>
          <w:trHeight w:val="221"/>
        </w:trPr>
        <w:tc>
          <w:tcPr>
            <w:tcW w:w="51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20.5</w:t>
            </w:r>
          </w:p>
        </w:tc>
        <w:tc>
          <w:tcPr>
            <w:tcW w:w="206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3.8</w:t>
            </w:r>
          </w:p>
        </w:tc>
        <w:tc>
          <w:tcPr>
            <w:tcW w:w="0" w:type="dxa"/>
            <w:vAlign w:val="bottom"/>
          </w:tcPr>
          <w:p>
            <w:pPr>
              <w:spacing w:after="0"/>
              <w:rPr>
                <w:sz w:val="1"/>
                <w:szCs w:val="1"/>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15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6.2</w:t>
            </w:r>
          </w:p>
        </w:tc>
        <w:tc>
          <w:tcPr>
            <w:tcW w:w="0" w:type="dxa"/>
            <w:vAlign w:val="bottom"/>
          </w:tcPr>
          <w:p>
            <w:pPr>
              <w:spacing w:after="0"/>
              <w:rPr>
                <w:sz w:val="1"/>
                <w:szCs w:val="1"/>
                <w:color w:val="auto"/>
              </w:rPr>
            </w:pPr>
          </w:p>
        </w:tc>
      </w:tr>
      <w:tr>
        <w:trPr>
          <w:trHeight w:val="221"/>
        </w:trPr>
        <w:tc>
          <w:tcPr>
            <w:tcW w:w="5100" w:type="dxa"/>
            <w:vAlign w:val="bottom"/>
          </w:tcPr>
          <w:p>
            <w:pPr>
              <w:ind w:left="20"/>
              <w:spacing w:after="0"/>
              <w:rPr>
                <w:sz w:val="20"/>
                <w:szCs w:val="20"/>
                <w:color w:val="auto"/>
              </w:rPr>
            </w:pPr>
            <w:r>
              <w:rPr>
                <w:rFonts w:ascii="Arial" w:cs="Arial" w:eastAsia="Arial" w:hAnsi="Arial"/>
                <w:sz w:val="17"/>
                <w:szCs w:val="17"/>
                <w:color w:val="auto"/>
              </w:rPr>
              <w:t>Software</w:t>
            </w:r>
          </w:p>
        </w:tc>
        <w:tc>
          <w:tcPr>
            <w:tcW w:w="1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9.0</w:t>
            </w:r>
          </w:p>
        </w:tc>
        <w:tc>
          <w:tcPr>
            <w:tcW w:w="206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0.8</w:t>
            </w:r>
          </w:p>
        </w:tc>
        <w:tc>
          <w:tcPr>
            <w:tcW w:w="0" w:type="dxa"/>
            <w:vAlign w:val="bottom"/>
          </w:tcPr>
          <w:p>
            <w:pPr>
              <w:spacing w:after="0"/>
              <w:rPr>
                <w:sz w:val="1"/>
                <w:szCs w:val="1"/>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 and trade names</w:t>
            </w:r>
          </w:p>
        </w:tc>
        <w:tc>
          <w:tcPr>
            <w:tcW w:w="15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3.1</w:t>
            </w:r>
          </w:p>
        </w:tc>
        <w:tc>
          <w:tcPr>
            <w:tcW w:w="0" w:type="dxa"/>
            <w:vAlign w:val="bottom"/>
          </w:tcPr>
          <w:p>
            <w:pPr>
              <w:spacing w:after="0"/>
              <w:rPr>
                <w:sz w:val="1"/>
                <w:szCs w:val="1"/>
                <w:color w:val="auto"/>
              </w:rPr>
            </w:pPr>
          </w:p>
        </w:tc>
      </w:tr>
      <w:tr>
        <w:trPr>
          <w:trHeight w:val="221"/>
        </w:trPr>
        <w:tc>
          <w:tcPr>
            <w:tcW w:w="5100" w:type="dxa"/>
            <w:vAlign w:val="bottom"/>
          </w:tcPr>
          <w:p>
            <w:pPr>
              <w:ind w:left="20"/>
              <w:spacing w:after="0"/>
              <w:rPr>
                <w:sz w:val="20"/>
                <w:szCs w:val="20"/>
                <w:color w:val="auto"/>
              </w:rPr>
            </w:pPr>
            <w:r>
              <w:rPr>
                <w:rFonts w:ascii="Arial" w:cs="Arial" w:eastAsia="Arial" w:hAnsi="Arial"/>
                <w:sz w:val="17"/>
                <w:szCs w:val="17"/>
                <w:color w:val="auto"/>
              </w:rPr>
              <w:t>Licenses</w:t>
            </w:r>
          </w:p>
        </w:tc>
        <w:tc>
          <w:tcPr>
            <w:tcW w:w="1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Assembled workforce in asset acquisitions</w:t>
            </w:r>
          </w:p>
        </w:tc>
        <w:tc>
          <w:tcPr>
            <w:tcW w:w="15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21"/>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2060" w:type="dxa"/>
            <w:vAlign w:val="bottom"/>
            <w:tcBorders>
              <w:bottom w:val="single" w:sz="8" w:color="CCEEFF"/>
            </w:tcBorders>
            <w:gridSpan w:val="2"/>
          </w:tcPr>
          <w:p>
            <w:pPr>
              <w:jc w:val="center"/>
              <w:ind w:left="13"/>
              <w:spacing w:after="0"/>
              <w:rPr>
                <w:sz w:val="20"/>
                <w:szCs w:val="20"/>
                <w:color w:val="auto"/>
              </w:rPr>
            </w:pPr>
            <w:r>
              <w:rPr>
                <w:rFonts w:ascii="Arial" w:cs="Arial" w:eastAsia="Arial" w:hAnsi="Arial"/>
                <w:sz w:val="17"/>
                <w:szCs w:val="17"/>
                <w:color w:val="auto"/>
                <w:w w:val="84"/>
              </w:rPr>
              <w:t>4.2</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intangibles</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103.9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(55.0)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540" w:type="dxa"/>
            <w:vAlign w:val="bottom"/>
            <w:tcBorders>
              <w:bottom w:val="single" w:sz="8" w:color="auto"/>
            </w:tcBorders>
            <w:shd w:val="clear" w:color="auto" w:fill="CCEEFF"/>
          </w:tcPr>
          <w:p>
            <w:pPr>
              <w:jc w:val="right"/>
              <w:ind w:right="135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00" w:firstLine="430"/>
        <w:spacing w:after="0" w:line="286" w:lineRule="auto"/>
        <w:rPr>
          <w:sz w:val="20"/>
          <w:szCs w:val="20"/>
          <w:color w:val="auto"/>
        </w:rPr>
      </w:pPr>
      <w:r>
        <w:rPr>
          <w:rFonts w:ascii="Arial" w:cs="Arial" w:eastAsia="Arial" w:hAnsi="Arial"/>
          <w:sz w:val="17"/>
          <w:szCs w:val="17"/>
          <w:color w:val="auto"/>
        </w:rPr>
        <w:t>Amortization expense was $4.1 million and $7.2 million for the three and six months ended June 30, 2021, respectively, and $3.5 million and $7.0 million for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9000" w:type="dxa"/>
            <w:vAlign w:val="bottom"/>
          </w:tcPr>
          <w:p>
            <w:pPr>
              <w:ind w:left="400"/>
              <w:spacing w:after="0"/>
              <w:rPr>
                <w:sz w:val="20"/>
                <w:szCs w:val="20"/>
                <w:color w:val="auto"/>
              </w:rPr>
            </w:pPr>
            <w:r>
              <w:rPr>
                <w:rFonts w:ascii="Arial" w:cs="Arial" w:eastAsia="Arial" w:hAnsi="Arial"/>
                <w:sz w:val="17"/>
                <w:szCs w:val="17"/>
                <w:color w:val="auto"/>
              </w:rPr>
              <w:t>Expected future amortization expense for intangible assets as of June 30, 2021 is as follows:</w:t>
            </w:r>
          </w:p>
        </w:tc>
        <w:tc>
          <w:tcPr>
            <w:tcW w:w="9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1"/>
        </w:trPr>
        <w:tc>
          <w:tcPr>
            <w:tcW w:w="9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1"/>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Remaining six months of Fiscal 2021</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21"/>
        </w:trPr>
        <w:tc>
          <w:tcPr>
            <w:tcW w:w="9000" w:type="dxa"/>
            <w:vAlign w:val="bottom"/>
          </w:tcPr>
          <w:p>
            <w:pPr>
              <w:spacing w:after="0"/>
              <w:rPr>
                <w:sz w:val="20"/>
                <w:szCs w:val="20"/>
                <w:color w:val="auto"/>
              </w:rPr>
            </w:pPr>
            <w:r>
              <w:rPr>
                <w:rFonts w:ascii="Arial" w:cs="Arial" w:eastAsia="Arial" w:hAnsi="Arial"/>
                <w:sz w:val="17"/>
                <w:szCs w:val="17"/>
                <w:color w:val="auto"/>
              </w:rPr>
              <w:t>2022</w:t>
            </w:r>
          </w:p>
        </w:tc>
        <w:tc>
          <w:tcPr>
            <w:tcW w:w="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21"/>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21"/>
        </w:trPr>
        <w:tc>
          <w:tcPr>
            <w:tcW w:w="9000" w:type="dxa"/>
            <w:vAlign w:val="bottom"/>
          </w:tcPr>
          <w:p>
            <w:pPr>
              <w:spacing w:after="0"/>
              <w:rPr>
                <w:sz w:val="20"/>
                <w:szCs w:val="20"/>
                <w:color w:val="auto"/>
              </w:rPr>
            </w:pPr>
            <w:r>
              <w:rPr>
                <w:rFonts w:ascii="Arial" w:cs="Arial" w:eastAsia="Arial" w:hAnsi="Arial"/>
                <w:sz w:val="17"/>
                <w:szCs w:val="17"/>
                <w:color w:val="auto"/>
              </w:rPr>
              <w:t>2024</w:t>
            </w:r>
          </w:p>
        </w:tc>
        <w:tc>
          <w:tcPr>
            <w:tcW w:w="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21"/>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21"/>
        </w:trPr>
        <w:tc>
          <w:tcPr>
            <w:tcW w:w="9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39"/>
        </w:trPr>
        <w:tc>
          <w:tcPr>
            <w:tcW w:w="9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w:t>
      </w:r>
    </w:p>
    <w:p>
      <w:pPr>
        <w:spacing w:after="0" w:line="253" w:lineRule="exact"/>
        <w:rPr>
          <w:sz w:val="20"/>
          <w:szCs w:val="20"/>
          <w:color w:val="auto"/>
        </w:rPr>
      </w:pPr>
    </w:p>
    <w:p>
      <w:pPr>
        <w:ind w:right="480" w:firstLine="430"/>
        <w:spacing w:after="0" w:line="286"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480" w:type="dxa"/>
            <w:vAlign w:val="bottom"/>
            <w:shd w:val="clear" w:color="auto" w:fill="CCEEFF"/>
          </w:tcPr>
          <w:p>
            <w:pPr>
              <w:jc w:val="right"/>
              <w:ind w:right="1273"/>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r>
      <w:tr>
        <w:trPr>
          <w:trHeight w:val="221"/>
        </w:trPr>
        <w:tc>
          <w:tcPr>
            <w:tcW w:w="7920" w:type="dxa"/>
            <w:vAlign w:val="bottom"/>
          </w:tcPr>
          <w:p>
            <w:pPr>
              <w:ind w:left="200"/>
              <w:spacing w:after="0"/>
              <w:rPr>
                <w:sz w:val="20"/>
                <w:szCs w:val="20"/>
                <w:color w:val="auto"/>
              </w:rPr>
            </w:pPr>
            <w:r>
              <w:rPr>
                <w:rFonts w:ascii="Arial" w:cs="Arial" w:eastAsia="Arial" w:hAnsi="Arial"/>
                <w:sz w:val="17"/>
                <w:szCs w:val="17"/>
                <w:color w:val="auto"/>
              </w:rPr>
              <w:t>DocSend acquisition</w:t>
            </w:r>
          </w:p>
        </w:tc>
        <w:tc>
          <w:tcPr>
            <w:tcW w:w="14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110.1</w:t>
            </w:r>
          </w:p>
        </w:tc>
      </w:tr>
      <w:tr>
        <w:trPr>
          <w:trHeight w:val="221"/>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Effect of foreign currency translation</w:t>
            </w:r>
          </w:p>
        </w:tc>
        <w:tc>
          <w:tcPr>
            <w:tcW w:w="14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4"/>
        </w:trPr>
        <w:tc>
          <w:tcPr>
            <w:tcW w:w="7920" w:type="dxa"/>
            <w:vAlign w:val="bottom"/>
          </w:tcPr>
          <w:p>
            <w:pPr>
              <w:ind w:left="20"/>
              <w:spacing w:after="0"/>
              <w:rPr>
                <w:sz w:val="20"/>
                <w:szCs w:val="20"/>
                <w:color w:val="auto"/>
              </w:rPr>
            </w:pPr>
            <w:r>
              <w:rPr>
                <w:rFonts w:ascii="Arial" w:cs="Arial" w:eastAsia="Arial" w:hAnsi="Arial"/>
                <w:sz w:val="17"/>
                <w:szCs w:val="17"/>
                <w:color w:val="auto"/>
              </w:rPr>
              <w:t>Balance at June 30, 2021</w:t>
            </w:r>
          </w:p>
        </w:tc>
        <w:tc>
          <w:tcPr>
            <w:tcW w:w="1480" w:type="dxa"/>
            <w:vAlign w:val="bottom"/>
            <w:tcBorders>
              <w:bottom w:val="single" w:sz="8" w:color="auto"/>
            </w:tcBorders>
          </w:tcPr>
          <w:p>
            <w:pPr>
              <w:jc w:val="right"/>
              <w:ind w:right="1273"/>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346.8</w:t>
            </w:r>
          </w:p>
        </w:tc>
      </w:tr>
      <w:tr>
        <w:trPr>
          <w:trHeight w:val="20"/>
        </w:trPr>
        <w:tc>
          <w:tcPr>
            <w:tcW w:w="7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700" w:firstLine="430"/>
        <w:spacing w:after="0" w:line="286" w:lineRule="auto"/>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as of June 30, 2021 and December 31, 2020.</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Debt</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4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In April 2017, the Company entered into an amended and restated credit and guaranty agreement which provided for a $600.0 million revolving loan facility (as amended from time to time, the “revolving credit facility”). In conjunction with the revolving credit facility, the Company paid upfront issuance fees of $2.6 million, which are being amortized over the five-year term of the agreement.</w:t>
      </w:r>
    </w:p>
    <w:p>
      <w:pPr>
        <w:spacing w:after="0" w:line="197" w:lineRule="exact"/>
        <w:rPr>
          <w:sz w:val="20"/>
          <w:szCs w:val="20"/>
          <w:color w:val="auto"/>
        </w:rPr>
      </w:pPr>
    </w:p>
    <w:p>
      <w:pPr>
        <w:ind w:right="120" w:firstLine="430"/>
        <w:spacing w:after="0" w:line="279" w:lineRule="auto"/>
        <w:rPr>
          <w:sz w:val="20"/>
          <w:szCs w:val="20"/>
          <w:color w:val="auto"/>
        </w:rPr>
      </w:pPr>
      <w:r>
        <w:rPr>
          <w:rFonts w:ascii="Arial" w:cs="Arial" w:eastAsia="Arial" w:hAnsi="Arial"/>
          <w:sz w:val="16"/>
          <w:szCs w:val="16"/>
          <w:color w:val="auto"/>
        </w:rPr>
        <w:t>In February 2018, the Company amended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The Company may from time to time request increases in its borrowing capacity under the revolving credit facility of up to $250.0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w:t>
      </w:r>
    </w:p>
    <w:p>
      <w:pPr>
        <w:spacing w:after="0" w:line="196" w:lineRule="exact"/>
        <w:rPr>
          <w:sz w:val="20"/>
          <w:szCs w:val="20"/>
          <w:color w:val="auto"/>
        </w:rPr>
      </w:pPr>
    </w:p>
    <w:p>
      <w:pPr>
        <w:ind w:right="40" w:firstLine="430"/>
        <w:spacing w:after="0" w:line="26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Company’s option, at an annual rate based on LIBOR plus a spread of 1.375% or at an alternative base rate plus a spread of 0.375%.</w:t>
      </w:r>
    </w:p>
    <w:p>
      <w:pPr>
        <w:spacing w:after="0" w:line="247" w:lineRule="exact"/>
        <w:rPr>
          <w:sz w:val="20"/>
          <w:szCs w:val="20"/>
          <w:color w:val="auto"/>
        </w:rPr>
      </w:pPr>
    </w:p>
    <w:p>
      <w:pPr>
        <w:ind w:right="20" w:firstLine="430"/>
        <w:spacing w:after="0" w:line="263"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June 30, 2021 and December 31, 2020, respectively.</w:t>
      </w:r>
    </w:p>
    <w:p>
      <w:pPr>
        <w:spacing w:after="0" w:line="205" w:lineRule="exact"/>
        <w:rPr>
          <w:sz w:val="20"/>
          <w:szCs w:val="20"/>
          <w:color w:val="auto"/>
        </w:rPr>
      </w:pPr>
    </w:p>
    <w:p>
      <w:pPr>
        <w:ind w:right="100" w:firstLine="430"/>
        <w:spacing w:after="0" w:line="271" w:lineRule="auto"/>
        <w:rPr>
          <w:sz w:val="20"/>
          <w:szCs w:val="20"/>
          <w:color w:val="auto"/>
        </w:rPr>
      </w:pPr>
      <w:r>
        <w:rPr>
          <w:rFonts w:ascii="Arial" w:cs="Arial" w:eastAsia="Arial" w:hAnsi="Arial"/>
          <w:sz w:val="17"/>
          <w:szCs w:val="17"/>
          <w:color w:val="auto"/>
        </w:rPr>
        <w:t>The Company had an aggregate of $52.4 million of letters of credit outstanding under the revolving credit facility as of June 30, 2021, and the Company’s total available borrowing capacity under the revolving credit facility was $447.6 million as of June 30, 2021. The Company’s letters of credit have final expiration dates through 2036.</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47"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as amended (the “Securities Act”). The net proceeds from the sale of the Notes were approximately $1.4 billion after deducting offering and issuance costs related to the Notes.</w:t>
      </w:r>
    </w:p>
    <w:p>
      <w:pPr>
        <w:spacing w:after="0" w:line="201" w:lineRule="exact"/>
        <w:rPr>
          <w:sz w:val="20"/>
          <w:szCs w:val="20"/>
          <w:color w:val="auto"/>
        </w:rPr>
      </w:pPr>
    </w:p>
    <w:p>
      <w:pPr>
        <w:ind w:right="100" w:firstLine="430"/>
        <w:spacing w:after="0" w:line="323" w:lineRule="auto"/>
        <w:rPr>
          <w:sz w:val="20"/>
          <w:szCs w:val="20"/>
          <w:color w:val="auto"/>
        </w:rPr>
      </w:pPr>
      <w:r>
        <w:rPr>
          <w:rFonts w:ascii="Arial" w:cs="Arial" w:eastAsia="Arial" w:hAnsi="Arial"/>
          <w:sz w:val="15"/>
          <w:szCs w:val="15"/>
          <w:color w:val="auto"/>
        </w:rPr>
        <w:t>The Notes of each series do not bear regular interest. The Notes of each series may bear special interest as the remedy relating to the Company’s failure to comply with certain of its reporting obligations. The Company has complied with this reporting obligations from the issuance date through June 30, 2021. The 2026 Notes will mature on March 1, 2026, and the 2028 Notes will mature on March 1, 2028, in each case, unless earlier converted, redeemed or repurchased.</w:t>
      </w:r>
    </w:p>
    <w:p>
      <w:pPr>
        <w:spacing w:after="0" w:line="163" w:lineRule="exact"/>
        <w:rPr>
          <w:sz w:val="20"/>
          <w:szCs w:val="20"/>
          <w:color w:val="auto"/>
        </w:rPr>
      </w:pPr>
    </w:p>
    <w:p>
      <w:pPr>
        <w:ind w:firstLine="430"/>
        <w:spacing w:after="0" w:line="277" w:lineRule="auto"/>
        <w:rPr>
          <w:sz w:val="20"/>
          <w:szCs w:val="20"/>
          <w:color w:val="auto"/>
        </w:rPr>
      </w:pPr>
      <w:r>
        <w:rPr>
          <w:rFonts w:ascii="Arial" w:cs="Arial" w:eastAsia="Arial" w:hAnsi="Arial"/>
          <w:sz w:val="16"/>
          <w:szCs w:val="16"/>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June 30, 2021.</w:t>
      </w:r>
    </w:p>
    <w:p>
      <w:pPr>
        <w:spacing w:after="0" w:line="195"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June 30, 2021. In addition, during the three and six months ended June 30, 2021, the conditions allowing holders of the Notes to convert were not met. As a result, the Notes are not convertible during the three and six months ended June 30, 2021.</w:t>
      </w:r>
    </w:p>
    <w:p>
      <w:pPr>
        <w:spacing w:after="0" w:line="205" w:lineRule="exact"/>
        <w:rPr>
          <w:sz w:val="20"/>
          <w:szCs w:val="20"/>
          <w:color w:val="auto"/>
        </w:rPr>
      </w:pPr>
    </w:p>
    <w:p>
      <w:pPr>
        <w:ind w:right="100" w:firstLine="430"/>
        <w:spacing w:after="0" w:line="261" w:lineRule="auto"/>
        <w:rPr>
          <w:sz w:val="20"/>
          <w:szCs w:val="20"/>
          <w:color w:val="auto"/>
        </w:rPr>
      </w:pPr>
      <w:r>
        <w:rPr>
          <w:rFonts w:ascii="Arial" w:cs="Arial" w:eastAsia="Arial" w:hAnsi="Arial"/>
          <w:sz w:val="17"/>
          <w:szCs w:val="17"/>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jc w:val="both"/>
        <w:ind w:right="120"/>
        <w:spacing w:after="0" w:line="295" w:lineRule="auto"/>
        <w:rPr>
          <w:sz w:val="20"/>
          <w:szCs w:val="20"/>
          <w:color w:val="auto"/>
        </w:rPr>
      </w:pPr>
      <w:r>
        <w:rPr>
          <w:rFonts w:ascii="Arial" w:cs="Arial" w:eastAsia="Arial" w:hAnsi="Arial"/>
          <w:sz w:val="15"/>
          <w:szCs w:val="15"/>
          <w:color w:val="auto"/>
        </w:rPr>
        <w:t>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 upon the occurrence of specified corporate transactions.</w:t>
      </w:r>
    </w:p>
    <w:p>
      <w:pPr>
        <w:spacing w:after="0" w:line="235"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197" w:lineRule="exact"/>
        <w:rPr>
          <w:sz w:val="20"/>
          <w:szCs w:val="20"/>
          <w:color w:val="auto"/>
        </w:rPr>
      </w:pPr>
    </w:p>
    <w:p>
      <w:pPr>
        <w:ind w:right="60" w:firstLine="430"/>
        <w:spacing w:after="0" w:line="262" w:lineRule="auto"/>
        <w:rPr>
          <w:sz w:val="20"/>
          <w:szCs w:val="20"/>
          <w:color w:val="auto"/>
        </w:rPr>
      </w:pPr>
      <w:r>
        <w:rPr>
          <w:rFonts w:ascii="Arial" w:cs="Arial" w:eastAsia="Arial" w:hAnsi="Arial"/>
          <w:sz w:val="17"/>
          <w:szCs w:val="17"/>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204" w:lineRule="exact"/>
        <w:rPr>
          <w:sz w:val="20"/>
          <w:szCs w:val="20"/>
          <w:color w:val="auto"/>
        </w:rPr>
      </w:pPr>
    </w:p>
    <w:p>
      <w:pPr>
        <w:ind w:right="60" w:firstLine="430"/>
        <w:spacing w:after="0" w:line="287" w:lineRule="auto"/>
        <w:rPr>
          <w:sz w:val="20"/>
          <w:szCs w:val="20"/>
          <w:color w:val="auto"/>
        </w:rPr>
      </w:pPr>
      <w:r>
        <w:rPr>
          <w:rFonts w:ascii="Arial" w:cs="Arial" w:eastAsia="Arial" w:hAnsi="Arial"/>
          <w:sz w:val="16"/>
          <w:szCs w:val="16"/>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88" w:lineRule="exact"/>
        <w:rPr>
          <w:sz w:val="20"/>
          <w:szCs w:val="20"/>
          <w:color w:val="auto"/>
        </w:rPr>
      </w:pPr>
    </w:p>
    <w:p>
      <w:pPr>
        <w:ind w:right="60" w:firstLine="430"/>
        <w:spacing w:after="0" w:line="312" w:lineRule="auto"/>
        <w:rPr>
          <w:sz w:val="20"/>
          <w:szCs w:val="20"/>
          <w:color w:val="auto"/>
        </w:rPr>
      </w:pPr>
      <w:r>
        <w:rPr>
          <w:rFonts w:ascii="Arial" w:cs="Arial" w:eastAsia="Arial" w:hAnsi="Arial"/>
          <w:sz w:val="15"/>
          <w:szCs w:val="15"/>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71" w:lineRule="exact"/>
        <w:rPr>
          <w:sz w:val="20"/>
          <w:szCs w:val="20"/>
          <w:color w:val="auto"/>
        </w:rPr>
      </w:pPr>
    </w:p>
    <w:p>
      <w:pPr>
        <w:jc w:val="both"/>
        <w:ind w:right="300" w:firstLine="430"/>
        <w:spacing w:after="0" w:line="271" w:lineRule="auto"/>
        <w:rPr>
          <w:sz w:val="20"/>
          <w:szCs w:val="20"/>
          <w:color w:val="auto"/>
        </w:rPr>
      </w:pPr>
      <w:r>
        <w:rPr>
          <w:rFonts w:ascii="Arial" w:cs="Arial" w:eastAsia="Arial" w:hAnsi="Arial"/>
          <w:sz w:val="17"/>
          <w:szCs w:val="17"/>
          <w:color w:val="auto"/>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the Company’s convertible senior notes as of June 30,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2026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Total</w:t>
            </w:r>
          </w:p>
        </w:tc>
      </w:tr>
      <w:tr>
        <w:trPr>
          <w:trHeight w:val="214"/>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 balance</w:t>
            </w:r>
          </w:p>
        </w:tc>
        <w:tc>
          <w:tcPr>
            <w:tcW w:w="148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rPr>
              <w:t>695.8</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rPr>
              <w:t>693.3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1,389.1</w:t>
            </w:r>
          </w:p>
        </w:tc>
      </w:tr>
      <w:tr>
        <w:trPr>
          <w:trHeight w:val="221"/>
        </w:trPr>
        <w:tc>
          <w:tcPr>
            <w:tcW w:w="4960" w:type="dxa"/>
            <w:vAlign w:val="bottom"/>
          </w:tcPr>
          <w:p>
            <w:pPr>
              <w:ind w:left="20"/>
              <w:spacing w:after="0"/>
              <w:rPr>
                <w:sz w:val="20"/>
                <w:szCs w:val="20"/>
                <w:color w:val="auto"/>
              </w:rPr>
            </w:pPr>
            <w:r>
              <w:rPr>
                <w:rFonts w:ascii="Arial" w:cs="Arial" w:eastAsia="Arial" w:hAnsi="Arial"/>
                <w:sz w:val="17"/>
                <w:szCs w:val="17"/>
                <w:color w:val="auto"/>
              </w:rPr>
              <w:t>Unamortized issuance costs</w:t>
            </w:r>
          </w:p>
        </w:tc>
        <w:tc>
          <w:tcPr>
            <w:tcW w:w="1480" w:type="dxa"/>
            <w:vAlign w:val="bottom"/>
          </w:tcPr>
          <w:p>
            <w:pPr>
              <w:spacing w:after="0"/>
              <w:rPr>
                <w:sz w:val="19"/>
                <w:szCs w:val="19"/>
                <w:color w:val="auto"/>
              </w:rPr>
            </w:pPr>
          </w:p>
        </w:tc>
        <w:tc>
          <w:tcPr>
            <w:tcW w:w="540" w:type="dxa"/>
            <w:vAlign w:val="bottom"/>
          </w:tcPr>
          <w:p>
            <w:pPr>
              <w:ind w:left="100"/>
              <w:spacing w:after="0"/>
              <w:rPr>
                <w:sz w:val="20"/>
                <w:szCs w:val="20"/>
                <w:color w:val="auto"/>
              </w:rPr>
            </w:pPr>
            <w:r>
              <w:rPr>
                <w:rFonts w:ascii="Arial" w:cs="Arial" w:eastAsia="Arial" w:hAnsi="Arial"/>
                <w:sz w:val="17"/>
                <w:szCs w:val="17"/>
                <w:color w:val="auto"/>
                <w:w w:val="94"/>
              </w:rPr>
              <w:t>(10.3)</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ind w:left="100"/>
              <w:spacing w:after="0"/>
              <w:rPr>
                <w:sz w:val="20"/>
                <w:szCs w:val="20"/>
                <w:color w:val="auto"/>
              </w:rPr>
            </w:pPr>
            <w:r>
              <w:rPr>
                <w:rFonts w:ascii="Arial" w:cs="Arial" w:eastAsia="Arial" w:hAnsi="Arial"/>
                <w:sz w:val="17"/>
                <w:szCs w:val="17"/>
                <w:color w:val="auto"/>
                <w:w w:val="94"/>
              </w:rPr>
              <w:t>(10.4)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(20.7)</w:t>
            </w:r>
          </w:p>
        </w:tc>
      </w:tr>
      <w:tr>
        <w:trPr>
          <w:trHeight w:val="221"/>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Carrying value, net</w:t>
            </w: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rPr>
              <w:t>685.5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rPr>
              <w:t>682.9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1,368.4</w:t>
            </w:r>
          </w:p>
        </w:tc>
      </w:tr>
    </w:tbl>
    <w:p>
      <w:pPr>
        <w:spacing w:after="0" w:line="313" w:lineRule="exact"/>
        <w:rPr>
          <w:sz w:val="20"/>
          <w:szCs w:val="20"/>
          <w:color w:val="auto"/>
        </w:rPr>
      </w:pPr>
    </w:p>
    <w:p>
      <w:pPr>
        <w:ind w:right="120" w:firstLine="430"/>
        <w:spacing w:after="0" w:line="312" w:lineRule="auto"/>
        <w:rPr>
          <w:sz w:val="20"/>
          <w:szCs w:val="20"/>
          <w:color w:val="auto"/>
        </w:rPr>
      </w:pPr>
      <w:r>
        <w:rPr>
          <w:rFonts w:ascii="Arial" w:cs="Arial" w:eastAsia="Arial" w:hAnsi="Arial"/>
          <w:sz w:val="15"/>
          <w:szCs w:val="15"/>
          <w:color w:val="auto"/>
        </w:rPr>
        <w:t>During the three months ended June 30, 2021, the Company recognized $0.6 million and $0.3 million in interest expense for the 2026 Notes and the 2028 Notes, respectively, with such interest expense solely consisting of amortization of issuance costs. During the six months ended June 30, 2021, the Company recognized $0.8 million and $0.5 million in interest expense for the 2026 Notes and the 2028 Notes, respectively, with such interest expense solely consisting of amortization of issuance costs. The effective interest rate for the 2026 Notes and the 2028 Notes was 0.32% and 0.22%, respectively,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20" w:type="dxa"/>
            <w:vAlign w:val="bottom"/>
          </w:tcPr>
          <w:p>
            <w:pPr>
              <w:ind w:left="440"/>
              <w:spacing w:after="0"/>
              <w:rPr>
                <w:sz w:val="20"/>
                <w:szCs w:val="20"/>
                <w:color w:val="auto"/>
              </w:rPr>
            </w:pPr>
            <w:r>
              <w:rPr>
                <w:rFonts w:ascii="Arial" w:cs="Arial" w:eastAsia="Arial" w:hAnsi="Arial"/>
                <w:sz w:val="17"/>
                <w:szCs w:val="17"/>
                <w:color w:val="auto"/>
              </w:rPr>
              <w:t>Maturities on the Company's long-term convertible debt are as follows:</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2"/>
        </w:trPr>
        <w:tc>
          <w:tcPr>
            <w:tcW w:w="9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Convertible Debt</w:t>
            </w:r>
          </w:p>
        </w:tc>
      </w:tr>
      <w:tr>
        <w:trPr>
          <w:trHeight w:val="214"/>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July 1, 2021 through December 31, 2021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22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22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220" w:type="dxa"/>
            <w:vAlign w:val="bottom"/>
          </w:tcPr>
          <w:p>
            <w:pPr>
              <w:ind w:left="20"/>
              <w:spacing w:after="0"/>
              <w:rPr>
                <w:sz w:val="20"/>
                <w:szCs w:val="20"/>
                <w:color w:val="auto"/>
              </w:rPr>
            </w:pPr>
            <w:r>
              <w:rPr>
                <w:rFonts w:ascii="Arial" w:cs="Arial" w:eastAsia="Arial" w:hAnsi="Arial"/>
                <w:sz w:val="17"/>
                <w:szCs w:val="17"/>
                <w:color w:val="auto"/>
              </w:rPr>
              <w:t>2026</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695.8</w:t>
            </w:r>
          </w:p>
        </w:tc>
      </w:tr>
      <w:tr>
        <w:trPr>
          <w:trHeight w:val="221"/>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693.3</w:t>
            </w:r>
          </w:p>
        </w:tc>
      </w:tr>
      <w:tr>
        <w:trPr>
          <w:trHeight w:val="214"/>
        </w:trPr>
        <w:tc>
          <w:tcPr>
            <w:tcW w:w="922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1,389.1</w:t>
            </w:r>
          </w:p>
        </w:tc>
      </w:tr>
    </w:tbl>
    <w:p>
      <w:pPr>
        <w:spacing w:after="0" w:line="31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Note Hedges and Warrants</w:t>
      </w:r>
    </w:p>
    <w:p>
      <w:pPr>
        <w:spacing w:after="0" w:line="247" w:lineRule="exact"/>
        <w:rPr>
          <w:sz w:val="20"/>
          <w:szCs w:val="20"/>
          <w:color w:val="auto"/>
        </w:rPr>
      </w:pPr>
    </w:p>
    <w:p>
      <w:pPr>
        <w:jc w:val="both"/>
        <w:ind w:firstLine="430"/>
        <w:spacing w:after="0" w:line="312" w:lineRule="auto"/>
        <w:rPr>
          <w:sz w:val="20"/>
          <w:szCs w:val="20"/>
          <w:color w:val="auto"/>
        </w:rPr>
      </w:pPr>
      <w:r>
        <w:rPr>
          <w:rFonts w:ascii="Arial" w:cs="Arial" w:eastAsia="Arial" w:hAnsi="Arial"/>
          <w:sz w:val="15"/>
          <w:szCs w:val="15"/>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spacing w:after="0" w:line="171"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spacing w:after="0" w:line="205" w:lineRule="exact"/>
        <w:rPr>
          <w:sz w:val="20"/>
          <w:szCs w:val="20"/>
          <w:color w:val="auto"/>
        </w:rPr>
      </w:pPr>
    </w:p>
    <w:p>
      <w:pPr>
        <w:ind w:right="40" w:firstLine="430"/>
        <w:spacing w:after="0" w:line="263" w:lineRule="auto"/>
        <w:rPr>
          <w:sz w:val="20"/>
          <w:szCs w:val="20"/>
          <w:color w:val="auto"/>
        </w:rPr>
      </w:pPr>
      <w:r>
        <w:rPr>
          <w:rFonts w:ascii="Arial" w:cs="Arial" w:eastAsia="Arial" w:hAnsi="Arial"/>
          <w:sz w:val="17"/>
          <w:szCs w:val="17"/>
          <w:color w:val="auto"/>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June 30, 2021, the Company’s stock price was below the exercise price of the respective Note Hedges.</w:t>
      </w:r>
    </w:p>
    <w:p>
      <w:pPr>
        <w:spacing w:after="0" w:line="205" w:lineRule="exact"/>
        <w:rPr>
          <w:sz w:val="20"/>
          <w:szCs w:val="20"/>
          <w:color w:val="auto"/>
        </w:rPr>
      </w:pPr>
    </w:p>
    <w:p>
      <w:pPr>
        <w:ind w:right="60" w:firstLine="430"/>
        <w:spacing w:after="0" w:line="287" w:lineRule="auto"/>
        <w:rPr>
          <w:sz w:val="20"/>
          <w:szCs w:val="20"/>
          <w:color w:val="auto"/>
        </w:rPr>
      </w:pPr>
      <w:r>
        <w:rPr>
          <w:rFonts w:ascii="Arial" w:cs="Arial" w:eastAsia="Arial" w:hAnsi="Arial"/>
          <w:sz w:val="16"/>
          <w:szCs w:val="16"/>
          <w:color w:val="auto"/>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spacing w:after="0" w:line="188" w:lineRule="exact"/>
        <w:rPr>
          <w:sz w:val="20"/>
          <w:szCs w:val="20"/>
          <w:color w:val="auto"/>
        </w:rPr>
      </w:pPr>
    </w:p>
    <w:p>
      <w:pPr>
        <w:ind w:right="40" w:firstLine="430"/>
        <w:spacing w:after="0" w:line="262" w:lineRule="auto"/>
        <w:rPr>
          <w:sz w:val="20"/>
          <w:szCs w:val="20"/>
          <w:color w:val="auto"/>
        </w:rPr>
      </w:pPr>
      <w:r>
        <w:rPr>
          <w:rFonts w:ascii="Arial" w:cs="Arial" w:eastAsia="Arial" w:hAnsi="Arial"/>
          <w:sz w:val="17"/>
          <w:szCs w:val="17"/>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June 30, 2021, the Company’s Class common stock price was below the exercise price of the Warrants.</w:t>
      </w:r>
    </w:p>
    <w:p>
      <w:pPr>
        <w:spacing w:after="0" w:line="204" w:lineRule="exact"/>
        <w:rPr>
          <w:sz w:val="20"/>
          <w:szCs w:val="20"/>
          <w:color w:val="auto"/>
        </w:rPr>
      </w:pPr>
    </w:p>
    <w:p>
      <w:pPr>
        <w:ind w:right="40" w:firstLine="430"/>
        <w:spacing w:after="0" w:line="271" w:lineRule="auto"/>
        <w:rPr>
          <w:sz w:val="20"/>
          <w:szCs w:val="20"/>
          <w:color w:val="auto"/>
        </w:rPr>
      </w:pPr>
      <w:r>
        <w:rPr>
          <w:rFonts w:ascii="Arial" w:cs="Arial" w:eastAsia="Arial" w:hAnsi="Arial"/>
          <w:sz w:val="17"/>
          <w:szCs w:val="17"/>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40" w:firstLine="430"/>
        <w:spacing w:after="0" w:line="287" w:lineRule="auto"/>
        <w:rPr>
          <w:sz w:val="20"/>
          <w:szCs w:val="20"/>
          <w:color w:val="auto"/>
        </w:rPr>
      </w:pPr>
      <w:r>
        <w:rPr>
          <w:rFonts w:ascii="Arial" w:cs="Arial" w:eastAsia="Arial" w:hAnsi="Arial"/>
          <w:sz w:val="16"/>
          <w:szCs w:val="16"/>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equity, and the premium received for the Warrants has been included as a net increase to additional paid-in capital within stockholders' (deficit) equity.</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253" w:lineRule="exact"/>
        <w:rPr>
          <w:sz w:val="20"/>
          <w:szCs w:val="20"/>
          <w:color w:val="auto"/>
        </w:rPr>
      </w:pPr>
    </w:p>
    <w:p>
      <w:pPr>
        <w:jc w:val="both"/>
        <w:ind w:right="60" w:firstLine="391"/>
        <w:spacing w:after="0" w:line="286" w:lineRule="auto"/>
        <w:rPr>
          <w:sz w:val="20"/>
          <w:szCs w:val="20"/>
          <w:color w:val="auto"/>
        </w:rPr>
      </w:pPr>
      <w:r>
        <w:rPr>
          <w:rFonts w:ascii="Arial" w:cs="Arial" w:eastAsia="Arial" w:hAnsi="Arial"/>
          <w:sz w:val="17"/>
          <w:szCs w:val="17"/>
          <w:color w:val="auto"/>
        </w:rPr>
        <w:t>The Company has operating leases for corporate offices and data centers, and finance leases for infrastructure and office equipment. The Company’s leases have remaining lease terms of 1 year to 15 years, some of which include options to extend the leases for up to 5 years.</w:t>
      </w:r>
    </w:p>
    <w:p>
      <w:pPr>
        <w:spacing w:after="0" w:line="185" w:lineRule="exact"/>
        <w:rPr>
          <w:sz w:val="20"/>
          <w:szCs w:val="20"/>
          <w:color w:val="auto"/>
        </w:rPr>
      </w:pPr>
    </w:p>
    <w:p>
      <w:pPr>
        <w:jc w:val="both"/>
        <w:ind w:right="80" w:firstLine="391"/>
        <w:spacing w:after="0" w:line="323" w:lineRule="auto"/>
        <w:rPr>
          <w:sz w:val="20"/>
          <w:szCs w:val="20"/>
          <w:color w:val="auto"/>
        </w:rPr>
      </w:pPr>
      <w:r>
        <w:rPr>
          <w:rFonts w:ascii="Arial" w:cs="Arial" w:eastAsia="Arial" w:hAnsi="Arial"/>
          <w:sz w:val="15"/>
          <w:szCs w:val="15"/>
          <w:color w:val="auto"/>
        </w:rPr>
        <w:t>The Company also has subleases for several floors of its former corporate offices. The Company classifies its subleases as operating leases. The subleases have remaining lease terms of 1 year to 12 years. Sublease income, which is recorded as a reduction of rental expense, was $4.0 million and $7.9 million during the three and six months ended June 30, 2021, respectively, and $1.7 million and $3.5 million during the three and six months ended June 30, 2020, respectively.</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Future minimum lease payments under non-cancellable leases as of June 30, 2021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20" w:type="dxa"/>
            <w:vAlign w:val="bottom"/>
          </w:tcPr>
          <w:p>
            <w:pPr>
              <w:spacing w:after="0"/>
              <w:rPr>
                <w:sz w:val="21"/>
                <w:szCs w:val="21"/>
                <w:color w:val="auto"/>
              </w:rPr>
            </w:pPr>
          </w:p>
        </w:tc>
        <w:tc>
          <w:tcPr>
            <w:tcW w:w="1920" w:type="dxa"/>
            <w:vAlign w:val="bottom"/>
            <w:gridSpan w:val="2"/>
          </w:tcPr>
          <w:p>
            <w:pPr>
              <w:ind w:left="120"/>
              <w:spacing w:after="0"/>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22"/>
                <w:szCs w:val="22"/>
                <w:color w:val="auto"/>
                <w:vertAlign w:val="superscript"/>
              </w:rPr>
              <w:t>(1)</w:t>
            </w:r>
          </w:p>
        </w:tc>
        <w:tc>
          <w:tcPr>
            <w:tcW w:w="280" w:type="dxa"/>
            <w:vAlign w:val="bottom"/>
          </w:tcPr>
          <w:p>
            <w:pPr>
              <w:spacing w:after="0"/>
              <w:rPr>
                <w:sz w:val="21"/>
                <w:szCs w:val="21"/>
                <w:color w:val="auto"/>
              </w:rPr>
            </w:pPr>
          </w:p>
        </w:tc>
        <w:tc>
          <w:tcPr>
            <w:tcW w:w="1740" w:type="dxa"/>
            <w:vAlign w:val="bottom"/>
          </w:tcPr>
          <w:p>
            <w:pPr>
              <w:jc w:val="right"/>
              <w:ind w:right="393"/>
              <w:spacing w:after="0"/>
              <w:rPr>
                <w:sz w:val="20"/>
                <w:szCs w:val="20"/>
                <w:color w:val="auto"/>
              </w:rPr>
            </w:pPr>
            <w:r>
              <w:rPr>
                <w:rFonts w:ascii="Arial" w:cs="Arial" w:eastAsia="Arial" w:hAnsi="Arial"/>
                <w:sz w:val="17"/>
                <w:szCs w:val="17"/>
                <w:b w:val="1"/>
                <w:bCs w:val="1"/>
                <w:color w:val="auto"/>
              </w:rPr>
              <w:t>Finance leases</w:t>
            </w:r>
          </w:p>
        </w:tc>
      </w:tr>
      <w:tr>
        <w:trPr>
          <w:trHeight w:val="214"/>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 (excluding the six months ended June 30, 2021)</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w:t>
            </w:r>
          </w:p>
        </w:tc>
      </w:tr>
      <w:tr>
        <w:trPr>
          <w:trHeight w:val="221"/>
        </w:trPr>
        <w:tc>
          <w:tcPr>
            <w:tcW w:w="7080" w:type="dxa"/>
            <w:vAlign w:val="bottom"/>
          </w:tcPr>
          <w:p>
            <w:pPr>
              <w:ind w:left="20"/>
              <w:spacing w:after="0"/>
              <w:rPr>
                <w:sz w:val="20"/>
                <w:szCs w:val="20"/>
                <w:color w:val="auto"/>
              </w:rPr>
            </w:pPr>
            <w:r>
              <w:rPr>
                <w:rFonts w:ascii="Arial" w:cs="Arial" w:eastAsia="Arial" w:hAnsi="Arial"/>
                <w:sz w:val="17"/>
                <w:szCs w:val="17"/>
                <w:color w:val="auto"/>
              </w:rPr>
              <w:t>2022</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118.5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110.4</w:t>
            </w: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r>
      <w:tr>
        <w:trPr>
          <w:trHeight w:val="221"/>
        </w:trPr>
        <w:tc>
          <w:tcPr>
            <w:tcW w:w="7080" w:type="dxa"/>
            <w:vAlign w:val="bottom"/>
          </w:tcPr>
          <w:p>
            <w:pPr>
              <w:ind w:left="20"/>
              <w:spacing w:after="0"/>
              <w:rPr>
                <w:sz w:val="20"/>
                <w:szCs w:val="20"/>
                <w:color w:val="auto"/>
              </w:rPr>
            </w:pPr>
            <w:r>
              <w:rPr>
                <w:rFonts w:ascii="Arial" w:cs="Arial" w:eastAsia="Arial" w:hAnsi="Arial"/>
                <w:sz w:val="17"/>
                <w:szCs w:val="17"/>
                <w:color w:val="auto"/>
              </w:rPr>
              <w:t>2024</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42.2</w:t>
            </w: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1"/>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minimum lease payments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299.9</w:t>
            </w:r>
          </w:p>
        </w:tc>
      </w:tr>
      <w:tr>
        <w:trPr>
          <w:trHeight w:val="221"/>
        </w:trPr>
        <w:tc>
          <w:tcPr>
            <w:tcW w:w="708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(208.8)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tenant improvement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080" w:type="dxa"/>
            <w:vAlign w:val="bottom"/>
          </w:tcPr>
          <w:p>
            <w:pPr>
              <w:ind w:left="20"/>
              <w:spacing w:after="0"/>
              <w:rPr>
                <w:sz w:val="20"/>
                <w:szCs w:val="20"/>
                <w:color w:val="auto"/>
              </w:rPr>
            </w:pPr>
            <w:r>
              <w:rPr>
                <w:rFonts w:ascii="Arial" w:cs="Arial" w:eastAsia="Arial" w:hAnsi="Arial"/>
                <w:sz w:val="17"/>
                <w:szCs w:val="17"/>
                <w:color w:val="auto"/>
              </w:rPr>
              <w:t>Total liability</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810.3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287.9</w:t>
            </w:r>
          </w:p>
        </w:tc>
      </w:tr>
    </w:tbl>
    <w:p>
      <w:pPr>
        <w:spacing w:after="0" w:line="81" w:lineRule="exact"/>
        <w:rPr>
          <w:sz w:val="20"/>
          <w:szCs w:val="20"/>
          <w:color w:val="auto"/>
        </w:rPr>
      </w:pPr>
    </w:p>
    <w:p>
      <w:pPr>
        <w:ind w:right="240" w:firstLine="4"/>
        <w:spacing w:after="0" w:line="298" w:lineRule="auto"/>
        <w:tabs>
          <w:tab w:leader="none" w:pos="144"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Consists of future non-cancelable minimum rental payments under operating leases for the Company’s corporate offices and data centers where the Company has possession, excluding rent payments from the Company’s sub-tenants and variable operating expenses.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20" w:type="dxa"/>
            <w:vAlign w:val="bottom"/>
          </w:tcPr>
          <w:p>
            <w:pPr>
              <w:ind w:left="400"/>
              <w:spacing w:after="0"/>
              <w:rPr>
                <w:sz w:val="20"/>
                <w:szCs w:val="20"/>
                <w:color w:val="auto"/>
              </w:rPr>
            </w:pPr>
            <w:r>
              <w:rPr>
                <w:rFonts w:ascii="Arial" w:cs="Arial" w:eastAsia="Arial" w:hAnsi="Arial"/>
                <w:sz w:val="17"/>
                <w:szCs w:val="17"/>
                <w:color w:val="auto"/>
              </w:rPr>
              <w:t>Future non-cancelable rent payments from the Company's subtenants as of June 30, 2021 were as follows:</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2"/>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99"/>
              </w:rPr>
              <w:t>Operating leases</w:t>
            </w:r>
          </w:p>
        </w:tc>
      </w:tr>
      <w:tr>
        <w:trPr>
          <w:trHeight w:val="214"/>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(excluding the six months ended June 30, 2021)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21"/>
        </w:trPr>
        <w:tc>
          <w:tcPr>
            <w:tcW w:w="922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20.9</w:t>
            </w:r>
          </w:p>
        </w:tc>
      </w:tr>
      <w:tr>
        <w:trPr>
          <w:trHeight w:val="221"/>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21"/>
        </w:trPr>
        <w:tc>
          <w:tcPr>
            <w:tcW w:w="922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21"/>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21"/>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w:t>
            </w:r>
          </w:p>
        </w:tc>
      </w:tr>
      <w:tr>
        <w:trPr>
          <w:trHeight w:val="214"/>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sublease rent payments</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w:t>
            </w:r>
          </w:p>
        </w:tc>
      </w:tr>
      <w:tr>
        <w:trPr>
          <w:trHeight w:val="221"/>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sub-tenant incentive</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r>
      <w:tr>
        <w:trPr>
          <w:trHeight w:val="214"/>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sublease rent payments, net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r>
    </w:tbl>
    <w:p>
      <w:pPr>
        <w:spacing w:after="0" w:line="300" w:lineRule="exact"/>
        <w:rPr>
          <w:sz w:val="20"/>
          <w:szCs w:val="20"/>
          <w:color w:val="auto"/>
        </w:rPr>
      </w:pPr>
    </w:p>
    <w:p>
      <w:pPr>
        <w:ind w:right="300" w:firstLine="391"/>
        <w:spacing w:after="0" w:line="271" w:lineRule="auto"/>
        <w:rPr>
          <w:sz w:val="20"/>
          <w:szCs w:val="20"/>
          <w:color w:val="auto"/>
        </w:rPr>
      </w:pPr>
      <w:r>
        <w:rPr>
          <w:rFonts w:ascii="Arial" w:cs="Arial" w:eastAsia="Arial" w:hAnsi="Arial"/>
          <w:sz w:val="17"/>
          <w:szCs w:val="17"/>
          <w:color w:val="auto"/>
        </w:rPr>
        <w:t>In 2017, the Company entered into a lease agreement for office space in San Francisco, California, to serve as its corporate headquarters. The Company took possession of three phases of the space between June 2018 and December 2019, and began to recognize lease costs and lease obligations, net of tenant improvement reimbursements related to the space.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Company's total expected minimum obligations for all three phases of the lease are $842.9 million, which exclude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 During the second quarter, the Company did not collect any tenant improvement reimbursements. The Company does not expect to collect further tenant improvement reimbursements through the remainder of the lease.</w:t>
      </w:r>
    </w:p>
    <w:p>
      <w:pPr>
        <w:spacing w:after="0" w:line="171" w:lineRule="exact"/>
        <w:rPr>
          <w:sz w:val="20"/>
          <w:szCs w:val="20"/>
          <w:color w:val="auto"/>
        </w:rPr>
      </w:pPr>
    </w:p>
    <w:p>
      <w:pPr>
        <w:ind w:right="20" w:firstLine="391"/>
        <w:spacing w:after="0" w:line="266" w:lineRule="auto"/>
        <w:rPr>
          <w:sz w:val="20"/>
          <w:szCs w:val="20"/>
          <w:color w:val="auto"/>
        </w:rPr>
      </w:pPr>
      <w:r>
        <w:rPr>
          <w:rFonts w:ascii="Arial" w:cs="Arial" w:eastAsia="Arial" w:hAnsi="Arial"/>
          <w:sz w:val="17"/>
          <w:szCs w:val="17"/>
          <w:color w:val="auto"/>
        </w:rPr>
        <w:t>In the fourth quarter of 2020, the Company announced a new Virtual First work model pursuant to which remote work will become the primary experience for all of its employees. As part of the Virtual First strategy, Dropbox will retain a portion of its office space to be used for the Company’s team collaboration use and a portion will be marketed for sublease. The Company evaluated certain of its right-of-use assets and other lease related assets including leasehold improvements, furniture and fixtures, and computer equipment for impairment under ASC 360.</w:t>
      </w:r>
    </w:p>
    <w:p>
      <w:pPr>
        <w:spacing w:after="0" w:line="201" w:lineRule="exact"/>
        <w:rPr>
          <w:sz w:val="20"/>
          <w:szCs w:val="20"/>
          <w:color w:val="auto"/>
        </w:rPr>
      </w:pPr>
    </w:p>
    <w:p>
      <w:pPr>
        <w:ind w:right="100" w:firstLine="391"/>
        <w:spacing w:after="0" w:line="271" w:lineRule="auto"/>
        <w:rPr>
          <w:sz w:val="20"/>
          <w:szCs w:val="20"/>
          <w:color w:val="auto"/>
        </w:rPr>
      </w:pPr>
      <w:r>
        <w:rPr>
          <w:rFonts w:ascii="Arial" w:cs="Arial" w:eastAsia="Arial" w:hAnsi="Arial"/>
          <w:sz w:val="17"/>
          <w:szCs w:val="17"/>
          <w:color w:val="auto"/>
        </w:rPr>
        <w:t>The Company did not record impairment during the three months ended June 30, 2021 and recorded total impairment of $17.3 million for right-of-use and other lease related assets during the six months ended June 30, 2021. The Company did not record impairment during the three and six months ended June 30, 2020.</w:t>
      </w:r>
    </w:p>
    <w:p>
      <w:pPr>
        <w:spacing w:after="0" w:line="197" w:lineRule="exact"/>
        <w:rPr>
          <w:sz w:val="20"/>
          <w:szCs w:val="20"/>
          <w:color w:val="auto"/>
        </w:rPr>
      </w:pPr>
    </w:p>
    <w:p>
      <w:pPr>
        <w:jc w:val="both"/>
        <w:ind w:right="40" w:firstLine="391"/>
        <w:spacing w:after="0" w:line="271" w:lineRule="auto"/>
        <w:rPr>
          <w:sz w:val="20"/>
          <w:szCs w:val="20"/>
          <w:color w:val="auto"/>
        </w:rPr>
      </w:pPr>
      <w:r>
        <w:rPr>
          <w:rFonts w:ascii="Arial" w:cs="Arial" w:eastAsia="Arial" w:hAnsi="Arial"/>
          <w:sz w:val="17"/>
          <w:szCs w:val="17"/>
          <w:color w:val="auto"/>
        </w:rPr>
        <w:t>As of June 30, 2021, the Company had commitments of $108.6 million for operating leases that have not yet commenced, and therefore are not included in the right-of-use asset or operating lease liability. These operating leases will commence in 2021 and 2022 with lease terms of up to 15 years. The Company has a sublease commitment of $16.9 million that has not yet commenced, with a sublease term of 10 years.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Commitments and Contingencies</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Legal matters</w:t>
      </w:r>
    </w:p>
    <w:p>
      <w:pPr>
        <w:spacing w:after="0" w:line="117"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04" w:lineRule="exact"/>
        <w:rPr>
          <w:sz w:val="20"/>
          <w:szCs w:val="20"/>
          <w:color w:val="auto"/>
        </w:rPr>
      </w:pPr>
    </w:p>
    <w:p>
      <w:pPr>
        <w:ind w:right="20" w:firstLine="391"/>
        <w:spacing w:after="0" w:line="261" w:lineRule="auto"/>
        <w:rPr>
          <w:sz w:val="20"/>
          <w:szCs w:val="20"/>
          <w:color w:val="auto"/>
        </w:rPr>
      </w:pPr>
      <w:r>
        <w:rPr>
          <w:rFonts w:ascii="Arial" w:cs="Arial" w:eastAsia="Arial" w:hAnsi="Arial"/>
          <w:sz w:val="17"/>
          <w:szCs w:val="17"/>
          <w:color w:val="auto"/>
        </w:rPr>
        <w:t>The Company is currently involved in four putative class action lawsuits alleging violations of the federal securities laws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"Federal Plaintiffs"). The six lawsuits each make the same or similar allegations of violations of federal securities laws, for allegedly making materially false and misleading statements in, or omitting material information from, the Company's IPO registration statement. The plaintiffs seek unspecified monetary damages and other relief.</w:t>
      </w:r>
    </w:p>
    <w:p>
      <w:pPr>
        <w:spacing w:after="0" w:line="205"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On March 2, 2020, the Federal Plaintiffs filed a consolidated class action complaint. On April 16, 2020, the Dropbox Defendants filed a motion to dismiss the federal consolidated class action complaint. On October 21, 2020, the court issued an order granting the Company's motion to dismiss the Federal Plaintiffs’ complaint, setting a deadline of January 6, 2021 for the Federal Plaintiffs to file any amended complaint. The federal court extended this deadline to February 22, 2021 to provide time for the parties to explore resolving the case. On February 11, 2021, the parties attended mediation and reached a settlement in principle for an immaterial amount subject to final documentation and preliminary and final approval by the court. On July 22, 2021, the Court held a preliminary settlement approval hearing. On August 3, 2021, the Court entered an order preliminarily approving the settlement and providing for notice to the class. The Court set a hearing for final approval of the settlement on December 2, 2021.</w:t>
      </w:r>
    </w:p>
    <w:p>
      <w:pPr>
        <w:spacing w:after="0" w:line="205" w:lineRule="exact"/>
        <w:rPr>
          <w:sz w:val="20"/>
          <w:szCs w:val="20"/>
          <w:color w:val="auto"/>
        </w:rPr>
      </w:pPr>
    </w:p>
    <w:p>
      <w:pPr>
        <w:ind w:right="400" w:firstLine="391"/>
        <w:spacing w:after="0" w:line="286" w:lineRule="auto"/>
        <w:rPr>
          <w:sz w:val="20"/>
          <w:szCs w:val="20"/>
          <w:color w:val="auto"/>
        </w:rPr>
      </w:pPr>
      <w:r>
        <w:rPr>
          <w:rFonts w:ascii="Arial" w:cs="Arial" w:eastAsia="Arial" w:hAnsi="Arial"/>
          <w:sz w:val="17"/>
          <w:szCs w:val="17"/>
          <w:color w:val="auto"/>
        </w:rPr>
        <w:t>On May 11, 2020, the Dropbox Defendants filed a motion to dismiss the consolidated state court case based on the exclusive federal forum provisions contained in the Company's amended and restated bylaws. On December 4, 2020, the state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320"/>
        <w:spacing w:after="0" w:line="319" w:lineRule="auto"/>
        <w:rPr>
          <w:sz w:val="20"/>
          <w:szCs w:val="20"/>
          <w:color w:val="auto"/>
        </w:rPr>
      </w:pPr>
      <w:r>
        <w:rPr>
          <w:rFonts w:ascii="Arial" w:cs="Arial" w:eastAsia="Arial" w:hAnsi="Arial"/>
          <w:sz w:val="16"/>
          <w:szCs w:val="16"/>
          <w:color w:val="auto"/>
        </w:rPr>
        <w:t>court issued an order granting the Company's motion to dismiss the consolidated state court case. On December 15, 2020, the State Plaintiffs filed a notice of appeal of this order. The Company believes the appeal and claims are without merit and intends to vigorously defend against them.</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7" w:lineRule="exact"/>
        <w:rPr>
          <w:sz w:val="20"/>
          <w:szCs w:val="20"/>
          <w:color w:val="auto"/>
        </w:rPr>
      </w:pPr>
    </w:p>
    <w:p>
      <w:pPr>
        <w:ind w:right="160" w:firstLine="391"/>
        <w:spacing w:after="0" w:line="271"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17" w:lineRule="exact"/>
        <w:rPr>
          <w:sz w:val="20"/>
          <w:szCs w:val="20"/>
          <w:color w:val="auto"/>
        </w:rPr>
      </w:pPr>
    </w:p>
    <w:p>
      <w:pPr>
        <w:jc w:val="both"/>
        <w:ind w:right="340" w:firstLine="391"/>
        <w:spacing w:after="0" w:line="271" w:lineRule="auto"/>
        <w:rPr>
          <w:sz w:val="20"/>
          <w:szCs w:val="20"/>
          <w:color w:val="auto"/>
        </w:rPr>
      </w:pPr>
      <w:r>
        <w:rPr>
          <w:rFonts w:ascii="Arial" w:cs="Arial" w:eastAsia="Arial" w:hAnsi="Arial"/>
          <w:sz w:val="17"/>
          <w:szCs w:val="17"/>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20"/>
                <w:szCs w:val="20"/>
                <w:color w:val="auto"/>
              </w:rPr>
            </w:pPr>
            <w:r>
              <w:rPr>
                <w:rFonts w:ascii="Arial" w:cs="Arial" w:eastAsia="Arial" w:hAnsi="Arial"/>
                <w:sz w:val="17"/>
                <w:szCs w:val="17"/>
                <w:b w:val="1"/>
                <w:bCs w:val="1"/>
                <w:color w:val="auto"/>
              </w:rPr>
              <w:t>Note 11. Accrued and Other Current Liabilities</w:t>
            </w: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7"/>
        </w:trPr>
        <w:tc>
          <w:tcPr>
            <w:tcW w:w="6780" w:type="dxa"/>
            <w:vAlign w:val="bottom"/>
          </w:tcPr>
          <w:p>
            <w:pPr>
              <w:ind w:left="400"/>
              <w:spacing w:after="0"/>
              <w:rPr>
                <w:sz w:val="20"/>
                <w:szCs w:val="20"/>
                <w:color w:val="auto"/>
              </w:rPr>
            </w:pPr>
            <w:r>
              <w:rPr>
                <w:rFonts w:ascii="Arial" w:cs="Arial" w:eastAsia="Arial" w:hAnsi="Arial"/>
                <w:sz w:val="17"/>
                <w:szCs w:val="17"/>
                <w:color w:val="auto"/>
              </w:rPr>
              <w:t>Accrued and other current liabilities consisted of the following:</w:t>
            </w: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47"/>
        </w:trPr>
        <w:tc>
          <w:tcPr>
            <w:tcW w:w="678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7"/>
                <w:szCs w:val="17"/>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14"/>
        </w:trPr>
        <w:tc>
          <w:tcPr>
            <w:tcW w:w="678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 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w w:val="97"/>
              </w:rPr>
              <w:t>December 31, 2020</w:t>
            </w:r>
          </w:p>
        </w:tc>
      </w:tr>
      <w:tr>
        <w:trPr>
          <w:trHeight w:val="32"/>
        </w:trPr>
        <w:tc>
          <w:tcPr>
            <w:tcW w:w="6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1"/>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Non-income taxes payable</w:t>
            </w:r>
          </w:p>
        </w:tc>
        <w:tc>
          <w:tcPr>
            <w:tcW w:w="1660" w:type="dxa"/>
            <w:vAlign w:val="bottom"/>
            <w:shd w:val="clear" w:color="auto" w:fill="CCEEFF"/>
          </w:tcPr>
          <w:p>
            <w:pPr>
              <w:jc w:val="right"/>
              <w:ind w:right="145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w:t>
            </w:r>
          </w:p>
        </w:tc>
      </w:tr>
      <w:tr>
        <w:trPr>
          <w:trHeight w:val="221"/>
        </w:trPr>
        <w:tc>
          <w:tcPr>
            <w:tcW w:w="6780" w:type="dxa"/>
            <w:vAlign w:val="bottom"/>
          </w:tcPr>
          <w:p>
            <w:pPr>
              <w:ind w:left="20"/>
              <w:spacing w:after="0"/>
              <w:rPr>
                <w:sz w:val="20"/>
                <w:szCs w:val="20"/>
                <w:color w:val="auto"/>
              </w:rPr>
            </w:pPr>
            <w:r>
              <w:rPr>
                <w:rFonts w:ascii="Arial" w:cs="Arial" w:eastAsia="Arial" w:hAnsi="Arial"/>
                <w:sz w:val="17"/>
                <w:szCs w:val="17"/>
                <w:color w:val="auto"/>
              </w:rPr>
              <w:t>Accrued legal and other external fees</w:t>
            </w:r>
          </w:p>
        </w:tc>
        <w:tc>
          <w:tcPr>
            <w:tcW w:w="1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21"/>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and current liabilities</w:t>
            </w:r>
          </w:p>
        </w:tc>
        <w:tc>
          <w:tcPr>
            <w:tcW w:w="1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w:t>
            </w:r>
          </w:p>
        </w:tc>
      </w:tr>
      <w:tr>
        <w:trPr>
          <w:trHeight w:val="214"/>
        </w:trPr>
        <w:tc>
          <w:tcPr>
            <w:tcW w:w="6780" w:type="dxa"/>
            <w:vAlign w:val="bottom"/>
          </w:tcPr>
          <w:p>
            <w:pPr>
              <w:ind w:left="20"/>
              <w:spacing w:after="0"/>
              <w:rPr>
                <w:sz w:val="20"/>
                <w:szCs w:val="20"/>
                <w:color w:val="auto"/>
              </w:rPr>
            </w:pPr>
            <w:r>
              <w:rPr>
                <w:rFonts w:ascii="Arial" w:cs="Arial" w:eastAsia="Arial" w:hAnsi="Arial"/>
                <w:sz w:val="17"/>
                <w:szCs w:val="17"/>
                <w:color w:val="auto"/>
              </w:rPr>
              <w:t>Total accrued and other current liabilities</w:t>
            </w:r>
          </w:p>
        </w:tc>
        <w:tc>
          <w:tcPr>
            <w:tcW w:w="1660" w:type="dxa"/>
            <w:vAlign w:val="bottom"/>
            <w:tcBorders>
              <w:bottom w:val="single" w:sz="8" w:color="auto"/>
            </w:tcBorders>
          </w:tcPr>
          <w:p>
            <w:pPr>
              <w:jc w:val="right"/>
              <w:ind w:right="145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w:t>
            </w:r>
          </w:p>
        </w:tc>
      </w:tr>
      <w:tr>
        <w:trPr>
          <w:trHeight w:val="20"/>
        </w:trPr>
        <w:tc>
          <w:tcPr>
            <w:tcW w:w="67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12.Stockholders’ (Deficit) Equity</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Common stock</w:t>
      </w:r>
    </w:p>
    <w:p>
      <w:pPr>
        <w:spacing w:after="0" w:line="117" w:lineRule="exact"/>
        <w:rPr>
          <w:sz w:val="20"/>
          <w:szCs w:val="20"/>
          <w:color w:val="auto"/>
        </w:rPr>
      </w:pPr>
    </w:p>
    <w:p>
      <w:pPr>
        <w:ind w:right="40" w:firstLine="391"/>
        <w:spacing w:after="0" w:line="281" w:lineRule="auto"/>
        <w:rPr>
          <w:sz w:val="20"/>
          <w:szCs w:val="20"/>
          <w:color w:val="auto"/>
        </w:rPr>
      </w:pPr>
      <w:r>
        <w:rPr>
          <w:rFonts w:ascii="Arial" w:cs="Arial" w:eastAsia="Arial" w:hAnsi="Arial"/>
          <w:sz w:val="16"/>
          <w:szCs w:val="16"/>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Holders of Class B common stock voluntarily converted 0.3 million shares into an equivalent number of shares of Class A common stock during the six months ended June 30, 2021, and 53.5 million and 63.4 million during the three and six months ended June 30, 2020.</w:t>
      </w:r>
    </w:p>
    <w:p>
      <w:pPr>
        <w:spacing w:after="0" w:line="192" w:lineRule="exact"/>
        <w:rPr>
          <w:sz w:val="20"/>
          <w:szCs w:val="20"/>
          <w:color w:val="auto"/>
        </w:rPr>
      </w:pPr>
    </w:p>
    <w:p>
      <w:pPr>
        <w:ind w:right="60" w:firstLine="391"/>
        <w:spacing w:after="0" w:line="279" w:lineRule="auto"/>
        <w:rPr>
          <w:sz w:val="20"/>
          <w:szCs w:val="20"/>
          <w:color w:val="auto"/>
        </w:rPr>
      </w:pPr>
      <w:r>
        <w:rPr>
          <w:rFonts w:ascii="Arial" w:cs="Arial" w:eastAsia="Arial" w:hAnsi="Arial"/>
          <w:sz w:val="16"/>
          <w:szCs w:val="16"/>
          <w:color w:val="auto"/>
        </w:rPr>
        <w:t>As of June 30, 2021, the Company had authorized 2,400.0 million shares of Class A common stock, 475.0 million shares of Class B common stock, and 800.0 million shares of Class C common stock, each at par value of $0.00001. As of June 30, 2021, 303.4 million shares of Class A common stock, 83.2 million shares of Class B common stock, and no shares of Class C common stock were issued and outstanding. As of December 31, 2020, 322.3 million shares of Class A common stock, 83.5 million shares of Class B common stock, and no shares of Class C common stock were issued and outstanding. Class A shares issued and outstanding as of June 30, 2021 and December 31, 2020 excludes unvested restricted stock awards granted to certain executives. Class A shares issued and outstanding also excludes 10.3 million unvested restricted stock awards granted to one of the Company's co-founders as of June 30, 2021 and December 31, 2020, respectively. See "Co-Founder Grants" section below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7" w:lineRule="exact"/>
        <w:rPr>
          <w:sz w:val="20"/>
          <w:szCs w:val="20"/>
          <w:color w:val="auto"/>
        </w:rPr>
      </w:pPr>
    </w:p>
    <w:p>
      <w:pPr>
        <w:ind w:right="340" w:firstLine="391"/>
        <w:spacing w:after="0" w:line="319" w:lineRule="auto"/>
        <w:rPr>
          <w:sz w:val="20"/>
          <w:szCs w:val="20"/>
          <w:color w:val="auto"/>
        </w:rPr>
      </w:pPr>
      <w:r>
        <w:rPr>
          <w:rFonts w:ascii="Arial" w:cs="Arial" w:eastAsia="Arial" w:hAnsi="Arial"/>
          <w:sz w:val="16"/>
          <w:szCs w:val="16"/>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247"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In February 2020, the Company's Board of Directors approved a stock repurchase program for the repurchase of up to $600 million of the Company’s outstanding shares of Class A common stock. In February 2021, the Board of Directors authorized the Company to repurchase up to an additional $1 billion of the Company's outstanding shares of Class A common stock. The Company completed the February 2020 stock repurchase program of up to $600 million during the six months ended June 30, 2021.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192" w:lineRule="exact"/>
        <w:rPr>
          <w:sz w:val="20"/>
          <w:szCs w:val="20"/>
          <w:color w:val="auto"/>
        </w:rPr>
      </w:pPr>
    </w:p>
    <w:p>
      <w:pPr>
        <w:ind w:right="40" w:firstLine="391"/>
        <w:spacing w:after="0" w:line="263" w:lineRule="auto"/>
        <w:rPr>
          <w:sz w:val="20"/>
          <w:szCs w:val="20"/>
          <w:color w:val="auto"/>
        </w:rPr>
      </w:pPr>
      <w:r>
        <w:rPr>
          <w:rFonts w:ascii="Arial" w:cs="Arial" w:eastAsia="Arial" w:hAnsi="Arial"/>
          <w:sz w:val="17"/>
          <w:szCs w:val="17"/>
          <w:color w:val="auto"/>
        </w:rPr>
        <w:t>During the three and six months ended June 30, 2021, the Company repurchased and subsequently retired 5.5 million and 24.1 million shares of its Class A common stock for an aggregate amount of $150.8 million and $582.7 million, respectively. This includes $200.0 million in repurchases of 8.6 million shares of our Class A common stock in conjunction with the issuance of the Notes, which was outside of our stock repurchase program. During the three and six months ended June 30, 2020, the Company repurchased and subsequently retired 3.7 million and 7.4 million of its Class A common stock for an aggregate amount of $75.8 million and $139.8 million, respectively.</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247" w:lineRule="exact"/>
        <w:rPr>
          <w:sz w:val="20"/>
          <w:szCs w:val="20"/>
          <w:color w:val="auto"/>
        </w:rPr>
      </w:pPr>
    </w:p>
    <w:p>
      <w:pPr>
        <w:ind w:right="180" w:firstLine="391"/>
        <w:spacing w:after="0" w:line="306" w:lineRule="auto"/>
        <w:rPr>
          <w:sz w:val="20"/>
          <w:szCs w:val="20"/>
          <w:color w:val="auto"/>
        </w:rPr>
      </w:pPr>
      <w:r>
        <w:rPr>
          <w:rFonts w:ascii="Arial" w:cs="Arial" w:eastAsia="Arial" w:hAnsi="Arial"/>
          <w:sz w:val="15"/>
          <w:szCs w:val="15"/>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281" w:lineRule="exact"/>
        <w:rPr>
          <w:sz w:val="20"/>
          <w:szCs w:val="20"/>
          <w:color w:val="auto"/>
        </w:rPr>
      </w:pPr>
    </w:p>
    <w:p>
      <w:pPr>
        <w:ind w:right="180" w:firstLine="391"/>
        <w:spacing w:after="0" w:line="286" w:lineRule="auto"/>
        <w:rPr>
          <w:sz w:val="20"/>
          <w:szCs w:val="20"/>
          <w:color w:val="auto"/>
        </w:rPr>
      </w:pPr>
      <w:r>
        <w:rPr>
          <w:rFonts w:ascii="Arial" w:cs="Arial" w:eastAsia="Arial" w:hAnsi="Arial"/>
          <w:sz w:val="17"/>
          <w:szCs w:val="17"/>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185" w:lineRule="exact"/>
        <w:rPr>
          <w:sz w:val="20"/>
          <w:szCs w:val="20"/>
          <w:color w:val="auto"/>
        </w:rPr>
      </w:pPr>
    </w:p>
    <w:p>
      <w:pPr>
        <w:jc w:val="both"/>
        <w:ind w:right="100" w:firstLine="430"/>
        <w:spacing w:after="0" w:line="271" w:lineRule="auto"/>
        <w:rPr>
          <w:sz w:val="20"/>
          <w:szCs w:val="20"/>
          <w:color w:val="auto"/>
        </w:rPr>
      </w:pPr>
      <w:r>
        <w:rPr>
          <w:rFonts w:ascii="Arial" w:cs="Arial" w:eastAsia="Arial" w:hAnsi="Arial"/>
          <w:sz w:val="17"/>
          <w:szCs w:val="17"/>
          <w:color w:val="auto"/>
        </w:rPr>
        <w:t>As of June 30, 2021, there were 31.7 million stock-based awards issued and outstanding and 96.2 million shares available for issuance under the Dropbox Equity Incentive Plans, HelloSign's 2011 Equity Incentive Plan, DocSend's 2013 Stock Plan and DocSend's 2015 Stock Option and Grant Plan (collectively, the "Plans").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option and restricted stock activity for the Plans was as follows for the six months ended June 30,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7"/>
                <w:szCs w:val="17"/>
                <w:b w:val="1"/>
                <w:bCs w:val="1"/>
                <w:color w:val="auto"/>
              </w:rPr>
              <w:t>Options outstanding</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539"/>
              <w:spacing w:after="0"/>
              <w:rPr>
                <w:sz w:val="20"/>
                <w:szCs w:val="20"/>
                <w:color w:val="auto"/>
              </w:rPr>
            </w:pPr>
            <w:r>
              <w:rPr>
                <w:rFonts w:ascii="Arial" w:cs="Arial" w:eastAsia="Arial" w:hAnsi="Arial"/>
                <w:sz w:val="17"/>
                <w:szCs w:val="17"/>
                <w:b w:val="1"/>
                <w:bCs w:val="1"/>
                <w:color w:val="auto"/>
              </w:rPr>
              <w:t>Restricted stock</w:t>
            </w: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3" w:lineRule="exact"/>
              <w:rPr>
                <w:sz w:val="20"/>
                <w:szCs w:val="20"/>
                <w:color w:val="auto"/>
              </w:rPr>
            </w:pPr>
            <w:r>
              <w:rPr>
                <w:rFonts w:ascii="Arial" w:cs="Arial" w:eastAsia="Arial" w:hAnsi="Arial"/>
                <w:sz w:val="17"/>
                <w:szCs w:val="17"/>
                <w:color w:val="auto"/>
                <w:w w:val="95"/>
              </w:rPr>
              <w:t>Number of</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2"/>
              </w:rPr>
              <w:t>Weighted-</w:t>
            </w:r>
          </w:p>
        </w:tc>
        <w:tc>
          <w:tcPr>
            <w:tcW w:w="1240" w:type="dxa"/>
            <w:vAlign w:val="bottom"/>
            <w:gridSpan w:val="2"/>
          </w:tcPr>
          <w:p>
            <w:pPr>
              <w:jc w:val="center"/>
              <w:ind w:right="80"/>
              <w:spacing w:after="0" w:line="163" w:lineRule="exact"/>
              <w:rPr>
                <w:sz w:val="20"/>
                <w:szCs w:val="20"/>
                <w:color w:val="auto"/>
              </w:rPr>
            </w:pPr>
            <w:r>
              <w:rPr>
                <w:rFonts w:ascii="Arial" w:cs="Arial" w:eastAsia="Arial" w:hAnsi="Arial"/>
                <w:sz w:val="17"/>
                <w:szCs w:val="17"/>
                <w:color w:val="auto"/>
                <w:w w:val="92"/>
              </w:rPr>
              <w:t>Weighted-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79"/>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86"/>
              </w:rPr>
              <w:t>shares</w:t>
            </w: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87"/>
              </w:rPr>
              <w:t>average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95"/>
              </w:rPr>
              <w:t>available for</w:t>
            </w:r>
          </w:p>
        </w:tc>
        <w:tc>
          <w:tcPr>
            <w:tcW w:w="1160" w:type="dxa"/>
            <w:vAlign w:val="bottom"/>
          </w:tcPr>
          <w:p>
            <w:pPr>
              <w:jc w:val="center"/>
              <w:spacing w:after="0" w:line="169" w:lineRule="exact"/>
              <w:rPr>
                <w:sz w:val="20"/>
                <w:szCs w:val="20"/>
                <w:color w:val="auto"/>
              </w:rPr>
            </w:pPr>
            <w:r>
              <w:rPr>
                <w:rFonts w:ascii="Arial" w:cs="Arial" w:eastAsia="Arial" w:hAnsi="Arial"/>
                <w:sz w:val="17"/>
                <w:szCs w:val="17"/>
                <w:color w:val="auto"/>
                <w:w w:val="86"/>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line="169" w:lineRule="exact"/>
              <w:rPr>
                <w:sz w:val="20"/>
                <w:szCs w:val="20"/>
                <w:color w:val="auto"/>
              </w:rPr>
            </w:pPr>
            <w:r>
              <w:rPr>
                <w:rFonts w:ascii="Arial" w:cs="Arial" w:eastAsia="Arial" w:hAnsi="Arial"/>
                <w:sz w:val="17"/>
                <w:szCs w:val="17"/>
                <w:color w:val="auto"/>
                <w:w w:val="87"/>
              </w:rPr>
              <w:t>average</w:t>
            </w:r>
          </w:p>
        </w:tc>
        <w:tc>
          <w:tcPr>
            <w:tcW w:w="12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93"/>
              </w:rPr>
              <w:t>remaining</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w w:val="94"/>
              </w:rPr>
              <w:t>Number of Plan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9"/>
              <w:spacing w:after="0" w:line="169" w:lineRule="exact"/>
              <w:rPr>
                <w:sz w:val="20"/>
                <w:szCs w:val="20"/>
                <w:color w:val="auto"/>
              </w:rPr>
            </w:pPr>
            <w:r>
              <w:rPr>
                <w:rFonts w:ascii="Arial" w:cs="Arial" w:eastAsia="Arial" w:hAnsi="Arial"/>
                <w:sz w:val="17"/>
                <w:szCs w:val="17"/>
                <w:color w:val="auto"/>
                <w:w w:val="87"/>
              </w:rPr>
              <w:t>average</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89"/>
              </w:rPr>
              <w:t>issuance</w:t>
            </w:r>
          </w:p>
        </w:tc>
        <w:tc>
          <w:tcPr>
            <w:tcW w:w="1160" w:type="dxa"/>
            <w:vAlign w:val="bottom"/>
          </w:tcPr>
          <w:p>
            <w:pPr>
              <w:jc w:val="center"/>
              <w:spacing w:after="0" w:line="169" w:lineRule="exact"/>
              <w:rPr>
                <w:sz w:val="20"/>
                <w:szCs w:val="20"/>
                <w:color w:val="auto"/>
              </w:rPr>
            </w:pPr>
            <w:r>
              <w:rPr>
                <w:rFonts w:ascii="Arial" w:cs="Arial" w:eastAsia="Arial" w:hAnsi="Arial"/>
                <w:sz w:val="17"/>
                <w:szCs w:val="17"/>
                <w:color w:val="auto"/>
                <w:w w:val="90"/>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7"/>
                <w:szCs w:val="17"/>
                <w:color w:val="auto"/>
                <w:w w:val="88"/>
              </w:rPr>
              <w:t>exercise</w:t>
            </w:r>
          </w:p>
        </w:tc>
        <w:tc>
          <w:tcPr>
            <w:tcW w:w="12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93"/>
              </w:rPr>
              <w:t>contractual</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1"/>
              </w:rPr>
              <w:t>Aggregate</w:t>
            </w: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9"/>
              <w:spacing w:after="0" w:line="169" w:lineRule="exact"/>
              <w:rPr>
                <w:sz w:val="20"/>
                <w:szCs w:val="20"/>
                <w:color w:val="auto"/>
              </w:rPr>
            </w:pPr>
            <w:r>
              <w:rPr>
                <w:rFonts w:ascii="Arial" w:cs="Arial" w:eastAsia="Arial" w:hAnsi="Arial"/>
                <w:sz w:val="17"/>
                <w:szCs w:val="17"/>
                <w:color w:val="auto"/>
                <w:w w:val="88"/>
              </w:rPr>
              <w:t>grant date</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89"/>
              </w:rPr>
              <w:t>under the</w:t>
            </w:r>
          </w:p>
        </w:tc>
        <w:tc>
          <w:tcPr>
            <w:tcW w:w="1160" w:type="dxa"/>
            <w:vAlign w:val="bottom"/>
          </w:tcPr>
          <w:p>
            <w:pPr>
              <w:jc w:val="center"/>
              <w:spacing w:after="0" w:line="169" w:lineRule="exact"/>
              <w:rPr>
                <w:sz w:val="20"/>
                <w:szCs w:val="20"/>
                <w:color w:val="auto"/>
              </w:rPr>
            </w:pPr>
            <w:r>
              <w:rPr>
                <w:rFonts w:ascii="Arial" w:cs="Arial" w:eastAsia="Arial" w:hAnsi="Arial"/>
                <w:sz w:val="17"/>
                <w:szCs w:val="17"/>
                <w:color w:val="auto"/>
                <w:w w:val="89"/>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line="169" w:lineRule="exact"/>
              <w:rPr>
                <w:sz w:val="20"/>
                <w:szCs w:val="20"/>
                <w:color w:val="auto"/>
              </w:rPr>
            </w:pPr>
            <w:r>
              <w:rPr>
                <w:rFonts w:ascii="Arial" w:cs="Arial" w:eastAsia="Arial" w:hAnsi="Arial"/>
                <w:sz w:val="17"/>
                <w:szCs w:val="17"/>
                <w:color w:val="auto"/>
                <w:w w:val="92"/>
              </w:rPr>
              <w:t>price</w:t>
            </w:r>
          </w:p>
        </w:tc>
        <w:tc>
          <w:tcPr>
            <w:tcW w:w="1240" w:type="dxa"/>
            <w:vAlign w:val="bottom"/>
            <w:gridSpan w:val="2"/>
          </w:tcPr>
          <w:p>
            <w:pPr>
              <w:jc w:val="center"/>
              <w:ind w:right="80"/>
              <w:spacing w:after="0" w:line="169" w:lineRule="exact"/>
              <w:rPr>
                <w:sz w:val="20"/>
                <w:szCs w:val="20"/>
                <w:color w:val="auto"/>
              </w:rPr>
            </w:pPr>
            <w:r>
              <w:rPr>
                <w:rFonts w:ascii="Arial" w:cs="Arial" w:eastAsia="Arial" w:hAnsi="Arial"/>
                <w:sz w:val="17"/>
                <w:szCs w:val="17"/>
                <w:color w:val="auto"/>
                <w:w w:val="93"/>
              </w:rPr>
              <w:t>term</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80" w:type="dxa"/>
            <w:vAlign w:val="bottom"/>
          </w:tcPr>
          <w:p>
            <w:pPr>
              <w:jc w:val="right"/>
              <w:ind w:right="279"/>
              <w:spacing w:after="0" w:line="169" w:lineRule="exact"/>
              <w:rPr>
                <w:sz w:val="20"/>
                <w:szCs w:val="20"/>
                <w:color w:val="auto"/>
              </w:rPr>
            </w:pPr>
            <w:r>
              <w:rPr>
                <w:rFonts w:ascii="Arial" w:cs="Arial" w:eastAsia="Arial" w:hAnsi="Arial"/>
                <w:sz w:val="17"/>
                <w:szCs w:val="17"/>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9"/>
              <w:spacing w:after="0" w:line="169" w:lineRule="exact"/>
              <w:rPr>
                <w:sz w:val="20"/>
                <w:szCs w:val="20"/>
                <w:color w:val="auto"/>
              </w:rPr>
            </w:pPr>
            <w:r>
              <w:rPr>
                <w:rFonts w:ascii="Arial" w:cs="Arial" w:eastAsia="Arial" w:hAnsi="Arial"/>
                <w:sz w:val="17"/>
                <w:szCs w:val="17"/>
                <w:color w:val="auto"/>
                <w:w w:val="95"/>
              </w:rPr>
              <w:t>fair value</w:t>
            </w: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Plans</w:t>
            </w:r>
          </w:p>
        </w:tc>
        <w:tc>
          <w:tcPr>
            <w:tcW w:w="1160" w:type="dxa"/>
            <w:vAlign w:val="bottom"/>
          </w:tcPr>
          <w:p>
            <w:pPr>
              <w:jc w:val="center"/>
              <w:spacing w:after="0"/>
              <w:rPr>
                <w:sz w:val="20"/>
                <w:szCs w:val="20"/>
                <w:color w:val="auto"/>
              </w:rPr>
            </w:pPr>
            <w:r>
              <w:rPr>
                <w:rFonts w:ascii="Arial" w:cs="Arial" w:eastAsia="Arial" w:hAnsi="Arial"/>
                <w:sz w:val="17"/>
                <w:szCs w:val="17"/>
                <w:color w:val="auto"/>
                <w:w w:val="84"/>
              </w:rPr>
              <w:t>Plans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per share</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(In years)</w:t>
            </w:r>
          </w:p>
        </w:tc>
        <w:tc>
          <w:tcPr>
            <w:tcW w:w="1260" w:type="dxa"/>
            <w:vAlign w:val="bottom"/>
            <w:gridSpan w:val="3"/>
          </w:tcPr>
          <w:p>
            <w:pPr>
              <w:jc w:val="center"/>
              <w:ind w:right="80"/>
              <w:spacing w:after="0"/>
              <w:rPr>
                <w:sz w:val="20"/>
                <w:szCs w:val="20"/>
                <w:color w:val="auto"/>
              </w:rPr>
            </w:pPr>
            <w:r>
              <w:rPr>
                <w:rFonts w:ascii="Arial" w:cs="Arial" w:eastAsia="Arial" w:hAnsi="Arial"/>
                <w:sz w:val="17"/>
                <w:szCs w:val="17"/>
                <w:color w:val="auto"/>
                <w:w w:val="95"/>
              </w:rPr>
              <w:t>intrinsic value</w:t>
            </w:r>
          </w:p>
        </w:tc>
        <w:tc>
          <w:tcPr>
            <w:tcW w:w="1180" w:type="dxa"/>
            <w:vAlign w:val="bottom"/>
          </w:tcPr>
          <w:p>
            <w:pPr>
              <w:jc w:val="right"/>
              <w:ind w:right="99"/>
              <w:spacing w:after="0"/>
              <w:rPr>
                <w:sz w:val="20"/>
                <w:szCs w:val="20"/>
                <w:color w:val="auto"/>
              </w:rPr>
            </w:pPr>
            <w:r>
              <w:rPr>
                <w:rFonts w:ascii="Arial" w:cs="Arial" w:eastAsia="Arial" w:hAnsi="Arial"/>
                <w:sz w:val="17"/>
                <w:szCs w:val="17"/>
                <w:color w:val="auto"/>
              </w:rPr>
              <w:t>outstanding</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79"/>
              <w:spacing w:after="0"/>
              <w:rPr>
                <w:sz w:val="20"/>
                <w:szCs w:val="20"/>
                <w:color w:val="auto"/>
              </w:rPr>
            </w:pPr>
            <w:r>
              <w:rPr>
                <w:rFonts w:ascii="Arial" w:cs="Arial" w:eastAsia="Arial" w:hAnsi="Arial"/>
                <w:sz w:val="17"/>
                <w:szCs w:val="17"/>
                <w:color w:val="auto"/>
                <w:w w:val="89"/>
              </w:rPr>
              <w:t>per share</w:t>
            </w:r>
          </w:p>
        </w:tc>
        <w:tc>
          <w:tcPr>
            <w:tcW w:w="0" w:type="dxa"/>
            <w:vAlign w:val="bottom"/>
          </w:tcPr>
          <w:p>
            <w:pPr>
              <w:spacing w:after="0"/>
              <w:rPr>
                <w:sz w:val="1"/>
                <w:szCs w:val="1"/>
                <w:color w:val="auto"/>
              </w:rPr>
            </w:pPr>
          </w:p>
        </w:tc>
      </w:tr>
      <w:tr>
        <w:trPr>
          <w:trHeight w:val="32"/>
        </w:trPr>
        <w:tc>
          <w:tcPr>
            <w:tcW w:w="248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9"/>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Arial" w:cs="Arial" w:eastAsia="Arial" w:hAnsi="Arial"/>
                <w:sz w:val="17"/>
                <w:szCs w:val="17"/>
                <w:color w:val="auto"/>
              </w:rPr>
              <w:t>Additional shares authorized</w:t>
            </w:r>
          </w:p>
        </w:tc>
        <w:tc>
          <w:tcPr>
            <w:tcW w:w="124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Stock options assumed </w:t>
            </w:r>
            <w:r>
              <w:rPr>
                <w:rFonts w:ascii="Arial" w:cs="Arial" w:eastAsia="Arial" w:hAnsi="Arial"/>
                <w:sz w:val="22"/>
                <w:szCs w:val="22"/>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Arial" w:cs="Arial" w:eastAsia="Arial" w:hAnsi="Arial"/>
                <w:sz w:val="17"/>
                <w:szCs w:val="17"/>
                <w:color w:val="auto"/>
              </w:rPr>
              <w:t>Options exercised and restricted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Arial" w:cs="Arial" w:eastAsia="Arial" w:hAnsi="Arial"/>
                <w:sz w:val="17"/>
                <w:szCs w:val="17"/>
                <w:color w:val="auto"/>
              </w:rPr>
              <w:t>stock units and awards released</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w w:val="97"/>
              </w:rPr>
              <w:t>Options and restricted stock units</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awards canceled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Arial" w:cs="Arial" w:eastAsia="Arial" w:hAnsi="Arial"/>
                <w:sz w:val="17"/>
                <w:szCs w:val="17"/>
                <w:color w:val="auto"/>
              </w:rPr>
              <w:t>Shares withheld related to net</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tcPr>
          <w:p>
            <w:pPr>
              <w:ind w:left="20"/>
              <w:spacing w:after="0" w:line="169" w:lineRule="exact"/>
              <w:rPr>
                <w:sz w:val="20"/>
                <w:szCs w:val="20"/>
                <w:color w:val="auto"/>
              </w:rPr>
            </w:pPr>
            <w:r>
              <w:rPr>
                <w:rFonts w:ascii="Arial" w:cs="Arial" w:eastAsia="Arial" w:hAnsi="Arial"/>
                <w:sz w:val="17"/>
                <w:szCs w:val="17"/>
                <w:color w:val="auto"/>
                <w:w w:val="92"/>
              </w:rPr>
              <w:t>share settlement of restricted stock</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Arial" w:cs="Arial" w:eastAsia="Arial" w:hAnsi="Arial"/>
                <w:sz w:val="17"/>
                <w:szCs w:val="17"/>
                <w:color w:val="auto"/>
              </w:rPr>
              <w:t>units and awards</w:t>
            </w: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w w:val="97"/>
              </w:rPr>
              <w:t>Options and restricted stock units</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awards granted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w:t>
            </w:r>
          </w:p>
        </w:tc>
        <w:tc>
          <w:tcPr>
            <w:tcW w:w="0" w:type="dxa"/>
            <w:vAlign w:val="bottom"/>
          </w:tcPr>
          <w:p>
            <w:pPr>
              <w:spacing w:after="0"/>
              <w:rPr>
                <w:sz w:val="1"/>
                <w:szCs w:val="1"/>
                <w:color w:val="auto"/>
              </w:rPr>
            </w:pPr>
          </w:p>
        </w:tc>
      </w:tr>
      <w:tr>
        <w:trPr>
          <w:trHeight w:val="201"/>
        </w:trPr>
        <w:tc>
          <w:tcPr>
            <w:tcW w:w="2480" w:type="dxa"/>
            <w:vAlign w:val="bottom"/>
          </w:tcPr>
          <w:p>
            <w:pPr>
              <w:ind w:left="20"/>
              <w:spacing w:after="0" w:line="202" w:lineRule="exact"/>
              <w:rPr>
                <w:sz w:val="20"/>
                <w:szCs w:val="20"/>
                <w:color w:val="auto"/>
              </w:rPr>
            </w:pPr>
            <w:r>
              <w:rPr>
                <w:rFonts w:ascii="Arial" w:cs="Arial" w:eastAsia="Arial" w:hAnsi="Arial"/>
                <w:sz w:val="17"/>
                <w:szCs w:val="17"/>
                <w:color w:val="auto"/>
              </w:rPr>
              <w:t>Balance as of June 30, 2021</w:t>
            </w:r>
            <w:r>
              <w:rPr>
                <w:rFonts w:ascii="Arial" w:cs="Arial" w:eastAsia="Arial" w:hAnsi="Arial"/>
                <w:sz w:val="22"/>
                <w:szCs w:val="22"/>
                <w:color w:val="auto"/>
                <w:vertAlign w:val="superscript"/>
              </w:rPr>
              <w:t>(2)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17"/>
                <w:szCs w:val="17"/>
                <w:color w:val="auto"/>
              </w:rPr>
            </w:pPr>
          </w:p>
        </w:tc>
        <w:tc>
          <w:tcPr>
            <w:tcW w:w="1140" w:type="dxa"/>
            <w:vAlign w:val="bottom"/>
          </w:tcPr>
          <w:p>
            <w:pPr>
              <w:ind w:left="920"/>
              <w:spacing w:after="0"/>
              <w:rPr>
                <w:sz w:val="20"/>
                <w:szCs w:val="20"/>
                <w:color w:val="auto"/>
              </w:rPr>
            </w:pPr>
            <w:r>
              <w:rPr>
                <w:rFonts w:ascii="Arial" w:cs="Arial" w:eastAsia="Arial" w:hAnsi="Arial"/>
                <w:sz w:val="16"/>
                <w:szCs w:val="16"/>
                <w:color w:val="auto"/>
                <w:w w:val="89"/>
              </w:rPr>
              <w:t>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21.90</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at June 30, 2021</w:t>
            </w: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w w:val="89"/>
              </w:rPr>
              <w:t>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Unvested at June 30, 2021</w:t>
            </w: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0.5</w:t>
            </w:r>
          </w:p>
        </w:tc>
        <w:tc>
          <w:tcPr>
            <w:tcW w:w="2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3.54</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12.97</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30.5</w:t>
            </w:r>
          </w:p>
        </w:tc>
        <w:tc>
          <w:tcPr>
            <w:tcW w:w="2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21.90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right="80" w:firstLine="4"/>
        <w:spacing w:after="0" w:line="298" w:lineRule="auto"/>
        <w:tabs>
          <w:tab w:leader="none" w:pos="144"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This amount includes an immaterial amount of unvested RSUs that were assumed as part of the acquisition of DocSend. The RSUs had a weighted-average grant date fair value of $26.86 per share and a total fair value of $0.4 million, all of which will be recognized as post-combination stock-based compensation expense.</w:t>
      </w:r>
    </w:p>
    <w:p>
      <w:pPr>
        <w:spacing w:after="0" w:line="170" w:lineRule="exact"/>
        <w:rPr>
          <w:rFonts w:ascii="Arial" w:cs="Arial" w:eastAsia="Arial" w:hAnsi="Arial"/>
          <w:sz w:val="17"/>
          <w:szCs w:val="17"/>
          <w:color w:val="auto"/>
          <w:vertAlign w:val="superscript"/>
        </w:rPr>
      </w:pPr>
    </w:p>
    <w:p>
      <w:pPr>
        <w:ind w:left="140" w:hanging="136"/>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This amount excludes restricted stock awards granted with service and market based vesting conditions.</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summarizes information about the pre-tax intrinsic value of options exercised during the three and six months ended June 30, 2021 and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100" w:type="dxa"/>
            <w:vAlign w:val="bottom"/>
            <w:gridSpan w:val="4"/>
          </w:tcPr>
          <w:p>
            <w:pPr>
              <w:jc w:val="center"/>
              <w:ind w:left="433"/>
              <w:spacing w:after="0"/>
              <w:rPr>
                <w:sz w:val="20"/>
                <w:szCs w:val="20"/>
                <w:color w:val="auto"/>
              </w:rPr>
            </w:pPr>
            <w:r>
              <w:rPr>
                <w:rFonts w:ascii="Arial" w:cs="Arial" w:eastAsia="Arial" w:hAnsi="Arial"/>
                <w:sz w:val="17"/>
                <w:szCs w:val="17"/>
                <w:b w:val="1"/>
                <w:bCs w:val="1"/>
                <w:color w:val="auto"/>
                <w:w w:val="93"/>
              </w:rPr>
              <w:t>Three Months 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Six Months Ended</w:t>
            </w:r>
          </w:p>
        </w:tc>
        <w:tc>
          <w:tcPr>
            <w:tcW w:w="1080" w:type="dxa"/>
            <w:vAlign w:val="bottom"/>
          </w:tcPr>
          <w:p>
            <w:pPr>
              <w:spacing w:after="0"/>
              <w:rPr>
                <w:sz w:val="16"/>
                <w:szCs w:val="16"/>
                <w:color w:val="auto"/>
              </w:rPr>
            </w:pPr>
          </w:p>
        </w:tc>
      </w:tr>
      <w:tr>
        <w:trPr>
          <w:trHeight w:val="221"/>
        </w:trPr>
        <w:tc>
          <w:tcPr>
            <w:tcW w:w="396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right="673"/>
              <w:spacing w:after="0"/>
              <w:rPr>
                <w:sz w:val="20"/>
                <w:szCs w:val="20"/>
                <w:color w:val="auto"/>
              </w:rPr>
            </w:pPr>
            <w:r>
              <w:rPr>
                <w:rFonts w:ascii="Arial" w:cs="Arial" w:eastAsia="Arial" w:hAnsi="Arial"/>
                <w:sz w:val="17"/>
                <w:szCs w:val="17"/>
                <w:b w:val="1"/>
                <w:bCs w:val="1"/>
                <w:color w:val="auto"/>
                <w:w w:val="88"/>
              </w:rPr>
              <w:t>June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June 30,</w:t>
            </w:r>
          </w:p>
        </w:tc>
        <w:tc>
          <w:tcPr>
            <w:tcW w:w="1080" w:type="dxa"/>
            <w:vAlign w:val="bottom"/>
            <w:tcBorders>
              <w:bottom w:val="single" w:sz="8" w:color="auto"/>
            </w:tcBorders>
          </w:tcPr>
          <w:p>
            <w:pPr>
              <w:spacing w:after="0"/>
              <w:rPr>
                <w:sz w:val="19"/>
                <w:szCs w:val="19"/>
                <w:color w:val="auto"/>
              </w:rPr>
            </w:pPr>
          </w:p>
        </w:tc>
      </w:tr>
      <w:tr>
        <w:trPr>
          <w:trHeight w:val="214"/>
        </w:trPr>
        <w:tc>
          <w:tcPr>
            <w:tcW w:w="3960" w:type="dxa"/>
            <w:vAlign w:val="bottom"/>
          </w:tcPr>
          <w:p>
            <w:pPr>
              <w:spacing w:after="0"/>
              <w:rPr>
                <w:sz w:val="18"/>
                <w:szCs w:val="18"/>
                <w:color w:val="auto"/>
              </w:rPr>
            </w:pP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2020</w:t>
            </w:r>
          </w:p>
        </w:tc>
      </w:tr>
      <w:tr>
        <w:trPr>
          <w:trHeight w:val="32"/>
        </w:trPr>
        <w:tc>
          <w:tcPr>
            <w:tcW w:w="3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Intrinsic value of options exercised</w:t>
            </w:r>
          </w:p>
        </w:tc>
        <w:tc>
          <w:tcPr>
            <w:tcW w:w="1260" w:type="dxa"/>
            <w:vAlign w:val="bottom"/>
            <w:shd w:val="clear" w:color="auto" w:fill="CCEEFF"/>
          </w:tcPr>
          <w:p>
            <w:pPr>
              <w:jc w:val="right"/>
              <w:ind w:right="107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bl>
    <w:p>
      <w:pPr>
        <w:spacing w:after="0" w:line="300" w:lineRule="exact"/>
        <w:rPr>
          <w:sz w:val="20"/>
          <w:szCs w:val="20"/>
          <w:color w:val="auto"/>
        </w:rPr>
      </w:pPr>
    </w:p>
    <w:p>
      <w:pPr>
        <w:ind w:right="60" w:firstLine="430"/>
        <w:spacing w:after="0" w:line="271" w:lineRule="auto"/>
        <w:rPr>
          <w:sz w:val="20"/>
          <w:szCs w:val="20"/>
          <w:color w:val="auto"/>
        </w:rPr>
      </w:pPr>
      <w:r>
        <w:rPr>
          <w:rFonts w:ascii="Arial" w:cs="Arial" w:eastAsia="Arial" w:hAnsi="Arial"/>
          <w:sz w:val="17"/>
          <w:szCs w:val="17"/>
          <w:color w:val="auto"/>
        </w:rPr>
        <w:t>As of June 30, 2021, unamortized stock-based compensation related to unvested stock options, restricted stock awards (excluding the Co-Founder Grants), and RSUs was $665.7 million. The weighted-average period over which such compensation expense will be recognized if the requisite service is provided is approximately 2.8 years as of June 30, 2021.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Assumed stock options</w:t>
      </w:r>
    </w:p>
    <w:p>
      <w:pPr>
        <w:spacing w:after="0" w:line="117" w:lineRule="exact"/>
        <w:rPr>
          <w:sz w:val="20"/>
          <w:szCs w:val="20"/>
          <w:color w:val="auto"/>
        </w:rPr>
      </w:pPr>
    </w:p>
    <w:p>
      <w:pPr>
        <w:ind w:right="460" w:firstLine="430"/>
        <w:spacing w:after="0" w:line="286" w:lineRule="auto"/>
        <w:rPr>
          <w:sz w:val="20"/>
          <w:szCs w:val="20"/>
          <w:color w:val="auto"/>
        </w:rPr>
      </w:pPr>
      <w:r>
        <w:rPr>
          <w:rFonts w:ascii="Arial" w:cs="Arial" w:eastAsia="Arial" w:hAnsi="Arial"/>
          <w:sz w:val="17"/>
          <w:szCs w:val="17"/>
          <w:color w:val="auto"/>
        </w:rPr>
        <w:t>In connection with the acquisition of DocSend the Company assumed 0.4 million unvested stock options which were valued using the Black-Scholes option-pricing model. The fair value of stock options assumed were estimated using the following assumptions: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5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r>
      <w:tr>
        <w:trPr>
          <w:trHeight w:val="221"/>
        </w:trPr>
        <w:tc>
          <w:tcPr>
            <w:tcW w:w="594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5260" w:type="dxa"/>
            <w:vAlign w:val="bottom"/>
          </w:tcPr>
          <w:p>
            <w:pPr>
              <w:jc w:val="right"/>
              <w:spacing w:after="0"/>
              <w:rPr>
                <w:sz w:val="20"/>
                <w:szCs w:val="20"/>
                <w:color w:val="auto"/>
              </w:rPr>
            </w:pPr>
            <w:r>
              <w:rPr>
                <w:rFonts w:ascii="Arial" w:cs="Arial" w:eastAsia="Arial" w:hAnsi="Arial"/>
                <w:sz w:val="17"/>
                <w:szCs w:val="17"/>
                <w:color w:val="auto"/>
              </w:rPr>
              <w:t>2.0 - 6.8</w:t>
            </w:r>
          </w:p>
        </w:tc>
      </w:tr>
      <w:tr>
        <w:trPr>
          <w:trHeight w:val="221"/>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5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 - 1.29%</w:t>
            </w:r>
          </w:p>
        </w:tc>
      </w:tr>
      <w:tr>
        <w:trPr>
          <w:trHeight w:val="221"/>
        </w:trPr>
        <w:tc>
          <w:tcPr>
            <w:tcW w:w="59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526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313" w:lineRule="exact"/>
        <w:rPr>
          <w:sz w:val="20"/>
          <w:szCs w:val="20"/>
          <w:color w:val="auto"/>
        </w:rPr>
      </w:pPr>
    </w:p>
    <w:p>
      <w:pPr>
        <w:ind w:right="240" w:firstLine="430"/>
        <w:spacing w:after="0" w:line="263"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is based on the Company's historical volatility. Management believes this is the best estimate of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over the expected life of its stock options.</w:t>
      </w:r>
    </w:p>
    <w:p>
      <w:pPr>
        <w:spacing w:after="0" w:line="1" w:lineRule="exact"/>
        <w:rPr>
          <w:sz w:val="20"/>
          <w:szCs w:val="20"/>
          <w:color w:val="auto"/>
        </w:rPr>
      </w:pPr>
    </w:p>
    <w:p>
      <w:pPr>
        <w:ind w:right="240" w:firstLine="430"/>
        <w:spacing w:after="0" w:line="287"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Company determines the expected term based on the average period the stock options are expected to remain outstanding,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87" w:lineRule="exact"/>
        <w:rPr>
          <w:sz w:val="20"/>
          <w:szCs w:val="20"/>
          <w:color w:val="auto"/>
        </w:rPr>
      </w:pPr>
    </w:p>
    <w:p>
      <w:pPr>
        <w:ind w:right="580" w:firstLine="430"/>
        <w:spacing w:after="0" w:line="286"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security in effect at the time the options were assumed for maturities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 dividend yield of</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zero.</w:t>
      </w:r>
    </w:p>
    <w:p>
      <w:pPr>
        <w:spacing w:after="0" w:line="235" w:lineRule="exact"/>
        <w:rPr>
          <w:sz w:val="20"/>
          <w:szCs w:val="20"/>
          <w:color w:val="auto"/>
        </w:rPr>
      </w:pPr>
    </w:p>
    <w:p>
      <w:pPr>
        <w:ind w:right="80" w:firstLine="430"/>
        <w:spacing w:after="0" w:line="286" w:lineRule="auto"/>
        <w:rPr>
          <w:sz w:val="20"/>
          <w:szCs w:val="20"/>
          <w:color w:val="auto"/>
        </w:rPr>
      </w:pPr>
      <w:r>
        <w:rPr>
          <w:rFonts w:ascii="Arial" w:cs="Arial" w:eastAsia="Arial" w:hAnsi="Arial"/>
          <w:sz w:val="17"/>
          <w:szCs w:val="17"/>
          <w:color w:val="auto"/>
        </w:rPr>
        <w:t>In connection with the acquisition of DocSend, the estimated weighted-average grant date fair value for stock options assumed was $25.28 per share and a total fair value of $9.3 million, of which, $8.1 million will be recognized as post-combination stock-based compensation expense.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Co-Founder Grants</w:t>
      </w:r>
    </w:p>
    <w:p>
      <w:pPr>
        <w:spacing w:after="0" w:line="117" w:lineRule="exact"/>
        <w:rPr>
          <w:sz w:val="20"/>
          <w:szCs w:val="20"/>
          <w:color w:val="auto"/>
        </w:rPr>
      </w:pPr>
    </w:p>
    <w:p>
      <w:pPr>
        <w:ind w:firstLine="430"/>
        <w:spacing w:after="0" w:line="278" w:lineRule="auto"/>
        <w:rPr>
          <w:sz w:val="20"/>
          <w:szCs w:val="20"/>
          <w:color w:val="auto"/>
        </w:rPr>
      </w:pPr>
      <w:r>
        <w:rPr>
          <w:rFonts w:ascii="Arial" w:cs="Arial" w:eastAsia="Arial" w:hAnsi="Arial"/>
          <w:sz w:val="16"/>
          <w:szCs w:val="16"/>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a former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income per share attributable to common stockholders in Note 13 "Net Income Per Share", as the right to the cumulative declared dividends is forfeitable if the service condition is not met.</w:t>
      </w:r>
    </w:p>
    <w:p>
      <w:pPr>
        <w:spacing w:after="0" w:line="197" w:lineRule="exact"/>
        <w:rPr>
          <w:sz w:val="20"/>
          <w:szCs w:val="20"/>
          <w:color w:val="auto"/>
        </w:rPr>
      </w:pPr>
    </w:p>
    <w:p>
      <w:pPr>
        <w:ind w:firstLine="430"/>
        <w:spacing w:after="0" w:line="266" w:lineRule="auto"/>
        <w:rPr>
          <w:sz w:val="20"/>
          <w:szCs w:val="20"/>
          <w:color w:val="auto"/>
        </w:rPr>
      </w:pPr>
      <w:r>
        <w:rPr>
          <w:rFonts w:ascii="Arial" w:cs="Arial" w:eastAsia="Arial" w:hAnsi="Arial"/>
          <w:sz w:val="17"/>
          <w:szCs w:val="17"/>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201" w:lineRule="exact"/>
        <w:rPr>
          <w:sz w:val="20"/>
          <w:szCs w:val="20"/>
          <w:color w:val="auto"/>
        </w:rPr>
      </w:pPr>
    </w:p>
    <w:p>
      <w:pPr>
        <w:ind w:right="220" w:firstLine="430"/>
        <w:spacing w:after="0" w:line="286" w:lineRule="auto"/>
        <w:rPr>
          <w:sz w:val="20"/>
          <w:szCs w:val="20"/>
          <w:color w:val="auto"/>
        </w:rPr>
      </w:pPr>
      <w:r>
        <w:rPr>
          <w:rFonts w:ascii="Arial" w:cs="Arial" w:eastAsia="Arial" w:hAnsi="Arial"/>
          <w:sz w:val="17"/>
          <w:szCs w:val="17"/>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85" w:lineRule="exact"/>
        <w:rPr>
          <w:sz w:val="20"/>
          <w:szCs w:val="20"/>
          <w:color w:val="auto"/>
        </w:rPr>
      </w:pPr>
    </w:p>
    <w:p>
      <w:pPr>
        <w:jc w:val="both"/>
        <w:ind w:firstLine="430"/>
        <w:spacing w:after="0" w:line="271" w:lineRule="auto"/>
        <w:rPr>
          <w:sz w:val="20"/>
          <w:szCs w:val="20"/>
          <w:color w:val="auto"/>
        </w:rPr>
      </w:pPr>
      <w:r>
        <w:rPr>
          <w:rFonts w:ascii="Arial" w:cs="Arial" w:eastAsia="Arial" w:hAnsi="Arial"/>
          <w:sz w:val="17"/>
          <w:szCs w:val="17"/>
          <w:color w:val="auto"/>
        </w:rPr>
        <w:t>In March 2020, one of the Company's co-founders, Mr. Ferdowsi, resigned as a member of the Board of Directors and as an officer of the Company. As of the date of Mr. Ferdowsi’s resignation, none of the Stock Price Targets had been met, resulting in the forfeiture of his 4.4 million RSAs. As he did not provide the requisite service associated with the Co-Founder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Grants, the Company reversed all stock-based compensation expense that had been recognized from the grant date through March 19, 2020, which totaled $23.8 million, of which $21.5 million related to expense recognized prior to December 31, 2019, and ceased recognizing further expense related to the award.</w:t>
      </w:r>
    </w:p>
    <w:p>
      <w:pPr>
        <w:spacing w:after="0" w:line="162" w:lineRule="exact"/>
        <w:rPr>
          <w:sz w:val="20"/>
          <w:szCs w:val="20"/>
          <w:color w:val="auto"/>
        </w:rPr>
      </w:pPr>
    </w:p>
    <w:p>
      <w:pPr>
        <w:ind w:right="220" w:firstLine="430"/>
        <w:spacing w:after="0" w:line="271" w:lineRule="auto"/>
        <w:rPr>
          <w:sz w:val="20"/>
          <w:szCs w:val="20"/>
          <w:color w:val="auto"/>
        </w:rPr>
      </w:pPr>
      <w:r>
        <w:rPr>
          <w:rFonts w:ascii="Arial" w:cs="Arial" w:eastAsia="Arial" w:hAnsi="Arial"/>
          <w:sz w:val="17"/>
          <w:szCs w:val="17"/>
          <w:color w:val="auto"/>
        </w:rPr>
        <w:t>The Company recognized stock-based compensation expense related to the Co-Founder Grant of $3.6 million and $7.2 million during the three and six months ended June 30, 2021, respectively and $6.1 million and $12.2 million during the three and six months ended June 30, 2020. As of June 30, 2021, unamortized stock-based compensation expense related to the Co-Founder Grants was $28.5 million.</w:t>
      </w: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Net Income Per Share</w:t>
      </w:r>
    </w:p>
    <w:p>
      <w:pPr>
        <w:spacing w:after="0" w:line="253" w:lineRule="exact"/>
        <w:rPr>
          <w:sz w:val="20"/>
          <w:szCs w:val="20"/>
          <w:color w:val="auto"/>
        </w:rPr>
      </w:pPr>
    </w:p>
    <w:p>
      <w:pPr>
        <w:ind w:right="20" w:firstLine="430"/>
        <w:spacing w:after="0" w:line="295" w:lineRule="auto"/>
        <w:rPr>
          <w:sz w:val="20"/>
          <w:szCs w:val="20"/>
          <w:color w:val="auto"/>
        </w:rPr>
      </w:pPr>
      <w:r>
        <w:rPr>
          <w:rFonts w:ascii="Arial" w:cs="Arial" w:eastAsia="Arial" w:hAnsi="Arial"/>
          <w:sz w:val="16"/>
          <w:szCs w:val="16"/>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1" w:lineRule="exact"/>
        <w:rPr>
          <w:sz w:val="20"/>
          <w:szCs w:val="20"/>
          <w:color w:val="auto"/>
        </w:rPr>
      </w:pPr>
    </w:p>
    <w:p>
      <w:pPr>
        <w:ind w:right="380" w:firstLine="430"/>
        <w:spacing w:after="0" w:line="286" w:lineRule="auto"/>
        <w:rPr>
          <w:sz w:val="20"/>
          <w:szCs w:val="20"/>
          <w:color w:val="auto"/>
        </w:rPr>
      </w:pPr>
      <w:r>
        <w:rPr>
          <w:rFonts w:ascii="Arial" w:cs="Arial" w:eastAsia="Arial" w:hAnsi="Arial"/>
          <w:sz w:val="17"/>
          <w:szCs w:val="17"/>
          <w:color w:val="auto"/>
        </w:rPr>
        <w:t>Basic net income per share is computed by dividing net income attributable to common stockholders by the weighted-average number of shares of the Class A and Class B common stock outstanding.</w:t>
      </w:r>
    </w:p>
    <w:p>
      <w:pPr>
        <w:spacing w:after="0" w:line="185" w:lineRule="exact"/>
        <w:rPr>
          <w:sz w:val="20"/>
          <w:szCs w:val="20"/>
          <w:color w:val="auto"/>
        </w:rPr>
      </w:pPr>
    </w:p>
    <w:p>
      <w:pPr>
        <w:ind w:right="40" w:firstLine="391"/>
        <w:spacing w:after="0" w:line="283" w:lineRule="auto"/>
        <w:rPr>
          <w:sz w:val="20"/>
          <w:szCs w:val="20"/>
          <w:color w:val="auto"/>
        </w:rPr>
      </w:pPr>
      <w:r>
        <w:rPr>
          <w:rFonts w:ascii="Arial" w:cs="Arial" w:eastAsia="Arial" w:hAnsi="Arial"/>
          <w:sz w:val="16"/>
          <w:szCs w:val="16"/>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our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192" w:lineRule="exact"/>
        <w:rPr>
          <w:sz w:val="20"/>
          <w:szCs w:val="20"/>
          <w:color w:val="auto"/>
        </w:rPr>
      </w:pPr>
    </w:p>
    <w:p>
      <w:pPr>
        <w:ind w:right="240" w:firstLine="391"/>
        <w:spacing w:after="0" w:line="286" w:lineRule="auto"/>
        <w:rPr>
          <w:sz w:val="20"/>
          <w:szCs w:val="20"/>
          <w:color w:val="auto"/>
        </w:rPr>
      </w:pPr>
      <w:r>
        <w:rPr>
          <w:rFonts w:ascii="Arial" w:cs="Arial" w:eastAsia="Arial" w:hAnsi="Arial"/>
          <w:sz w:val="17"/>
          <w:szCs w:val="17"/>
          <w:color w:val="auto"/>
        </w:rPr>
        <w:t>The numerators and denominators of the basic and diluted EPS computations for our common stock are calculated as follows (in millions, except for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2620" w:type="dxa"/>
            <w:vAlign w:val="bottom"/>
            <w:gridSpan w:val="4"/>
          </w:tcPr>
          <w:p>
            <w:pPr>
              <w:jc w:val="right"/>
              <w:ind w:right="173"/>
              <w:spacing w:after="0"/>
              <w:rPr>
                <w:sz w:val="20"/>
                <w:szCs w:val="20"/>
                <w:color w:val="auto"/>
              </w:rPr>
            </w:pPr>
            <w:r>
              <w:rPr>
                <w:rFonts w:ascii="Arial" w:cs="Arial" w:eastAsia="Arial" w:hAnsi="Arial"/>
                <w:sz w:val="17"/>
                <w:szCs w:val="17"/>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653"/>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21"/>
        </w:trPr>
        <w:tc>
          <w:tcPr>
            <w:tcW w:w="50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7"/>
                <w:szCs w:val="17"/>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June 30,</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7"/>
                <w:szCs w:val="17"/>
                <w:b w:val="1"/>
                <w:bCs w:val="1"/>
                <w:color w:val="auto"/>
              </w:rPr>
              <w:t>2020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Class A</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Class B</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7"/>
                <w:szCs w:val="17"/>
                <w:color w:val="auto"/>
              </w:rPr>
              <w:t>Class A</w:t>
            </w:r>
          </w:p>
        </w:tc>
        <w:tc>
          <w:tcPr>
            <w:tcW w:w="360" w:type="dxa"/>
            <w:vAlign w:val="bottom"/>
          </w:tcPr>
          <w:p>
            <w:pPr>
              <w:spacing w:after="0"/>
              <w:rPr>
                <w:sz w:val="18"/>
                <w:szCs w:val="18"/>
                <w:color w:val="auto"/>
              </w:rPr>
            </w:pPr>
          </w:p>
        </w:tc>
        <w:tc>
          <w:tcPr>
            <w:tcW w:w="1100" w:type="dxa"/>
            <w:vAlign w:val="bottom"/>
          </w:tcPr>
          <w:p>
            <w:pPr>
              <w:jc w:val="right"/>
              <w:ind w:right="373"/>
              <w:spacing w:after="0"/>
              <w:rPr>
                <w:sz w:val="20"/>
                <w:szCs w:val="20"/>
                <w:color w:val="auto"/>
              </w:rPr>
            </w:pPr>
            <w:r>
              <w:rPr>
                <w:rFonts w:ascii="Arial" w:cs="Arial" w:eastAsia="Arial" w:hAnsi="Arial"/>
                <w:sz w:val="17"/>
                <w:szCs w:val="17"/>
                <w:color w:val="auto"/>
              </w:rPr>
              <w:t>Class B</w:t>
            </w:r>
          </w:p>
        </w:tc>
        <w:tc>
          <w:tcPr>
            <w:tcW w:w="0" w:type="dxa"/>
            <w:vAlign w:val="bottom"/>
          </w:tcPr>
          <w:p>
            <w:pPr>
              <w:spacing w:after="0"/>
              <w:rPr>
                <w:sz w:val="1"/>
                <w:szCs w:val="1"/>
                <w:color w:val="auto"/>
              </w:rPr>
            </w:pPr>
          </w:p>
        </w:tc>
      </w:tr>
      <w:tr>
        <w:trPr>
          <w:trHeight w:val="32"/>
        </w:trPr>
        <w:tc>
          <w:tcPr>
            <w:tcW w:w="50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7"/>
              </w:rPr>
              <w:t>Weighted-average number of common shares outstanding used in</w:t>
            </w:r>
          </w:p>
        </w:tc>
        <w:tc>
          <w:tcPr>
            <w:tcW w:w="10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305.3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281.5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basic net income per share</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common share, basic</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20" w:type="dxa"/>
            <w:vAlign w:val="bottom"/>
            <w:vMerge w:val="continue"/>
          </w:tcPr>
          <w:p>
            <w:pPr>
              <w:spacing w:after="0"/>
              <w:rPr>
                <w:sz w:val="16"/>
                <w:szCs w:val="16"/>
                <w:color w:val="auto"/>
              </w:rPr>
            </w:pPr>
          </w:p>
        </w:tc>
        <w:tc>
          <w:tcPr>
            <w:tcW w:w="1000" w:type="dxa"/>
            <w:vAlign w:val="bottom"/>
          </w:tcPr>
          <w:p>
            <w:pPr>
              <w:jc w:val="right"/>
              <w:ind w:right="813"/>
              <w:spacing w:after="0" w:line="194" w:lineRule="exact"/>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line="194" w:lineRule="exact"/>
              <w:rPr>
                <w:sz w:val="20"/>
                <w:szCs w:val="20"/>
                <w:color w:val="auto"/>
              </w:rPr>
            </w:pPr>
            <w:r>
              <w:rPr>
                <w:rFonts w:ascii="Arial" w:cs="Arial" w:eastAsia="Arial" w:hAnsi="Arial"/>
                <w:sz w:val="17"/>
                <w:szCs w:val="17"/>
                <w:color w:val="auto"/>
              </w:rPr>
              <w:t>0.23</w:t>
            </w:r>
          </w:p>
        </w:tc>
        <w:tc>
          <w:tcPr>
            <w:tcW w:w="100" w:type="dxa"/>
            <w:vAlign w:val="bottom"/>
          </w:tcPr>
          <w:p>
            <w:pPr>
              <w:spacing w:after="0"/>
              <w:rPr>
                <w:sz w:val="16"/>
                <w:szCs w:val="16"/>
                <w:color w:val="auto"/>
              </w:rPr>
            </w:pPr>
          </w:p>
        </w:tc>
        <w:tc>
          <w:tcPr>
            <w:tcW w:w="1040" w:type="dxa"/>
            <w:vAlign w:val="bottom"/>
          </w:tcPr>
          <w:p>
            <w:pPr>
              <w:jc w:val="right"/>
              <w:ind w:right="85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line="194" w:lineRule="exact"/>
              <w:rPr>
                <w:sz w:val="20"/>
                <w:szCs w:val="20"/>
                <w:color w:val="auto"/>
              </w:rPr>
            </w:pPr>
            <w:r>
              <w:rPr>
                <w:rFonts w:ascii="Arial" w:cs="Arial" w:eastAsia="Arial" w:hAnsi="Arial"/>
                <w:sz w:val="17"/>
                <w:szCs w:val="17"/>
                <w:color w:val="auto"/>
              </w:rPr>
              <w:t>0.23</w:t>
            </w:r>
          </w:p>
        </w:tc>
        <w:tc>
          <w:tcPr>
            <w:tcW w:w="12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0.04</w:t>
            </w:r>
          </w:p>
        </w:tc>
        <w:tc>
          <w:tcPr>
            <w:tcW w:w="100" w:type="dxa"/>
            <w:vAlign w:val="bottom"/>
          </w:tcPr>
          <w:p>
            <w:pPr>
              <w:spacing w:after="0"/>
              <w:rPr>
                <w:sz w:val="16"/>
                <w:szCs w:val="16"/>
                <w:color w:val="auto"/>
              </w:rPr>
            </w:pPr>
          </w:p>
        </w:tc>
        <w:tc>
          <w:tcPr>
            <w:tcW w:w="360" w:type="dxa"/>
            <w:vAlign w:val="bottom"/>
          </w:tcPr>
          <w:p>
            <w:pPr>
              <w:jc w:val="right"/>
              <w:ind w:right="17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70"/>
        </w:trPr>
        <w:tc>
          <w:tcPr>
            <w:tcW w:w="5020" w:type="dxa"/>
            <w:vAlign w:val="bottom"/>
          </w:tcPr>
          <w:p>
            <w:pPr>
              <w:ind w:left="140"/>
              <w:spacing w:after="0" w:line="170" w:lineRule="exact"/>
              <w:rPr>
                <w:sz w:val="20"/>
                <w:szCs w:val="20"/>
                <w:color w:val="auto"/>
              </w:rPr>
            </w:pPr>
            <w:r>
              <w:rPr>
                <w:rFonts w:ascii="Arial" w:cs="Arial" w:eastAsia="Arial" w:hAnsi="Arial"/>
                <w:sz w:val="17"/>
                <w:szCs w:val="17"/>
                <w:color w:val="auto"/>
                <w:w w:val="99"/>
              </w:rPr>
              <w:t>Reallocation of net income as a result of conversion of Class B to</w:t>
            </w:r>
          </w:p>
        </w:tc>
        <w:tc>
          <w:tcPr>
            <w:tcW w:w="10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020" w:type="dxa"/>
            <w:vAlign w:val="bottom"/>
          </w:tcPr>
          <w:p>
            <w:pPr>
              <w:ind w:left="140"/>
              <w:spacing w:after="0"/>
              <w:rPr>
                <w:sz w:val="20"/>
                <w:szCs w:val="20"/>
                <w:color w:val="auto"/>
              </w:rPr>
            </w:pPr>
            <w:r>
              <w:rPr>
                <w:rFonts w:ascii="Arial" w:cs="Arial" w:eastAsia="Arial" w:hAnsi="Arial"/>
                <w:sz w:val="17"/>
                <w:szCs w:val="17"/>
                <w:color w:val="auto"/>
              </w:rPr>
              <w:t>Class A common stock</w:t>
            </w:r>
          </w:p>
        </w:tc>
        <w:tc>
          <w:tcPr>
            <w:tcW w:w="10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Reallocation of net income to Class B common stock</w:t>
            </w:r>
          </w:p>
        </w:tc>
        <w:tc>
          <w:tcPr>
            <w:tcW w:w="10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attributable to common stockholders for diluted EPS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20" w:type="dxa"/>
            <w:vAlign w:val="bottom"/>
            <w:vMerge w:val="continue"/>
          </w:tcPr>
          <w:p>
            <w:pPr>
              <w:spacing w:after="0"/>
              <w:rPr>
                <w:sz w:val="16"/>
                <w:szCs w:val="16"/>
                <w:color w:val="auto"/>
              </w:rPr>
            </w:pPr>
          </w:p>
        </w:tc>
        <w:tc>
          <w:tcPr>
            <w:tcW w:w="1000" w:type="dxa"/>
            <w:vAlign w:val="bottom"/>
          </w:tcPr>
          <w:p>
            <w:pPr>
              <w:jc w:val="right"/>
              <w:ind w:right="813"/>
              <w:spacing w:after="0" w:line="194" w:lineRule="exact"/>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line="194" w:lineRule="exact"/>
              <w:rPr>
                <w:sz w:val="20"/>
                <w:szCs w:val="20"/>
                <w:color w:val="auto"/>
              </w:rPr>
            </w:pPr>
            <w:r>
              <w:rPr>
                <w:rFonts w:ascii="Arial" w:cs="Arial" w:eastAsia="Arial" w:hAnsi="Arial"/>
                <w:sz w:val="17"/>
                <w:szCs w:val="17"/>
                <w:color w:val="auto"/>
              </w:rPr>
              <w:t>87.9</w:t>
            </w:r>
          </w:p>
        </w:tc>
        <w:tc>
          <w:tcPr>
            <w:tcW w:w="100" w:type="dxa"/>
            <w:vAlign w:val="bottom"/>
          </w:tcPr>
          <w:p>
            <w:pPr>
              <w:spacing w:after="0"/>
              <w:rPr>
                <w:sz w:val="16"/>
                <w:szCs w:val="16"/>
                <w:color w:val="auto"/>
              </w:rPr>
            </w:pPr>
          </w:p>
        </w:tc>
        <w:tc>
          <w:tcPr>
            <w:tcW w:w="1040" w:type="dxa"/>
            <w:vAlign w:val="bottom"/>
          </w:tcPr>
          <w:p>
            <w:pPr>
              <w:jc w:val="right"/>
              <w:ind w:right="85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line="194" w:lineRule="exact"/>
              <w:rPr>
                <w:sz w:val="20"/>
                <w:szCs w:val="20"/>
                <w:color w:val="auto"/>
              </w:rPr>
            </w:pPr>
            <w:r>
              <w:rPr>
                <w:rFonts w:ascii="Arial" w:cs="Arial" w:eastAsia="Arial" w:hAnsi="Arial"/>
                <w:sz w:val="17"/>
                <w:szCs w:val="17"/>
                <w:color w:val="auto"/>
              </w:rPr>
              <w:t>18.4</w:t>
            </w:r>
          </w:p>
        </w:tc>
        <w:tc>
          <w:tcPr>
            <w:tcW w:w="12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17.5</w:t>
            </w:r>
          </w:p>
        </w:tc>
        <w:tc>
          <w:tcPr>
            <w:tcW w:w="100" w:type="dxa"/>
            <w:vAlign w:val="bottom"/>
          </w:tcPr>
          <w:p>
            <w:pPr>
              <w:spacing w:after="0"/>
              <w:rPr>
                <w:sz w:val="16"/>
                <w:szCs w:val="16"/>
                <w:color w:val="auto"/>
              </w:rPr>
            </w:pPr>
          </w:p>
        </w:tc>
        <w:tc>
          <w:tcPr>
            <w:tcW w:w="360" w:type="dxa"/>
            <w:vAlign w:val="bottom"/>
          </w:tcPr>
          <w:p>
            <w:pPr>
              <w:jc w:val="right"/>
              <w:ind w:right="17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20" w:type="dxa"/>
            <w:vAlign w:val="bottom"/>
          </w:tcPr>
          <w:p>
            <w:pPr>
              <w:ind w:left="140"/>
              <w:spacing w:after="0" w:line="170" w:lineRule="exact"/>
              <w:rPr>
                <w:sz w:val="20"/>
                <w:szCs w:val="20"/>
                <w:color w:val="auto"/>
              </w:rPr>
            </w:pPr>
            <w:r>
              <w:rPr>
                <w:rFonts w:ascii="Arial" w:cs="Arial" w:eastAsia="Arial" w:hAnsi="Arial"/>
                <w:sz w:val="17"/>
                <w:szCs w:val="17"/>
                <w:color w:val="auto"/>
                <w:w w:val="97"/>
              </w:rPr>
              <w:t>Weighted-average number of common shares outstanding used in</w:t>
            </w:r>
          </w:p>
        </w:tc>
        <w:tc>
          <w:tcPr>
            <w:tcW w:w="10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w w:val="89"/>
              </w:rPr>
              <w:t>305.3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83.2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281.5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132.7</w:t>
            </w:r>
          </w:p>
        </w:tc>
        <w:tc>
          <w:tcPr>
            <w:tcW w:w="0" w:type="dxa"/>
            <w:vAlign w:val="bottom"/>
          </w:tcPr>
          <w:p>
            <w:pPr>
              <w:spacing w:after="0"/>
              <w:rPr>
                <w:sz w:val="1"/>
                <w:szCs w:val="1"/>
                <w:color w:val="auto"/>
              </w:rPr>
            </w:pPr>
          </w:p>
        </w:tc>
      </w:tr>
      <w:tr>
        <w:trPr>
          <w:trHeight w:val="221"/>
        </w:trPr>
        <w:tc>
          <w:tcPr>
            <w:tcW w:w="5020" w:type="dxa"/>
            <w:vAlign w:val="bottom"/>
          </w:tcPr>
          <w:p>
            <w:pPr>
              <w:ind w:left="140"/>
              <w:spacing w:after="0"/>
              <w:rPr>
                <w:sz w:val="20"/>
                <w:szCs w:val="20"/>
                <w:color w:val="auto"/>
              </w:rPr>
            </w:pPr>
            <w:r>
              <w:rPr>
                <w:rFonts w:ascii="Arial" w:cs="Arial" w:eastAsia="Arial" w:hAnsi="Arial"/>
                <w:sz w:val="17"/>
                <w:szCs w:val="17"/>
                <w:color w:val="auto"/>
              </w:rPr>
              <w:t>computing basic net income per share</w:t>
            </w:r>
          </w:p>
        </w:tc>
        <w:tc>
          <w:tcPr>
            <w:tcW w:w="10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4"/>
              </w:rPr>
              <w:t>Weighted-average effect of dilutive restricted stock units and awards</w:t>
            </w:r>
          </w:p>
        </w:tc>
        <w:tc>
          <w:tcPr>
            <w:tcW w:w="10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and employee stock options</w:t>
            </w:r>
          </w:p>
        </w:tc>
        <w:tc>
          <w:tcPr>
            <w:tcW w:w="10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140"/>
              <w:spacing w:after="0"/>
              <w:rPr>
                <w:sz w:val="20"/>
                <w:szCs w:val="20"/>
                <w:color w:val="auto"/>
              </w:rPr>
            </w:pPr>
            <w:r>
              <w:rPr>
                <w:rFonts w:ascii="Arial" w:cs="Arial" w:eastAsia="Arial" w:hAnsi="Arial"/>
                <w:sz w:val="17"/>
                <w:szCs w:val="17"/>
                <w:color w:val="auto"/>
              </w:rPr>
              <w:t>Conversion of Class B to Class A common stock</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83.2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020" w:type="dxa"/>
            <w:vAlign w:val="bottom"/>
            <w:shd w:val="clear" w:color="auto" w:fill="CCEEFF"/>
          </w:tcPr>
          <w:p>
            <w:pPr>
              <w:ind w:left="140"/>
              <w:spacing w:after="0" w:line="136" w:lineRule="exact"/>
              <w:rPr>
                <w:sz w:val="20"/>
                <w:szCs w:val="20"/>
                <w:color w:val="auto"/>
              </w:rPr>
            </w:pPr>
            <w:r>
              <w:rPr>
                <w:rFonts w:ascii="Arial" w:cs="Arial" w:eastAsia="Arial" w:hAnsi="Arial"/>
                <w:sz w:val="15"/>
                <w:szCs w:val="15"/>
                <w:color w:val="auto"/>
              </w:rPr>
              <w:t>Weighted-average number of common shares outstanding used in</w:t>
            </w:r>
          </w:p>
        </w:tc>
        <w:tc>
          <w:tcPr>
            <w:tcW w:w="10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397.0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420.2</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133.0</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diluted net income per share</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per common share, diluted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20" w:type="dxa"/>
            <w:vAlign w:val="bottom"/>
            <w:vMerge w:val="continue"/>
          </w:tcPr>
          <w:p>
            <w:pPr>
              <w:spacing w:after="0"/>
              <w:rPr>
                <w:sz w:val="16"/>
                <w:szCs w:val="16"/>
                <w:color w:val="auto"/>
              </w:rPr>
            </w:pPr>
          </w:p>
        </w:tc>
        <w:tc>
          <w:tcPr>
            <w:tcW w:w="1000" w:type="dxa"/>
            <w:vAlign w:val="bottom"/>
            <w:tcBorders>
              <w:bottom w:val="single" w:sz="8" w:color="auto"/>
            </w:tcBorders>
          </w:tcPr>
          <w:p>
            <w:pPr>
              <w:jc w:val="right"/>
              <w:ind w:right="813"/>
              <w:spacing w:after="0" w:line="194" w:lineRule="exact"/>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0.22</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85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0.22</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020" w:type="dxa"/>
            <w:vAlign w:val="bottom"/>
          </w:tcPr>
          <w:p>
            <w:pPr>
              <w:spacing w:after="0"/>
              <w:rPr>
                <w:sz w:val="24"/>
                <w:szCs w:val="24"/>
                <w:color w:val="auto"/>
              </w:rPr>
            </w:pPr>
          </w:p>
        </w:tc>
        <w:tc>
          <w:tcPr>
            <w:tcW w:w="1000" w:type="dxa"/>
            <w:vAlign w:val="bottom"/>
          </w:tcPr>
          <w:p>
            <w:pPr>
              <w:jc w:val="right"/>
              <w:ind w:right="213"/>
              <w:spacing w:after="0"/>
              <w:rPr>
                <w:sz w:val="20"/>
                <w:szCs w:val="20"/>
                <w:color w:val="auto"/>
              </w:rPr>
            </w:pPr>
            <w:r>
              <w:rPr>
                <w:rFonts w:ascii="Arial" w:cs="Arial" w:eastAsia="Arial" w:hAnsi="Arial"/>
                <w:sz w:val="17"/>
                <w:szCs w:val="17"/>
                <w:color w:val="auto"/>
              </w:rPr>
              <w:t>38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640" w:type="dxa"/>
            <w:vAlign w:val="bottom"/>
            <w:gridSpan w:val="4"/>
          </w:tcPr>
          <w:p>
            <w:pPr>
              <w:jc w:val="right"/>
              <w:ind w:right="293"/>
              <w:spacing w:after="0"/>
              <w:rPr>
                <w:sz w:val="20"/>
                <w:szCs w:val="20"/>
                <w:color w:val="auto"/>
              </w:rPr>
            </w:pPr>
            <w:r>
              <w:rPr>
                <w:rFonts w:ascii="Arial" w:cs="Arial" w:eastAsia="Arial" w:hAnsi="Arial"/>
                <w:sz w:val="17"/>
                <w:szCs w:val="17"/>
                <w:b w:val="1"/>
                <w:bCs w:val="1"/>
                <w:color w:val="auto"/>
              </w:rPr>
              <w:t>Six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4"/>
          </w:tcPr>
          <w:p>
            <w:pPr>
              <w:jc w:val="right"/>
              <w:ind w:right="753"/>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1"/>
        </w:trPr>
        <w:tc>
          <w:tcPr>
            <w:tcW w:w="50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7"/>
                <w:szCs w:val="17"/>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June 30,</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853"/>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7"/>
                <w:szCs w:val="17"/>
                <w:b w:val="1"/>
                <w:bCs w:val="1"/>
                <w:color w:val="auto"/>
              </w:rPr>
              <w:t>2020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Class A</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Class B</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7"/>
                <w:szCs w:val="17"/>
                <w:color w:val="auto"/>
              </w:rPr>
              <w:t>Class A</w:t>
            </w:r>
          </w:p>
        </w:tc>
        <w:tc>
          <w:tcPr>
            <w:tcW w:w="360" w:type="dxa"/>
            <w:vAlign w:val="bottom"/>
          </w:tcPr>
          <w:p>
            <w:pPr>
              <w:spacing w:after="0"/>
              <w:rPr>
                <w:sz w:val="18"/>
                <w:szCs w:val="18"/>
                <w:color w:val="auto"/>
              </w:rPr>
            </w:pPr>
          </w:p>
        </w:tc>
        <w:tc>
          <w:tcPr>
            <w:tcW w:w="1100" w:type="dxa"/>
            <w:vAlign w:val="bottom"/>
          </w:tcPr>
          <w:p>
            <w:pPr>
              <w:jc w:val="right"/>
              <w:ind w:right="373"/>
              <w:spacing w:after="0"/>
              <w:rPr>
                <w:sz w:val="20"/>
                <w:szCs w:val="20"/>
                <w:color w:val="auto"/>
              </w:rPr>
            </w:pPr>
            <w:r>
              <w:rPr>
                <w:rFonts w:ascii="Arial" w:cs="Arial" w:eastAsia="Arial" w:hAnsi="Arial"/>
                <w:sz w:val="17"/>
                <w:szCs w:val="17"/>
                <w:color w:val="auto"/>
              </w:rPr>
              <w:t>Class B</w:t>
            </w:r>
          </w:p>
        </w:tc>
        <w:tc>
          <w:tcPr>
            <w:tcW w:w="0" w:type="dxa"/>
            <w:vAlign w:val="bottom"/>
          </w:tcPr>
          <w:p>
            <w:pPr>
              <w:spacing w:after="0"/>
              <w:rPr>
                <w:sz w:val="1"/>
                <w:szCs w:val="1"/>
                <w:color w:val="auto"/>
              </w:rPr>
            </w:pPr>
          </w:p>
        </w:tc>
      </w:tr>
      <w:tr>
        <w:trPr>
          <w:trHeight w:val="32"/>
        </w:trPr>
        <w:tc>
          <w:tcPr>
            <w:tcW w:w="504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106.9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4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7"/>
              </w:rPr>
              <w:t>Weighted-average number of common shares outstanding used in</w:t>
            </w:r>
          </w:p>
        </w:tc>
        <w:tc>
          <w:tcPr>
            <w:tcW w:w="10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310.0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6"/>
              </w:rPr>
              <w:t>83.3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270.7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145.0</w:t>
            </w:r>
          </w:p>
        </w:tc>
        <w:tc>
          <w:tcPr>
            <w:tcW w:w="0" w:type="dxa"/>
            <w:vAlign w:val="bottom"/>
          </w:tcPr>
          <w:p>
            <w:pPr>
              <w:spacing w:after="0"/>
              <w:rPr>
                <w:sz w:val="1"/>
                <w:szCs w:val="1"/>
                <w:color w:val="auto"/>
              </w:rPr>
            </w:pPr>
          </w:p>
        </w:tc>
      </w:tr>
      <w:tr>
        <w:trPr>
          <w:trHeight w:val="215"/>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basic net income per share</w:t>
            </w:r>
          </w:p>
        </w:tc>
        <w:tc>
          <w:tcPr>
            <w:tcW w:w="10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common share, basic</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40" w:type="dxa"/>
            <w:vAlign w:val="bottom"/>
            <w:vMerge w:val="continue"/>
          </w:tcPr>
          <w:p>
            <w:pPr>
              <w:spacing w:after="0"/>
              <w:rPr>
                <w:sz w:val="16"/>
                <w:szCs w:val="16"/>
                <w:color w:val="auto"/>
              </w:rPr>
            </w:pPr>
          </w:p>
        </w:tc>
        <w:tc>
          <w:tcPr>
            <w:tcW w:w="1020" w:type="dxa"/>
            <w:vAlign w:val="bottom"/>
          </w:tcPr>
          <w:p>
            <w:pPr>
              <w:jc w:val="right"/>
              <w:ind w:right="833"/>
              <w:spacing w:after="0" w:line="194" w:lineRule="exact"/>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0.34</w:t>
            </w:r>
          </w:p>
        </w:tc>
        <w:tc>
          <w:tcPr>
            <w:tcW w:w="100" w:type="dxa"/>
            <w:vAlign w:val="bottom"/>
          </w:tcPr>
          <w:p>
            <w:pPr>
              <w:spacing w:after="0"/>
              <w:rPr>
                <w:sz w:val="16"/>
                <w:szCs w:val="16"/>
                <w:color w:val="auto"/>
              </w:rPr>
            </w:pPr>
          </w:p>
        </w:tc>
        <w:tc>
          <w:tcPr>
            <w:tcW w:w="1060" w:type="dxa"/>
            <w:vAlign w:val="bottom"/>
          </w:tcPr>
          <w:p>
            <w:pPr>
              <w:jc w:val="right"/>
              <w:ind w:right="87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line="194" w:lineRule="exact"/>
              <w:rPr>
                <w:sz w:val="20"/>
                <w:szCs w:val="20"/>
                <w:color w:val="auto"/>
              </w:rPr>
            </w:pPr>
            <w:r>
              <w:rPr>
                <w:rFonts w:ascii="Arial" w:cs="Arial" w:eastAsia="Arial" w:hAnsi="Arial"/>
                <w:sz w:val="17"/>
                <w:szCs w:val="17"/>
                <w:color w:val="auto"/>
                <w:w w:val="96"/>
              </w:rPr>
              <w:t>0.34</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4" w:lineRule="exact"/>
              <w:rPr>
                <w:sz w:val="20"/>
                <w:szCs w:val="20"/>
                <w:color w:val="auto"/>
              </w:rPr>
            </w:pPr>
            <w:r>
              <w:rPr>
                <w:rFonts w:ascii="Arial" w:cs="Arial" w:eastAsia="Arial" w:hAnsi="Arial"/>
                <w:sz w:val="17"/>
                <w:szCs w:val="17"/>
                <w:color w:val="auto"/>
              </w:rPr>
              <w:t>0.14</w:t>
            </w:r>
          </w:p>
        </w:tc>
        <w:tc>
          <w:tcPr>
            <w:tcW w:w="120" w:type="dxa"/>
            <w:vAlign w:val="bottom"/>
          </w:tcPr>
          <w:p>
            <w:pPr>
              <w:spacing w:after="0"/>
              <w:rPr>
                <w:sz w:val="16"/>
                <w:szCs w:val="16"/>
                <w:color w:val="auto"/>
              </w:rPr>
            </w:pPr>
          </w:p>
        </w:tc>
        <w:tc>
          <w:tcPr>
            <w:tcW w:w="360" w:type="dxa"/>
            <w:vAlign w:val="bottom"/>
          </w:tcPr>
          <w:p>
            <w:pPr>
              <w:jc w:val="right"/>
              <w:ind w:right="17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106.9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170"/>
        </w:trPr>
        <w:tc>
          <w:tcPr>
            <w:tcW w:w="5040" w:type="dxa"/>
            <w:vAlign w:val="bottom"/>
          </w:tcPr>
          <w:p>
            <w:pPr>
              <w:ind w:left="140"/>
              <w:spacing w:after="0" w:line="170" w:lineRule="exact"/>
              <w:rPr>
                <w:sz w:val="20"/>
                <w:szCs w:val="20"/>
                <w:color w:val="auto"/>
              </w:rPr>
            </w:pPr>
            <w:r>
              <w:rPr>
                <w:rFonts w:ascii="Arial" w:cs="Arial" w:eastAsia="Arial" w:hAnsi="Arial"/>
                <w:sz w:val="17"/>
                <w:szCs w:val="17"/>
                <w:color w:val="auto"/>
                <w:w w:val="99"/>
              </w:rPr>
              <w:t>Reallocation of net income as a result of conversion of Class B to</w:t>
            </w:r>
          </w:p>
        </w:tc>
        <w:tc>
          <w:tcPr>
            <w:tcW w:w="10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19.8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tcPr>
          <w:p>
            <w:pPr>
              <w:ind w:left="140"/>
              <w:spacing w:after="0"/>
              <w:rPr>
                <w:sz w:val="20"/>
                <w:szCs w:val="20"/>
                <w:color w:val="auto"/>
              </w:rPr>
            </w:pPr>
            <w:r>
              <w:rPr>
                <w:rFonts w:ascii="Arial" w:cs="Arial" w:eastAsia="Arial" w:hAnsi="Arial"/>
                <w:sz w:val="17"/>
                <w:szCs w:val="17"/>
                <w:color w:val="auto"/>
              </w:rPr>
              <w:t>Class A common stock</w:t>
            </w:r>
          </w:p>
        </w:tc>
        <w:tc>
          <w:tcPr>
            <w:tcW w:w="10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Reallocation of net income to Class B common stock</w:t>
            </w:r>
          </w:p>
        </w:tc>
        <w:tc>
          <w:tcPr>
            <w:tcW w:w="10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attributable to common stockholders for diluted EPS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40" w:type="dxa"/>
            <w:vAlign w:val="bottom"/>
            <w:vMerge w:val="continue"/>
          </w:tcPr>
          <w:p>
            <w:pPr>
              <w:spacing w:after="0"/>
              <w:rPr>
                <w:sz w:val="16"/>
                <w:szCs w:val="16"/>
                <w:color w:val="auto"/>
              </w:rPr>
            </w:pPr>
          </w:p>
        </w:tc>
        <w:tc>
          <w:tcPr>
            <w:tcW w:w="1020" w:type="dxa"/>
            <w:vAlign w:val="bottom"/>
          </w:tcPr>
          <w:p>
            <w:pPr>
              <w:jc w:val="right"/>
              <w:ind w:right="833"/>
              <w:spacing w:after="0" w:line="194" w:lineRule="exact"/>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w w:val="84"/>
              </w:rPr>
              <w:t>135.6</w:t>
            </w:r>
          </w:p>
        </w:tc>
        <w:tc>
          <w:tcPr>
            <w:tcW w:w="100" w:type="dxa"/>
            <w:vAlign w:val="bottom"/>
          </w:tcPr>
          <w:p>
            <w:pPr>
              <w:spacing w:after="0"/>
              <w:rPr>
                <w:sz w:val="16"/>
                <w:szCs w:val="16"/>
                <w:color w:val="auto"/>
              </w:rPr>
            </w:pPr>
          </w:p>
        </w:tc>
        <w:tc>
          <w:tcPr>
            <w:tcW w:w="1060" w:type="dxa"/>
            <w:vAlign w:val="bottom"/>
          </w:tcPr>
          <w:p>
            <w:pPr>
              <w:jc w:val="right"/>
              <w:ind w:right="87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line="194" w:lineRule="exact"/>
              <w:rPr>
                <w:sz w:val="20"/>
                <w:szCs w:val="20"/>
                <w:color w:val="auto"/>
              </w:rPr>
            </w:pPr>
            <w:r>
              <w:rPr>
                <w:rFonts w:ascii="Arial" w:cs="Arial" w:eastAsia="Arial" w:hAnsi="Arial"/>
                <w:sz w:val="17"/>
                <w:szCs w:val="17"/>
                <w:color w:val="auto"/>
                <w:w w:val="96"/>
              </w:rPr>
              <w:t>28.2</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4" w:lineRule="exact"/>
              <w:rPr>
                <w:sz w:val="20"/>
                <w:szCs w:val="20"/>
                <w:color w:val="auto"/>
              </w:rPr>
            </w:pPr>
            <w:r>
              <w:rPr>
                <w:rFonts w:ascii="Arial" w:cs="Arial" w:eastAsia="Arial" w:hAnsi="Arial"/>
                <w:sz w:val="17"/>
                <w:szCs w:val="17"/>
                <w:color w:val="auto"/>
              </w:rPr>
              <w:t>56.8</w:t>
            </w:r>
          </w:p>
        </w:tc>
        <w:tc>
          <w:tcPr>
            <w:tcW w:w="120" w:type="dxa"/>
            <w:vAlign w:val="bottom"/>
          </w:tcPr>
          <w:p>
            <w:pPr>
              <w:spacing w:after="0"/>
              <w:rPr>
                <w:sz w:val="16"/>
                <w:szCs w:val="16"/>
                <w:color w:val="auto"/>
              </w:rPr>
            </w:pPr>
          </w:p>
        </w:tc>
        <w:tc>
          <w:tcPr>
            <w:tcW w:w="360" w:type="dxa"/>
            <w:vAlign w:val="bottom"/>
          </w:tcPr>
          <w:p>
            <w:pPr>
              <w:jc w:val="right"/>
              <w:ind w:right="17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140"/>
              <w:spacing w:after="0" w:line="170" w:lineRule="exact"/>
              <w:rPr>
                <w:sz w:val="20"/>
                <w:szCs w:val="20"/>
                <w:color w:val="auto"/>
              </w:rPr>
            </w:pPr>
            <w:r>
              <w:rPr>
                <w:rFonts w:ascii="Arial" w:cs="Arial" w:eastAsia="Arial" w:hAnsi="Arial"/>
                <w:sz w:val="17"/>
                <w:szCs w:val="17"/>
                <w:color w:val="auto"/>
                <w:w w:val="97"/>
              </w:rPr>
              <w:t>Weighted-average number of common shares outstanding used in</w:t>
            </w:r>
          </w:p>
        </w:tc>
        <w:tc>
          <w:tcPr>
            <w:tcW w:w="10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w w:val="84"/>
              </w:rPr>
              <w:t>310.0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w w:val="96"/>
              </w:rPr>
              <w:t>83.3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270.7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145.0</w:t>
            </w:r>
          </w:p>
        </w:tc>
        <w:tc>
          <w:tcPr>
            <w:tcW w:w="0" w:type="dxa"/>
            <w:vAlign w:val="bottom"/>
          </w:tcPr>
          <w:p>
            <w:pPr>
              <w:spacing w:after="0"/>
              <w:rPr>
                <w:sz w:val="1"/>
                <w:szCs w:val="1"/>
                <w:color w:val="auto"/>
              </w:rPr>
            </w:pPr>
          </w:p>
        </w:tc>
      </w:tr>
      <w:tr>
        <w:trPr>
          <w:trHeight w:val="221"/>
        </w:trPr>
        <w:tc>
          <w:tcPr>
            <w:tcW w:w="5040" w:type="dxa"/>
            <w:vAlign w:val="bottom"/>
          </w:tcPr>
          <w:p>
            <w:pPr>
              <w:ind w:left="140"/>
              <w:spacing w:after="0"/>
              <w:rPr>
                <w:sz w:val="20"/>
                <w:szCs w:val="20"/>
                <w:color w:val="auto"/>
              </w:rPr>
            </w:pPr>
            <w:r>
              <w:rPr>
                <w:rFonts w:ascii="Arial" w:cs="Arial" w:eastAsia="Arial" w:hAnsi="Arial"/>
                <w:sz w:val="17"/>
                <w:szCs w:val="17"/>
                <w:color w:val="auto"/>
              </w:rPr>
              <w:t>computing basic net income per share</w:t>
            </w:r>
          </w:p>
        </w:tc>
        <w:tc>
          <w:tcPr>
            <w:tcW w:w="10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4"/>
              </w:rPr>
              <w:t>Weighted-average effect of dilutive restricted stock units and awards</w:t>
            </w:r>
          </w:p>
        </w:tc>
        <w:tc>
          <w:tcPr>
            <w:tcW w:w="10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and employee stock options</w:t>
            </w:r>
          </w:p>
        </w:tc>
        <w:tc>
          <w:tcPr>
            <w:tcW w:w="10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140"/>
              <w:spacing w:after="0"/>
              <w:rPr>
                <w:sz w:val="20"/>
                <w:szCs w:val="20"/>
                <w:color w:val="auto"/>
              </w:rPr>
            </w:pPr>
            <w:r>
              <w:rPr>
                <w:rFonts w:ascii="Arial" w:cs="Arial" w:eastAsia="Arial" w:hAnsi="Arial"/>
                <w:sz w:val="17"/>
                <w:szCs w:val="17"/>
                <w:color w:val="auto"/>
              </w:rPr>
              <w:t>Conversion of Class B to Class A common stock</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83.3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040" w:type="dxa"/>
            <w:vAlign w:val="bottom"/>
            <w:shd w:val="clear" w:color="auto" w:fill="CCEEFF"/>
          </w:tcPr>
          <w:p>
            <w:pPr>
              <w:ind w:left="140"/>
              <w:spacing w:after="0" w:line="136" w:lineRule="exact"/>
              <w:rPr>
                <w:sz w:val="20"/>
                <w:szCs w:val="20"/>
                <w:color w:val="auto"/>
              </w:rPr>
            </w:pPr>
            <w:r>
              <w:rPr>
                <w:rFonts w:ascii="Arial" w:cs="Arial" w:eastAsia="Arial" w:hAnsi="Arial"/>
                <w:sz w:val="15"/>
                <w:szCs w:val="15"/>
                <w:color w:val="auto"/>
              </w:rPr>
              <w:t>Weighted-average number of common shares outstanding used in</w:t>
            </w:r>
          </w:p>
        </w:tc>
        <w:tc>
          <w:tcPr>
            <w:tcW w:w="10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401.2</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6"/>
              </w:rPr>
              <w:t>83.4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419.3</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145.3</w:t>
            </w:r>
          </w:p>
        </w:tc>
        <w:tc>
          <w:tcPr>
            <w:tcW w:w="0" w:type="dxa"/>
            <w:vAlign w:val="bottom"/>
          </w:tcPr>
          <w:p>
            <w:pPr>
              <w:spacing w:after="0"/>
              <w:rPr>
                <w:sz w:val="1"/>
                <w:szCs w:val="1"/>
                <w:color w:val="auto"/>
              </w:rPr>
            </w:pPr>
          </w:p>
        </w:tc>
      </w:tr>
      <w:tr>
        <w:trPr>
          <w:trHeight w:val="215"/>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diluted net income per share</w:t>
            </w:r>
          </w:p>
        </w:tc>
        <w:tc>
          <w:tcPr>
            <w:tcW w:w="10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per common share, diluted</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4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ind w:right="833"/>
              <w:spacing w:after="0" w:line="194" w:lineRule="exact"/>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0.34</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7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6"/>
              </w:rPr>
              <w:t>0.34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0.14</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420" w:firstLine="430"/>
        <w:spacing w:after="0" w:line="286" w:lineRule="auto"/>
        <w:rPr>
          <w:sz w:val="20"/>
          <w:szCs w:val="20"/>
          <w:color w:val="auto"/>
        </w:rPr>
      </w:pPr>
      <w:r>
        <w:rPr>
          <w:rFonts w:ascii="Arial" w:cs="Arial" w:eastAsia="Arial" w:hAnsi="Arial"/>
          <w:sz w:val="17"/>
          <w:szCs w:val="17"/>
          <w:color w:val="auto"/>
        </w:rPr>
        <w:t>The weighted-average impact of potentially dilutive securities that were not included in the diluted per share calculations because they would be anti-dilutive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2960" w:type="dxa"/>
            <w:vAlign w:val="bottom"/>
            <w:gridSpan w:val="4"/>
          </w:tcPr>
          <w:p>
            <w:pPr>
              <w:jc w:val="center"/>
              <w:ind w:left="413"/>
              <w:spacing w:after="0"/>
              <w:rPr>
                <w:sz w:val="20"/>
                <w:szCs w:val="20"/>
                <w:color w:val="auto"/>
              </w:rPr>
            </w:pPr>
            <w:r>
              <w:rPr>
                <w:rFonts w:ascii="Arial" w:cs="Arial" w:eastAsia="Arial" w:hAnsi="Arial"/>
                <w:sz w:val="17"/>
                <w:szCs w:val="17"/>
                <w:b w:val="1"/>
                <w:bCs w:val="1"/>
                <w:color w:val="auto"/>
                <w:w w:val="93"/>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Six Months Ended</w:t>
            </w:r>
          </w:p>
        </w:tc>
        <w:tc>
          <w:tcPr>
            <w:tcW w:w="1040" w:type="dxa"/>
            <w:vAlign w:val="bottom"/>
          </w:tcPr>
          <w:p>
            <w:pPr>
              <w:spacing w:after="0"/>
              <w:rPr>
                <w:sz w:val="16"/>
                <w:szCs w:val="16"/>
                <w:color w:val="auto"/>
              </w:rPr>
            </w:pPr>
          </w:p>
        </w:tc>
      </w:tr>
      <w:tr>
        <w:trPr>
          <w:trHeight w:val="221"/>
        </w:trPr>
        <w:tc>
          <w:tcPr>
            <w:tcW w:w="42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7"/>
                <w:szCs w:val="17"/>
                <w:b w:val="1"/>
                <w:bCs w:val="1"/>
                <w:color w:val="auto"/>
                <w:w w:val="91"/>
              </w:rPr>
              <w:t>June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June 30,</w:t>
            </w:r>
          </w:p>
        </w:tc>
        <w:tc>
          <w:tcPr>
            <w:tcW w:w="1040" w:type="dxa"/>
            <w:vAlign w:val="bottom"/>
            <w:tcBorders>
              <w:bottom w:val="single" w:sz="8" w:color="auto"/>
            </w:tcBorders>
          </w:tcPr>
          <w:p>
            <w:pPr>
              <w:spacing w:after="0"/>
              <w:rPr>
                <w:sz w:val="19"/>
                <w:szCs w:val="19"/>
                <w:color w:val="auto"/>
              </w:rPr>
            </w:pPr>
          </w:p>
        </w:tc>
      </w:tr>
      <w:tr>
        <w:trPr>
          <w:trHeight w:val="214"/>
        </w:trPr>
        <w:tc>
          <w:tcPr>
            <w:tcW w:w="420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18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2020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573"/>
              <w:spacing w:after="0"/>
              <w:rPr>
                <w:sz w:val="20"/>
                <w:szCs w:val="20"/>
                <w:color w:val="auto"/>
              </w:rPr>
            </w:pPr>
            <w:r>
              <w:rPr>
                <w:rFonts w:ascii="Arial" w:cs="Arial" w:eastAsia="Arial" w:hAnsi="Arial"/>
                <w:sz w:val="17"/>
                <w:szCs w:val="17"/>
                <w:b w:val="1"/>
                <w:bCs w:val="1"/>
                <w:color w:val="auto"/>
                <w:w w:val="95"/>
              </w:rPr>
              <w:t>2020</w:t>
            </w:r>
          </w:p>
        </w:tc>
      </w:tr>
      <w:tr>
        <w:trPr>
          <w:trHeight w:val="32"/>
        </w:trPr>
        <w:tc>
          <w:tcPr>
            <w:tcW w:w="42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r>
      <w:tr>
        <w:trPr>
          <w:trHeight w:val="221"/>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 and awards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21"/>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Options to purchase shares of common stock</w:t>
            </w:r>
          </w:p>
        </w:tc>
        <w:tc>
          <w:tcPr>
            <w:tcW w:w="5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1"/>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Co-Founder Grants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21"/>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Convertible Senior Notes</w:t>
            </w:r>
          </w:p>
        </w:tc>
        <w:tc>
          <w:tcPr>
            <w:tcW w:w="520" w:type="dxa"/>
            <w:vAlign w:val="bottom"/>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40" w:type="dxa"/>
            <w:vAlign w:val="bottom"/>
            <w:gridSpan w:val="3"/>
          </w:tcPr>
          <w:p>
            <w:pPr>
              <w:jc w:val="right"/>
              <w:ind w:right="1113"/>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Warrants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113"/>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4200" w:type="dxa"/>
            <w:vAlign w:val="bottom"/>
          </w:tcPr>
          <w:p>
            <w:pPr>
              <w:ind w:left="20"/>
              <w:spacing w:after="0"/>
              <w:rPr>
                <w:sz w:val="20"/>
                <w:szCs w:val="20"/>
                <w:color w:val="auto"/>
              </w:rPr>
            </w:pPr>
            <w:r>
              <w:rPr>
                <w:rFonts w:ascii="Arial" w:cs="Arial" w:eastAsia="Arial" w:hAnsi="Arial"/>
                <w:sz w:val="17"/>
                <w:szCs w:val="17"/>
                <w:color w:val="auto"/>
              </w:rPr>
              <w:t>Total</w:t>
            </w:r>
          </w:p>
        </w:tc>
        <w:tc>
          <w:tcPr>
            <w:tcW w:w="1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w:t>
            </w:r>
          </w:p>
        </w:tc>
      </w:tr>
      <w:tr>
        <w:trPr>
          <w:trHeight w:val="20"/>
        </w:trPr>
        <w:tc>
          <w:tcPr>
            <w:tcW w:w="4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Income Taxes</w:t>
      </w:r>
    </w:p>
    <w:p>
      <w:pPr>
        <w:spacing w:after="0" w:line="253" w:lineRule="exact"/>
        <w:rPr>
          <w:sz w:val="20"/>
          <w:szCs w:val="20"/>
          <w:color w:val="auto"/>
        </w:rPr>
      </w:pPr>
    </w:p>
    <w:p>
      <w:pPr>
        <w:ind w:firstLine="430"/>
        <w:spacing w:after="0" w:line="287" w:lineRule="auto"/>
        <w:rPr>
          <w:sz w:val="20"/>
          <w:szCs w:val="20"/>
          <w:color w:val="auto"/>
        </w:rPr>
      </w:pPr>
      <w:r>
        <w:rPr>
          <w:rFonts w:ascii="Arial" w:cs="Arial" w:eastAsia="Arial" w:hAnsi="Arial"/>
          <w:sz w:val="16"/>
          <w:szCs w:val="16"/>
          <w:color w:val="auto"/>
        </w:rPr>
        <w:t>The Company computed the year-to-date income tax provision by applying the estimated annual effective tax rate to the year-to-date pre-tax income and adjusted for discrete tax items in the period. The Company's income tax was an expense of $3.0 million and $1.8 million for the three and six months ended June 30, 2021, respectively, and an expense $4.4 million and $4.9 million for the three and six months ended June 30, 2020, respectively. Provision for income taxes decreased during the six months ended June 30, 2021 primarily due to tax benefits from the DocSend acquisition and a decrease in state taxes.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income tax expense for the three and six months ended June 30, 2021 was primarily attributable to foreign and state income taxes.</w:t>
      </w:r>
    </w:p>
    <w:p>
      <w:pPr>
        <w:spacing w:after="0" w:line="247" w:lineRule="exact"/>
        <w:rPr>
          <w:sz w:val="20"/>
          <w:szCs w:val="20"/>
          <w:color w:val="auto"/>
        </w:rPr>
      </w:pPr>
    </w:p>
    <w:p>
      <w:pPr>
        <w:ind w:right="300" w:firstLine="430"/>
        <w:spacing w:after="0" w:line="271" w:lineRule="auto"/>
        <w:rPr>
          <w:sz w:val="20"/>
          <w:szCs w:val="20"/>
          <w:color w:val="auto"/>
        </w:rPr>
      </w:pPr>
      <w:r>
        <w:rPr>
          <w:rFonts w:ascii="Arial" w:cs="Arial" w:eastAsia="Arial" w:hAnsi="Arial"/>
          <w:sz w:val="17"/>
          <w:szCs w:val="17"/>
          <w:color w:val="auto"/>
        </w:rPr>
        <w:t>For the periods presented, the difference between the U.S. statutory rate and the Company's effective tax rate is primarily due to the full valuation allowance on its U.S. and Irish deferred tax assets. The effective tax rate is also impacted by earnings realized in foreign jurisdictions with statutory tax rates lower than the federal statutory tax rate.</w:t>
      </w:r>
    </w:p>
    <w:p>
      <w:pPr>
        <w:spacing w:after="0" w:line="197" w:lineRule="exact"/>
        <w:rPr>
          <w:sz w:val="20"/>
          <w:szCs w:val="20"/>
          <w:color w:val="auto"/>
        </w:rPr>
      </w:pPr>
    </w:p>
    <w:p>
      <w:pPr>
        <w:ind w:right="120" w:firstLine="430"/>
        <w:spacing w:after="0" w:line="266" w:lineRule="auto"/>
        <w:rPr>
          <w:sz w:val="20"/>
          <w:szCs w:val="20"/>
          <w:color w:val="auto"/>
        </w:rPr>
      </w:pPr>
      <w:r>
        <w:rPr>
          <w:rFonts w:ascii="Arial" w:cs="Arial" w:eastAsia="Arial" w:hAnsi="Arial"/>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June 30, 2021, the Company continues to maintain valuation allowances on all of its deferred tax assets in the U.S. and Ireland and on a portion of its deferred tax assets in one of its foreign jurisdictions.</w:t>
      </w:r>
    </w:p>
    <w:p>
      <w:pPr>
        <w:spacing w:after="0" w:line="201" w:lineRule="exact"/>
        <w:rPr>
          <w:sz w:val="20"/>
          <w:szCs w:val="20"/>
          <w:color w:val="auto"/>
        </w:rPr>
      </w:pPr>
    </w:p>
    <w:p>
      <w:pPr>
        <w:ind w:right="100" w:firstLine="430"/>
        <w:spacing w:after="0" w:line="263" w:lineRule="auto"/>
        <w:rPr>
          <w:sz w:val="20"/>
          <w:szCs w:val="20"/>
          <w:color w:val="auto"/>
        </w:rPr>
      </w:pPr>
      <w:r>
        <w:rPr>
          <w:rFonts w:ascii="Arial" w:cs="Arial" w:eastAsia="Arial" w:hAnsi="Arial"/>
          <w:sz w:val="17"/>
          <w:szCs w:val="17"/>
          <w:color w:val="auto"/>
        </w:rPr>
        <w:t>Given the Company’s recent history of foreign earnings, management believes that there is a reasonable possibility that, within the next twelve months, sufficient positive evidence may become available to allow management to reach a conclusion that a significant portion of the valuation allowance recorded against the deferred tax assets held by its Irish subsidiary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spacing w:after="0" w:line="205" w:lineRule="exact"/>
        <w:rPr>
          <w:sz w:val="20"/>
          <w:szCs w:val="20"/>
          <w:color w:val="auto"/>
        </w:rPr>
      </w:pPr>
    </w:p>
    <w:p>
      <w:pPr>
        <w:ind w:right="160" w:firstLine="430"/>
        <w:spacing w:after="0" w:line="286" w:lineRule="auto"/>
        <w:rPr>
          <w:sz w:val="20"/>
          <w:szCs w:val="20"/>
          <w:color w:val="auto"/>
        </w:rPr>
      </w:pPr>
      <w:r>
        <w:rPr>
          <w:rFonts w:ascii="Arial" w:cs="Arial" w:eastAsia="Arial" w:hAnsi="Arial"/>
          <w:sz w:val="17"/>
          <w:szCs w:val="17"/>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185" w:lineRule="exact"/>
        <w:rPr>
          <w:sz w:val="20"/>
          <w:szCs w:val="20"/>
          <w:color w:val="auto"/>
        </w:rPr>
      </w:pPr>
    </w:p>
    <w:p>
      <w:pPr>
        <w:ind w:right="240" w:firstLine="430"/>
        <w:spacing w:after="0" w:line="295" w:lineRule="auto"/>
        <w:rPr>
          <w:sz w:val="20"/>
          <w:szCs w:val="20"/>
          <w:color w:val="auto"/>
        </w:rPr>
      </w:pPr>
      <w:r>
        <w:rPr>
          <w:rFonts w:ascii="Arial" w:cs="Arial" w:eastAsia="Arial" w:hAnsi="Arial"/>
          <w:sz w:val="16"/>
          <w:szCs w:val="16"/>
          <w:color w:val="auto"/>
        </w:rPr>
        <w:t>Unrecognized tax benefits increased by approximately $4.5 million and $8.6 million for the three and six months ended June 30, 2021, of which $1.5 million, if recognized, would affect the Company's effective tax rate. Additionally, unrecognized tax benefits decreased by approximately $0.8 million for the three and six months ended June 30, 2021 due to a statute of limitations lapse related to prior period tax positions.</w:t>
      </w:r>
    </w:p>
    <w:p>
      <w:pPr>
        <w:spacing w:after="0" w:line="181" w:lineRule="exact"/>
        <w:rPr>
          <w:sz w:val="20"/>
          <w:szCs w:val="20"/>
          <w:color w:val="auto"/>
        </w:rPr>
      </w:pPr>
    </w:p>
    <w:p>
      <w:pPr>
        <w:jc w:val="both"/>
        <w:ind w:right="120" w:firstLine="430"/>
        <w:spacing w:after="0" w:line="271" w:lineRule="auto"/>
        <w:rPr>
          <w:sz w:val="20"/>
          <w:szCs w:val="20"/>
          <w:color w:val="auto"/>
        </w:rPr>
      </w:pPr>
      <w:r>
        <w:rPr>
          <w:rFonts w:ascii="Arial" w:cs="Arial" w:eastAsia="Arial" w:hAnsi="Arial"/>
          <w:sz w:val="17"/>
          <w:szCs w:val="17"/>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0" w:name="page41"/>
    <w:bookmarkEnd w:id="4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00" w:type="dxa"/>
            <w:vAlign w:val="bottom"/>
          </w:tcPr>
          <w:p>
            <w:pPr>
              <w:spacing w:after="0"/>
              <w:rPr>
                <w:sz w:val="20"/>
                <w:szCs w:val="20"/>
                <w:color w:val="auto"/>
              </w:rPr>
            </w:pPr>
            <w:r>
              <w:rPr>
                <w:rFonts w:ascii="Arial" w:cs="Arial" w:eastAsia="Arial" w:hAnsi="Arial"/>
                <w:sz w:val="17"/>
                <w:szCs w:val="17"/>
                <w:b w:val="1"/>
                <w:bCs w:val="1"/>
                <w:color w:val="auto"/>
              </w:rPr>
              <w:t>Note 15. Geographic Areas</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43"/>
        </w:trPr>
        <w:tc>
          <w:tcPr>
            <w:tcW w:w="7300" w:type="dxa"/>
            <w:vAlign w:val="bottom"/>
          </w:tcPr>
          <w:p>
            <w:pPr>
              <w:ind w:left="440"/>
              <w:spacing w:after="0"/>
              <w:rPr>
                <w:sz w:val="20"/>
                <w:szCs w:val="20"/>
                <w:color w:val="auto"/>
              </w:rPr>
            </w:pPr>
            <w:r>
              <w:rPr>
                <w:rFonts w:ascii="Arial" w:cs="Arial" w:eastAsia="Arial" w:hAnsi="Arial"/>
                <w:sz w:val="17"/>
                <w:szCs w:val="17"/>
                <w:b w:val="1"/>
                <w:bCs w:val="1"/>
                <w:i w:val="1"/>
                <w:iCs w:val="1"/>
                <w:color w:val="auto"/>
              </w:rPr>
              <w:t>Long-lived assets</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3"/>
        </w:trPr>
        <w:tc>
          <w:tcPr>
            <w:tcW w:w="7300" w:type="dxa"/>
            <w:vAlign w:val="bottom"/>
          </w:tcPr>
          <w:p>
            <w:pPr>
              <w:ind w:left="440"/>
              <w:spacing w:after="0"/>
              <w:rPr>
                <w:sz w:val="20"/>
                <w:szCs w:val="20"/>
                <w:color w:val="auto"/>
              </w:rPr>
            </w:pPr>
            <w:r>
              <w:rPr>
                <w:rFonts w:ascii="Arial" w:cs="Arial" w:eastAsia="Arial" w:hAnsi="Arial"/>
                <w:sz w:val="17"/>
                <w:szCs w:val="17"/>
                <w:color w:val="auto"/>
              </w:rPr>
              <w:t>The following table sets forth long-lived assets by geographic area:</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82"/>
        </w:trPr>
        <w:tc>
          <w:tcPr>
            <w:tcW w:w="7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w:t>
            </w:r>
          </w:p>
        </w:tc>
        <w:tc>
          <w:tcPr>
            <w:tcW w:w="1720" w:type="dxa"/>
            <w:vAlign w:val="bottom"/>
            <w:tcBorders>
              <w:bottom w:val="single" w:sz="8" w:color="auto"/>
            </w:tcBorders>
          </w:tcPr>
          <w:p>
            <w:pPr>
              <w:spacing w:after="0"/>
              <w:rPr>
                <w:sz w:val="24"/>
                <w:szCs w:val="24"/>
                <w:color w:val="auto"/>
              </w:rPr>
            </w:pPr>
          </w:p>
        </w:tc>
      </w:tr>
      <w:tr>
        <w:trPr>
          <w:trHeight w:val="214"/>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7"/>
                <w:szCs w:val="17"/>
                <w:b w:val="1"/>
                <w:bCs w:val="1"/>
                <w:color w:val="auto"/>
              </w:rPr>
              <w:t>June 30, 2021</w:t>
            </w:r>
          </w:p>
        </w:tc>
        <w:tc>
          <w:tcPr>
            <w:tcW w:w="200" w:type="dxa"/>
            <w:vAlign w:val="bottom"/>
          </w:tcPr>
          <w:p>
            <w:pPr>
              <w:spacing w:after="0"/>
              <w:rPr>
                <w:sz w:val="18"/>
                <w:szCs w:val="18"/>
                <w:color w:val="auto"/>
              </w:rPr>
            </w:pPr>
          </w:p>
        </w:tc>
        <w:tc>
          <w:tcPr>
            <w:tcW w:w="1720" w:type="dxa"/>
            <w:vAlign w:val="bottom"/>
          </w:tcPr>
          <w:p>
            <w:pPr>
              <w:jc w:val="right"/>
              <w:ind w:right="173"/>
              <w:spacing w:after="0"/>
              <w:rPr>
                <w:sz w:val="20"/>
                <w:szCs w:val="20"/>
                <w:color w:val="auto"/>
              </w:rPr>
            </w:pPr>
            <w:r>
              <w:rPr>
                <w:rFonts w:ascii="Arial" w:cs="Arial" w:eastAsia="Arial" w:hAnsi="Arial"/>
                <w:sz w:val="17"/>
                <w:szCs w:val="17"/>
                <w:b w:val="1"/>
                <w:bCs w:val="1"/>
                <w:color w:val="auto"/>
                <w:w w:val="94"/>
              </w:rPr>
              <w:t>December 31, 2020</w:t>
            </w:r>
          </w:p>
        </w:tc>
      </w:tr>
      <w:tr>
        <w:trPr>
          <w:trHeight w:val="32"/>
        </w:trPr>
        <w:tc>
          <w:tcPr>
            <w:tcW w:w="73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221"/>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334.2</w:t>
            </w:r>
          </w:p>
        </w:tc>
      </w:tr>
      <w:tr>
        <w:trPr>
          <w:trHeight w:val="221"/>
        </w:trPr>
        <w:tc>
          <w:tcPr>
            <w:tcW w:w="730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r>
      <w:tr>
        <w:trPr>
          <w:trHeight w:val="239"/>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right="820" w:firstLine="4"/>
        <w:spacing w:after="0" w:line="243" w:lineRule="auto"/>
        <w:tabs>
          <w:tab w:leader="none" w:pos="16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No single country other than the United States had a property and equipment balance greater than 10% of total property and equipment, net, as of June 30, 2021 and December 31, 2020.</w:t>
      </w:r>
    </w:p>
    <w:p>
      <w:pPr>
        <w:spacing w:after="0" w:line="31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right="20" w:firstLine="430"/>
        <w:spacing w:after="0" w:line="286" w:lineRule="auto"/>
        <w:rPr>
          <w:sz w:val="20"/>
          <w:szCs w:val="20"/>
          <w:color w:val="auto"/>
        </w:rPr>
      </w:pPr>
      <w:r>
        <w:rPr>
          <w:rFonts w:ascii="Arial" w:cs="Arial" w:eastAsia="Arial" w:hAnsi="Arial"/>
          <w:sz w:val="17"/>
          <w:szCs w:val="17"/>
          <w:color w:val="auto"/>
        </w:rPr>
        <w:t xml:space="preserve">Revenue by geography is generally based on the address of the customer </w:t>
      </w:r>
      <w:r>
        <w:rPr>
          <w:rFonts w:ascii="Arial" w:cs="Arial" w:eastAsia="Arial" w:hAnsi="Arial"/>
          <w:sz w:val="15"/>
          <w:szCs w:val="15"/>
          <w:color w:val="auto"/>
        </w:rPr>
        <w:t>as</w:t>
      </w:r>
      <w:r>
        <w:rPr>
          <w:rFonts w:ascii="Arial" w:cs="Arial" w:eastAsia="Arial" w:hAnsi="Arial"/>
          <w:sz w:val="17"/>
          <w:szCs w:val="17"/>
          <w:color w:val="auto"/>
        </w:rPr>
        <w:t xml:space="preserve"> defined in the Company’s subscription agreement. The </w:t>
      </w:r>
      <w:r>
        <w:rPr>
          <w:rFonts w:ascii="Arial" w:cs="Arial" w:eastAsia="Arial" w:hAnsi="Arial"/>
          <w:sz w:val="15"/>
          <w:szCs w:val="15"/>
          <w:color w:val="auto"/>
        </w:rPr>
        <w:t>following</w:t>
      </w:r>
      <w:r>
        <w:rPr>
          <w:rFonts w:ascii="Arial" w:cs="Arial" w:eastAsia="Arial" w:hAnsi="Arial"/>
          <w:sz w:val="17"/>
          <w:szCs w:val="17"/>
          <w:color w:val="auto"/>
        </w:rPr>
        <w:t xml:space="preserve"> table sets forth revenue by geographic area for the three and six months ended June 30, 2021 and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2900" w:type="dxa"/>
            <w:vAlign w:val="bottom"/>
            <w:gridSpan w:val="4"/>
          </w:tcPr>
          <w:p>
            <w:pPr>
              <w:jc w:val="right"/>
              <w:ind w:right="29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w:t>
            </w:r>
          </w:p>
        </w:tc>
        <w:tc>
          <w:tcPr>
            <w:tcW w:w="1040" w:type="dxa"/>
            <w:vAlign w:val="bottom"/>
          </w:tcPr>
          <w:p>
            <w:pPr>
              <w:spacing w:after="0"/>
              <w:rPr>
                <w:sz w:val="16"/>
                <w:szCs w:val="16"/>
                <w:color w:val="auto"/>
              </w:rPr>
            </w:pPr>
          </w:p>
        </w:tc>
      </w:tr>
      <w:tr>
        <w:trPr>
          <w:trHeight w:val="221"/>
        </w:trPr>
        <w:tc>
          <w:tcPr>
            <w:tcW w:w="42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7"/>
                <w:szCs w:val="17"/>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7"/>
                <w:szCs w:val="17"/>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14"/>
        </w:trPr>
        <w:tc>
          <w:tcPr>
            <w:tcW w:w="420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w w:val="95"/>
              </w:rPr>
              <w:t>2020</w:t>
            </w:r>
          </w:p>
        </w:tc>
      </w:tr>
      <w:tr>
        <w:trPr>
          <w:trHeight w:val="32"/>
        </w:trPr>
        <w:tc>
          <w:tcPr>
            <w:tcW w:w="4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480.2</w:t>
            </w:r>
          </w:p>
        </w:tc>
      </w:tr>
      <w:tr>
        <w:trPr>
          <w:trHeight w:val="221"/>
        </w:trPr>
        <w:tc>
          <w:tcPr>
            <w:tcW w:w="420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(1)</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442.2</w:t>
            </w:r>
          </w:p>
        </w:tc>
      </w:tr>
      <w:tr>
        <w:trPr>
          <w:trHeight w:val="23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1,042.2</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922.4</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left="5540" w:right="460" w:hanging="5536"/>
        <w:spacing w:after="0" w:line="1090" w:lineRule="auto"/>
        <w:tabs>
          <w:tab w:leader="none" w:pos="167"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No single country outside of the United States accounted for more than 10% of total revenue during the three and six months ended June 30, 2021 and 2020, respectively</w:t>
      </w:r>
      <w:r>
        <w:rPr>
          <w:rFonts w:ascii="Arial" w:cs="Arial" w:eastAsia="Arial" w:hAnsi="Arial"/>
          <w:sz w:val="15"/>
          <w:szCs w:val="15"/>
          <w:color w:val="auto"/>
        </w:rPr>
        <w:t>.</w:t>
      </w:r>
      <w:r>
        <w:rPr>
          <w:rFonts w:ascii="Arial" w:cs="Arial" w:eastAsia="Arial" w:hAnsi="Arial"/>
          <w:sz w:val="14"/>
          <w:szCs w:val="14"/>
          <w:color w:val="auto"/>
        </w:rPr>
        <w:t xml:space="preserve"> </w:t>
      </w: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-436880</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53" w:lineRule="exact"/>
        <w:rPr>
          <w:sz w:val="20"/>
          <w:szCs w:val="20"/>
          <w:color w:val="auto"/>
        </w:rPr>
      </w:pPr>
    </w:p>
    <w:p>
      <w:pPr>
        <w:ind w:right="20" w:firstLine="430"/>
        <w:spacing w:after="0" w:line="26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380" w:firstLine="430"/>
        <w:spacing w:after="0" w:line="319" w:lineRule="auto"/>
        <w:rPr>
          <w:sz w:val="20"/>
          <w:szCs w:val="20"/>
          <w:color w:val="auto"/>
        </w:rPr>
      </w:pPr>
      <w:r>
        <w:rPr>
          <w:rFonts w:ascii="Arial" w:cs="Arial" w:eastAsia="Arial" w:hAnsi="Arial"/>
          <w:sz w:val="16"/>
          <w:szCs w:val="16"/>
          <w:color w:val="auto"/>
        </w:rPr>
        <w:t>Our modern economy runs on knowledge. Today, knowledge lives in the cloud as digital content, and Dropbox is where businesses and individuals can create, access, and share this content globally. We serve more than 700 million registered users across 180 countries.</w:t>
      </w:r>
    </w:p>
    <w:p>
      <w:pPr>
        <w:spacing w:after="0" w:line="162" w:lineRule="exact"/>
        <w:rPr>
          <w:sz w:val="20"/>
          <w:szCs w:val="20"/>
          <w:color w:val="auto"/>
        </w:rPr>
      </w:pPr>
    </w:p>
    <w:p>
      <w:pPr>
        <w:ind w:right="180" w:firstLine="430"/>
        <w:spacing w:after="0" w:line="286" w:lineRule="auto"/>
        <w:rPr>
          <w:sz w:val="20"/>
          <w:szCs w:val="20"/>
          <w:color w:val="auto"/>
        </w:rPr>
      </w:pPr>
      <w:r>
        <w:rPr>
          <w:rFonts w:ascii="Arial" w:cs="Arial" w:eastAsia="Arial" w:hAnsi="Arial"/>
          <w:sz w:val="17"/>
          <w:szCs w:val="17"/>
          <w:color w:val="auto"/>
        </w:rPr>
        <w:t>Since our founding in 2007, our market opportunity has grown as we’ve expanded from keeping files in sync to keeping teams in sync. In a world where using technology at work can be fragmented and distracting, Dropbox makes it easy to focus on the work that matters.</w:t>
      </w:r>
    </w:p>
    <w:p>
      <w:pPr>
        <w:spacing w:after="0" w:line="185" w:lineRule="exact"/>
        <w:rPr>
          <w:sz w:val="20"/>
          <w:szCs w:val="20"/>
          <w:color w:val="auto"/>
        </w:rPr>
      </w:pPr>
    </w:p>
    <w:p>
      <w:pPr>
        <w:ind w:right="200" w:firstLine="430"/>
        <w:spacing w:after="0" w:line="286" w:lineRule="auto"/>
        <w:rPr>
          <w:sz w:val="20"/>
          <w:szCs w:val="20"/>
          <w:color w:val="auto"/>
        </w:rPr>
      </w:pPr>
      <w:r>
        <w:rPr>
          <w:rFonts w:ascii="Arial" w:cs="Arial" w:eastAsia="Arial" w:hAnsi="Arial"/>
          <w:sz w:val="17"/>
          <w:szCs w:val="17"/>
          <w:color w:val="auto"/>
        </w:rPr>
        <w:t>By solving these universal problems, we’ve become invaluable to our users. The popularity of our platform drives viral growth, which has allowed us to scale rapidly and efficiently. We’ve built a thriving global business with 16.14 million paying users.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23" w:lineRule="exact"/>
        <w:rPr>
          <w:sz w:val="20"/>
          <w:szCs w:val="20"/>
          <w:color w:val="auto"/>
        </w:rPr>
      </w:pPr>
    </w:p>
    <w:p>
      <w:pPr>
        <w:ind w:right="60" w:firstLine="430"/>
        <w:spacing w:after="0" w:line="260" w:lineRule="auto"/>
        <w:rPr>
          <w:sz w:val="20"/>
          <w:szCs w:val="20"/>
          <w:color w:val="auto"/>
        </w:rPr>
      </w:pPr>
      <w:r>
        <w:rPr>
          <w:rFonts w:ascii="Arial" w:cs="Arial" w:eastAsia="Arial" w:hAnsi="Arial"/>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7"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201" w:lineRule="exact"/>
        <w:rPr>
          <w:sz w:val="20"/>
          <w:szCs w:val="20"/>
          <w:color w:val="auto"/>
        </w:rPr>
      </w:pPr>
    </w:p>
    <w:p>
      <w:pPr>
        <w:ind w:right="80" w:firstLine="469"/>
        <w:spacing w:after="0" w:line="271" w:lineRule="auto"/>
        <w:rPr>
          <w:sz w:val="20"/>
          <w:szCs w:val="20"/>
          <w:color w:val="auto"/>
        </w:rPr>
      </w:pPr>
      <w:r>
        <w:rPr>
          <w:rFonts w:ascii="Arial" w:cs="Arial" w:eastAsia="Arial" w:hAnsi="Arial"/>
          <w:sz w:val="17"/>
          <w:szCs w:val="17"/>
          <w:color w:val="auto"/>
        </w:rPr>
        <w:t>In the first quarter of fiscal 2021, we acquired DocSend, a secure document sharing and analytics company. The combination of Dropbox, HelloSign, and DocSend will help customers across industries manage end-to-end document workflows—from content collaboration to sharing and e-signature—giving them more control over their business results.</w:t>
      </w:r>
    </w:p>
    <w:p>
      <w:pPr>
        <w:spacing w:after="0" w:line="197" w:lineRule="exact"/>
        <w:rPr>
          <w:sz w:val="20"/>
          <w:szCs w:val="20"/>
          <w:color w:val="auto"/>
        </w:rPr>
      </w:pPr>
    </w:p>
    <w:p>
      <w:pPr>
        <w:ind w:right="100" w:firstLine="469"/>
        <w:spacing w:after="0" w:line="287" w:lineRule="auto"/>
        <w:rPr>
          <w:sz w:val="20"/>
          <w:szCs w:val="20"/>
          <w:color w:val="auto"/>
        </w:rPr>
      </w:pPr>
      <w:r>
        <w:rPr>
          <w:rFonts w:ascii="Arial" w:cs="Arial" w:eastAsia="Arial" w:hAnsi="Arial"/>
          <w:sz w:val="16"/>
          <w:szCs w:val="16"/>
          <w:color w:val="auto"/>
        </w:rPr>
        <w:t>DocSend offers paid subscription plans, including a personal plan designed for individuals and Standard, Advanced, and Enterprise plans designed for business users and teams. Similar to Dropbox plans, pricing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with the majority of sales in U.S. dollars.</w:t>
      </w:r>
    </w:p>
    <w:p>
      <w:pPr>
        <w:spacing w:after="0" w:line="188" w:lineRule="exact"/>
        <w:rPr>
          <w:sz w:val="20"/>
          <w:szCs w:val="20"/>
          <w:color w:val="auto"/>
        </w:rPr>
      </w:pPr>
    </w:p>
    <w:p>
      <w:pPr>
        <w:ind w:firstLine="469"/>
        <w:spacing w:after="0" w:line="287" w:lineRule="auto"/>
        <w:rPr>
          <w:sz w:val="20"/>
          <w:szCs w:val="20"/>
          <w:color w:val="auto"/>
        </w:rPr>
      </w:pPr>
      <w:r>
        <w:rPr>
          <w:rFonts w:ascii="Arial" w:cs="Arial" w:eastAsia="Arial" w:hAnsi="Arial"/>
          <w:sz w:val="16"/>
          <w:szCs w:val="16"/>
          <w:color w:val="auto"/>
        </w:rPr>
        <w:t>We also offer HelloSign, an e-signature solution.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HelloSign customers at the</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beginning of their respective terms and recognize revenue ratably over the subscription period. We sell HelloSign products globally and sell primarily in U.S.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dollars</w:t>
      </w:r>
      <w:r>
        <w:rPr>
          <w:rFonts w:ascii="Arial" w:cs="Arial" w:eastAsia="Arial" w:hAnsi="Arial"/>
          <w:sz w:val="17"/>
          <w:szCs w:val="17"/>
          <w:i w:val="1"/>
          <w:i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ind w:firstLine="469"/>
        <w:spacing w:after="0" w:line="287" w:lineRule="auto"/>
        <w:rPr>
          <w:sz w:val="20"/>
          <w:szCs w:val="20"/>
          <w:color w:val="auto"/>
        </w:rPr>
      </w:pPr>
      <w:r>
        <w:rPr>
          <w:rFonts w:ascii="Arial" w:cs="Arial" w:eastAsia="Arial" w:hAnsi="Arial"/>
          <w:sz w:val="16"/>
          <w:szCs w:val="16"/>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Drive new signups</w:t>
      </w:r>
    </w:p>
    <w:p>
      <w:pPr>
        <w:spacing w:after="0" w:line="247"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We acquire users efficiently and at relatively low cost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Increase conversion of registered users to our paid subscription plans</w:t>
      </w:r>
    </w:p>
    <w:p>
      <w:pPr>
        <w:spacing w:after="0" w:line="247" w:lineRule="exact"/>
        <w:rPr>
          <w:sz w:val="20"/>
          <w:szCs w:val="20"/>
          <w:color w:val="auto"/>
        </w:rPr>
      </w:pPr>
    </w:p>
    <w:p>
      <w:pPr>
        <w:ind w:right="160" w:firstLine="430"/>
        <w:spacing w:after="0" w:line="266" w:lineRule="auto"/>
        <w:rPr>
          <w:sz w:val="20"/>
          <w:szCs w:val="20"/>
          <w:color w:val="auto"/>
        </w:rPr>
      </w:pPr>
      <w:r>
        <w:rPr>
          <w:rFonts w:ascii="Arial" w:cs="Arial" w:eastAsia="Arial" w:hAnsi="Arial"/>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Upgrade and expand existing customers</w:t>
      </w:r>
    </w:p>
    <w:p>
      <w:pPr>
        <w:spacing w:after="0" w:line="247" w:lineRule="exact"/>
        <w:rPr>
          <w:sz w:val="20"/>
          <w:szCs w:val="20"/>
          <w:color w:val="auto"/>
        </w:rPr>
      </w:pPr>
    </w:p>
    <w:p>
      <w:pPr>
        <w:ind w:right="100" w:firstLine="430"/>
        <w:spacing w:after="0" w:line="283" w:lineRule="auto"/>
        <w:rPr>
          <w:sz w:val="20"/>
          <w:szCs w:val="20"/>
          <w:color w:val="auto"/>
        </w:rPr>
      </w:pPr>
      <w:r>
        <w:rPr>
          <w:rFonts w:ascii="Arial" w:cs="Arial" w:eastAsia="Arial" w:hAnsi="Arial"/>
          <w:sz w:val="16"/>
          <w:szCs w:val="16"/>
          <w:color w:val="auto"/>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HelloSign and DocSend.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update</w:t>
      </w:r>
    </w:p>
    <w:p>
      <w:pPr>
        <w:spacing w:after="0" w:line="234" w:lineRule="exact"/>
        <w:rPr>
          <w:sz w:val="20"/>
          <w:szCs w:val="20"/>
          <w:color w:val="auto"/>
        </w:rPr>
      </w:pPr>
    </w:p>
    <w:p>
      <w:pPr>
        <w:ind w:right="40" w:firstLine="391"/>
        <w:spacing w:after="0" w:line="243" w:lineRule="auto"/>
        <w:rPr>
          <w:sz w:val="20"/>
          <w:szCs w:val="20"/>
          <w:color w:val="auto"/>
        </w:rPr>
      </w:pPr>
      <w:r>
        <w:rPr>
          <w:rFonts w:ascii="Arial" w:cs="Arial" w:eastAsia="Arial" w:hAnsi="Arial"/>
          <w:sz w:val="16"/>
          <w:szCs w:val="16"/>
          <w:color w:val="auto"/>
        </w:rPr>
        <w:t>Although we did not experience material adverse impacts to our financial condition and results of operations during the three and six months ended June 30, 2021 as a result of the COVID-19 pandemic, we have seen and may continue to see impacts to certain components of results of operations, as described below. However, the full extent of the impact of the COVID-19 pandemic on our operational and financial performance will continue to depend on certain developments, including the duration and spread of the outbreak, new information about additional variants, the availability and efficacy of vaccine distributions, additional or renewed actions by government authorities and private businesses to contain the pandemic or respond to its impact and altered consumer behavior, the pace of reopening, impact on our customers and our sales cycles, impact on our business operations, impact on our customer, employee or industry events, and effect on our vendors, all of which are uncertain and cannot be predicted. Accordingly, the full extent to which the COVID-19 pandemic may impact our business, financial condition or results of operations remains uncertain, but may include, without limitation, impacts to our paying user growth as well as disruptions to our business operations as a result of travel restrictions, shutdown of workplaces and potential impacts to our vendors.</w:t>
      </w:r>
    </w:p>
    <w:p>
      <w:pPr>
        <w:spacing w:after="0" w:line="212" w:lineRule="exact"/>
        <w:rPr>
          <w:sz w:val="20"/>
          <w:szCs w:val="20"/>
          <w:color w:val="auto"/>
        </w:rPr>
      </w:pPr>
    </w:p>
    <w:p>
      <w:pPr>
        <w:ind w:firstLine="391"/>
        <w:spacing w:after="0" w:line="301" w:lineRule="auto"/>
        <w:rPr>
          <w:sz w:val="20"/>
          <w:szCs w:val="20"/>
          <w:color w:val="auto"/>
        </w:rPr>
      </w:pPr>
      <w:r>
        <w:rPr>
          <w:rFonts w:ascii="Arial" w:cs="Arial" w:eastAsia="Arial" w:hAnsi="Arial"/>
          <w:sz w:val="15"/>
          <w:szCs w:val="15"/>
          <w:color w:val="auto"/>
        </w:rPr>
        <w:t>Additionally, 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(i) a weakening of foreign currencies relative to the U.S. dollar, which may cause our revenues to decline relative to our costs, and (ii) government-initiated reductions in interest rates, which may reduce our interest income. Conversely, we have seen and may continue to see cost savings from the shift to remote work for all of our employees in areas including events, travel, utilities, and other benefits. We may continue to experience certain of these cost savings beyond the resolution of the COVID-19 pandemic as we shift to our Virtual First work model, as described below. Due to our subscription based business model, the effect of the COVID-19 pandemic may not be fully reflected in our results of operations until future periods, if at all.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Virtual First</w:t>
      </w:r>
    </w:p>
    <w:p>
      <w:pPr>
        <w:spacing w:after="0" w:line="247"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Furthermore, the effects of the COVID-19 pandemic have led us to reimagine the way we work, resulting in our announcement in October 2020 to shift to a new Virtual First work model pursuant to which remote work will become the primary experience for all of our employees. As a result, we intend for our workforce to become more distributed over time, although we will continue to offer our employees opportunities for in-person collaboration in all locations we currently have offices, either through our existing real-estate, or new on-demand, flexible spaces, which will be known as "Dropbox Studios". Consistent with this strategy, we will retain a portion of our office space and a portion will be marketed for sublease. We engaged a third party to estimate the fair value of the office space to be subleased based on current market conditions and where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the carrying value of the individual asset groups exceeded the fair value, an impairment charge was recognized for the difference. We recorded an impairment charge of $17.3 million during the six months ended June 30, 2021 related to the continued adoption of Virtual First, including impairment related to real estate assets acquired as part of our acquisition of DocSend. We recorded an impairment charge of $398.2 million in the year ended December 31, 2020. See Note 9 "Leases" for additional information. We expect to incur additional charges related to certain European leases. In addition to generating sublease income, we expect that as a result of our shift to Virtual First we will continue to see certain savings that we experienced as a result of the COVID-19 pandemic in areas, including reductions in facilities related costs and depreciation expense due to the impairment charges related to the continued adoption of Virtual First.</w:t>
      </w:r>
    </w:p>
    <w:p>
      <w:pPr>
        <w:spacing w:after="0" w:line="178" w:lineRule="exact"/>
        <w:rPr>
          <w:sz w:val="20"/>
          <w:szCs w:val="20"/>
          <w:color w:val="auto"/>
        </w:rPr>
      </w:pPr>
    </w:p>
    <w:p>
      <w:pPr>
        <w:ind w:right="60" w:firstLine="391"/>
        <w:spacing w:after="0" w:line="262" w:lineRule="auto"/>
        <w:rPr>
          <w:sz w:val="20"/>
          <w:szCs w:val="20"/>
          <w:color w:val="auto"/>
        </w:rPr>
      </w:pPr>
      <w:r>
        <w:rPr>
          <w:rFonts w:ascii="Arial" w:cs="Arial" w:eastAsia="Arial" w:hAnsi="Arial"/>
          <w:sz w:val="17"/>
          <w:szCs w:val="17"/>
          <w:color w:val="auto"/>
        </w:rPr>
        <w:t>We seek to manage the implementation of this new work model carefully and we believe this model will help us reap the benefits of remote work, while maintaining a meaningful in-person experience. However, there is no guarantee that we will realize any anticipated benefits to our business, including any cost savings, operational efficiencies, increased employee satisfaction or increased productivity. In addition, given that we have a limited history of operating with a Virtual First workforce, the long-term impact on our financial results and business operations is uncertain. Please see Item 1A. “Risk Factors” in this Quarterly Report on Form 10-Q for a complete description of the material risks we currently face, including risks related to the COVID-19 pandemic and our shift to a Virtual First work model.</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Reduction in Force</w:t>
      </w:r>
    </w:p>
    <w:p>
      <w:pPr>
        <w:spacing w:after="0" w:line="247" w:lineRule="exact"/>
        <w:rPr>
          <w:sz w:val="20"/>
          <w:szCs w:val="20"/>
          <w:color w:val="auto"/>
        </w:rPr>
      </w:pPr>
    </w:p>
    <w:p>
      <w:pPr>
        <w:ind w:firstLine="391"/>
        <w:spacing w:after="0" w:line="295" w:lineRule="auto"/>
        <w:rPr>
          <w:sz w:val="20"/>
          <w:szCs w:val="20"/>
          <w:color w:val="auto"/>
        </w:rPr>
      </w:pPr>
      <w:r>
        <w:rPr>
          <w:rFonts w:ascii="Arial" w:cs="Arial" w:eastAsia="Arial" w:hAnsi="Arial"/>
          <w:sz w:val="16"/>
          <w:szCs w:val="16"/>
          <w:color w:val="auto"/>
        </w:rPr>
        <w:t>On January 13, 2021, we announced a reduction of our global workforce by approximately 11% to streamline our team structure in support of our business priorities. As a result, during the six months ended June 30, 2021, we incurred $13.7 million of expenses related to severance, benefits, and other related items. We do not expect to incur additional expenses of any significance related to our reduction in force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253" w:lineRule="exact"/>
        <w:rPr>
          <w:sz w:val="20"/>
          <w:szCs w:val="20"/>
          <w:color w:val="auto"/>
        </w:rPr>
      </w:pPr>
    </w:p>
    <w:p>
      <w:pPr>
        <w:ind w:right="220" w:firstLine="430"/>
        <w:spacing w:after="0" w:line="286" w:lineRule="auto"/>
        <w:rPr>
          <w:sz w:val="20"/>
          <w:szCs w:val="20"/>
          <w:color w:val="auto"/>
        </w:rPr>
      </w:pPr>
      <w:r>
        <w:rPr>
          <w:rFonts w:ascii="Arial" w:cs="Arial" w:eastAsia="Arial" w:hAnsi="Arial"/>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Total annual recurring revenue</w:t>
      </w:r>
    </w:p>
    <w:p>
      <w:pPr>
        <w:spacing w:after="0" w:line="117" w:lineRule="exact"/>
        <w:rPr>
          <w:sz w:val="20"/>
          <w:szCs w:val="20"/>
          <w:color w:val="auto"/>
        </w:rPr>
      </w:pPr>
    </w:p>
    <w:p>
      <w:pPr>
        <w:ind w:right="100" w:firstLine="391"/>
        <w:spacing w:after="0" w:line="263" w:lineRule="auto"/>
        <w:rPr>
          <w:sz w:val="20"/>
          <w:szCs w:val="20"/>
          <w:color w:val="auto"/>
        </w:rPr>
      </w:pPr>
      <w:r>
        <w:rPr>
          <w:rFonts w:ascii="Arial" w:cs="Arial" w:eastAsia="Arial" w:hAnsi="Arial"/>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Total ARR is a performance metric and should be viewed independently of revenue and deferred revenue, and is not intended to be a substitute for, or combined with, any of these items.</w:t>
      </w:r>
    </w:p>
    <w:p>
      <w:pPr>
        <w:spacing w:after="0" w:line="205" w:lineRule="exact"/>
        <w:rPr>
          <w:sz w:val="20"/>
          <w:szCs w:val="20"/>
          <w:color w:val="auto"/>
        </w:rPr>
      </w:pPr>
    </w:p>
    <w:p>
      <w:pPr>
        <w:ind w:right="80" w:firstLine="430"/>
        <w:spacing w:after="0" w:line="266" w:lineRule="auto"/>
        <w:rPr>
          <w:sz w:val="20"/>
          <w:szCs w:val="20"/>
          <w:color w:val="auto"/>
        </w:rPr>
      </w:pPr>
      <w:r>
        <w:rPr>
          <w:rFonts w:ascii="Arial" w:cs="Arial" w:eastAsia="Arial" w:hAnsi="Arial"/>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include ARR related to acquired companies in our total ARR in the period of the acquisition. We adjust the exchange rates used to calculate Total ARR on an annual basis at the beginning of each fiscal year.</w:t>
      </w:r>
    </w:p>
    <w:p>
      <w:pPr>
        <w:spacing w:after="0" w:line="201" w:lineRule="exact"/>
        <w:rPr>
          <w:sz w:val="20"/>
          <w:szCs w:val="20"/>
          <w:color w:val="auto"/>
        </w:rPr>
      </w:pPr>
    </w:p>
    <w:p>
      <w:pPr>
        <w:ind w:right="140" w:firstLine="430"/>
        <w:spacing w:after="0" w:line="286" w:lineRule="auto"/>
        <w:rPr>
          <w:sz w:val="20"/>
          <w:szCs w:val="20"/>
          <w:color w:val="auto"/>
        </w:rPr>
      </w:pPr>
      <w:r>
        <w:rPr>
          <w:rFonts w:ascii="Arial" w:cs="Arial" w:eastAsia="Arial" w:hAnsi="Arial"/>
          <w:sz w:val="17"/>
          <w:szCs w:val="17"/>
          <w:color w:val="auto"/>
        </w:rPr>
        <w:t>The below tables set forth our Total ARR using the exchange rates set at the beginning of each year, as well as on a constant currency basis relative to the exchange rates used in 2021.</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89"/>
              </w:rPr>
              <w:t>As of</w:t>
            </w:r>
          </w:p>
        </w:tc>
        <w:tc>
          <w:tcPr>
            <w:tcW w:w="1960" w:type="dxa"/>
            <w:vAlign w:val="bottom"/>
            <w:tcBorders>
              <w:bottom w:val="single" w:sz="8" w:color="auto"/>
            </w:tcBorders>
          </w:tcPr>
          <w:p>
            <w:pPr>
              <w:spacing w:after="0"/>
              <w:rPr>
                <w:sz w:val="19"/>
                <w:szCs w:val="19"/>
                <w:color w:val="auto"/>
              </w:rPr>
            </w:pPr>
          </w:p>
        </w:tc>
      </w:tr>
      <w:tr>
        <w:trPr>
          <w:trHeight w:val="214"/>
        </w:trPr>
        <w:tc>
          <w:tcPr>
            <w:tcW w:w="5060" w:type="dxa"/>
            <w:vAlign w:val="bottom"/>
          </w:tcPr>
          <w:p>
            <w:pPr>
              <w:spacing w:after="0"/>
              <w:rPr>
                <w:sz w:val="18"/>
                <w:szCs w:val="18"/>
                <w:color w:val="auto"/>
              </w:rPr>
            </w:pPr>
          </w:p>
        </w:tc>
        <w:tc>
          <w:tcPr>
            <w:tcW w:w="19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June 30, 2021</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December 31, 2020</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June 30, 2020</w:t>
            </w:r>
          </w:p>
        </w:tc>
      </w:tr>
      <w:tr>
        <w:trPr>
          <w:trHeight w:val="306"/>
        </w:trPr>
        <w:tc>
          <w:tcPr>
            <w:tcW w:w="5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8"/>
              </w:rPr>
              <w:t>(In millions)</w:t>
            </w:r>
          </w:p>
        </w:tc>
        <w:tc>
          <w:tcPr>
            <w:tcW w:w="1960" w:type="dxa"/>
            <w:vAlign w:val="bottom"/>
          </w:tcPr>
          <w:p>
            <w:pPr>
              <w:spacing w:after="0"/>
              <w:rPr>
                <w:sz w:val="24"/>
                <w:szCs w:val="24"/>
                <w:color w:val="auto"/>
              </w:rPr>
            </w:pPr>
          </w:p>
        </w:tc>
      </w:tr>
      <w:tr>
        <w:trPr>
          <w:trHeight w:val="221"/>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$2,166</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w:t>
            </w:r>
          </w:p>
        </w:tc>
      </w:tr>
      <w:tr>
        <w:trPr>
          <w:trHeight w:val="573"/>
        </w:trPr>
        <w:tc>
          <w:tcPr>
            <w:tcW w:w="50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89"/>
              </w:rPr>
              <w:t>As of</w:t>
            </w:r>
          </w:p>
        </w:tc>
        <w:tc>
          <w:tcPr>
            <w:tcW w:w="1960" w:type="dxa"/>
            <w:vAlign w:val="bottom"/>
            <w:tcBorders>
              <w:bottom w:val="single" w:sz="8" w:color="auto"/>
            </w:tcBorders>
          </w:tcPr>
          <w:p>
            <w:pPr>
              <w:spacing w:after="0"/>
              <w:rPr>
                <w:sz w:val="24"/>
                <w:szCs w:val="24"/>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Constant Currency</w:t>
            </w:r>
          </w:p>
        </w:tc>
        <w:tc>
          <w:tcPr>
            <w:tcW w:w="19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June 30, 2021</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December 31, 2020</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June 30, 2020</w:t>
            </w:r>
          </w:p>
        </w:tc>
      </w:tr>
      <w:tr>
        <w:trPr>
          <w:trHeight w:val="306"/>
        </w:trPr>
        <w:tc>
          <w:tcPr>
            <w:tcW w:w="5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8"/>
              </w:rPr>
              <w:t>(In millions)</w:t>
            </w:r>
          </w:p>
        </w:tc>
        <w:tc>
          <w:tcPr>
            <w:tcW w:w="1960" w:type="dxa"/>
            <w:vAlign w:val="bottom"/>
          </w:tcPr>
          <w:p>
            <w:pPr>
              <w:spacing w:after="0"/>
              <w:rPr>
                <w:sz w:val="24"/>
                <w:szCs w:val="24"/>
                <w:color w:val="auto"/>
              </w:rPr>
            </w:pPr>
          </w:p>
        </w:tc>
      </w:tr>
      <w:tr>
        <w:trPr>
          <w:trHeight w:val="221"/>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$2,166</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$1,957</w:t>
            </w:r>
          </w:p>
        </w:tc>
      </w:tr>
    </w:tbl>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Paying users</w:t>
      </w:r>
    </w:p>
    <w:p>
      <w:pPr>
        <w:spacing w:after="0" w:line="117" w:lineRule="exact"/>
        <w:rPr>
          <w:sz w:val="20"/>
          <w:szCs w:val="20"/>
          <w:color w:val="auto"/>
        </w:rPr>
      </w:pPr>
    </w:p>
    <w:p>
      <w:pPr>
        <w:ind w:firstLine="430"/>
        <w:spacing w:after="0" w:line="266"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201" w:lineRule="exact"/>
        <w:rPr>
          <w:sz w:val="20"/>
          <w:szCs w:val="20"/>
          <w:color w:val="auto"/>
        </w:rPr>
      </w:pPr>
    </w:p>
    <w:p>
      <w:pPr>
        <w:ind w:right="200" w:firstLine="430"/>
        <w:spacing w:after="0" w:line="286" w:lineRule="auto"/>
        <w:rPr>
          <w:sz w:val="20"/>
          <w:szCs w:val="20"/>
          <w:color w:val="auto"/>
        </w:rPr>
      </w:pPr>
      <w:r>
        <w:rPr>
          <w:rFonts w:ascii="Arial" w:cs="Arial" w:eastAsia="Arial" w:hAnsi="Arial"/>
          <w:sz w:val="17"/>
          <w:szCs w:val="17"/>
          <w:color w:val="auto"/>
        </w:rPr>
        <w:t>We have experienced growth in the number of paying users across our products, with the majority of paying users for the periods presented coming from our self-serve channels.</w:t>
      </w:r>
    </w:p>
    <w:p>
      <w:pPr>
        <w:spacing w:after="0" w:line="185" w:lineRule="exact"/>
        <w:rPr>
          <w:sz w:val="20"/>
          <w:szCs w:val="20"/>
          <w:color w:val="auto"/>
        </w:rPr>
      </w:pPr>
    </w:p>
    <w:p>
      <w:pPr>
        <w:ind w:right="140" w:firstLine="430"/>
        <w:spacing w:after="0" w:line="286" w:lineRule="auto"/>
        <w:rPr>
          <w:sz w:val="20"/>
          <w:szCs w:val="20"/>
          <w:color w:val="auto"/>
        </w:rPr>
      </w:pPr>
      <w:r>
        <w:rPr>
          <w:rFonts w:ascii="Arial" w:cs="Arial" w:eastAsia="Arial" w:hAnsi="Arial"/>
          <w:sz w:val="17"/>
          <w:szCs w:val="17"/>
          <w:color w:val="auto"/>
        </w:rPr>
        <w:t>We acquired DocSend in the first quarter of fiscal 2021. We define DocSend paying users as the number of users who have active paid licenses for access to our platform as of the end of the period.</w:t>
      </w:r>
    </w:p>
    <w:p>
      <w:pPr>
        <w:spacing w:after="0" w:line="185" w:lineRule="exact"/>
        <w:rPr>
          <w:sz w:val="20"/>
          <w:szCs w:val="20"/>
          <w:color w:val="auto"/>
        </w:rPr>
      </w:pPr>
    </w:p>
    <w:p>
      <w:pPr>
        <w:ind w:right="40" w:firstLine="430"/>
        <w:spacing w:after="0" w:line="283" w:lineRule="auto"/>
        <w:rPr>
          <w:sz w:val="20"/>
          <w:szCs w:val="20"/>
          <w:color w:val="auto"/>
        </w:rPr>
      </w:pPr>
      <w:r>
        <w:rPr>
          <w:rFonts w:ascii="Arial" w:cs="Arial" w:eastAsia="Arial" w:hAnsi="Arial"/>
          <w:sz w:val="16"/>
          <w:szCs w:val="16"/>
          <w:color w:val="auto"/>
        </w:rPr>
        <w:t>We acquired HelloSign in the first quarter of fiscal 2019. 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the number of paying users as of June 30, 2021, December 31, 2020, and June 30, 2020.</w:t>
      </w:r>
    </w:p>
    <w:p>
      <w:pPr>
        <w:spacing w:after="0" w:line="280" w:lineRule="exact"/>
        <w:rPr>
          <w:sz w:val="20"/>
          <w:szCs w:val="20"/>
          <w:color w:val="auto"/>
        </w:rPr>
      </w:pPr>
    </w:p>
    <w:p>
      <w:pPr>
        <w:ind w:left="7960"/>
        <w:spacing w:after="0"/>
        <w:rPr>
          <w:sz w:val="20"/>
          <w:szCs w:val="20"/>
          <w:color w:val="auto"/>
        </w:rPr>
      </w:pPr>
      <w:r>
        <w:rPr>
          <w:rFonts w:ascii="Arial" w:cs="Arial" w:eastAsia="Arial" w:hAnsi="Arial"/>
          <w:sz w:val="17"/>
          <w:szCs w:val="17"/>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15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7"/>
                <w:szCs w:val="17"/>
                <w:b w:val="1"/>
                <w:bCs w:val="1"/>
                <w:color w:val="auto"/>
                <w:w w:val="90"/>
              </w:rPr>
              <w:t>June 30, 2021</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December 31, 2020</w:t>
            </w:r>
          </w:p>
        </w:tc>
        <w:tc>
          <w:tcPr>
            <w:tcW w:w="100" w:type="dxa"/>
            <w:vAlign w:val="bottom"/>
            <w:tcBorders>
              <w:top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June 30, 2020</w:t>
            </w:r>
          </w:p>
        </w:tc>
      </w:tr>
      <w:tr>
        <w:trPr>
          <w:trHeight w:val="306"/>
        </w:trPr>
        <w:tc>
          <w:tcPr>
            <w:tcW w:w="5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8"/>
              </w:rPr>
              <w:t>(In millions)</w:t>
            </w:r>
          </w:p>
        </w:tc>
        <w:tc>
          <w:tcPr>
            <w:tcW w:w="1960" w:type="dxa"/>
            <w:vAlign w:val="bottom"/>
          </w:tcPr>
          <w:p>
            <w:pPr>
              <w:spacing w:after="0"/>
              <w:rPr>
                <w:sz w:val="24"/>
                <w:szCs w:val="24"/>
                <w:color w:val="auto"/>
              </w:rPr>
            </w:pPr>
          </w:p>
        </w:tc>
      </w:tr>
      <w:tr>
        <w:trPr>
          <w:trHeight w:val="221"/>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Paying users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16.14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w:t>
            </w:r>
          </w:p>
        </w:tc>
      </w:tr>
    </w:tbl>
    <w:p>
      <w:pPr>
        <w:spacing w:after="0" w:line="31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Average revenue per paying user</w:t>
      </w:r>
    </w:p>
    <w:p>
      <w:pPr>
        <w:spacing w:after="0" w:line="117" w:lineRule="exact"/>
        <w:rPr>
          <w:sz w:val="20"/>
          <w:szCs w:val="20"/>
          <w:color w:val="auto"/>
        </w:rPr>
      </w:pPr>
    </w:p>
    <w:p>
      <w:pPr>
        <w:ind w:right="60" w:firstLine="430"/>
        <w:spacing w:after="0" w:line="266"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201" w:lineRule="exact"/>
        <w:rPr>
          <w:sz w:val="20"/>
          <w:szCs w:val="20"/>
          <w:color w:val="auto"/>
        </w:rPr>
      </w:pPr>
    </w:p>
    <w:p>
      <w:pPr>
        <w:ind w:right="140" w:firstLine="430"/>
        <w:spacing w:after="0" w:line="295" w:lineRule="auto"/>
        <w:rPr>
          <w:sz w:val="20"/>
          <w:szCs w:val="20"/>
          <w:color w:val="auto"/>
        </w:rPr>
      </w:pPr>
      <w:r>
        <w:rPr>
          <w:rFonts w:ascii="Arial" w:cs="Arial" w:eastAsia="Arial" w:hAnsi="Arial"/>
          <w:sz w:val="16"/>
          <w:szCs w:val="16"/>
          <w:color w:val="auto"/>
        </w:rPr>
        <w:t>We experienced an increase in our average revenue per paying user for the three and six months ended June 30, 2021, compared to the three and six months ended June 30, 2020 primarily due to an increased mix of sales toward our higher-priced subscription plans, and to a lesser extent, the continued impact of an increase in price for existing users on our Dropbox Plus plan as a result of our repackaging initiative in the second quarter of 2019.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our ARPU for the three and six months ended June 30, 2021 and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80" w:type="dxa"/>
            <w:vAlign w:val="bottom"/>
            <w:gridSpan w:val="5"/>
          </w:tcPr>
          <w:p>
            <w:pPr>
              <w:jc w:val="center"/>
              <w:ind w:right="500"/>
              <w:spacing w:after="0"/>
              <w:rPr>
                <w:sz w:val="20"/>
                <w:szCs w:val="20"/>
                <w:color w:val="auto"/>
              </w:rPr>
            </w:pPr>
            <w:r>
              <w:rPr>
                <w:rFonts w:ascii="Arial" w:cs="Arial" w:eastAsia="Arial" w:hAnsi="Arial"/>
                <w:sz w:val="17"/>
                <w:szCs w:val="17"/>
                <w:b w:val="1"/>
                <w:bCs w:val="1"/>
                <w:color w:val="auto"/>
                <w:w w:val="93"/>
              </w:rPr>
              <w:t>Three Months Ended</w:t>
            </w:r>
          </w:p>
        </w:tc>
        <w:tc>
          <w:tcPr>
            <w:tcW w:w="400" w:type="dxa"/>
            <w:vAlign w:val="bottom"/>
          </w:tcPr>
          <w:p>
            <w:pPr>
              <w:spacing w:after="0"/>
              <w:rPr>
                <w:sz w:val="16"/>
                <w:szCs w:val="16"/>
                <w:color w:val="auto"/>
              </w:rPr>
            </w:pPr>
          </w:p>
        </w:tc>
        <w:tc>
          <w:tcPr>
            <w:tcW w:w="2120" w:type="dxa"/>
            <w:vAlign w:val="bottom"/>
            <w:gridSpan w:val="3"/>
          </w:tcPr>
          <w:p>
            <w:pPr>
              <w:jc w:val="center"/>
              <w:ind w:left="593"/>
              <w:spacing w:after="0"/>
              <w:rPr>
                <w:sz w:val="20"/>
                <w:szCs w:val="20"/>
                <w:color w:val="auto"/>
              </w:rPr>
            </w:pPr>
            <w:r>
              <w:rPr>
                <w:rFonts w:ascii="Arial" w:cs="Arial" w:eastAsia="Arial" w:hAnsi="Arial"/>
                <w:sz w:val="17"/>
                <w:szCs w:val="17"/>
                <w:b w:val="1"/>
                <w:bCs w:val="1"/>
                <w:color w:val="auto"/>
                <w:w w:val="92"/>
              </w:rPr>
              <w:t>Six Months Ended</w:t>
            </w:r>
          </w:p>
        </w:tc>
        <w:tc>
          <w:tcPr>
            <w:tcW w:w="1080" w:type="dxa"/>
            <w:vAlign w:val="bottom"/>
          </w:tcPr>
          <w:p>
            <w:pPr>
              <w:spacing w:after="0"/>
              <w:rPr>
                <w:sz w:val="16"/>
                <w:szCs w:val="16"/>
                <w:color w:val="auto"/>
              </w:rPr>
            </w:pPr>
          </w:p>
        </w:tc>
      </w:tr>
      <w:tr>
        <w:trPr>
          <w:trHeight w:val="221"/>
        </w:trPr>
        <w:tc>
          <w:tcPr>
            <w:tcW w:w="39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7"/>
                <w:szCs w:val="17"/>
                <w:b w:val="1"/>
                <w:bCs w:val="1"/>
                <w:color w:val="auto"/>
                <w:w w:val="91"/>
              </w:rPr>
              <w:t>June 30,</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7"/>
                <w:szCs w:val="17"/>
                <w:b w:val="1"/>
                <w:bCs w:val="1"/>
                <w:color w:val="auto"/>
                <w:w w:val="88"/>
              </w:rPr>
              <w:t>June 30,</w:t>
            </w:r>
          </w:p>
        </w:tc>
        <w:tc>
          <w:tcPr>
            <w:tcW w:w="1080" w:type="dxa"/>
            <w:vAlign w:val="bottom"/>
            <w:tcBorders>
              <w:bottom w:val="single" w:sz="8" w:color="auto"/>
            </w:tcBorders>
          </w:tcPr>
          <w:p>
            <w:pPr>
              <w:spacing w:after="0"/>
              <w:rPr>
                <w:sz w:val="19"/>
                <w:szCs w:val="19"/>
                <w:color w:val="auto"/>
              </w:rPr>
            </w:pPr>
          </w:p>
        </w:tc>
      </w:tr>
      <w:tr>
        <w:trPr>
          <w:trHeight w:val="214"/>
        </w:trPr>
        <w:tc>
          <w:tcPr>
            <w:tcW w:w="39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2020</w:t>
            </w:r>
          </w:p>
        </w:tc>
      </w:tr>
      <w:tr>
        <w:trPr>
          <w:trHeight w:val="32"/>
        </w:trPr>
        <w:tc>
          <w:tcPr>
            <w:tcW w:w="3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ARPU</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126.41</w:t>
            </w:r>
          </w:p>
        </w:tc>
      </w:tr>
      <w:tr>
        <w:trPr>
          <w:trHeight w:val="820"/>
        </w:trPr>
        <w:tc>
          <w:tcPr>
            <w:tcW w:w="3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7"/>
                <w:szCs w:val="17"/>
                <w:color w:val="auto"/>
              </w:rPr>
              <w:t>47</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0"/>
        </w:trPr>
        <w:tc>
          <w:tcPr>
            <w:tcW w:w="39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w:t>
      </w:r>
    </w:p>
    <w:p>
      <w:pPr>
        <w:spacing w:after="0" w:line="253" w:lineRule="exact"/>
        <w:rPr>
          <w:sz w:val="20"/>
          <w:szCs w:val="20"/>
          <w:color w:val="auto"/>
        </w:rPr>
      </w:pPr>
    </w:p>
    <w:p>
      <w:pPr>
        <w:ind w:right="80" w:firstLine="430"/>
        <w:spacing w:after="0" w:line="286"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Free cash flow</w:t>
      </w:r>
    </w:p>
    <w:p>
      <w:pPr>
        <w:spacing w:after="0" w:line="117" w:lineRule="exact"/>
        <w:rPr>
          <w:sz w:val="20"/>
          <w:szCs w:val="20"/>
          <w:color w:val="auto"/>
        </w:rPr>
      </w:pPr>
    </w:p>
    <w:p>
      <w:pPr>
        <w:ind w:right="20" w:firstLine="430"/>
        <w:spacing w:after="0" w:line="261"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205"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Our FCF increased for the six months ended June 30, 2021, compared to the six months ended June 30, 2020, primarily due to an increase in cash provided by operating activities, which was driven by increased subscription sales, as a majority of our paying users are invoiced in advance, and a decrease in capital expenditures as a result of decreased spend on office build-outs.</w:t>
      </w:r>
    </w:p>
    <w:p>
      <w:pPr>
        <w:spacing w:after="0" w:line="197" w:lineRule="exact"/>
        <w:rPr>
          <w:sz w:val="20"/>
          <w:szCs w:val="20"/>
          <w:color w:val="auto"/>
        </w:rPr>
      </w:pPr>
    </w:p>
    <w:p>
      <w:pPr>
        <w:ind w:right="60" w:firstLine="430"/>
        <w:spacing w:after="0" w:line="266" w:lineRule="auto"/>
        <w:rPr>
          <w:sz w:val="20"/>
          <w:szCs w:val="20"/>
          <w:color w:val="auto"/>
        </w:rPr>
      </w:pPr>
      <w:r>
        <w:rPr>
          <w:rFonts w:ascii="Arial" w:cs="Arial" w:eastAsia="Arial" w:hAnsi="Arial"/>
          <w:sz w:val="17"/>
          <w:szCs w:val="17"/>
          <w:color w:val="auto"/>
        </w:rPr>
        <w:t>We expect our FCF to generally increase in future periods as we increase subscription sales and reduce our capital expenditures as we shift to a Virtual First environment. Although we expect to continue to purchase infrastructure equipment to support our user base, we anticipate that our capital expenditures related to building out our office spaces will continue to decline in future periods. The timing of our operating expenses as described below, may result in FCF to vary from period to period as a percentage of revenue.</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FCF to the most comparable GAAP measure, net cash provided by operating activities:</w:t>
      </w:r>
    </w:p>
    <w:p>
      <w:pPr>
        <w:spacing w:after="0" w:line="365"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Six Months Ended</w:t>
      </w:r>
    </w:p>
    <w:p>
      <w:pPr>
        <w:jc w:val="center"/>
        <w:ind w:left="7400"/>
        <w:spacing w:after="0"/>
        <w:rPr>
          <w:sz w:val="20"/>
          <w:szCs w:val="20"/>
          <w:color w:val="auto"/>
        </w:rPr>
      </w:pPr>
      <w:r>
        <w:rPr>
          <w:rFonts w:ascii="Arial" w:cs="Arial" w:eastAsia="Arial" w:hAnsi="Arial"/>
          <w:sz w:val="17"/>
          <w:szCs w:val="17"/>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2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20" w:type="dxa"/>
            <w:vAlign w:val="bottom"/>
            <w:gridSpan w:val="3"/>
          </w:tcPr>
          <w:p>
            <w:pPr>
              <w:ind w:left="200"/>
              <w:spacing w:after="0"/>
              <w:rPr>
                <w:sz w:val="20"/>
                <w:szCs w:val="20"/>
                <w:color w:val="auto"/>
              </w:rPr>
            </w:pPr>
            <w:r>
              <w:rPr>
                <w:rFonts w:ascii="Arial" w:cs="Arial" w:eastAsia="Arial" w:hAnsi="Arial"/>
                <w:sz w:val="17"/>
                <w:szCs w:val="17"/>
                <w:i w:val="1"/>
                <w:iCs w:val="1"/>
                <w:color w:val="auto"/>
              </w:rPr>
              <w:t>(In millions)</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335.6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expenditures</w:t>
            </w:r>
          </w:p>
        </w:tc>
        <w:tc>
          <w:tcPr>
            <w:tcW w:w="33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4"/>
              </w:rPr>
              <w:t>(10.8)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w w:val="94"/>
              </w:rPr>
              <w:t>(53.9)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4500" w:type="dxa"/>
            <w:vAlign w:val="bottom"/>
            <w:gridSpan w:val="2"/>
            <w:shd w:val="clear" w:color="auto" w:fill="CCEEFF"/>
          </w:tcPr>
          <w:p>
            <w:pPr>
              <w:jc w:val="right"/>
              <w:ind w:right="99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324.8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145.3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1713"/>
              <w:spacing w:after="0"/>
              <w:rPr>
                <w:sz w:val="20"/>
                <w:szCs w:val="20"/>
                <w:color w:val="auto"/>
              </w:rPr>
            </w:pPr>
            <w:r>
              <w:rPr>
                <w:rFonts w:ascii="Arial" w:cs="Arial" w:eastAsia="Arial" w:hAnsi="Arial"/>
                <w:sz w:val="17"/>
                <w:szCs w:val="17"/>
                <w:color w:val="auto"/>
              </w:rPr>
              <w:t>48</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3"/>
        </w:trPr>
        <w:tc>
          <w:tcPr>
            <w:tcW w:w="42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0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generate revenue from sales of subscriptions to our platform.</w:t>
      </w:r>
    </w:p>
    <w:p>
      <w:pPr>
        <w:spacing w:after="0" w:line="247"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201"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117" w:lineRule="exact"/>
        <w:rPr>
          <w:sz w:val="20"/>
          <w:szCs w:val="20"/>
          <w:color w:val="auto"/>
        </w:rPr>
      </w:pPr>
    </w:p>
    <w:p>
      <w:pPr>
        <w:ind w:firstLine="430"/>
        <w:spacing w:after="0" w:line="277"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 paying</w:t>
      </w:r>
      <w:r>
        <w:rPr>
          <w:rFonts w:ascii="Arial" w:cs="Arial" w:eastAsia="Arial" w:hAnsi="Arial"/>
          <w:sz w:val="16"/>
          <w:szCs w:val="16"/>
          <w:i w:val="1"/>
          <w:iCs w:val="1"/>
          <w:color w:val="auto"/>
        </w:rPr>
        <w:t xml:space="preserve"> </w:t>
      </w:r>
      <w:r>
        <w:rPr>
          <w:rFonts w:ascii="Arial" w:cs="Arial" w:eastAsia="Arial" w:hAnsi="Arial"/>
          <w:sz w:val="16"/>
          <w:szCs w:val="16"/>
          <w:color w:val="auto"/>
        </w:rPr>
        <w:t>users and free users, also 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9" w:lineRule="exact"/>
        <w:rPr>
          <w:sz w:val="20"/>
          <w:szCs w:val="20"/>
          <w:color w:val="auto"/>
        </w:rPr>
      </w:pPr>
    </w:p>
    <w:p>
      <w:pPr>
        <w:ind w:right="160" w:firstLine="430"/>
        <w:spacing w:after="0" w:line="286" w:lineRule="auto"/>
        <w:rPr>
          <w:sz w:val="20"/>
          <w:szCs w:val="20"/>
          <w:color w:val="auto"/>
        </w:rPr>
      </w:pPr>
      <w:r>
        <w:rPr>
          <w:rFonts w:ascii="Arial" w:cs="Arial" w:eastAsia="Arial" w:hAnsi="Arial"/>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85" w:lineRule="exact"/>
        <w:rPr>
          <w:sz w:val="20"/>
          <w:szCs w:val="20"/>
          <w:color w:val="auto"/>
        </w:rPr>
      </w:pPr>
    </w:p>
    <w:p>
      <w:pPr>
        <w:ind w:right="100" w:firstLine="430"/>
        <w:spacing w:after="0" w:line="271"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is gross profit expressed as a percentage of revenue. Our gross margin may fluctuate from period to period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right="100" w:firstLine="430"/>
        <w:spacing w:after="0" w:line="323" w:lineRule="auto"/>
        <w:rPr>
          <w:sz w:val="20"/>
          <w:szCs w:val="20"/>
          <w:color w:val="auto"/>
        </w:rPr>
      </w:pPr>
      <w:r>
        <w:rPr>
          <w:rFonts w:ascii="Arial" w:cs="Arial" w:eastAsia="Arial" w:hAnsi="Arial"/>
          <w:sz w:val="15"/>
          <w:szCs w:val="15"/>
          <w:i w:val="1"/>
          <w:iCs w:val="1"/>
          <w:color w:val="auto"/>
        </w:rPr>
        <w:t>Research and development</w:t>
      </w:r>
      <w:r>
        <w:rPr>
          <w:rFonts w:ascii="Arial" w:cs="Arial" w:eastAsia="Arial" w:hAnsi="Arial"/>
          <w:sz w:val="15"/>
          <w:szCs w:val="15"/>
          <w:color w:val="auto"/>
        </w:rPr>
        <w:t>. Our research and development expenses consist primarily of employee-related costs for our engineering, product, and design</w:t>
      </w:r>
      <w:r>
        <w:rPr>
          <w:rFonts w:ascii="Arial" w:cs="Arial" w:eastAsia="Arial" w:hAnsi="Arial"/>
          <w:sz w:val="15"/>
          <w:szCs w:val="15"/>
          <w:i w:val="1"/>
          <w:iCs w:val="1"/>
          <w:color w:val="auto"/>
        </w:rPr>
        <w:t xml:space="preserve"> </w:t>
      </w:r>
      <w:r>
        <w:rPr>
          <w:rFonts w:ascii="Arial" w:cs="Arial" w:eastAsia="Arial" w:hAnsi="Arial"/>
          <w:sz w:val="15"/>
          <w:szCs w:val="15"/>
          <w:color w:val="auto"/>
        </w:rPr>
        <w:t>teams, compensation expenses related to key personnel from acquisitions and allocated overhead. Additionally, research and development expenses include internal development-related third-party hosting fees. We have expensed almost all of our research and development costs as they were incurred.</w:t>
      </w:r>
    </w:p>
    <w:p>
      <w:pPr>
        <w:spacing w:after="0" w:line="163" w:lineRule="exact"/>
        <w:rPr>
          <w:sz w:val="20"/>
          <w:szCs w:val="20"/>
          <w:color w:val="auto"/>
        </w:rPr>
      </w:pPr>
    </w:p>
    <w:p>
      <w:pPr>
        <w:ind w:right="340" w:firstLine="430"/>
        <w:spacing w:after="0" w:line="319" w:lineRule="auto"/>
        <w:rPr>
          <w:sz w:val="20"/>
          <w:szCs w:val="20"/>
          <w:color w:val="auto"/>
        </w:rPr>
      </w:pPr>
      <w:r>
        <w:rPr>
          <w:rFonts w:ascii="Arial" w:cs="Arial" w:eastAsia="Arial" w:hAnsi="Arial"/>
          <w:sz w:val="16"/>
          <w:szCs w:val="16"/>
          <w:color w:val="auto"/>
        </w:rPr>
        <w:t>We plan to continue hiring employees for our engineering, product, and design teams to support our research and development efforts. We expect that research and development costs will increase in absolute dollars in future periods and fluctuate from period to period as a percentage of revenue.</w:t>
      </w:r>
    </w:p>
    <w:p>
      <w:pPr>
        <w:spacing w:after="0" w:line="162" w:lineRule="exact"/>
        <w:rPr>
          <w:sz w:val="20"/>
          <w:szCs w:val="20"/>
          <w:color w:val="auto"/>
        </w:rPr>
      </w:pPr>
    </w:p>
    <w:p>
      <w:pPr>
        <w:ind w:right="100" w:firstLine="430"/>
        <w:spacing w:after="0" w:line="306"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relate to both self-serve and outbound sales activities, and consist primarily of employee-related</w:t>
      </w:r>
      <w:r>
        <w:rPr>
          <w:rFonts w:ascii="Arial" w:cs="Arial" w:eastAsia="Arial" w:hAnsi="Arial"/>
          <w:sz w:val="15"/>
          <w:szCs w:val="15"/>
          <w:i w:val="1"/>
          <w:iCs w:val="1"/>
          <w:color w:val="auto"/>
        </w:rPr>
        <w:t xml:space="preserve"> </w:t>
      </w:r>
      <w:r>
        <w:rPr>
          <w:rFonts w:ascii="Arial" w:cs="Arial" w:eastAsia="Arial" w:hAnsi="Arial"/>
          <w:sz w:val="15"/>
          <w:szCs w:val="15"/>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77" w:lineRule="exact"/>
        <w:rPr>
          <w:sz w:val="20"/>
          <w:szCs w:val="20"/>
          <w:color w:val="auto"/>
        </w:rPr>
      </w:pPr>
    </w:p>
    <w:p>
      <w:pPr>
        <w:ind w:right="200" w:firstLine="430"/>
        <w:spacing w:after="0" w:line="286" w:lineRule="auto"/>
        <w:rPr>
          <w:sz w:val="20"/>
          <w:szCs w:val="20"/>
          <w:color w:val="auto"/>
        </w:rPr>
      </w:pPr>
      <w:r>
        <w:rPr>
          <w:rFonts w:ascii="Arial" w:cs="Arial" w:eastAsia="Arial" w:hAnsi="Arial"/>
          <w:sz w:val="17"/>
          <w:szCs w:val="17"/>
          <w:color w:val="auto"/>
        </w:rPr>
        <w:t>We plan to continue to invest in sales and marketing to grow our user base and increase our brand awareness, including marketing efforts to continue to drive our self-serve business model. We expect that sales and marketing expenses will</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9" w:name="page50"/>
    <w:bookmarkEnd w:id="4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700"/>
        <w:spacing w:after="0" w:line="286" w:lineRule="auto"/>
        <w:rPr>
          <w:sz w:val="20"/>
          <w:szCs w:val="20"/>
          <w:color w:val="auto"/>
        </w:rPr>
      </w:pPr>
      <w:r>
        <w:rPr>
          <w:rFonts w:ascii="Arial" w:cs="Arial" w:eastAsia="Arial" w:hAnsi="Arial"/>
          <w:sz w:val="17"/>
          <w:szCs w:val="17"/>
          <w:color w:val="auto"/>
        </w:rPr>
        <w:t>generally increase in absolute dollars in future periods and fluctuate from period to period as a percentage of revenue. The trend and timing of sales and marketing expenses will depend in part on the timing of marketing campaigns.</w:t>
      </w:r>
    </w:p>
    <w:p>
      <w:pPr>
        <w:spacing w:after="0" w:line="185"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administrative teams, as well as certain executives. In addition, general and administrative expenses include allocated overhead, outside legal, accounting and other professional fees, and non-income based taxes.</w:t>
      </w:r>
    </w:p>
    <w:p>
      <w:pPr>
        <w:spacing w:after="0" w:line="197" w:lineRule="exact"/>
        <w:rPr>
          <w:sz w:val="20"/>
          <w:szCs w:val="20"/>
          <w:color w:val="auto"/>
        </w:rPr>
      </w:pPr>
    </w:p>
    <w:p>
      <w:pPr>
        <w:ind w:right="80" w:firstLine="430"/>
        <w:spacing w:after="0" w:line="271" w:lineRule="auto"/>
        <w:rPr>
          <w:sz w:val="20"/>
          <w:szCs w:val="20"/>
          <w:color w:val="auto"/>
        </w:rPr>
      </w:pPr>
      <w:r>
        <w:rPr>
          <w:rFonts w:ascii="Arial" w:cs="Arial" w:eastAsia="Arial" w:hAnsi="Arial"/>
          <w:sz w:val="17"/>
          <w:szCs w:val="17"/>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will generally decrease as a percentage of revenue.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117" w:lineRule="exact"/>
        <w:rPr>
          <w:sz w:val="20"/>
          <w:szCs w:val="20"/>
          <w:color w:val="auto"/>
        </w:rPr>
      </w:pPr>
    </w:p>
    <w:p>
      <w:pPr>
        <w:ind w:right="200" w:firstLine="430"/>
        <w:spacing w:after="0" w:line="319" w:lineRule="auto"/>
        <w:rPr>
          <w:sz w:val="20"/>
          <w:szCs w:val="20"/>
          <w:color w:val="auto"/>
        </w:rPr>
      </w:pPr>
      <w:r>
        <w:rPr>
          <w:rFonts w:ascii="Arial" w:cs="Arial" w:eastAsia="Arial" w:hAnsi="Arial"/>
          <w:sz w:val="16"/>
          <w:szCs w:val="16"/>
          <w:color w:val="auto"/>
        </w:rPr>
        <w:t>Interest income (expense), net consists primarily of interest income earned on our money market funds classified as cash and cash equivalents and short-term investments, partially offset by interest expense related to our finance lease obligations for infrastructure and amortization of debt issuance costs.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7" w:lineRule="exact"/>
        <w:rPr>
          <w:sz w:val="20"/>
          <w:szCs w:val="20"/>
          <w:color w:val="auto"/>
        </w:rPr>
      </w:pPr>
    </w:p>
    <w:p>
      <w:pPr>
        <w:ind w:firstLine="430"/>
        <w:spacing w:after="0" w:line="286" w:lineRule="auto"/>
        <w:rPr>
          <w:sz w:val="20"/>
          <w:szCs w:val="20"/>
          <w:color w:val="auto"/>
        </w:rPr>
      </w:pPr>
      <w:r>
        <w:rPr>
          <w:rFonts w:ascii="Arial" w:cs="Arial" w:eastAsia="Arial" w:hAnsi="Arial"/>
          <w:sz w:val="17"/>
          <w:szCs w:val="17"/>
          <w:color w:val="auto"/>
        </w:rPr>
        <w:t>Other income, net consists of other non-operating gains or losses, including those related to equity investments, lease arrangements, which include sublease income, foreign currency transaction gains and losses, and realized gains and losses related to our short-term investments.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117"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set forth our results of operations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00" w:type="dxa"/>
            <w:vAlign w:val="bottom"/>
            <w:gridSpan w:val="4"/>
          </w:tcPr>
          <w:p>
            <w:pPr>
              <w:jc w:val="right"/>
              <w:ind w:right="33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w:t>
            </w:r>
          </w:p>
        </w:tc>
        <w:tc>
          <w:tcPr>
            <w:tcW w:w="1080" w:type="dxa"/>
            <w:vAlign w:val="bottom"/>
          </w:tcPr>
          <w:p>
            <w:pPr>
              <w:spacing w:after="0"/>
              <w:rPr>
                <w:sz w:val="16"/>
                <w:szCs w:val="16"/>
                <w:color w:val="auto"/>
              </w:rPr>
            </w:pPr>
          </w:p>
        </w:tc>
      </w:tr>
      <w:tr>
        <w:trPr>
          <w:trHeight w:val="221"/>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7"/>
                <w:szCs w:val="17"/>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214"/>
        </w:trPr>
        <w:tc>
          <w:tcPr>
            <w:tcW w:w="396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2020</w:t>
            </w:r>
          </w:p>
        </w:tc>
      </w:tr>
      <w:tr>
        <w:trPr>
          <w:trHeight w:val="253"/>
        </w:trPr>
        <w:tc>
          <w:tcPr>
            <w:tcW w:w="3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20" w:type="dxa"/>
            <w:vAlign w:val="bottom"/>
            <w:gridSpan w:val="3"/>
          </w:tcPr>
          <w:p>
            <w:pPr>
              <w:jc w:val="right"/>
              <w:ind w:right="53"/>
              <w:spacing w:after="0"/>
              <w:rPr>
                <w:sz w:val="20"/>
                <w:szCs w:val="20"/>
                <w:color w:val="auto"/>
              </w:rPr>
            </w:pPr>
            <w:r>
              <w:rPr>
                <w:rFonts w:ascii="Arial" w:cs="Arial" w:eastAsia="Arial" w:hAnsi="Arial"/>
                <w:sz w:val="17"/>
                <w:szCs w:val="17"/>
                <w:i w:val="1"/>
                <w:iCs w:val="1"/>
                <w:color w:val="auto"/>
              </w:rPr>
              <w:t>(In millions)</w:t>
            </w: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922.4</w:t>
            </w:r>
          </w:p>
        </w:tc>
      </w:tr>
      <w:tr>
        <w:trPr>
          <w:trHeight w:val="221"/>
        </w:trPr>
        <w:tc>
          <w:tcPr>
            <w:tcW w:w="3960" w:type="dxa"/>
            <w:vAlign w:val="bottom"/>
            <w:tcBorders>
              <w:bottom w:val="single" w:sz="8" w:color="CCEEFF"/>
            </w:tcBorders>
          </w:tcPr>
          <w:p>
            <w:pPr>
              <w:ind w:left="38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205.6</w:t>
            </w: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716.8</w:t>
            </w:r>
          </w:p>
        </w:tc>
      </w:tr>
      <w:tr>
        <w:trPr>
          <w:trHeight w:val="221"/>
        </w:trPr>
        <w:tc>
          <w:tcPr>
            <w:tcW w:w="3960" w:type="dxa"/>
            <w:vAlign w:val="bottom"/>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1"/>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367.6</w:t>
            </w:r>
          </w:p>
        </w:tc>
      </w:tr>
      <w:tr>
        <w:trPr>
          <w:trHeight w:val="221"/>
        </w:trPr>
        <w:tc>
          <w:tcPr>
            <w:tcW w:w="39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203.5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207.1</w:t>
            </w:r>
          </w:p>
        </w:tc>
      </w:tr>
      <w:tr>
        <w:trPr>
          <w:trHeight w:val="221"/>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w:t>
            </w:r>
          </w:p>
        </w:tc>
      </w:tr>
      <w:tr>
        <w:trPr>
          <w:trHeight w:val="221"/>
        </w:trPr>
        <w:tc>
          <w:tcPr>
            <w:tcW w:w="3960" w:type="dxa"/>
            <w:vAlign w:val="bottom"/>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352.1</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698.9</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677.2</w:t>
            </w:r>
          </w:p>
        </w:tc>
      </w:tr>
      <w:tr>
        <w:trPr>
          <w:trHeight w:val="221"/>
        </w:trPr>
        <w:tc>
          <w:tcPr>
            <w:tcW w:w="39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39.6</w:t>
            </w: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21"/>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r>
      <w:tr>
        <w:trPr>
          <w:trHeight w:val="221"/>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r>
      <w:tr>
        <w:trPr>
          <w:trHeight w:val="239"/>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140" w:hanging="136"/>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40" w:type="dxa"/>
            <w:vAlign w:val="bottom"/>
            <w:gridSpan w:val="4"/>
          </w:tcPr>
          <w:p>
            <w:pPr>
              <w:jc w:val="right"/>
              <w:ind w:right="373"/>
              <w:spacing w:after="0"/>
              <w:rPr>
                <w:sz w:val="20"/>
                <w:szCs w:val="20"/>
                <w:color w:val="auto"/>
              </w:rPr>
            </w:pPr>
            <w:r>
              <w:rPr>
                <w:rFonts w:ascii="Arial" w:cs="Arial" w:eastAsia="Arial" w:hAnsi="Arial"/>
                <w:sz w:val="17"/>
                <w:szCs w:val="17"/>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7"/>
                <w:szCs w:val="17"/>
                <w:b w:val="1"/>
                <w:bCs w:val="1"/>
                <w:color w:val="auto"/>
                <w:w w:val="93"/>
              </w:rPr>
              <w:t>Six Months Ended</w:t>
            </w:r>
          </w:p>
        </w:tc>
        <w:tc>
          <w:tcPr>
            <w:tcW w:w="1080" w:type="dxa"/>
            <w:vAlign w:val="bottom"/>
          </w:tcPr>
          <w:p>
            <w:pPr>
              <w:spacing w:after="0"/>
              <w:rPr>
                <w:sz w:val="16"/>
                <w:szCs w:val="16"/>
                <w:color w:val="auto"/>
              </w:rPr>
            </w:pPr>
          </w:p>
        </w:tc>
      </w:tr>
      <w:tr>
        <w:trPr>
          <w:trHeight w:val="221"/>
        </w:trPr>
        <w:tc>
          <w:tcPr>
            <w:tcW w:w="39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853"/>
              <w:spacing w:after="0"/>
              <w:rPr>
                <w:sz w:val="20"/>
                <w:szCs w:val="20"/>
                <w:color w:val="auto"/>
              </w:rPr>
            </w:pPr>
            <w:r>
              <w:rPr>
                <w:rFonts w:ascii="Arial" w:cs="Arial" w:eastAsia="Arial" w:hAnsi="Arial"/>
                <w:sz w:val="17"/>
                <w:szCs w:val="17"/>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214"/>
        </w:trPr>
        <w:tc>
          <w:tcPr>
            <w:tcW w:w="3960" w:type="dxa"/>
            <w:vAlign w:val="bottom"/>
          </w:tcPr>
          <w:p>
            <w:pPr>
              <w:spacing w:after="0"/>
              <w:rPr>
                <w:sz w:val="18"/>
                <w:szCs w:val="18"/>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2020</w:t>
            </w:r>
          </w:p>
        </w:tc>
      </w:tr>
      <w:tr>
        <w:trPr>
          <w:trHeight w:val="253"/>
        </w:trPr>
        <w:tc>
          <w:tcPr>
            <w:tcW w:w="3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720" w:type="dxa"/>
            <w:vAlign w:val="bottom"/>
            <w:gridSpan w:val="3"/>
          </w:tcPr>
          <w:p>
            <w:pPr>
              <w:jc w:val="right"/>
              <w:ind w:right="593"/>
              <w:spacing w:after="0"/>
              <w:rPr>
                <w:sz w:val="20"/>
                <w:szCs w:val="20"/>
                <w:color w:val="auto"/>
              </w:rPr>
            </w:pPr>
            <w:r>
              <w:rPr>
                <w:rFonts w:ascii="Arial" w:cs="Arial" w:eastAsia="Arial" w:hAnsi="Arial"/>
                <w:sz w:val="17"/>
                <w:szCs w:val="17"/>
                <w:i w:val="1"/>
                <w:iCs w:val="1"/>
                <w:color w:val="auto"/>
              </w:rPr>
              <w:t>(In millions)</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1"/>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122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1"/>
        </w:trPr>
        <w:tc>
          <w:tcPr>
            <w:tcW w:w="396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47.0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84.2</w:t>
            </w:r>
          </w:p>
        </w:tc>
      </w:tr>
      <w:tr>
        <w:trPr>
          <w:trHeight w:val="221"/>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21"/>
        </w:trPr>
        <w:tc>
          <w:tcPr>
            <w:tcW w:w="3960" w:type="dxa"/>
            <w:vAlign w:val="bottom"/>
            <w:tcBorders>
              <w:bottom w:val="single" w:sz="8" w:color="CCEEFF"/>
            </w:tcBorders>
          </w:tcPr>
          <w:p>
            <w:pPr>
              <w:ind w:left="340"/>
              <w:spacing w:after="0" w:line="22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r>
      <w:tr>
        <w:trPr>
          <w:trHeight w:val="239"/>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right="100" w:firstLine="4"/>
        <w:spacing w:after="0" w:line="288" w:lineRule="auto"/>
        <w:tabs>
          <w:tab w:leader="none" w:pos="14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(Deficit) Equity" for further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4960" w:type="dxa"/>
            <w:vAlign w:val="bottom"/>
            <w:gridSpan w:val="4"/>
          </w:tcPr>
          <w:p>
            <w:pPr>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Table of Contents</w:t>
              </w:r>
            </w:hyperlink>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761"/>
        </w:trPr>
        <w:tc>
          <w:tcPr>
            <w:tcW w:w="8660" w:type="dxa"/>
            <w:vAlign w:val="bottom"/>
            <w:gridSpan w:val="10"/>
          </w:tcPr>
          <w:p>
            <w:pPr>
              <w:ind w:left="400"/>
              <w:spacing w:after="0"/>
              <w:rPr>
                <w:sz w:val="20"/>
                <w:szCs w:val="20"/>
                <w:color w:val="auto"/>
              </w:rPr>
            </w:pPr>
            <w:r>
              <w:rPr>
                <w:rFonts w:ascii="Arial" w:cs="Arial" w:eastAsia="Arial" w:hAnsi="Arial"/>
                <w:sz w:val="17"/>
                <w:szCs w:val="17"/>
                <w:color w:val="auto"/>
                <w:w w:val="94"/>
              </w:rPr>
              <w:t>The following table sets forth our results of operations for each of the periods presented as a percentage of revenue: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9"/>
        </w:trPr>
        <w:tc>
          <w:tcPr>
            <w:tcW w:w="1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4"/>
          </w:tcPr>
          <w:p>
            <w:pPr>
              <w:jc w:val="center"/>
              <w:ind w:left="573"/>
              <w:spacing w:after="0"/>
              <w:rPr>
                <w:sz w:val="20"/>
                <w:szCs w:val="20"/>
                <w:color w:val="auto"/>
              </w:rPr>
            </w:pPr>
            <w:r>
              <w:rPr>
                <w:rFonts w:ascii="Arial" w:cs="Arial" w:eastAsia="Arial" w:hAnsi="Arial"/>
                <w:sz w:val="17"/>
                <w:szCs w:val="17"/>
                <w:b w:val="1"/>
                <w:bCs w:val="1"/>
                <w:color w:val="auto"/>
                <w:w w:val="93"/>
              </w:rPr>
              <w:t>Three Months Ended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Six Months Ended</w:t>
            </w:r>
          </w:p>
        </w:tc>
        <w:tc>
          <w:tcPr>
            <w:tcW w:w="1120" w:type="dxa"/>
            <w:vAlign w:val="bottom"/>
          </w:tcPr>
          <w:p>
            <w:pPr>
              <w:spacing w:after="0"/>
              <w:rPr>
                <w:sz w:val="24"/>
                <w:szCs w:val="24"/>
                <w:color w:val="auto"/>
              </w:rPr>
            </w:pPr>
          </w:p>
        </w:tc>
      </w:tr>
      <w:tr>
        <w:trPr>
          <w:trHeight w:val="221"/>
        </w:trPr>
        <w:tc>
          <w:tcPr>
            <w:tcW w:w="13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right="433"/>
              <w:spacing w:after="0"/>
              <w:rPr>
                <w:sz w:val="20"/>
                <w:szCs w:val="20"/>
                <w:color w:val="auto"/>
              </w:rPr>
            </w:pPr>
            <w:r>
              <w:rPr>
                <w:rFonts w:ascii="Arial" w:cs="Arial" w:eastAsia="Arial" w:hAnsi="Arial"/>
                <w:sz w:val="17"/>
                <w:szCs w:val="17"/>
                <w:b w:val="1"/>
                <w:bCs w:val="1"/>
                <w:color w:val="auto"/>
                <w:w w:val="91"/>
              </w:rPr>
              <w:t>June 30,</w:t>
            </w: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June 30,</w:t>
            </w:r>
          </w:p>
        </w:tc>
        <w:tc>
          <w:tcPr>
            <w:tcW w:w="1120" w:type="dxa"/>
            <w:vAlign w:val="bottom"/>
            <w:tcBorders>
              <w:bottom w:val="single" w:sz="8" w:color="auto"/>
            </w:tcBorders>
          </w:tcPr>
          <w:p>
            <w:pPr>
              <w:spacing w:after="0"/>
              <w:rPr>
                <w:sz w:val="19"/>
                <w:szCs w:val="19"/>
                <w:color w:val="auto"/>
              </w:rPr>
            </w:pPr>
          </w:p>
        </w:tc>
      </w:tr>
      <w:tr>
        <w:trPr>
          <w:trHeight w:val="214"/>
        </w:trPr>
        <w:tc>
          <w:tcPr>
            <w:tcW w:w="3760" w:type="dxa"/>
            <w:vAlign w:val="bottom"/>
            <w:gridSpan w:val="2"/>
          </w:tcPr>
          <w:p>
            <w:pPr>
              <w:spacing w:after="0"/>
              <w:rPr>
                <w:sz w:val="18"/>
                <w:szCs w:val="18"/>
                <w:color w:val="auto"/>
              </w:rPr>
            </w:pPr>
          </w:p>
        </w:tc>
        <w:tc>
          <w:tcPr>
            <w:tcW w:w="12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2020</w:t>
            </w:r>
          </w:p>
        </w:tc>
      </w:tr>
      <w:tr>
        <w:trPr>
          <w:trHeight w:val="253"/>
        </w:trPr>
        <w:tc>
          <w:tcPr>
            <w:tcW w:w="13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80" w:type="dxa"/>
            <w:vAlign w:val="bottom"/>
            <w:gridSpan w:val="3"/>
          </w:tcPr>
          <w:p>
            <w:pPr>
              <w:jc w:val="right"/>
              <w:ind w:right="393"/>
              <w:spacing w:after="0"/>
              <w:rPr>
                <w:sz w:val="20"/>
                <w:szCs w:val="20"/>
                <w:color w:val="auto"/>
              </w:rPr>
            </w:pPr>
            <w:r>
              <w:rPr>
                <w:rFonts w:ascii="Arial" w:cs="Arial" w:eastAsia="Arial" w:hAnsi="Arial"/>
                <w:sz w:val="17"/>
                <w:szCs w:val="17"/>
                <w:i w:val="1"/>
                <w:iCs w:val="1"/>
                <w:color w:val="auto"/>
                <w:w w:val="91"/>
              </w:rPr>
              <w:t>(As a % of revenue)</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1"/>
        </w:trPr>
        <w:tc>
          <w:tcPr>
            <w:tcW w:w="49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1"/>
        </w:trPr>
        <w:tc>
          <w:tcPr>
            <w:tcW w:w="4960" w:type="dxa"/>
            <w:vAlign w:val="bottom"/>
            <w:gridSpan w:val="4"/>
          </w:tcPr>
          <w:p>
            <w:pPr>
              <w:ind w:left="38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22</w:t>
            </w:r>
          </w:p>
        </w:tc>
      </w:tr>
      <w:tr>
        <w:trPr>
          <w:trHeight w:val="214"/>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78</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78</w:t>
            </w:r>
          </w:p>
        </w:tc>
      </w:tr>
      <w:tr>
        <w:trPr>
          <w:trHeight w:val="221"/>
        </w:trPr>
        <w:tc>
          <w:tcPr>
            <w:tcW w:w="4960" w:type="dxa"/>
            <w:vAlign w:val="bottom"/>
            <w:gridSpan w:val="4"/>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40</w:t>
            </w:r>
          </w:p>
        </w:tc>
      </w:tr>
      <w:tr>
        <w:trPr>
          <w:trHeight w:val="221"/>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Sales and marketing</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22</w:t>
            </w:r>
          </w:p>
        </w:tc>
      </w:tr>
      <w:tr>
        <w:trPr>
          <w:trHeight w:val="221"/>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11</w:t>
            </w:r>
          </w:p>
        </w:tc>
      </w:tr>
      <w:tr>
        <w:trPr>
          <w:trHeight w:val="221"/>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1820" w:type="dxa"/>
            <w:vAlign w:val="bottom"/>
            <w:gridSpan w:val="3"/>
          </w:tcPr>
          <w:p>
            <w:pPr>
              <w:jc w:val="right"/>
              <w:ind w:right="1353"/>
              <w:spacing w:after="0"/>
              <w:rPr>
                <w:sz w:val="20"/>
                <w:szCs w:val="20"/>
                <w:color w:val="auto"/>
              </w:rPr>
            </w:pPr>
            <w:r>
              <w:rPr>
                <w:rFonts w:ascii="Arial" w:cs="Arial" w:eastAsia="Arial" w:hAnsi="Arial"/>
                <w:sz w:val="17"/>
                <w:szCs w:val="17"/>
                <w:color w:val="auto"/>
              </w:rPr>
              <w:t>—</w:t>
            </w:r>
          </w:p>
        </w:tc>
        <w:tc>
          <w:tcPr>
            <w:tcW w:w="1880" w:type="dxa"/>
            <w:vAlign w:val="bottom"/>
            <w:gridSpan w:val="3"/>
          </w:tcPr>
          <w:p>
            <w:pPr>
              <w:jc w:val="right"/>
              <w:ind w:right="1333"/>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w:t>
            </w:r>
          </w:p>
        </w:tc>
      </w:tr>
      <w:tr>
        <w:trPr>
          <w:trHeight w:val="214"/>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73</w:t>
            </w:r>
          </w:p>
        </w:tc>
      </w:tr>
      <w:tr>
        <w:trPr>
          <w:trHeight w:val="221"/>
        </w:trPr>
        <w:tc>
          <w:tcPr>
            <w:tcW w:w="4960" w:type="dxa"/>
            <w:vAlign w:val="bottom"/>
            <w:gridSpan w:val="4"/>
          </w:tcPr>
          <w:p>
            <w:pPr>
              <w:ind w:left="20"/>
              <w:spacing w:after="0"/>
              <w:rPr>
                <w:sz w:val="20"/>
                <w:szCs w:val="20"/>
                <w:color w:val="auto"/>
              </w:rPr>
            </w:pPr>
            <w:r>
              <w:rPr>
                <w:rFonts w:ascii="Arial" w:cs="Arial" w:eastAsia="Arial" w:hAnsi="Arial"/>
                <w:sz w:val="17"/>
                <w:szCs w:val="17"/>
                <w:color w:val="auto"/>
              </w:rPr>
              <w:t>Income from operations</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4</w:t>
            </w:r>
          </w:p>
        </w:tc>
      </w:tr>
      <w:tr>
        <w:trPr>
          <w:trHeight w:val="221"/>
        </w:trPr>
        <w:tc>
          <w:tcPr>
            <w:tcW w:w="49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820" w:type="dxa"/>
            <w:vAlign w:val="bottom"/>
            <w:gridSpan w:val="3"/>
            <w:shd w:val="clear" w:color="auto" w:fill="CCEEFF"/>
          </w:tcPr>
          <w:p>
            <w:pPr>
              <w:jc w:val="right"/>
              <w:ind w:right="1353"/>
              <w:spacing w:after="0"/>
              <w:rPr>
                <w:sz w:val="20"/>
                <w:szCs w:val="20"/>
                <w:color w:val="auto"/>
              </w:rPr>
            </w:pPr>
            <w:r>
              <w:rPr>
                <w:rFonts w:ascii="Arial" w:cs="Arial" w:eastAsia="Arial" w:hAnsi="Arial"/>
                <w:sz w:val="17"/>
                <w:szCs w:val="17"/>
                <w:color w:val="auto"/>
              </w:rPr>
              <w:t>—</w:t>
            </w:r>
          </w:p>
        </w:tc>
        <w:tc>
          <w:tcPr>
            <w:tcW w:w="1880" w:type="dxa"/>
            <w:vAlign w:val="bottom"/>
            <w:gridSpan w:val="3"/>
            <w:shd w:val="clear" w:color="auto" w:fill="CCEEFF"/>
          </w:tcPr>
          <w:p>
            <w:pPr>
              <w:jc w:val="right"/>
              <w:ind w:right="1333"/>
              <w:spacing w:after="0"/>
              <w:rPr>
                <w:sz w:val="20"/>
                <w:szCs w:val="20"/>
                <w:color w:val="auto"/>
              </w:rPr>
            </w:pPr>
            <w:r>
              <w:rPr>
                <w:rFonts w:ascii="Arial" w:cs="Arial" w:eastAsia="Arial" w:hAnsi="Arial"/>
                <w:sz w:val="17"/>
                <w:szCs w:val="17"/>
                <w:color w:val="auto"/>
              </w:rPr>
              <w:t>—</w:t>
            </w:r>
          </w:p>
        </w:tc>
        <w:tc>
          <w:tcPr>
            <w:tcW w:w="1460" w:type="dxa"/>
            <w:vAlign w:val="bottom"/>
            <w:gridSpan w:val="3"/>
            <w:shd w:val="clear" w:color="auto" w:fill="CCEEFF"/>
          </w:tcPr>
          <w:p>
            <w:pPr>
              <w:jc w:val="right"/>
              <w:ind w:right="10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r>
      <w:tr>
        <w:trPr>
          <w:trHeight w:val="221"/>
        </w:trPr>
        <w:tc>
          <w:tcPr>
            <w:tcW w:w="4960" w:type="dxa"/>
            <w:vAlign w:val="bottom"/>
            <w:gridSpan w:val="4"/>
          </w:tcPr>
          <w:p>
            <w:pPr>
              <w:ind w:left="20"/>
              <w:spacing w:after="0"/>
              <w:rPr>
                <w:sz w:val="20"/>
                <w:szCs w:val="20"/>
                <w:color w:val="auto"/>
              </w:rPr>
            </w:pPr>
            <w:r>
              <w:rPr>
                <w:rFonts w:ascii="Arial" w:cs="Arial" w:eastAsia="Arial" w:hAnsi="Arial"/>
                <w:sz w:val="17"/>
                <w:szCs w:val="17"/>
                <w:color w:val="auto"/>
              </w:rPr>
              <w:t>Other income, net</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2</w:t>
            </w:r>
          </w:p>
        </w:tc>
      </w:tr>
      <w:tr>
        <w:trPr>
          <w:trHeight w:val="214"/>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w:t>
            </w:r>
          </w:p>
        </w:tc>
      </w:tr>
      <w:tr>
        <w:trPr>
          <w:trHeight w:val="221"/>
        </w:trPr>
        <w:tc>
          <w:tcPr>
            <w:tcW w:w="4960" w:type="dxa"/>
            <w:vAlign w:val="bottom"/>
            <w:gridSpan w:val="4"/>
          </w:tcPr>
          <w:p>
            <w:pPr>
              <w:ind w:left="20"/>
              <w:spacing w:after="0"/>
              <w:rPr>
                <w:sz w:val="20"/>
                <w:szCs w:val="20"/>
                <w:color w:val="auto"/>
              </w:rPr>
            </w:pPr>
            <w:r>
              <w:rPr>
                <w:rFonts w:ascii="Arial" w:cs="Arial" w:eastAsia="Arial" w:hAnsi="Arial"/>
                <w:sz w:val="17"/>
                <w:szCs w:val="17"/>
                <w:color w:val="auto"/>
              </w:rPr>
              <w:t>Provision for income taxes</w:t>
            </w:r>
          </w:p>
        </w:tc>
        <w:tc>
          <w:tcPr>
            <w:tcW w:w="600" w:type="dxa"/>
            <w:vAlign w:val="bottom"/>
          </w:tcPr>
          <w:p>
            <w:pPr>
              <w:jc w:val="right"/>
              <w:ind w:right="9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60" w:type="dxa"/>
            <w:vAlign w:val="bottom"/>
            <w:gridSpan w:val="3"/>
          </w:tcPr>
          <w:p>
            <w:pPr>
              <w:jc w:val="right"/>
              <w:ind w:right="10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(1)</w:t>
            </w:r>
          </w:p>
        </w:tc>
      </w:tr>
      <w:tr>
        <w:trPr>
          <w:trHeight w:val="239"/>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6 %</w:t>
            </w:r>
          </w:p>
        </w:tc>
      </w:tr>
      <w:tr>
        <w:trPr>
          <w:trHeight w:val="20"/>
        </w:trPr>
        <w:tc>
          <w:tcPr>
            <w:tcW w:w="37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42"/>
        </w:trPr>
        <w:tc>
          <w:tcPr>
            <w:tcW w:w="4960" w:type="dxa"/>
            <w:vAlign w:val="bottom"/>
            <w:gridSpan w:val="4"/>
          </w:tcPr>
          <w:p>
            <w:pPr>
              <w:spacing w:after="0"/>
              <w:rPr>
                <w:sz w:val="20"/>
                <w:szCs w:val="20"/>
                <w:color w:val="auto"/>
              </w:rPr>
            </w:pPr>
            <w:r>
              <w:rPr>
                <w:rFonts w:ascii="Arial" w:cs="Arial" w:eastAsia="Arial" w:hAnsi="Arial"/>
                <w:sz w:val="20"/>
                <w:szCs w:val="20"/>
                <w:color w:val="auto"/>
                <w:w w:val="89"/>
                <w:vertAlign w:val="superscript"/>
              </w:rPr>
              <w:t>(1)</w:t>
            </w:r>
            <w:r>
              <w:rPr>
                <w:rFonts w:ascii="Arial" w:cs="Arial" w:eastAsia="Arial" w:hAnsi="Arial"/>
                <w:sz w:val="16"/>
                <w:szCs w:val="16"/>
                <w:color w:val="auto"/>
                <w:w w:val="89"/>
              </w:rPr>
              <w:t xml:space="preserve"> Includes stock-based compensation as a percentage of revenue as follows: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5"/>
        </w:trPr>
        <w:tc>
          <w:tcPr>
            <w:tcW w:w="1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4"/>
          </w:tcPr>
          <w:p>
            <w:pPr>
              <w:jc w:val="center"/>
              <w:ind w:left="573"/>
              <w:spacing w:after="0"/>
              <w:rPr>
                <w:sz w:val="20"/>
                <w:szCs w:val="20"/>
                <w:color w:val="auto"/>
              </w:rPr>
            </w:pPr>
            <w:r>
              <w:rPr>
                <w:rFonts w:ascii="Arial" w:cs="Arial" w:eastAsia="Arial" w:hAnsi="Arial"/>
                <w:sz w:val="17"/>
                <w:szCs w:val="17"/>
                <w:b w:val="1"/>
                <w:bCs w:val="1"/>
                <w:color w:val="auto"/>
                <w:w w:val="93"/>
              </w:rPr>
              <w:t>Three Months Ended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Six Months Ended</w:t>
            </w:r>
          </w:p>
        </w:tc>
        <w:tc>
          <w:tcPr>
            <w:tcW w:w="1120" w:type="dxa"/>
            <w:vAlign w:val="bottom"/>
          </w:tcPr>
          <w:p>
            <w:pPr>
              <w:spacing w:after="0"/>
              <w:rPr>
                <w:sz w:val="24"/>
                <w:szCs w:val="24"/>
                <w:color w:val="auto"/>
              </w:rPr>
            </w:pPr>
          </w:p>
        </w:tc>
      </w:tr>
      <w:tr>
        <w:trPr>
          <w:trHeight w:val="221"/>
        </w:trPr>
        <w:tc>
          <w:tcPr>
            <w:tcW w:w="13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right="433"/>
              <w:spacing w:after="0"/>
              <w:rPr>
                <w:sz w:val="20"/>
                <w:szCs w:val="20"/>
                <w:color w:val="auto"/>
              </w:rPr>
            </w:pPr>
            <w:r>
              <w:rPr>
                <w:rFonts w:ascii="Arial" w:cs="Arial" w:eastAsia="Arial" w:hAnsi="Arial"/>
                <w:sz w:val="17"/>
                <w:szCs w:val="17"/>
                <w:b w:val="1"/>
                <w:bCs w:val="1"/>
                <w:color w:val="auto"/>
                <w:w w:val="91"/>
              </w:rPr>
              <w:t>June 30,</w:t>
            </w: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June 30,</w:t>
            </w:r>
          </w:p>
        </w:tc>
        <w:tc>
          <w:tcPr>
            <w:tcW w:w="1120" w:type="dxa"/>
            <w:vAlign w:val="bottom"/>
            <w:tcBorders>
              <w:bottom w:val="single" w:sz="8" w:color="auto"/>
            </w:tcBorders>
          </w:tcPr>
          <w:p>
            <w:pPr>
              <w:spacing w:after="0"/>
              <w:rPr>
                <w:sz w:val="19"/>
                <w:szCs w:val="19"/>
                <w:color w:val="auto"/>
              </w:rPr>
            </w:pPr>
          </w:p>
        </w:tc>
      </w:tr>
      <w:tr>
        <w:trPr>
          <w:trHeight w:val="214"/>
        </w:trPr>
        <w:tc>
          <w:tcPr>
            <w:tcW w:w="3780" w:type="dxa"/>
            <w:vAlign w:val="bottom"/>
            <w:gridSpan w:val="3"/>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2020</w:t>
            </w:r>
          </w:p>
        </w:tc>
      </w:tr>
      <w:tr>
        <w:trPr>
          <w:trHeight w:val="253"/>
        </w:trPr>
        <w:tc>
          <w:tcPr>
            <w:tcW w:w="13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80" w:type="dxa"/>
            <w:vAlign w:val="bottom"/>
            <w:gridSpan w:val="3"/>
          </w:tcPr>
          <w:p>
            <w:pPr>
              <w:jc w:val="right"/>
              <w:ind w:right="373"/>
              <w:spacing w:after="0"/>
              <w:rPr>
                <w:sz w:val="20"/>
                <w:szCs w:val="20"/>
                <w:color w:val="auto"/>
              </w:rPr>
            </w:pPr>
            <w:r>
              <w:rPr>
                <w:rFonts w:ascii="Arial" w:cs="Arial" w:eastAsia="Arial" w:hAnsi="Arial"/>
                <w:sz w:val="17"/>
                <w:szCs w:val="17"/>
                <w:i w:val="1"/>
                <w:iCs w:val="1"/>
                <w:color w:val="auto"/>
                <w:w w:val="93"/>
              </w:rPr>
              <w:t>(As a % of revenue)</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1"/>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21"/>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Research and development</w:t>
            </w: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9</w:t>
            </w:r>
          </w:p>
        </w:tc>
      </w:tr>
      <w:tr>
        <w:trPr>
          <w:trHeight w:val="221"/>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w:t>
            </w:r>
          </w:p>
        </w:tc>
      </w:tr>
      <w:tr>
        <w:trPr>
          <w:trHeight w:val="221"/>
        </w:trPr>
        <w:tc>
          <w:tcPr>
            <w:tcW w:w="4960" w:type="dxa"/>
            <w:vAlign w:val="bottom"/>
            <w:gridSpan w:val="4"/>
          </w:tcPr>
          <w:p>
            <w:pPr>
              <w:ind w:left="340"/>
              <w:spacing w:after="0" w:line="22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1</w:t>
            </w:r>
          </w:p>
        </w:tc>
      </w:tr>
      <w:tr>
        <w:trPr>
          <w:trHeight w:val="239"/>
        </w:trPr>
        <w:tc>
          <w:tcPr>
            <w:tcW w:w="37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right="100" w:firstLine="4"/>
        <w:spacing w:after="0" w:line="288" w:lineRule="auto"/>
        <w:tabs>
          <w:tab w:leader="none" w:pos="144"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(Deficit)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Comparison of the three months ended June 30, 2021 and 2020</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Revenue</w:t>
      </w:r>
    </w:p>
    <w:p>
      <w:pPr>
        <w:spacing w:after="0" w:line="170" w:lineRule="exact"/>
        <w:rPr>
          <w:sz w:val="20"/>
          <w:szCs w:val="20"/>
          <w:color w:val="auto"/>
        </w:rPr>
      </w:pPr>
    </w:p>
    <w:p>
      <w:pPr>
        <w:jc w:val="center"/>
        <w:ind w:left="1880"/>
        <w:spacing w:after="0"/>
        <w:rPr>
          <w:sz w:val="20"/>
          <w:szCs w:val="20"/>
          <w:color w:val="auto"/>
        </w:rPr>
      </w:pPr>
      <w:r>
        <w:rPr>
          <w:rFonts w:ascii="Arial" w:cs="Arial" w:eastAsia="Arial" w:hAnsi="Arial"/>
          <w:sz w:val="17"/>
          <w:szCs w:val="17"/>
          <w:b w:val="1"/>
          <w:bCs w:val="1"/>
          <w:color w:val="auto"/>
        </w:rPr>
        <w:t>Three Months Ended</w:t>
      </w:r>
    </w:p>
    <w:p>
      <w:pPr>
        <w:jc w:val="center"/>
        <w:ind w:left="1880"/>
        <w:spacing w:after="0"/>
        <w:rPr>
          <w:sz w:val="20"/>
          <w:szCs w:val="20"/>
          <w:color w:val="auto"/>
        </w:rPr>
      </w:pPr>
      <w:r>
        <w:rPr>
          <w:rFonts w:ascii="Arial" w:cs="Arial" w:eastAsia="Arial" w:hAnsi="Arial"/>
          <w:sz w:val="17"/>
          <w:szCs w:val="17"/>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5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i w:val="1"/>
                <w:iCs w:val="1"/>
                <w:color w:val="auto"/>
              </w:rPr>
              <w:t>(In millions)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13.5 %</w:t>
            </w:r>
          </w:p>
        </w:tc>
      </w:tr>
    </w:tbl>
    <w:p>
      <w:pPr>
        <w:spacing w:after="0" w:line="313" w:lineRule="exact"/>
        <w:rPr>
          <w:sz w:val="20"/>
          <w:szCs w:val="20"/>
          <w:color w:val="auto"/>
        </w:rPr>
      </w:pPr>
    </w:p>
    <w:p>
      <w:pPr>
        <w:ind w:right="520" w:firstLine="391"/>
        <w:spacing w:after="0" w:line="357" w:lineRule="auto"/>
        <w:rPr>
          <w:sz w:val="20"/>
          <w:szCs w:val="20"/>
          <w:color w:val="auto"/>
        </w:rPr>
      </w:pPr>
      <w:r>
        <w:rPr>
          <w:rFonts w:ascii="Arial" w:cs="Arial" w:eastAsia="Arial" w:hAnsi="Arial"/>
          <w:sz w:val="15"/>
          <w:szCs w:val="15"/>
          <w:color w:val="auto"/>
        </w:rPr>
        <w:t>Revenue increased $63.2 million or 13.5% during the three months ended June 30, 2021, as compared to the three months ended June 30, 2020. The increase in revenue was driven primarily by an increase in paying users and an increased mix of sales towards our higher-priced subscription plans.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20" w:type="dxa"/>
            <w:vAlign w:val="bottom"/>
          </w:tcPr>
          <w:p>
            <w:pPr>
              <w:ind w:left="40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93"/>
              </w:rPr>
              <w:t>Three Months Ended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49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7"/>
                <w:szCs w:val="17"/>
                <w:b w:val="1"/>
                <w:bCs w:val="1"/>
                <w:color w:val="auto"/>
                <w:w w:val="91"/>
              </w:rPr>
              <w:t>June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4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4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gridSpan w:val="3"/>
          </w:tcPr>
          <w:p>
            <w:pPr>
              <w:jc w:val="center"/>
              <w:ind w:left="613"/>
              <w:spacing w:after="0"/>
              <w:rPr>
                <w:sz w:val="20"/>
                <w:szCs w:val="20"/>
                <w:color w:val="auto"/>
              </w:rPr>
            </w:pPr>
            <w:r>
              <w:rPr>
                <w:rFonts w:ascii="Arial" w:cs="Arial" w:eastAsia="Arial" w:hAnsi="Arial"/>
                <w:sz w:val="17"/>
                <w:szCs w:val="17"/>
                <w:i w:val="1"/>
                <w:iCs w:val="1"/>
                <w:color w:val="auto"/>
                <w:w w:val="98"/>
              </w:rPr>
              <w:t>(In millions)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4.5 %</w:t>
            </w:r>
          </w:p>
        </w:tc>
      </w:tr>
      <w:tr>
        <w:trPr>
          <w:trHeight w:val="221"/>
        </w:trPr>
        <w:tc>
          <w:tcPr>
            <w:tcW w:w="492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7"/>
                <w:szCs w:val="17"/>
                <w:color w:val="auto"/>
              </w:rPr>
              <w:t>423.5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364.9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16.1 %</w:t>
            </w:r>
          </w:p>
        </w:tc>
      </w:tr>
      <w:tr>
        <w:trPr>
          <w:trHeight w:val="221"/>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00" w:lineRule="exact"/>
        <w:rPr>
          <w:sz w:val="20"/>
          <w:szCs w:val="20"/>
          <w:color w:val="auto"/>
        </w:rPr>
      </w:pPr>
    </w:p>
    <w:p>
      <w:pPr>
        <w:ind w:right="520" w:firstLine="391"/>
        <w:spacing w:after="0" w:line="271" w:lineRule="auto"/>
        <w:rPr>
          <w:sz w:val="20"/>
          <w:szCs w:val="20"/>
          <w:color w:val="auto"/>
        </w:rPr>
      </w:pPr>
      <w:r>
        <w:rPr>
          <w:rFonts w:ascii="Arial" w:cs="Arial" w:eastAsia="Arial" w:hAnsi="Arial"/>
          <w:sz w:val="17"/>
          <w:szCs w:val="17"/>
          <w:color w:val="auto"/>
        </w:rPr>
        <w:t>Cost of revenue increased $4.6 million or 4.5% during the three months ended June 30, 2021, as compared to the three months ended June 30, 2020, primarily due to increases of $2.5 million in credit card transaction fees due to higher sales, $1.0 million in employee-related costs, and $0.9 million in infrastructure costs due to an increase in depreciation expense.</w:t>
      </w:r>
    </w:p>
    <w:p>
      <w:pPr>
        <w:spacing w:after="0" w:line="106" w:lineRule="exact"/>
        <w:rPr>
          <w:sz w:val="20"/>
          <w:szCs w:val="20"/>
          <w:color w:val="auto"/>
        </w:rPr>
      </w:pPr>
    </w:p>
    <w:p>
      <w:pPr>
        <w:ind w:right="360" w:firstLine="391"/>
        <w:spacing w:after="0" w:line="286" w:lineRule="auto"/>
        <w:rPr>
          <w:sz w:val="20"/>
          <w:szCs w:val="20"/>
          <w:color w:val="auto"/>
        </w:rPr>
      </w:pPr>
      <w:r>
        <w:rPr>
          <w:rFonts w:ascii="Arial" w:cs="Arial" w:eastAsia="Arial" w:hAnsi="Arial"/>
          <w:sz w:val="17"/>
          <w:szCs w:val="17"/>
          <w:color w:val="auto"/>
        </w:rPr>
        <w:t>Our gross margin increased during the three months ended June 30, 2021 compared to the three months ended June 30, 2020, primarily due to a 13.5% increase in revenue during the period, which was offset by a lower percentage increase in our cost of revenue described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Research and development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7"/>
                <w:szCs w:val="17"/>
                <w:b w:val="1"/>
                <w:bCs w:val="1"/>
                <w:color w:val="auto"/>
                <w:w w:val="93"/>
              </w:rPr>
              <w:t>Three Months Ended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5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3"/>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bl>
    <w:p>
      <w:pPr>
        <w:spacing w:after="0" w:line="300" w:lineRule="exact"/>
        <w:rPr>
          <w:sz w:val="20"/>
          <w:szCs w:val="20"/>
          <w:color w:val="auto"/>
        </w:rPr>
      </w:pPr>
    </w:p>
    <w:p>
      <w:pPr>
        <w:ind w:right="100" w:firstLine="391"/>
        <w:spacing w:after="0" w:line="295" w:lineRule="auto"/>
        <w:rPr>
          <w:sz w:val="20"/>
          <w:szCs w:val="20"/>
          <w:color w:val="auto"/>
        </w:rPr>
      </w:pPr>
      <w:r>
        <w:rPr>
          <w:rFonts w:ascii="Arial" w:cs="Arial" w:eastAsia="Arial" w:hAnsi="Arial"/>
          <w:sz w:val="16"/>
          <w:szCs w:val="16"/>
          <w:color w:val="auto"/>
        </w:rPr>
        <w:t>Research and development expenses decreased $0.3 million or 0.2% during the three months ended June 30, 2021, as compared to the three months ended June 30, 2020, primarily due to a decrease of $5.5 million in allocated overhead, which includes facilities-related costs for our corporate headquarters. This decrease was offset by increases of $4.7 million in employee-related costs and $1.1 million in software license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5100" w:type="dxa"/>
            <w:vAlign w:val="bottom"/>
            <w:gridSpan w:val="2"/>
          </w:tcPr>
          <w:p>
            <w:pPr>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Table of Contents</w:t>
              </w:r>
            </w:hyperlink>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761"/>
        </w:trPr>
        <w:tc>
          <w:tcPr>
            <w:tcW w:w="5100" w:type="dxa"/>
            <w:vAlign w:val="bottom"/>
            <w:gridSpan w:val="2"/>
          </w:tcPr>
          <w:p>
            <w:pPr>
              <w:ind w:left="400"/>
              <w:spacing w:after="0"/>
              <w:rPr>
                <w:sz w:val="20"/>
                <w:szCs w:val="20"/>
                <w:color w:val="auto"/>
              </w:rPr>
            </w:pPr>
            <w:r>
              <w:rPr>
                <w:rFonts w:ascii="Arial" w:cs="Arial" w:eastAsia="Arial" w:hAnsi="Arial"/>
                <w:sz w:val="17"/>
                <w:szCs w:val="17"/>
                <w:i w:val="1"/>
                <w:iCs w:val="1"/>
                <w:color w:val="auto"/>
              </w:rPr>
              <w:t>Sales and marketing</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7"/>
        </w:trPr>
        <w:tc>
          <w:tcPr>
            <w:tcW w:w="1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7"/>
                <w:szCs w:val="17"/>
                <w:b w:val="1"/>
                <w:bCs w:val="1"/>
                <w:color w:val="auto"/>
                <w:w w:val="93"/>
              </w:rPr>
              <w:t>Three Months Ended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13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1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13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3"/>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bl>
    <w:p>
      <w:pPr>
        <w:spacing w:after="0" w:line="300" w:lineRule="exact"/>
        <w:rPr>
          <w:sz w:val="20"/>
          <w:szCs w:val="20"/>
          <w:color w:val="auto"/>
        </w:rPr>
      </w:pPr>
    </w:p>
    <w:p>
      <w:pPr>
        <w:ind w:right="60" w:firstLine="391"/>
        <w:spacing w:after="0" w:line="262" w:lineRule="auto"/>
        <w:rPr>
          <w:sz w:val="20"/>
          <w:szCs w:val="20"/>
          <w:color w:val="auto"/>
        </w:rPr>
      </w:pPr>
      <w:r>
        <w:rPr>
          <w:rFonts w:ascii="Arial" w:cs="Arial" w:eastAsia="Arial" w:hAnsi="Arial"/>
          <w:sz w:val="17"/>
          <w:szCs w:val="17"/>
          <w:color w:val="auto"/>
        </w:rPr>
        <w:t>Sales and marketing expenses decreased $2.0 million or 1.9% during the three months ended June 30, 2021, as compared to the three months ended June 30, 2020, primarily due to decreases of $6.9 million in allocated overhead, which includes facilities-related costs for our corporate headquarters and $6.8 million in employee-related costs driven by a reduction in headcount including the impact of our reduction in force during the three months ended March 31, 2021. These decreases were offset by increases of $8.5 million related to brand and other marketing related expenses and professional services, $2.5 million in app store fees due to increased sales, and $0.5 million in amortization of intangible assets as a result of our acquisition of DocSend during the three months ended March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General and administrative</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80" w:type="dxa"/>
            <w:vAlign w:val="bottom"/>
            <w:gridSpan w:val="4"/>
          </w:tcPr>
          <w:p>
            <w:pPr>
              <w:jc w:val="center"/>
              <w:ind w:left="373"/>
              <w:spacing w:after="0"/>
              <w:rPr>
                <w:sz w:val="20"/>
                <w:szCs w:val="20"/>
                <w:color w:val="auto"/>
              </w:rPr>
            </w:pPr>
            <w:r>
              <w:rPr>
                <w:rFonts w:ascii="Arial" w:cs="Arial" w:eastAsia="Arial" w:hAnsi="Arial"/>
                <w:sz w:val="17"/>
                <w:szCs w:val="17"/>
                <w:b w:val="1"/>
                <w:bCs w:val="1"/>
                <w:color w:val="auto"/>
                <w:w w:val="93"/>
              </w:rPr>
              <w:t>Three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5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413"/>
              <w:spacing w:after="0"/>
              <w:rPr>
                <w:sz w:val="20"/>
                <w:szCs w:val="20"/>
                <w:color w:val="auto"/>
              </w:rPr>
            </w:pPr>
            <w:r>
              <w:rPr>
                <w:rFonts w:ascii="Arial" w:cs="Arial" w:eastAsia="Arial" w:hAnsi="Arial"/>
                <w:sz w:val="17"/>
                <w:szCs w:val="17"/>
                <w:b w:val="1"/>
                <w:bCs w:val="1"/>
                <w:color w:val="auto"/>
                <w:w w:val="91"/>
              </w:rPr>
              <w:t>June 30,</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5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5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20" w:type="dxa"/>
            <w:vAlign w:val="bottom"/>
            <w:gridSpan w:val="3"/>
          </w:tcPr>
          <w:p>
            <w:pPr>
              <w:jc w:val="center"/>
              <w:ind w:right="413"/>
              <w:spacing w:after="0"/>
              <w:rPr>
                <w:sz w:val="20"/>
                <w:szCs w:val="20"/>
                <w:color w:val="auto"/>
              </w:rPr>
            </w:pPr>
            <w:r>
              <w:rPr>
                <w:rFonts w:ascii="Arial" w:cs="Arial" w:eastAsia="Arial" w:hAnsi="Arial"/>
                <w:sz w:val="17"/>
                <w:szCs w:val="17"/>
                <w:i w:val="1"/>
                <w:iCs w:val="1"/>
                <w:color w:val="auto"/>
                <w:w w:val="98"/>
              </w:rPr>
              <w:t>(In millions)</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r>
    </w:tbl>
    <w:p>
      <w:pPr>
        <w:spacing w:after="0" w:line="200" w:lineRule="exact"/>
        <w:rPr>
          <w:sz w:val="20"/>
          <w:szCs w:val="20"/>
          <w:color w:val="auto"/>
        </w:rPr>
      </w:pPr>
    </w:p>
    <w:p>
      <w:pPr>
        <w:spacing w:after="0" w:line="243"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General and administrative expenses decreased $10.7 million or 16.9% during the three months ended June 30, 2021, as compared to the three months ended June 30, 2020, primarily due to decreases of $3.9 million in allocated overhead, which includes facilities-related costs for our corporate headquarters, $3.0 million in non-income based taxes, and $3.0 million in employee-related costs due to a reduction in headcount including the impact of our reduction in force during the three months ended March 31, 2021.</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Impairment related to real estate assets</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There was no impairment related to real estate assets during the three months ended June 30, 2021.</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income (expense), net</w:t>
      </w:r>
    </w:p>
    <w:p>
      <w:pPr>
        <w:spacing w:after="0" w:line="247" w:lineRule="exact"/>
        <w:rPr>
          <w:sz w:val="20"/>
          <w:szCs w:val="20"/>
          <w:color w:val="auto"/>
        </w:rPr>
      </w:pPr>
    </w:p>
    <w:p>
      <w:pPr>
        <w:ind w:right="100" w:firstLine="391"/>
        <w:spacing w:after="0" w:line="266" w:lineRule="auto"/>
        <w:rPr>
          <w:sz w:val="20"/>
          <w:szCs w:val="20"/>
          <w:color w:val="auto"/>
        </w:rPr>
      </w:pPr>
      <w:r>
        <w:rPr>
          <w:rFonts w:ascii="Arial" w:cs="Arial" w:eastAsia="Arial" w:hAnsi="Arial"/>
          <w:sz w:val="17"/>
          <w:szCs w:val="17"/>
          <w:color w:val="auto"/>
        </w:rPr>
        <w:t>Interest income (expense), net decreased $1.0 million during the three months ended June 30, 2021, as compared to the three months ended June 30, 2020, primarily due to a decrease in interest income from our money market funds and short-term investments as a result of government-initiated interest rate reductions in response to the COVID-19 pandemic and an increase in interest expense due to the amortization of debt issuance costs incurred as part of our convertible debt offering during the three months ended March 31, 2021.</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Other income, net</w:t>
      </w:r>
    </w:p>
    <w:p>
      <w:pPr>
        <w:spacing w:after="0" w:line="247" w:lineRule="exact"/>
        <w:rPr>
          <w:sz w:val="20"/>
          <w:szCs w:val="20"/>
          <w:color w:val="auto"/>
        </w:rPr>
      </w:pPr>
    </w:p>
    <w:p>
      <w:pPr>
        <w:ind w:right="240" w:firstLine="391"/>
        <w:spacing w:after="0" w:line="271" w:lineRule="auto"/>
        <w:rPr>
          <w:sz w:val="20"/>
          <w:szCs w:val="20"/>
          <w:color w:val="auto"/>
        </w:rPr>
      </w:pPr>
      <w:r>
        <w:rPr>
          <w:rFonts w:ascii="Arial" w:cs="Arial" w:eastAsia="Arial" w:hAnsi="Arial"/>
          <w:sz w:val="17"/>
          <w:szCs w:val="17"/>
          <w:color w:val="auto"/>
        </w:rPr>
        <w:t>Other income, net decreased $1.5 million during the three months ended June 30, 2021, as compared to the three months ended June 30, 2020, primarily due to decreases of $6.5 million in gains related to an equity investment during the three months ended June 30, 2020 and $0.7 million in foreign currency transaction gains. These decreases were offset by $5.9 million in gains related to the disposal of infrastructure assets.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Provision for income taxes</w:t>
      </w:r>
    </w:p>
    <w:p>
      <w:pPr>
        <w:spacing w:after="0" w:line="247" w:lineRule="exact"/>
        <w:rPr>
          <w:sz w:val="20"/>
          <w:szCs w:val="20"/>
          <w:color w:val="auto"/>
        </w:rPr>
      </w:pPr>
    </w:p>
    <w:p>
      <w:pPr>
        <w:ind w:right="320" w:firstLine="391"/>
        <w:spacing w:after="0" w:line="286" w:lineRule="auto"/>
        <w:rPr>
          <w:sz w:val="20"/>
          <w:szCs w:val="20"/>
          <w:color w:val="auto"/>
        </w:rPr>
      </w:pPr>
      <w:r>
        <w:rPr>
          <w:rFonts w:ascii="Arial" w:cs="Arial" w:eastAsia="Arial" w:hAnsi="Arial"/>
          <w:sz w:val="17"/>
          <w:szCs w:val="17"/>
          <w:color w:val="auto"/>
        </w:rPr>
        <w:t>Provision for income taxes decreased $1.4 million during the three months ended June 30, 2021, as compared to the three months ended June 30, 2020, primarily due to a decrease in state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5100" w:type="dxa"/>
            <w:vAlign w:val="bottom"/>
            <w:gridSpan w:val="2"/>
          </w:tcPr>
          <w:p>
            <w:pPr>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Table of Contents</w:t>
              </w:r>
            </w:hyperlink>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761"/>
        </w:trPr>
        <w:tc>
          <w:tcPr>
            <w:tcW w:w="5100" w:type="dxa"/>
            <w:vAlign w:val="bottom"/>
            <w:gridSpan w:val="2"/>
          </w:tcPr>
          <w:p>
            <w:pPr>
              <w:ind w:left="400"/>
              <w:spacing w:after="0"/>
              <w:rPr>
                <w:sz w:val="20"/>
                <w:szCs w:val="20"/>
                <w:color w:val="auto"/>
              </w:rPr>
            </w:pPr>
            <w:r>
              <w:rPr>
                <w:rFonts w:ascii="Arial" w:cs="Arial" w:eastAsia="Arial" w:hAnsi="Arial"/>
                <w:sz w:val="17"/>
                <w:szCs w:val="17"/>
                <w:b w:val="1"/>
                <w:bCs w:val="1"/>
                <w:i w:val="1"/>
                <w:iCs w:val="1"/>
                <w:color w:val="auto"/>
                <w:w w:val="95"/>
              </w:rPr>
              <w:t>Comparison of the six months ended June 30, 2021 and 2020</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3"/>
        </w:trPr>
        <w:tc>
          <w:tcPr>
            <w:tcW w:w="5100" w:type="dxa"/>
            <w:vAlign w:val="bottom"/>
            <w:gridSpan w:val="2"/>
          </w:tcPr>
          <w:p>
            <w:pPr>
              <w:ind w:left="400"/>
              <w:spacing w:after="0"/>
              <w:rPr>
                <w:sz w:val="20"/>
                <w:szCs w:val="20"/>
                <w:color w:val="auto"/>
              </w:rPr>
            </w:pPr>
            <w:r>
              <w:rPr>
                <w:rFonts w:ascii="Arial" w:cs="Arial" w:eastAsia="Arial" w:hAnsi="Arial"/>
                <w:sz w:val="17"/>
                <w:szCs w:val="17"/>
                <w:i w:val="1"/>
                <w:iCs w:val="1"/>
                <w:color w:val="auto"/>
              </w:rPr>
              <w:t>Revenue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9"/>
        </w:trPr>
        <w:tc>
          <w:tcPr>
            <w:tcW w:w="1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7"/>
                <w:szCs w:val="17"/>
                <w:b w:val="1"/>
                <w:bCs w:val="1"/>
                <w:color w:val="auto"/>
                <w:w w:val="92"/>
              </w:rPr>
              <w:t>Six Months Ended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13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1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13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3"/>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13.0 %</w:t>
            </w:r>
          </w:p>
        </w:tc>
      </w:tr>
    </w:tbl>
    <w:p>
      <w:pPr>
        <w:spacing w:after="0" w:line="300" w:lineRule="exact"/>
        <w:rPr>
          <w:sz w:val="20"/>
          <w:szCs w:val="20"/>
          <w:color w:val="auto"/>
        </w:rPr>
      </w:pPr>
    </w:p>
    <w:p>
      <w:pPr>
        <w:ind w:right="120" w:firstLine="391"/>
        <w:spacing w:after="0" w:line="319" w:lineRule="auto"/>
        <w:rPr>
          <w:sz w:val="20"/>
          <w:szCs w:val="20"/>
          <w:color w:val="auto"/>
        </w:rPr>
      </w:pPr>
      <w:r>
        <w:rPr>
          <w:rFonts w:ascii="Arial" w:cs="Arial" w:eastAsia="Arial" w:hAnsi="Arial"/>
          <w:sz w:val="16"/>
          <w:szCs w:val="16"/>
          <w:color w:val="auto"/>
        </w:rPr>
        <w:t>Revenue increased $119.8 million or 13.0% during the six months ended June 30, 2021, as compared to the six months ended June 30, 2020. The increase in revenue was driven primarily by an increase in paying users and an increased mix of sales towards our higher-priced subscription plans.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20" w:type="dxa"/>
            <w:vAlign w:val="bottom"/>
          </w:tcPr>
          <w:p>
            <w:pPr>
              <w:ind w:left="40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93"/>
              </w:rPr>
              <w:t>Six Months Ended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49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7"/>
                <w:szCs w:val="17"/>
                <w:b w:val="1"/>
                <w:bCs w:val="1"/>
                <w:color w:val="auto"/>
                <w:w w:val="91"/>
              </w:rPr>
              <w:t>June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4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4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gridSpan w:val="3"/>
          </w:tcPr>
          <w:p>
            <w:pPr>
              <w:jc w:val="center"/>
              <w:ind w:left="613"/>
              <w:spacing w:after="0"/>
              <w:rPr>
                <w:sz w:val="20"/>
                <w:szCs w:val="20"/>
                <w:color w:val="auto"/>
              </w:rPr>
            </w:pPr>
            <w:r>
              <w:rPr>
                <w:rFonts w:ascii="Arial" w:cs="Arial" w:eastAsia="Arial" w:hAnsi="Arial"/>
                <w:sz w:val="17"/>
                <w:szCs w:val="17"/>
                <w:i w:val="1"/>
                <w:iCs w:val="1"/>
                <w:color w:val="auto"/>
                <w:w w:val="98"/>
              </w:rPr>
              <w:t>(In millions)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216.4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205.6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5.3 %</w:t>
            </w:r>
          </w:p>
        </w:tc>
      </w:tr>
      <w:tr>
        <w:trPr>
          <w:trHeight w:val="221"/>
        </w:trPr>
        <w:tc>
          <w:tcPr>
            <w:tcW w:w="492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7"/>
                <w:szCs w:val="17"/>
                <w:color w:val="auto"/>
              </w:rPr>
              <w:t>825.8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716.8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109.0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15.2 %</w:t>
            </w:r>
          </w:p>
        </w:tc>
      </w:tr>
      <w:tr>
        <w:trPr>
          <w:trHeight w:val="221"/>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13"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Cost of revenue increased $10.8 million or 5.3% during the six months ended June 30, 2021, as compared to the six months ended June 30, 2020, primarily due to increases of $5.1 million in employee-related costs including the impact of our reduction in force during the three months ended March 31, 2021, $3.9 million in credit card transaction fees due to higher sales, and $2.9 million in infrastructure costs. These increases were offset by a decrease of $2.3 million in allocated overhead, which includes facilities-related costs for our corporate headquarters.</w:t>
      </w:r>
    </w:p>
    <w:p>
      <w:pPr>
        <w:spacing w:after="0" w:line="201" w:lineRule="exact"/>
        <w:rPr>
          <w:sz w:val="20"/>
          <w:szCs w:val="20"/>
          <w:color w:val="auto"/>
        </w:rPr>
      </w:pPr>
    </w:p>
    <w:p>
      <w:pPr>
        <w:ind w:right="20" w:firstLine="391"/>
        <w:spacing w:after="0" w:line="286" w:lineRule="auto"/>
        <w:rPr>
          <w:sz w:val="20"/>
          <w:szCs w:val="20"/>
          <w:color w:val="auto"/>
        </w:rPr>
      </w:pPr>
      <w:r>
        <w:rPr>
          <w:rFonts w:ascii="Arial" w:cs="Arial" w:eastAsia="Arial" w:hAnsi="Arial"/>
          <w:sz w:val="17"/>
          <w:szCs w:val="17"/>
          <w:color w:val="auto"/>
        </w:rPr>
        <w:t>Our gross margin increased during the six months ended June 30, 2021 compared to the six months ended June 30, 2020, primarily due to a 13.0% increase in revenue during the period, which was offset by a lower percentage increase in our cost of revenue described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Research and development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4"/>
        </w:trPr>
        <w:tc>
          <w:tcPr>
            <w:tcW w:w="5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7"/>
                <w:szCs w:val="17"/>
                <w:b w:val="1"/>
                <w:bCs w:val="1"/>
                <w:color w:val="auto"/>
                <w:w w:val="93"/>
              </w:rPr>
              <w:t>Six Months Ended</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1"/>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5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3"/>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bl>
    <w:p>
      <w:pPr>
        <w:spacing w:after="0" w:line="313"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Research and development expenses decreased $0.9 million or 0.2% during the six months ended June 30, 2021, as compared to the six months ended June 30, 2020, primarily due to a decrease of $13.5 million in allocated overhead, which includes facilities-related costs for our corporate headquarters. This decrease was offset by an increase of $12.5 million in employee-related costs including the impact of our reduction in force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5"/>
        </w:trPr>
        <w:tc>
          <w:tcPr>
            <w:tcW w:w="5100" w:type="dxa"/>
            <w:vAlign w:val="bottom"/>
            <w:gridSpan w:val="2"/>
          </w:tcPr>
          <w:p>
            <w:pPr>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Table of Contents</w:t>
              </w:r>
            </w:hyperlink>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761"/>
        </w:trPr>
        <w:tc>
          <w:tcPr>
            <w:tcW w:w="5100" w:type="dxa"/>
            <w:vAlign w:val="bottom"/>
            <w:gridSpan w:val="2"/>
          </w:tcPr>
          <w:p>
            <w:pPr>
              <w:ind w:left="400"/>
              <w:spacing w:after="0"/>
              <w:rPr>
                <w:sz w:val="20"/>
                <w:szCs w:val="20"/>
                <w:color w:val="auto"/>
              </w:rPr>
            </w:pPr>
            <w:r>
              <w:rPr>
                <w:rFonts w:ascii="Arial" w:cs="Arial" w:eastAsia="Arial" w:hAnsi="Arial"/>
                <w:sz w:val="17"/>
                <w:szCs w:val="17"/>
                <w:i w:val="1"/>
                <w:iCs w:val="1"/>
                <w:color w:val="auto"/>
              </w:rPr>
              <w:t>Sales and marketing</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7"/>
        </w:trPr>
        <w:tc>
          <w:tcPr>
            <w:tcW w:w="1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7"/>
                <w:szCs w:val="17"/>
                <w:b w:val="1"/>
                <w:bCs w:val="1"/>
                <w:color w:val="auto"/>
                <w:w w:val="93"/>
              </w:rPr>
              <w:t>Six Months Ended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13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1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13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3"/>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bl>
    <w:p>
      <w:pPr>
        <w:spacing w:after="0" w:line="300" w:lineRule="exact"/>
        <w:rPr>
          <w:sz w:val="20"/>
          <w:szCs w:val="20"/>
          <w:color w:val="auto"/>
        </w:rPr>
      </w:pPr>
    </w:p>
    <w:p>
      <w:pPr>
        <w:ind w:firstLine="391"/>
        <w:spacing w:after="0" w:line="283" w:lineRule="auto"/>
        <w:rPr>
          <w:sz w:val="20"/>
          <w:szCs w:val="20"/>
          <w:color w:val="auto"/>
        </w:rPr>
      </w:pPr>
      <w:r>
        <w:rPr>
          <w:rFonts w:ascii="Arial" w:cs="Arial" w:eastAsia="Arial" w:hAnsi="Arial"/>
          <w:sz w:val="16"/>
          <w:szCs w:val="16"/>
          <w:color w:val="auto"/>
        </w:rPr>
        <w:t>Sales and marketing expenses decreased $3.6 million or 1.7% during the six months ended June 30, 2021, as compared to the six months ended June 30, 2020, primarily due to decreases of $15.5 million in allocated overhead, which includes facilities-related costs for our corporate headquarters and $2.2 million in employee-related costs driven by a reduction in headcount including the impact of our reduction in force during the three months ended March 31, 2021. These decreases were offset by increases of $9.8 million related to brand and other marketing related expenses, $3.9 million in app store fees due to increased sales, and $0.6 million in amortization of intangible assets due to our acquisition of DocSend.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General and administrative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7"/>
                <w:szCs w:val="17"/>
                <w:b w:val="1"/>
                <w:bCs w:val="1"/>
                <w:color w:val="auto"/>
                <w:w w:val="93"/>
              </w:rPr>
              <w:t>Six Months Ended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5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3"/>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8.7 %</w:t>
            </w:r>
          </w:p>
        </w:tc>
      </w:tr>
    </w:tbl>
    <w:p>
      <w:pPr>
        <w:spacing w:after="0" w:line="200" w:lineRule="exact"/>
        <w:rPr>
          <w:sz w:val="20"/>
          <w:szCs w:val="20"/>
          <w:color w:val="auto"/>
        </w:rPr>
      </w:pPr>
    </w:p>
    <w:p>
      <w:pPr>
        <w:spacing w:after="0" w:line="243" w:lineRule="exact"/>
        <w:rPr>
          <w:sz w:val="20"/>
          <w:szCs w:val="20"/>
          <w:color w:val="auto"/>
        </w:rPr>
      </w:pPr>
    </w:p>
    <w:p>
      <w:pPr>
        <w:ind w:right="60" w:firstLine="391"/>
        <w:spacing w:after="0" w:line="263" w:lineRule="auto"/>
        <w:rPr>
          <w:sz w:val="20"/>
          <w:szCs w:val="20"/>
          <w:color w:val="auto"/>
        </w:rPr>
      </w:pPr>
      <w:r>
        <w:rPr>
          <w:rFonts w:ascii="Arial" w:cs="Arial" w:eastAsia="Arial" w:hAnsi="Arial"/>
          <w:sz w:val="17"/>
          <w:szCs w:val="17"/>
          <w:color w:val="auto"/>
        </w:rPr>
        <w:t>General and administrative expenses increased $8.9 million or 8.7% during the six months ended June 30, 2021, as compared to the six months ended June 30, 2020, primarily due to increases of $18.0 million due to employee-related costs, including $16.4 million in stock-based compensation driven by the resignation of one of the co-founders and the forfeiture of his Co-Founder Grant during the three months ended March 31, 2020, and $1.8 million in legal fees, insurance premiums, and acquisition expenses. These increases were offset by decreases of $8.8 million in allocated overhead, which includes facilities-related costs for our corporate headquarters and $2.5 million in non-income based taxes.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Impairment related to real estate assets</w:t>
      </w:r>
    </w:p>
    <w:p>
      <w:pPr>
        <w:spacing w:after="0" w:line="247" w:lineRule="exact"/>
        <w:rPr>
          <w:sz w:val="20"/>
          <w:szCs w:val="20"/>
          <w:color w:val="auto"/>
        </w:rPr>
      </w:pPr>
    </w:p>
    <w:p>
      <w:pPr>
        <w:ind w:right="540" w:firstLine="391"/>
        <w:spacing w:after="0" w:line="286" w:lineRule="auto"/>
        <w:rPr>
          <w:sz w:val="20"/>
          <w:szCs w:val="20"/>
          <w:color w:val="auto"/>
        </w:rPr>
      </w:pPr>
      <w:r>
        <w:rPr>
          <w:rFonts w:ascii="Arial" w:cs="Arial" w:eastAsia="Arial" w:hAnsi="Arial"/>
          <w:sz w:val="17"/>
          <w:szCs w:val="17"/>
          <w:color w:val="auto"/>
        </w:rPr>
        <w:t>Impairment related to real estate assets was $17.3 million during the six months ended June 30, 2021, due to an impairment charge as a result of our continued adoption of our Virtual First strategy, including the acquisition of DocSend.</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income (expense), net</w:t>
      </w:r>
    </w:p>
    <w:p>
      <w:pPr>
        <w:spacing w:after="0" w:line="247" w:lineRule="exact"/>
        <w:rPr>
          <w:sz w:val="20"/>
          <w:szCs w:val="20"/>
          <w:color w:val="auto"/>
        </w:rPr>
      </w:pPr>
    </w:p>
    <w:p>
      <w:pPr>
        <w:ind w:right="380" w:firstLine="391"/>
        <w:spacing w:after="0" w:line="266" w:lineRule="auto"/>
        <w:rPr>
          <w:sz w:val="20"/>
          <w:szCs w:val="20"/>
          <w:color w:val="auto"/>
        </w:rPr>
      </w:pPr>
      <w:r>
        <w:rPr>
          <w:rFonts w:ascii="Arial" w:cs="Arial" w:eastAsia="Arial" w:hAnsi="Arial"/>
          <w:sz w:val="17"/>
          <w:szCs w:val="17"/>
          <w:color w:val="auto"/>
        </w:rPr>
        <w:t>Interest income (expense), net decreased $4.6 million during the six months ended June 30, 2021, as compared to the six months ended June 30, 2020, primarily due to a decrease in interest income from our money market funds and short-term investments as a result of government-initiated interest rate reductions in response to the COVID-19 pandemic and an increase in interest expense due to the amortization of debt issuance costs incurred as part of our convertible debt offering during the three months ended March 31, 2021.</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Other income, net</w:t>
      </w:r>
    </w:p>
    <w:p>
      <w:pPr>
        <w:spacing w:after="0" w:line="247" w:lineRule="exact"/>
        <w:rPr>
          <w:sz w:val="20"/>
          <w:szCs w:val="20"/>
          <w:color w:val="auto"/>
        </w:rPr>
      </w:pPr>
    </w:p>
    <w:p>
      <w:pPr>
        <w:ind w:right="60" w:firstLine="391"/>
        <w:spacing w:after="0" w:line="271" w:lineRule="auto"/>
        <w:rPr>
          <w:sz w:val="20"/>
          <w:szCs w:val="20"/>
          <w:color w:val="auto"/>
        </w:rPr>
      </w:pPr>
      <w:r>
        <w:rPr>
          <w:rFonts w:ascii="Arial" w:cs="Arial" w:eastAsia="Arial" w:hAnsi="Arial"/>
          <w:sz w:val="17"/>
          <w:szCs w:val="17"/>
          <w:color w:val="auto"/>
        </w:rPr>
        <w:t>Other income, net decreased $7.0 million during the six months ended June 30, 2021, as compared to the six months ended June 30, 2020, primarily due to $17.5 million in gains related to an equity investment during the six months ended June 30, 2020, offset by $9.8 million in gains related to the disposal of infrastructure assets.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Provision for income taxes</w:t>
      </w:r>
    </w:p>
    <w:p>
      <w:pPr>
        <w:spacing w:after="0" w:line="247" w:lineRule="exact"/>
        <w:rPr>
          <w:sz w:val="20"/>
          <w:szCs w:val="20"/>
          <w:color w:val="auto"/>
        </w:rPr>
      </w:pPr>
    </w:p>
    <w:p>
      <w:pPr>
        <w:ind w:right="600" w:firstLine="391"/>
        <w:spacing w:after="0" w:line="286" w:lineRule="auto"/>
        <w:rPr>
          <w:sz w:val="20"/>
          <w:szCs w:val="20"/>
          <w:color w:val="auto"/>
        </w:rPr>
      </w:pPr>
      <w:r>
        <w:rPr>
          <w:rFonts w:ascii="Arial" w:cs="Arial" w:eastAsia="Arial" w:hAnsi="Arial"/>
          <w:sz w:val="17"/>
          <w:szCs w:val="17"/>
          <w:color w:val="auto"/>
        </w:rPr>
        <w:t>Provision for income taxes decreased $3.1 million during the six months ended June 30, 2021, as compared to the six months ended June 30, 2020, primarily due to tax benefits from the DocSend acquisition during the six months ended June 30, 2021.</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3" w:lineRule="exact"/>
        <w:rPr>
          <w:sz w:val="20"/>
          <w:szCs w:val="20"/>
          <w:color w:val="auto"/>
        </w:rPr>
      </w:pPr>
    </w:p>
    <w:p>
      <w:pPr>
        <w:ind w:right="260" w:firstLine="391"/>
        <w:spacing w:after="0" w:line="263" w:lineRule="auto"/>
        <w:rPr>
          <w:sz w:val="20"/>
          <w:szCs w:val="20"/>
          <w:color w:val="auto"/>
        </w:rPr>
      </w:pPr>
      <w:r>
        <w:rPr>
          <w:rFonts w:ascii="Arial" w:cs="Arial" w:eastAsia="Arial" w:hAnsi="Arial"/>
          <w:sz w:val="17"/>
          <w:szCs w:val="17"/>
          <w:color w:val="auto"/>
        </w:rPr>
        <w:t>As of June 30, 2021, we had cash and cash equivalents of $885.3 million and short-term investments of $1,058.9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June 30, 2021, we had $162.0 million of our cash and cash equivalents held by our foreign subsidiaries. We do not expect to incur material taxes in the event we repatriate any of these amounts.</w:t>
      </w:r>
    </w:p>
    <w:p>
      <w:pPr>
        <w:spacing w:after="0" w:line="114" w:lineRule="exact"/>
        <w:rPr>
          <w:sz w:val="20"/>
          <w:szCs w:val="20"/>
          <w:color w:val="auto"/>
        </w:rPr>
      </w:pPr>
    </w:p>
    <w:p>
      <w:pPr>
        <w:ind w:right="40" w:firstLine="391"/>
        <w:spacing w:after="0" w:line="263" w:lineRule="auto"/>
        <w:rPr>
          <w:sz w:val="20"/>
          <w:szCs w:val="20"/>
          <w:color w:val="auto"/>
        </w:rPr>
      </w:pPr>
      <w:r>
        <w:rPr>
          <w:rFonts w:ascii="Arial" w:cs="Arial" w:eastAsia="Arial" w:hAnsi="Arial"/>
          <w:sz w:val="17"/>
          <w:szCs w:val="17"/>
          <w:color w:val="auto"/>
        </w:rPr>
        <w:t>Since our inception, we have financed our operations primarily through cash generated from our operations, the issuance of the Notes and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101"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In February 2021, we issued approximately $1.4 billion in aggregate principal amount of convertible senior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will not bear regular interest and the principal will not accrete. The Notes of each series may bear special interest as the remedy relating to the Company’s failure to comply with certain of its reporting obligations. These notes can be converted or repurchased prior to maturity if certain conditions are met.</w:t>
      </w:r>
    </w:p>
    <w:p>
      <w:pPr>
        <w:spacing w:after="0" w:line="113"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Our principal uses of cash in recent periods have been funding our operations, purchases of short-term investments, the satisfaction of tax withholdings in connection with the settlement of restricted stock units and awards, making principal payments on our finance lease obligations, repurchases of our Class A common stock, and capital expenditures. 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three and six months ended June 30, 2021, we repurchased and subsequently retired 5.5 million and 24.1 million shares, respectively, of our Class A common stock for an aggregate amount of $150.8 million and $582.7 million, respectively. This includes $200.0 million to repurchase 8.6 million shares of our Class A common stock in conjunction with the issuance of the Notes, which was outside of our stock repurchase program. We have previously announced, and executed on, our intention to increase the pace of our share repurchases under the current program, any share repurchases remain subject to the circumstances in place at that time, including prevailing market prices.</w:t>
      </w:r>
    </w:p>
    <w:p>
      <w:pPr>
        <w:spacing w:after="0" w:line="105" w:lineRule="exact"/>
        <w:rPr>
          <w:sz w:val="20"/>
          <w:szCs w:val="20"/>
          <w:color w:val="auto"/>
        </w:rPr>
      </w:pPr>
    </w:p>
    <w:p>
      <w:pPr>
        <w:ind w:right="20" w:firstLine="391"/>
        <w:spacing w:after="0" w:line="279" w:lineRule="auto"/>
        <w:rPr>
          <w:sz w:val="20"/>
          <w:szCs w:val="20"/>
          <w:color w:val="auto"/>
        </w:rPr>
      </w:pPr>
      <w:r>
        <w:rPr>
          <w:rFonts w:ascii="Arial" w:cs="Arial" w:eastAsia="Arial" w:hAnsi="Arial"/>
          <w:sz w:val="16"/>
          <w:szCs w:val="16"/>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In February 2021, we amended our revolving credit facility to decrease our borrowing capacity from $725.0 million to $500.0 million. We may from time to time request increases in the borrowing capacity under the revolving credit facility of up to $250.0 million, provided no event of default has occurred or is continuing or would result from such increase.</w:t>
      </w:r>
    </w:p>
    <w:p>
      <w:pPr>
        <w:spacing w:after="0" w:line="92" w:lineRule="exact"/>
        <w:rPr>
          <w:sz w:val="20"/>
          <w:szCs w:val="20"/>
          <w:color w:val="auto"/>
        </w:rPr>
      </w:pPr>
    </w:p>
    <w:p>
      <w:pPr>
        <w:ind w:right="460" w:firstLine="391"/>
        <w:spacing w:after="0" w:line="298" w:lineRule="auto"/>
        <w:rPr>
          <w:sz w:val="20"/>
          <w:szCs w:val="20"/>
          <w:color w:val="auto"/>
        </w:rPr>
      </w:pPr>
      <w:r>
        <w:rPr>
          <w:rFonts w:ascii="Arial" w:cs="Arial" w:eastAsia="Arial" w:hAnsi="Arial"/>
          <w:sz w:val="15"/>
          <w:szCs w:val="15"/>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w:t>
      </w:r>
    </w:p>
    <w:p>
      <w:pPr>
        <w:spacing w:after="0" w:line="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 outstanding. There is an additional fronting fee of 0.125% per annum multiplied by the average aggregate daily maximum amount available under all letters of credit.</w:t>
      </w:r>
    </w:p>
    <w:p>
      <w:pPr>
        <w:spacing w:after="0" w:line="79" w:lineRule="exact"/>
        <w:rPr>
          <w:sz w:val="20"/>
          <w:szCs w:val="20"/>
          <w:color w:val="auto"/>
        </w:rPr>
      </w:pPr>
    </w:p>
    <w:p>
      <w:pPr>
        <w:ind w:right="200" w:firstLine="391"/>
        <w:spacing w:after="0" w:line="271"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financial covenants, including a consolidated leverage ratio incurrence covenant and a minimum liquidity balance. We were in compliance with all covenants under the revolving credit facility as of June 30, 2021.</w:t>
      </w:r>
    </w:p>
    <w:p>
      <w:pPr>
        <w:spacing w:after="0" w:line="94" w:lineRule="exact"/>
        <w:rPr>
          <w:sz w:val="20"/>
          <w:szCs w:val="20"/>
          <w:color w:val="auto"/>
        </w:rPr>
      </w:pPr>
    </w:p>
    <w:p>
      <w:pPr>
        <w:ind w:right="220" w:firstLine="391"/>
        <w:spacing w:after="0" w:line="319" w:lineRule="auto"/>
        <w:rPr>
          <w:sz w:val="20"/>
          <w:szCs w:val="20"/>
          <w:color w:val="auto"/>
        </w:rPr>
      </w:pPr>
      <w:r>
        <w:rPr>
          <w:rFonts w:ascii="Arial" w:cs="Arial" w:eastAsia="Arial" w:hAnsi="Arial"/>
          <w:sz w:val="16"/>
          <w:szCs w:val="16"/>
          <w:color w:val="auto"/>
        </w:rPr>
        <w:t>As of June 30, 2021, we had no amounts outstanding under the revolving credit facility and an aggregate of $52.4 million in letters of credit issued under the revolving credit facility. Our total available borrowing capacity under the revolving credit facility was $447.6 million as of June 30, 2021.</w:t>
      </w:r>
    </w:p>
    <w:p>
      <w:pPr>
        <w:spacing w:after="0" w:line="58" w:lineRule="exact"/>
        <w:rPr>
          <w:sz w:val="20"/>
          <w:szCs w:val="20"/>
          <w:color w:val="auto"/>
        </w:rPr>
      </w:pPr>
    </w:p>
    <w:p>
      <w:pPr>
        <w:ind w:right="20" w:firstLine="391"/>
        <w:spacing w:after="0" w:line="277" w:lineRule="auto"/>
        <w:rPr>
          <w:sz w:val="20"/>
          <w:szCs w:val="20"/>
          <w:color w:val="auto"/>
        </w:rPr>
      </w:pPr>
      <w:r>
        <w:rPr>
          <w:rFonts w:ascii="Arial" w:cs="Arial" w:eastAsia="Arial" w:hAnsi="Arial"/>
          <w:sz w:val="16"/>
          <w:szCs w:val="16"/>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certain office locations, such as our corporate headquarters,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cash flow activities were as follows for the periods presented:</w:t>
      </w:r>
    </w:p>
    <w:p>
      <w:pPr>
        <w:spacing w:after="0" w:line="183"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Six Months Ended</w:t>
      </w:r>
    </w:p>
    <w:p>
      <w:pPr>
        <w:jc w:val="center"/>
        <w:ind w:left="7400"/>
        <w:spacing w:after="0"/>
        <w:rPr>
          <w:sz w:val="20"/>
          <w:szCs w:val="20"/>
          <w:color w:val="auto"/>
        </w:rPr>
      </w:pPr>
      <w:r>
        <w:rPr>
          <w:rFonts w:ascii="Arial" w:cs="Arial" w:eastAsia="Arial" w:hAnsi="Arial"/>
          <w:sz w:val="17"/>
          <w:szCs w:val="17"/>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53"/>
        </w:trPr>
        <w:tc>
          <w:tcPr>
            <w:tcW w:w="7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60" w:type="dxa"/>
            <w:vAlign w:val="bottom"/>
            <w:gridSpan w:val="3"/>
          </w:tcPr>
          <w:p>
            <w:pPr>
              <w:jc w:val="right"/>
              <w:ind w:right="73"/>
              <w:spacing w:after="0"/>
              <w:rPr>
                <w:sz w:val="20"/>
                <w:szCs w:val="20"/>
                <w:color w:val="auto"/>
              </w:rPr>
            </w:pPr>
            <w:r>
              <w:rPr>
                <w:rFonts w:ascii="Arial" w:cs="Arial" w:eastAsia="Arial" w:hAnsi="Arial"/>
                <w:sz w:val="17"/>
                <w:szCs w:val="17"/>
                <w:i w:val="1"/>
                <w:iCs w:val="1"/>
                <w:color w:val="auto"/>
              </w:rPr>
              <w:t>(In millions)</w:t>
            </w:r>
          </w:p>
        </w:tc>
        <w:tc>
          <w:tcPr>
            <w:tcW w:w="1220" w:type="dxa"/>
            <w:vAlign w:val="bottom"/>
          </w:tcPr>
          <w:p>
            <w:pPr>
              <w:spacing w:after="0"/>
              <w:rPr>
                <w:sz w:val="22"/>
                <w:szCs w:val="22"/>
                <w:color w:val="auto"/>
              </w:rPr>
            </w:pPr>
          </w:p>
        </w:tc>
      </w:tr>
      <w:tr>
        <w:trPr>
          <w:trHeight w:val="221"/>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w:t>
            </w:r>
          </w:p>
        </w:tc>
      </w:tr>
      <w:tr>
        <w:trPr>
          <w:trHeight w:val="221"/>
        </w:trPr>
        <w:tc>
          <w:tcPr>
            <w:tcW w:w="75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(377.2)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(189.6)</w:t>
            </w:r>
          </w:p>
        </w:tc>
      </w:tr>
      <w:tr>
        <w:trPr>
          <w:trHeight w:val="221"/>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w:t>
            </w:r>
          </w:p>
        </w:tc>
      </w:tr>
      <w:tr>
        <w:trPr>
          <w:trHeight w:val="221"/>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r>
      <w:tr>
        <w:trPr>
          <w:trHeight w:val="239"/>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56" w:lineRule="exact"/>
        <w:rPr>
          <w:sz w:val="20"/>
          <w:szCs w:val="20"/>
          <w:color w:val="auto"/>
        </w:rPr>
      </w:pPr>
    </w:p>
    <w:p>
      <w:pPr>
        <w:ind w:right="100" w:firstLine="391"/>
        <w:spacing w:after="0" w:line="266" w:lineRule="auto"/>
        <w:rPr>
          <w:sz w:val="20"/>
          <w:szCs w:val="20"/>
          <w:color w:val="auto"/>
        </w:rPr>
      </w:pPr>
      <w:r>
        <w:rPr>
          <w:rFonts w:ascii="Arial" w:cs="Arial" w:eastAsia="Arial" w:hAnsi="Arial"/>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depreciation and amortization expenses, stock-based compensation, and impairment related to real estate assets, as well as the effect of changes in operating assets and liabilities.</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the six months ended June 30, 2021, net cash provided by operating activities was $335.6 million, which primarily consisted of our net income of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$135.6 million, adjusted for stock-based compensation expense of $141.8 million, depreciation and amortization expenses of $71.5 million, impairment related to</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real estate assets of $17.3 million, and net cash outflow of $41.5 million from operating assets and liabilities. The outflow from operating assets and liabilities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was primarily due to the payment of our corporate bonus and key employee holdback payments related to the acquisition of HelloSign, offset by an increase in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 from increased subscription sales, as a majority of our paying users are invoiced in advance.</w:t>
      </w:r>
    </w:p>
    <w:p>
      <w:pPr>
        <w:spacing w:after="0" w:line="131" w:lineRule="exact"/>
        <w:rPr>
          <w:sz w:val="20"/>
          <w:szCs w:val="20"/>
          <w:color w:val="auto"/>
        </w:rPr>
      </w:pPr>
    </w:p>
    <w:p>
      <w:pPr>
        <w:ind w:right="80" w:firstLine="391"/>
        <w:spacing w:after="0" w:line="271" w:lineRule="auto"/>
        <w:rPr>
          <w:sz w:val="20"/>
          <w:szCs w:val="20"/>
          <w:color w:val="auto"/>
        </w:rPr>
      </w:pPr>
      <w:r>
        <w:rPr>
          <w:rFonts w:ascii="Arial" w:cs="Arial" w:eastAsia="Arial" w:hAnsi="Arial"/>
          <w:sz w:val="17"/>
          <w:szCs w:val="17"/>
          <w:color w:val="auto"/>
        </w:rPr>
        <w:t>The increase in net cash provided by operating activities during the six months ended June 30, 2021, compared to the six months ended June 30, 2020, was primarily due to an increase in net income, as adjusted for stock-based compensation, depreciation and amortization expenses, and impairment related to real estate assets.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56" w:lineRule="exact"/>
        <w:rPr>
          <w:sz w:val="20"/>
          <w:szCs w:val="20"/>
          <w:color w:val="auto"/>
        </w:rPr>
      </w:pPr>
    </w:p>
    <w:p>
      <w:pPr>
        <w:ind w:right="120" w:firstLine="391"/>
        <w:spacing w:after="0" w:line="271" w:lineRule="auto"/>
        <w:rPr>
          <w:sz w:val="20"/>
          <w:szCs w:val="20"/>
          <w:color w:val="auto"/>
        </w:rPr>
      </w:pPr>
      <w:r>
        <w:rPr>
          <w:rFonts w:ascii="Arial" w:cs="Arial" w:eastAsia="Arial" w:hAnsi="Arial"/>
          <w:sz w:val="17"/>
          <w:szCs w:val="17"/>
          <w:color w:val="auto"/>
        </w:rPr>
        <w:t>Net cash used in investing activities is primarily impacted by purchases of short-term investments, purchases of property and equipment to make improvements or modifications to existing and new office spaces, and for purchasing infrastructure equipment in co-location facilities that we directly lease and operate.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540" w:firstLine="391"/>
        <w:spacing w:after="0" w:line="271" w:lineRule="auto"/>
        <w:rPr>
          <w:sz w:val="20"/>
          <w:szCs w:val="20"/>
          <w:color w:val="auto"/>
        </w:rPr>
      </w:pPr>
      <w:r>
        <w:rPr>
          <w:rFonts w:ascii="Arial" w:cs="Arial" w:eastAsia="Arial" w:hAnsi="Arial"/>
          <w:sz w:val="17"/>
          <w:szCs w:val="17"/>
          <w:color w:val="auto"/>
        </w:rPr>
        <w:t>For the six months ended June 30, 2021, net cash used in investing activities was $377.2 million, which primarily related to $258.5 million in net investment activity outflows, driven by the purchases of short-term investments, net of sales and maturities and $125.4 million related to cash paid for our acquisition of DocSend.</w:t>
      </w:r>
    </w:p>
    <w:p>
      <w:pPr>
        <w:spacing w:after="0" w:line="106" w:lineRule="exact"/>
        <w:rPr>
          <w:sz w:val="20"/>
          <w:szCs w:val="20"/>
          <w:color w:val="auto"/>
        </w:rPr>
      </w:pPr>
    </w:p>
    <w:p>
      <w:pPr>
        <w:ind w:firstLine="391"/>
        <w:spacing w:after="0" w:line="295" w:lineRule="auto"/>
        <w:rPr>
          <w:sz w:val="20"/>
          <w:szCs w:val="20"/>
          <w:color w:val="auto"/>
        </w:rPr>
      </w:pPr>
      <w:r>
        <w:rPr>
          <w:rFonts w:ascii="Arial" w:cs="Arial" w:eastAsia="Arial" w:hAnsi="Arial"/>
          <w:sz w:val="16"/>
          <w:szCs w:val="16"/>
          <w:color w:val="auto"/>
        </w:rPr>
        <w:t>The increase in cash used in investing activities during the six months ended June 30, 2021, compared to the six months ended June 30, 2020, was primarily due to higher outflows related to net investment activity during the six months ended June 30, 2021, and the acquisition of DocSend, offset by the decrease in cash paid for capital expenditures during the six months ended June 30, 2021 as a result of decreased spend on office build-outs.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56" w:lineRule="exact"/>
        <w:rPr>
          <w:sz w:val="20"/>
          <w:szCs w:val="20"/>
          <w:color w:val="auto"/>
        </w:rPr>
      </w:pPr>
    </w:p>
    <w:p>
      <w:pPr>
        <w:ind w:right="220" w:firstLine="391"/>
        <w:spacing w:after="0" w:line="266" w:lineRule="auto"/>
        <w:rPr>
          <w:sz w:val="20"/>
          <w:szCs w:val="20"/>
          <w:color w:val="auto"/>
        </w:rPr>
      </w:pPr>
      <w:r>
        <w:rPr>
          <w:rFonts w:ascii="Arial" w:cs="Arial" w:eastAsia="Arial" w:hAnsi="Arial"/>
          <w:sz w:val="17"/>
          <w:szCs w:val="17"/>
          <w:color w:val="auto"/>
        </w:rPr>
        <w:t>Net cash used in financing activities is primarily impacted by cash used for tax withholding obligations for the release of RSUs and RSAs, principal payments on finance lease obligations for our infrastructure equipment, and repurchases of common stock. Additionally, in connection with the issuance of convertible senior notes, proceeds from the issuance of convertible notes, proceeds from the issuance of warrants, purchases of convertible senior note hedges, and debt issuance costs impacted net cash used in financing activities.</w:t>
      </w:r>
    </w:p>
    <w:p>
      <w:pPr>
        <w:spacing w:after="0" w:line="110" w:lineRule="exact"/>
        <w:rPr>
          <w:sz w:val="20"/>
          <w:szCs w:val="20"/>
          <w:color w:val="auto"/>
        </w:rPr>
      </w:pPr>
    </w:p>
    <w:p>
      <w:pPr>
        <w:ind w:right="100" w:firstLine="391"/>
        <w:spacing w:after="0" w:line="266" w:lineRule="auto"/>
        <w:rPr>
          <w:sz w:val="20"/>
          <w:szCs w:val="20"/>
          <w:color w:val="auto"/>
        </w:rPr>
      </w:pPr>
      <w:r>
        <w:rPr>
          <w:rFonts w:ascii="Arial" w:cs="Arial" w:eastAsia="Arial" w:hAnsi="Arial"/>
          <w:sz w:val="17"/>
          <w:szCs w:val="17"/>
          <w:color w:val="auto"/>
        </w:rPr>
        <w:t>For the six months ended June 30, 2021, net cash provided by financing activities was $612.4 million, which primarily consisted of $1,303.0 million in net proceeds from the 2026 Notes and 2028 Notes, offset by offering costs, and the concurrent Note Hedges and Warrants transaction, $582.7 million for the repurchase of our common stock, $62.7 million for the satisfaction of tax withholding obligations for the release of restricted stock units and awards, and $50.7 million in principal payments on finance lease obligations.</w:t>
      </w:r>
    </w:p>
    <w:p>
      <w:pPr>
        <w:spacing w:after="0" w:line="97" w:lineRule="exact"/>
        <w:rPr>
          <w:sz w:val="20"/>
          <w:szCs w:val="20"/>
          <w:color w:val="auto"/>
        </w:rPr>
      </w:pPr>
    </w:p>
    <w:p>
      <w:pPr>
        <w:ind w:right="60" w:firstLine="391"/>
        <w:spacing w:after="0" w:line="295" w:lineRule="auto"/>
        <w:rPr>
          <w:sz w:val="20"/>
          <w:szCs w:val="20"/>
          <w:color w:val="auto"/>
        </w:rPr>
      </w:pPr>
      <w:r>
        <w:rPr>
          <w:rFonts w:ascii="Arial" w:cs="Arial" w:eastAsia="Arial" w:hAnsi="Arial"/>
          <w:sz w:val="16"/>
          <w:szCs w:val="16"/>
          <w:color w:val="auto"/>
        </w:rPr>
        <w:t>The increase in cash provided by financing activities during the six months ended June 30, 2021, compared to the six months ended June 30, 2020, was primarily due to the net proceeds from the 2026 Notes and 2028 Notes, offset by offering costs, and the concurrent Note Hedges and Warrants transaction during the six months ended June 30, 2021, as well as by the increase in repurchases of our common stock during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53"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Our principal commitments consist of obligations under the Notes, operating leases for office space and data center operations, and finance leases for data center and office equipment. For additional information on the Notes, operating leases for office space and data center operations, and finance leases for data center and office equipment, see Note 8 "Debt" and Note 9 "Leases" to our condensed consolidated financial statements included elsewhere in this Quarterly Report on Form 10-Q for further information. Except for the Notes, there have been no material changes in our contractual obligations and commitments, as disclosed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0" w:name="page61"/>
    <w:bookmarkEnd w:id="6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3"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As of June 30, 2021,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1" w:name="page62"/>
    <w:bookmarkEnd w:id="6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Judgments</w:t>
      </w:r>
    </w:p>
    <w:p>
      <w:pPr>
        <w:spacing w:after="0" w:line="253" w:lineRule="exact"/>
        <w:rPr>
          <w:sz w:val="20"/>
          <w:szCs w:val="20"/>
          <w:color w:val="auto"/>
        </w:rPr>
      </w:pPr>
    </w:p>
    <w:p>
      <w:pPr>
        <w:ind w:firstLine="313"/>
        <w:spacing w:after="0" w:line="357" w:lineRule="auto"/>
        <w:rPr>
          <w:sz w:val="20"/>
          <w:szCs w:val="20"/>
          <w:color w:val="auto"/>
        </w:rPr>
      </w:pPr>
      <w:r>
        <w:rPr>
          <w:rFonts w:ascii="Arial" w:cs="Arial" w:eastAsia="Arial" w:hAnsi="Arial"/>
          <w:sz w:val="15"/>
          <w:szCs w:val="15"/>
          <w:color w:val="auto"/>
        </w:rPr>
        <w:t>See Part II, Item 7, "Critical Accounting Policies and Judgments " in our Annual Report on Form 10-K for the year ended December 31, 2020. There have been no material changes to our critical accounting policies and estimates since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3" w:lineRule="exact"/>
        <w:rPr>
          <w:sz w:val="20"/>
          <w:szCs w:val="20"/>
          <w:color w:val="auto"/>
        </w:rPr>
      </w:pPr>
    </w:p>
    <w:p>
      <w:pPr>
        <w:ind w:firstLine="391"/>
        <w:spacing w:after="0" w:line="357" w:lineRule="auto"/>
        <w:rPr>
          <w:sz w:val="20"/>
          <w:szCs w:val="20"/>
          <w:color w:val="auto"/>
        </w:rPr>
      </w:pPr>
      <w:r>
        <w:rPr>
          <w:rFonts w:ascii="Arial" w:cs="Arial" w:eastAsia="Arial" w:hAnsi="Arial"/>
          <w:sz w:val="15"/>
          <w:szCs w:val="15"/>
          <w:color w:val="auto"/>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6" w:lineRule="exact"/>
        <w:rPr>
          <w:sz w:val="20"/>
          <w:szCs w:val="20"/>
          <w:color w:val="auto"/>
        </w:rPr>
      </w:pPr>
    </w:p>
    <w:p>
      <w:pPr>
        <w:ind w:right="60" w:firstLine="391"/>
        <w:spacing w:after="0" w:line="279" w:lineRule="auto"/>
        <w:rPr>
          <w:sz w:val="20"/>
          <w:szCs w:val="20"/>
          <w:color w:val="auto"/>
        </w:rPr>
      </w:pPr>
      <w:r>
        <w:rPr>
          <w:rFonts w:ascii="Arial" w:cs="Arial" w:eastAsia="Arial" w:hAnsi="Arial"/>
          <w:sz w:val="16"/>
          <w:szCs w:val="16"/>
          <w:color w:val="auto"/>
        </w:rPr>
        <w:t>We had cash and cash equivalents of $885.3 million and short-term investments of $1,058.9 million as of June 30, 2021.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92" w:lineRule="exact"/>
        <w:rPr>
          <w:sz w:val="20"/>
          <w:szCs w:val="20"/>
          <w:color w:val="auto"/>
        </w:rPr>
      </w:pPr>
    </w:p>
    <w:p>
      <w:pPr>
        <w:ind w:right="120" w:firstLine="391"/>
        <w:spacing w:after="0" w:line="271" w:lineRule="auto"/>
        <w:rPr>
          <w:sz w:val="20"/>
          <w:szCs w:val="20"/>
          <w:color w:val="auto"/>
        </w:rPr>
      </w:pPr>
      <w:r>
        <w:rPr>
          <w:rFonts w:ascii="Arial" w:cs="Arial" w:eastAsia="Arial" w:hAnsi="Arial"/>
          <w:sz w:val="17"/>
          <w:szCs w:val="17"/>
          <w:color w:val="auto"/>
        </w:rPr>
        <w:t>Any borrowings under the revolving credit facility bear interest at a variable rate tied to the prime rate or the LIBOR rate. As of June 30, 2021, we had no amounts outstanding under the revolving credit facility. We do not have any other long-term debt or financial liabilities with floating interest rates that would subject us to interest rate fluctuations.</w:t>
      </w:r>
    </w:p>
    <w:p>
      <w:pPr>
        <w:spacing w:after="0" w:line="106" w:lineRule="exact"/>
        <w:rPr>
          <w:sz w:val="20"/>
          <w:szCs w:val="20"/>
          <w:color w:val="auto"/>
        </w:rPr>
      </w:pPr>
    </w:p>
    <w:p>
      <w:pPr>
        <w:ind w:right="40" w:firstLine="391"/>
        <w:spacing w:after="0" w:line="286" w:lineRule="auto"/>
        <w:rPr>
          <w:sz w:val="20"/>
          <w:szCs w:val="20"/>
          <w:color w:val="auto"/>
        </w:rPr>
      </w:pPr>
      <w:r>
        <w:rPr>
          <w:rFonts w:ascii="Arial" w:cs="Arial" w:eastAsia="Arial" w:hAnsi="Arial"/>
          <w:sz w:val="17"/>
          <w:szCs w:val="17"/>
          <w:color w:val="auto"/>
        </w:rPr>
        <w:t>As of June 30, 2021, a hypothetical change in interest rates by 100 basis points would not have a significant impact on our cash and cash equivalents or the fair value of our investment portfolio.</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43" w:lineRule="exact"/>
        <w:rPr>
          <w:sz w:val="20"/>
          <w:szCs w:val="20"/>
          <w:color w:val="auto"/>
        </w:rPr>
      </w:pPr>
    </w:p>
    <w:p>
      <w:pPr>
        <w:ind w:right="60" w:firstLine="391"/>
        <w:spacing w:after="0" w:line="286"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w:t>
      </w:r>
    </w:p>
    <w:p>
      <w:pPr>
        <w:spacing w:after="0" w:line="94" w:lineRule="exact"/>
        <w:rPr>
          <w:sz w:val="20"/>
          <w:szCs w:val="20"/>
          <w:color w:val="auto"/>
        </w:rPr>
      </w:pPr>
    </w:p>
    <w:p>
      <w:pPr>
        <w:ind w:right="140" w:firstLine="391"/>
        <w:spacing w:after="0" w:line="286" w:lineRule="auto"/>
        <w:rPr>
          <w:sz w:val="20"/>
          <w:szCs w:val="20"/>
          <w:color w:val="auto"/>
        </w:rPr>
      </w:pPr>
      <w:r>
        <w:rPr>
          <w:rFonts w:ascii="Arial" w:cs="Arial" w:eastAsia="Arial" w:hAnsi="Arial"/>
          <w:sz w:val="17"/>
          <w:szCs w:val="17"/>
          <w:color w:val="auto"/>
        </w:rPr>
        <w:t>Most of our revenue is generated in U.S. dollars, with the remainder generated in Euros, British pounds sterling, Australian dollars, Canadian dollars, and Japanese yen.</w:t>
      </w:r>
    </w:p>
    <w:p>
      <w:pPr>
        <w:spacing w:after="0" w:line="94"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97" w:lineRule="exact"/>
        <w:rPr>
          <w:sz w:val="20"/>
          <w:szCs w:val="20"/>
          <w:color w:val="auto"/>
        </w:rPr>
      </w:pPr>
    </w:p>
    <w:p>
      <w:pPr>
        <w:ind w:right="60" w:firstLine="391"/>
        <w:spacing w:after="0" w:line="299" w:lineRule="auto"/>
        <w:rPr>
          <w:sz w:val="20"/>
          <w:szCs w:val="20"/>
          <w:color w:val="auto"/>
        </w:rPr>
      </w:pPr>
      <w:r>
        <w:rPr>
          <w:rFonts w:ascii="Arial" w:cs="Arial" w:eastAsia="Arial" w:hAnsi="Arial"/>
          <w:sz w:val="15"/>
          <w:szCs w:val="15"/>
          <w:color w:val="auto"/>
        </w:rPr>
        <w:t>As exchange rates may fluctuate significantly between periods, revenue and operating expenses, when converted into U.S. dollars, may also experience significant fluctuations between periods. Volatile market conditions arising from the COVID-19 pandemic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six months ended June 30, 2021, 30%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91"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We recorded $0.6 million and $0.1 million in net foreign currency transaction gains and losses during the six months ended June 30, 2021 and 2020, respectively. A hypothetical 10% change in foreign currency rates would not have resulted in material gains or losses for the six months ended June 30, 2021 and 2020.</w:t>
      </w:r>
    </w:p>
    <w:p>
      <w:pPr>
        <w:spacing w:after="0" w:line="106" w:lineRule="exact"/>
        <w:rPr>
          <w:sz w:val="20"/>
          <w:szCs w:val="20"/>
          <w:color w:val="auto"/>
        </w:rPr>
      </w:pPr>
    </w:p>
    <w:p>
      <w:pPr>
        <w:ind w:right="120" w:firstLine="391"/>
        <w:spacing w:after="0" w:line="286" w:lineRule="auto"/>
        <w:rPr>
          <w:sz w:val="20"/>
          <w:szCs w:val="20"/>
          <w:color w:val="auto"/>
        </w:rPr>
      </w:pPr>
      <w:r>
        <w:rPr>
          <w:rFonts w:ascii="Arial" w:cs="Arial" w:eastAsia="Arial" w:hAnsi="Arial"/>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Inflation risk</w:t>
      </w:r>
    </w:p>
    <w:p>
      <w:pPr>
        <w:spacing w:after="0" w:line="156" w:lineRule="exact"/>
        <w:rPr>
          <w:sz w:val="20"/>
          <w:szCs w:val="20"/>
          <w:color w:val="auto"/>
        </w:rPr>
      </w:pPr>
    </w:p>
    <w:p>
      <w:pPr>
        <w:ind w:right="320" w:firstLine="391"/>
        <w:spacing w:after="0" w:line="271"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3" w:lineRule="exact"/>
        <w:rPr>
          <w:sz w:val="20"/>
          <w:szCs w:val="20"/>
          <w:color w:val="auto"/>
        </w:rPr>
      </w:pPr>
    </w:p>
    <w:p>
      <w:pPr>
        <w:jc w:val="both"/>
        <w:ind w:right="160" w:firstLine="391"/>
        <w:spacing w:after="0" w:line="287"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3" w:lineRule="exact"/>
        <w:rPr>
          <w:sz w:val="20"/>
          <w:szCs w:val="20"/>
          <w:color w:val="auto"/>
        </w:rPr>
      </w:pPr>
    </w:p>
    <w:p>
      <w:pPr>
        <w:ind w:right="220" w:firstLine="391"/>
        <w:spacing w:after="0" w:line="271" w:lineRule="auto"/>
        <w:rPr>
          <w:sz w:val="20"/>
          <w:szCs w:val="20"/>
          <w:color w:val="auto"/>
        </w:rPr>
      </w:pPr>
      <w:r>
        <w:rPr>
          <w:rFonts w:ascii="Arial" w:cs="Arial" w:eastAsia="Arial" w:hAnsi="Arial"/>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53" w:lineRule="exact"/>
        <w:rPr>
          <w:sz w:val="20"/>
          <w:szCs w:val="20"/>
          <w:color w:val="auto"/>
        </w:rPr>
      </w:pPr>
    </w:p>
    <w:p>
      <w:pPr>
        <w:ind w:firstLine="391"/>
        <w:spacing w:after="0" w:line="258"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3" w:lineRule="exact"/>
        <w:rPr>
          <w:sz w:val="20"/>
          <w:szCs w:val="20"/>
          <w:color w:val="auto"/>
        </w:rPr>
      </w:pPr>
    </w:p>
    <w:p>
      <w:pPr>
        <w:ind w:right="420" w:firstLine="391"/>
        <w:spacing w:after="0" w:line="286" w:lineRule="auto"/>
        <w:rPr>
          <w:sz w:val="20"/>
          <w:szCs w:val="20"/>
          <w:color w:val="auto"/>
        </w:rPr>
      </w:pPr>
      <w:r>
        <w:rPr>
          <w:rFonts w:ascii="Arial" w:cs="Arial" w:eastAsia="Arial" w:hAnsi="Arial"/>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w:t>
      </w:r>
    </w:p>
    <w:p>
      <w:pPr>
        <w:spacing w:after="0" w:line="94" w:lineRule="exact"/>
        <w:rPr>
          <w:sz w:val="20"/>
          <w:szCs w:val="20"/>
          <w:color w:val="auto"/>
        </w:rPr>
      </w:pPr>
    </w:p>
    <w:p>
      <w:pPr>
        <w:ind w:right="100" w:firstLine="391"/>
        <w:spacing w:after="0" w:line="262" w:lineRule="auto"/>
        <w:rPr>
          <w:sz w:val="20"/>
          <w:szCs w:val="20"/>
          <w:color w:val="auto"/>
        </w:rPr>
      </w:pPr>
      <w:r>
        <w:rPr>
          <w:rFonts w:ascii="Arial" w:cs="Arial" w:eastAsia="Arial" w:hAnsi="Arial"/>
          <w:sz w:val="17"/>
          <w:szCs w:val="17"/>
          <w:color w:val="auto"/>
        </w:rPr>
        <w:t>We are currently involved in four putative class action lawsuits alleging violations of the federal securities laws were filed on August 30, 2019, September 5, 2019, September 13, 2019, and October 3, 2019, in the Superior Court of the State of California, San Mateo County, against the Dropbox Defendants. On October 4, 2019, two putative class action lawsuits alleging violations of the federal securities laws were filed against the Dropbox Defendants in the U.S. District Court for the Northern District of California. The six lawsuits each make the same or similar allegations of violations of federal securities laws, for allegedly making materially false and misleading statements in, or omitting material information from, our IPO registration statement. The plaintiffs seek unspecified monetary damages and other relief.</w:t>
      </w:r>
    </w:p>
    <w:p>
      <w:pPr>
        <w:spacing w:after="0" w:line="100" w:lineRule="exact"/>
        <w:rPr>
          <w:sz w:val="20"/>
          <w:szCs w:val="20"/>
          <w:color w:val="auto"/>
        </w:rPr>
      </w:pPr>
    </w:p>
    <w:p>
      <w:pPr>
        <w:ind w:right="20" w:firstLine="391"/>
        <w:spacing w:after="0" w:line="279" w:lineRule="auto"/>
        <w:rPr>
          <w:sz w:val="20"/>
          <w:szCs w:val="20"/>
          <w:color w:val="auto"/>
        </w:rPr>
      </w:pPr>
      <w:r>
        <w:rPr>
          <w:rFonts w:ascii="Arial" w:cs="Arial" w:eastAsia="Arial" w:hAnsi="Arial"/>
          <w:sz w:val="16"/>
          <w:szCs w:val="16"/>
          <w:color w:val="auto"/>
        </w:rPr>
        <w:t>On March 2, 2020, the Federal Plaintiffs filed a consolidated class action complaint. On April 16, 2020, the Dropbox Defendants filed a motion to dismiss the federal consolidated class action complaint. On October 21, 2020, the federal court issued an order granting our motion to dismiss the Federal Plaintiffs’ complaint with leave to amend setting a deadline of January 6, 2021 for the Federal Plaintiffs to file any amended complaint. The federal court extended this deadline to February 22, 2021 to provide time for the parties to explore resolving the case. On February 11, 2021, the parties attended mediation and reached a settlement in principle for an immaterial amount subject to final documentation and preliminary and final approval by the court. On July 22, 2021, the Court held a preliminary settlement approval hearing. On August 3, 2021, the Court entered an order preliminarily approving the settlement and providing for notice to the class. The Court set a hearing for final approval of the settlement on December 2, 2021.</w:t>
      </w:r>
    </w:p>
    <w:p>
      <w:pPr>
        <w:spacing w:after="0" w:line="105" w:lineRule="exact"/>
        <w:rPr>
          <w:sz w:val="20"/>
          <w:szCs w:val="20"/>
          <w:color w:val="auto"/>
        </w:rPr>
      </w:pPr>
    </w:p>
    <w:p>
      <w:pPr>
        <w:ind w:right="120" w:firstLine="391"/>
        <w:spacing w:after="0" w:line="266" w:lineRule="auto"/>
        <w:rPr>
          <w:sz w:val="20"/>
          <w:szCs w:val="20"/>
          <w:color w:val="auto"/>
        </w:rPr>
      </w:pPr>
      <w:r>
        <w:rPr>
          <w:rFonts w:ascii="Arial" w:cs="Arial" w:eastAsia="Arial" w:hAnsi="Arial"/>
          <w:sz w:val="17"/>
          <w:szCs w:val="17"/>
          <w:color w:val="auto"/>
        </w:rPr>
        <w:t>On May 11, 2020, the Dropbox Defendants filed a motion to dismiss the consolidated state court case based on the exclusive federal forum provisions contained in our amended and restated bylaws. On December 4, 2020, the state court issued an order granting our motion to dismiss the consolidated state court case. On December 15, 2020, the State Plaintiffs filed a notice of appeal of this order. We believe the appeal and claims are without merit and we intend to vigorously defend against them.</w:t>
      </w:r>
    </w:p>
    <w:p>
      <w:pPr>
        <w:spacing w:after="0" w:line="110" w:lineRule="exact"/>
        <w:rPr>
          <w:sz w:val="20"/>
          <w:szCs w:val="20"/>
          <w:color w:val="auto"/>
        </w:rPr>
      </w:pPr>
    </w:p>
    <w:p>
      <w:pPr>
        <w:ind w:firstLine="391"/>
        <w:spacing w:after="0" w:line="295"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42" w:lineRule="exact"/>
        <w:rPr>
          <w:sz w:val="20"/>
          <w:szCs w:val="20"/>
          <w:color w:val="auto"/>
        </w:rPr>
      </w:pPr>
    </w:p>
    <w:p>
      <w:pPr>
        <w:ind w:right="80" w:firstLine="391"/>
        <w:spacing w:after="0" w:line="259" w:lineRule="auto"/>
        <w:rPr>
          <w:sz w:val="20"/>
          <w:szCs w:val="20"/>
          <w:color w:val="auto"/>
        </w:rPr>
      </w:pPr>
      <w:r>
        <w:rPr>
          <w:rFonts w:ascii="Arial" w:cs="Arial" w:eastAsia="Arial" w:hAnsi="Arial"/>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the impacts of COVID-19 and any worsening of the economic environment may exacerbate the risks described below, any of which could have a material impact on us. This situation is changing rapidly and additional impacts may arise that we are not currently aware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Risks Related to Our Business and Operations</w:t>
      </w:r>
    </w:p>
    <w:p>
      <w:pPr>
        <w:spacing w:after="0" w:line="25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85"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the availability of competitive products that are, or are perceived to be, less expensive, shifts in the mix of monthly and annual subscriptions or the impact of catastrophic events, such as the ongoing COVID-19 pandemic, on our paying users. In addition, some paying users downgrade or do not renew their subscriptions.</w:t>
      </w:r>
    </w:p>
    <w:p>
      <w:pPr>
        <w:spacing w:after="0" w:line="205" w:lineRule="exact"/>
        <w:rPr>
          <w:sz w:val="20"/>
          <w:szCs w:val="20"/>
          <w:color w:val="auto"/>
        </w:rPr>
      </w:pPr>
    </w:p>
    <w:p>
      <w:pPr>
        <w:ind w:right="80" w:firstLine="391"/>
        <w:spacing w:after="0" w:line="277" w:lineRule="auto"/>
        <w:rPr>
          <w:sz w:val="20"/>
          <w:szCs w:val="20"/>
          <w:color w:val="auto"/>
        </w:rPr>
      </w:pPr>
      <w:r>
        <w:rPr>
          <w:rFonts w:ascii="Arial" w:cs="Arial" w:eastAsia="Arial" w:hAnsi="Arial"/>
          <w:sz w:val="16"/>
          <w:szCs w:val="16"/>
          <w:color w:val="auto"/>
        </w:rPr>
        <w:t>We encourage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cancel their subscriptions or fail to renew, or if we fail to upgrade our paying users to premium offerings or expand within organizations, our business, results of operations, and financial condition may be harmed. Furthermore, we have and may continue to see an increase in customers opting for our monthly plans rather than our annual plans, including from users who upgrade to paid plans using mobile devices. As a result, if more of our users subscribe to our paid plans through mobile devices or otherwise opt for monthly plans, subscription renewals may fluctuate or decline.</w:t>
      </w:r>
    </w:p>
    <w:p>
      <w:pPr>
        <w:spacing w:after="0" w:line="199"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could be harmed if we fail to attract new users or convert registered users to paying users.</w:t>
      </w:r>
    </w:p>
    <w:p>
      <w:pPr>
        <w:spacing w:after="0" w:line="247" w:lineRule="exact"/>
        <w:rPr>
          <w:sz w:val="20"/>
          <w:szCs w:val="20"/>
          <w:color w:val="auto"/>
        </w:rPr>
      </w:pPr>
    </w:p>
    <w:p>
      <w:pPr>
        <w:jc w:val="both"/>
        <w:ind w:right="20" w:firstLine="391"/>
        <w:spacing w:after="0" w:line="271"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Additionally, many of our users initially access our platform free of charge. We strive to demonstrate the value of our platform to our registered users,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thereby encouraging them to convert to paying users through in-product prompts and notifications, and time-limited trials of paid subscription plans. As of</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June 30, 2021, we served over 700 million registered users but only 16.14 million paying users. The actual number of unique users is lower than we report as one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person may register more than once for our platform. As a result, we have fewer unique registered users that we may be able to convert to paying users. 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majority of our registered users may never convert to a paid subscription to our platform, and failure to convert users to a paid subscription will restrict our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ability to grow our revenue.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firstLine="391"/>
        <w:spacing w:after="0" w:line="261" w:lineRule="auto"/>
        <w:rPr>
          <w:sz w:val="20"/>
          <w:szCs w:val="20"/>
          <w:color w:val="auto"/>
        </w:rPr>
      </w:pPr>
      <w:r>
        <w:rPr>
          <w:rFonts w:ascii="Arial" w:cs="Arial" w:eastAsia="Arial" w:hAnsi="Arial"/>
          <w:sz w:val="17"/>
          <w:szCs w:val="17"/>
          <w:color w:val="auto"/>
        </w:rPr>
        <w:t>In addition, our user growth rate has and may continue to slow in the future as our market penetration rates increase and we turn our focus to converting registered users to paying users rather than growing the total number of registered users. The availability of less expensive and bundled competitive products also has and may continue to slow our user growth rate and negatively impact our ability to convert registered users to paying users. If we are not able to continue to expand our user base or fail to convert our registered users to paying users, demand for our paid services and our revenue may grow more slowly than expected or decline. Furthermore, catastrophic events that financially impact our registered users and other prospective paying users, such as the ongoing COVID-19 pandemic, may cause these users to delay or reduce technology spending, which may impact our ability to convert registered users or otherwise attract new paying users.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history of operating with a Virtual First workforce and the long-term impact on our financial results and business operations is uncertain.</w:t>
      </w:r>
    </w:p>
    <w:p>
      <w:pPr>
        <w:spacing w:after="0" w:line="270" w:lineRule="exact"/>
        <w:rPr>
          <w:sz w:val="20"/>
          <w:szCs w:val="20"/>
          <w:color w:val="auto"/>
        </w:rPr>
      </w:pPr>
    </w:p>
    <w:p>
      <w:pPr>
        <w:ind w:right="40" w:firstLine="391"/>
        <w:spacing w:after="0" w:line="263" w:lineRule="auto"/>
        <w:rPr>
          <w:sz w:val="20"/>
          <w:szCs w:val="20"/>
          <w:color w:val="auto"/>
        </w:rPr>
      </w:pPr>
      <w:r>
        <w:rPr>
          <w:rFonts w:ascii="Arial" w:cs="Arial" w:eastAsia="Arial" w:hAnsi="Arial"/>
          <w:sz w:val="17"/>
          <w:szCs w:val="17"/>
          <w:color w:val="auto"/>
        </w:rPr>
        <w:t>In October 2020, we announced a new Virtual First work model pursuant to which remote work will become the primary experience for all of our employees and our intention is for our workforce to become more distributed over time. However, we have a limited history of operating with a Virtual First workforce and, although we anticipate that our shift to a new Virtual First work model will have a long-term positive impact on our financial results and business operations, the impact remains uncertain. Additionally, there is no guarantee that we will realize any anticipated benefits to our business, including any cost savings, operational efficiencies, or productivity.</w:t>
      </w:r>
    </w:p>
    <w:p>
      <w:pPr>
        <w:spacing w:after="0" w:line="205" w:lineRule="exact"/>
        <w:rPr>
          <w:sz w:val="20"/>
          <w:szCs w:val="20"/>
          <w:color w:val="auto"/>
        </w:rPr>
      </w:pPr>
    </w:p>
    <w:p>
      <w:pPr>
        <w:ind w:right="80" w:firstLine="391"/>
        <w:spacing w:after="0" w:line="287" w:lineRule="auto"/>
        <w:rPr>
          <w:sz w:val="20"/>
          <w:szCs w:val="20"/>
          <w:color w:val="auto"/>
        </w:rPr>
      </w:pPr>
      <w:r>
        <w:rPr>
          <w:rFonts w:ascii="Arial" w:cs="Arial" w:eastAsia="Arial" w:hAnsi="Arial"/>
          <w:sz w:val="16"/>
          <w:szCs w:val="16"/>
          <w:color w:val="auto"/>
        </w:rPr>
        <w:t>Our shift to Virtual First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involving our data or our users’ content. Any of these factors could adversely affect our financial condition and operating results.</w:t>
      </w:r>
    </w:p>
    <w:p>
      <w:pPr>
        <w:spacing w:after="0" w:line="188"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In addition, we will need less office space than we are currently contractually committed to leasing and as a result, we have and may in the future record impairment charges related to the office spaces we no longer expect to need, which has impacted and may in the future impact our ability to achieve GAAP profitability in future periods. Furthermore, any prolonged recessionary period and industry shifts towards remote work, including as a result of the COVID-19 pandemic,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247" w:lineRule="exact"/>
        <w:rPr>
          <w:sz w:val="20"/>
          <w:szCs w:val="20"/>
          <w:color w:val="auto"/>
        </w:rPr>
      </w:pPr>
    </w:p>
    <w:p>
      <w:pPr>
        <w:ind w:right="200" w:firstLine="391"/>
        <w:spacing w:after="0" w:line="263"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and Google and in the content collaboration market with products offered by Microsoft, Atlassian, Slack, and Google.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205" w:lineRule="exact"/>
        <w:rPr>
          <w:sz w:val="20"/>
          <w:szCs w:val="20"/>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brand;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hanging="31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continued innovation; and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pricing.</w:t>
      </w:r>
    </w:p>
    <w:p>
      <w:pPr>
        <w:spacing w:after="0" w:line="247"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204" w:lineRule="exact"/>
        <w:rPr>
          <w:sz w:val="20"/>
          <w:szCs w:val="20"/>
          <w:color w:val="auto"/>
        </w:rPr>
      </w:pPr>
    </w:p>
    <w:p>
      <w:pPr>
        <w:ind w:right="20" w:firstLine="391"/>
        <w:spacing w:after="0" w:line="295"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81"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9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85" w:lineRule="exact"/>
        <w:rPr>
          <w:sz w:val="20"/>
          <w:szCs w:val="20"/>
          <w:color w:val="auto"/>
        </w:rPr>
      </w:pPr>
    </w:p>
    <w:p>
      <w:pPr>
        <w:ind w:firstLine="391"/>
        <w:spacing w:after="0" w:line="297" w:lineRule="auto"/>
        <w:rPr>
          <w:sz w:val="20"/>
          <w:szCs w:val="20"/>
          <w:color w:val="auto"/>
        </w:rPr>
      </w:pPr>
      <w:r>
        <w:rPr>
          <w:rFonts w:ascii="Arial" w:cs="Arial" w:eastAsia="Arial" w:hAnsi="Arial"/>
          <w:sz w:val="15"/>
          <w:szCs w:val="15"/>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w:t>
      </w:r>
    </w:p>
    <w:p>
      <w:pPr>
        <w:spacing w:after="0" w:line="171" w:lineRule="exact"/>
        <w:rPr>
          <w:sz w:val="20"/>
          <w:szCs w:val="20"/>
          <w:color w:val="auto"/>
        </w:rPr>
      </w:pPr>
    </w:p>
    <w:p>
      <w:pPr>
        <w:ind w:right="40" w:firstLine="391"/>
        <w:spacing w:after="0" w:line="243" w:lineRule="auto"/>
        <w:rPr>
          <w:sz w:val="20"/>
          <w:szCs w:val="20"/>
          <w:color w:val="auto"/>
        </w:rPr>
      </w:pPr>
      <w:r>
        <w:rPr>
          <w:rFonts w:ascii="Arial" w:cs="Arial" w:eastAsia="Arial" w:hAnsi="Arial"/>
          <w:sz w:val="16"/>
          <w:szCs w:val="16"/>
          <w:color w:val="auto"/>
        </w:rPr>
        <w:t>Emerging and evolving cybersecurity threats such as the recently reported attack on SolarWinds pose unique challenges and involve sophisticated threat actors. Computer malware, ransomware, cyber viruses, social engineering (phishing attacks), denial of service or other attacks, employee theft or misuse and increasingly sophisticated network attacks have become more prevalent in our industry, particularly against cloud services. In this fast-changing threat environment, we are continuously assessing our security posture to identify gaps, threats, and vulnerabilities. As a result, we are actively taking additional and ongoing steps to further strengthen our cybersecurity capabilities. If we fail to respond appropriately to any identified gaps, threats or vulnerabilities, including by providing adequate funding and prioritizing strategic initiatives, we may face greater risk that an unauthorized party will obtain access to our systems, networks, or data.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such actions are believed to occur, our platform may be perceived as insecure, and we may lose existing users or fail to attract and retain new users.</w:t>
      </w:r>
    </w:p>
    <w:p>
      <w:pPr>
        <w:spacing w:after="0" w:line="221" w:lineRule="exact"/>
        <w:rPr>
          <w:sz w:val="20"/>
          <w:szCs w:val="20"/>
          <w:color w:val="auto"/>
        </w:rPr>
      </w:pPr>
    </w:p>
    <w:p>
      <w:pPr>
        <w:ind w:right="80" w:firstLine="391"/>
        <w:spacing w:after="0" w:line="239" w:lineRule="auto"/>
        <w:rPr>
          <w:sz w:val="20"/>
          <w:szCs w:val="20"/>
          <w:color w:val="auto"/>
        </w:rPr>
      </w:pPr>
      <w:r>
        <w:rPr>
          <w:rFonts w:ascii="Arial" w:cs="Arial" w:eastAsia="Arial" w:hAnsi="Arial"/>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shift to Virtual First.</w:t>
      </w:r>
    </w:p>
    <w:p>
      <w:pPr>
        <w:spacing w:after="0" w:line="210"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197" w:lineRule="exact"/>
        <w:rPr>
          <w:sz w:val="20"/>
          <w:szCs w:val="20"/>
          <w:color w:val="auto"/>
        </w:rPr>
      </w:pPr>
    </w:p>
    <w:p>
      <w:pPr>
        <w:ind w:right="200" w:firstLine="391"/>
        <w:spacing w:after="0" w:line="263" w:lineRule="auto"/>
        <w:rPr>
          <w:sz w:val="20"/>
          <w:szCs w:val="20"/>
          <w:color w:val="auto"/>
        </w:rPr>
      </w:pPr>
      <w:r>
        <w:rPr>
          <w:rFonts w:ascii="Arial" w:cs="Arial" w:eastAsia="Arial" w:hAnsi="Arial"/>
          <w:sz w:val="17"/>
          <w:szCs w:val="17"/>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This risk may be heightened as we transition to a Virtual First and increasingly distributed workforce. In addition, our users may also disclose or lose control of their passwords, or use the same or similar passwords on third parties’ systems, which could lead to unauthorized access to their accounts on our platform.</w:t>
      </w:r>
    </w:p>
    <w:p>
      <w:pPr>
        <w:spacing w:after="0" w:line="205" w:lineRule="exact"/>
        <w:rPr>
          <w:sz w:val="20"/>
          <w:szCs w:val="20"/>
          <w:color w:val="auto"/>
        </w:rPr>
      </w:pPr>
    </w:p>
    <w:p>
      <w:pPr>
        <w:ind w:right="100" w:firstLine="391"/>
        <w:spacing w:after="0" w:line="258"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by any significant disruption of service on our platform or loss of content.</w:t>
      </w:r>
    </w:p>
    <w:p>
      <w:pPr>
        <w:spacing w:after="0" w:line="247" w:lineRule="exact"/>
        <w:rPr>
          <w:sz w:val="20"/>
          <w:szCs w:val="20"/>
          <w:color w:val="auto"/>
        </w:rPr>
      </w:pPr>
    </w:p>
    <w:p>
      <w:pPr>
        <w:ind w:right="180" w:firstLine="391"/>
        <w:spacing w:after="0" w:line="262"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4"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add to our infrastructure, we may move or transfer additional content.</w:t>
      </w:r>
    </w:p>
    <w:p>
      <w:pPr>
        <w:spacing w:after="0" w:line="201" w:lineRule="exact"/>
        <w:rPr>
          <w:sz w:val="20"/>
          <w:szCs w:val="20"/>
          <w:color w:val="auto"/>
        </w:rPr>
      </w:pPr>
    </w:p>
    <w:p>
      <w:pPr>
        <w:ind w:firstLine="391"/>
        <w:spacing w:after="0" w:line="278" w:lineRule="auto"/>
        <w:rPr>
          <w:sz w:val="20"/>
          <w:szCs w:val="20"/>
          <w:color w:val="auto"/>
        </w:rPr>
      </w:pPr>
      <w:r>
        <w:rPr>
          <w:rFonts w:ascii="Arial" w:cs="Arial" w:eastAsia="Arial" w:hAnsi="Arial"/>
          <w:sz w:val="16"/>
          <w:szCs w:val="16"/>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Significant and unforeseen disruptions to the supply chain, including those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resulting from the COVID-19 pandemic, in addition to competition for a limited supply of such equipment, may impede our ability to meet our short-term or long-term infrastructure capacity requirements.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168" w:lineRule="exact"/>
        <w:rPr>
          <w:sz w:val="20"/>
          <w:szCs w:val="20"/>
          <w:color w:val="auto"/>
        </w:rPr>
      </w:pPr>
    </w:p>
    <w:p>
      <w:pPr>
        <w:ind w:right="20" w:firstLine="391"/>
        <w:spacing w:after="0" w:line="267" w:lineRule="auto"/>
        <w:rPr>
          <w:sz w:val="20"/>
          <w:szCs w:val="20"/>
          <w:color w:val="auto"/>
        </w:rPr>
      </w:pPr>
      <w:r>
        <w:rPr>
          <w:rFonts w:ascii="Arial" w:cs="Arial" w:eastAsia="Arial" w:hAnsi="Arial"/>
          <w:sz w:val="15"/>
          <w:szCs w:val="15"/>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9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The full extent of the impacts of the COVID-19 pandemic on our business is currently unknown, but it may adversely affect our financial results as well as our business operations.</w:t>
      </w:r>
    </w:p>
    <w:p>
      <w:pPr>
        <w:spacing w:after="0" w:line="185"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The full extent of the impacts of the COVID-19 pandemic on our financial results and business operations are currently unknown and cannot be estimated with any degree of certainty. Impacts to our financial results may include, without limitation, (1) negative impacts to our current and prospective users’ purchases or renewals of paid licenses for access to our platform, delays or defaults on payment obligations, which could negatively affect our revenues and cash flows, (2) modifications to net payment terms or invoice frequency, which could negatively affect our cash flows, (3) fluctuations in foreign currency exchange rates, which have and may in the future negatively impact our results of operations and cash flows, and (4) decreases in interest rates, which have and may continue to reduce interest income. Impacts to our business operations may include, without limitation, (1) disruptions to our sales operations and marketing efforts, (2) negative impacts to the financial condition or operations of our vendors and business partners, as well as disruptions to the supply chain of hardware needed to offer our services, (3) disruptions to our ability to conduct product development and other important business activities, and (4) potential postponement or cancellation of previously planned investments or other initiatives. Accordingly, the COVID-19 pandemic may have a negative impact on our financial results as well as our business operations, the magnitude and duration of which we are currently unable to predict. Additionally, concerns over the economic impact of the COVID-19 pandemic have caused extreme volatility in financial and other capital markets which may adversely impact our stock price.</w:t>
      </w:r>
    </w:p>
    <w:p>
      <w:pPr>
        <w:spacing w:after="0" w:line="199"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85" w:lineRule="exact"/>
        <w:rPr>
          <w:sz w:val="20"/>
          <w:szCs w:val="20"/>
          <w:color w:val="auto"/>
        </w:rPr>
      </w:pPr>
    </w:p>
    <w:p>
      <w:pPr>
        <w:ind w:right="180" w:firstLine="391"/>
        <w:spacing w:after="0" w:line="26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 current shift to remote or distributed work does not materialize into a longer-term trend, demand for our platform could be negatively affected.</w:t>
      </w:r>
    </w:p>
    <w:p>
      <w:pPr>
        <w:spacing w:after="0" w:line="201" w:lineRule="exact"/>
        <w:rPr>
          <w:sz w:val="20"/>
          <w:szCs w:val="20"/>
          <w:color w:val="auto"/>
        </w:rPr>
      </w:pPr>
    </w:p>
    <w:p>
      <w:pPr>
        <w:jc w:val="both"/>
        <w:ind w:right="40" w:firstLine="391"/>
        <w:spacing w:after="0" w:line="271" w:lineRule="auto"/>
        <w:rPr>
          <w:sz w:val="20"/>
          <w:szCs w:val="20"/>
          <w:color w:val="auto"/>
        </w:rPr>
      </w:pPr>
      <w:r>
        <w:rPr>
          <w:rFonts w:ascii="Arial" w:cs="Arial" w:eastAsia="Arial" w:hAnsi="Arial"/>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97" w:lineRule="exact"/>
        <w:rPr>
          <w:sz w:val="20"/>
          <w:szCs w:val="20"/>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awareness of the content collaboration category generally;</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scale, and duration, of trends towards or away from remote or distributed work;</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brand;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260" w:hanging="318"/>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customer support; and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pricing.</w:t>
      </w:r>
    </w:p>
    <w:p>
      <w:pPr>
        <w:spacing w:after="0" w:line="247" w:lineRule="exact"/>
        <w:rPr>
          <w:sz w:val="20"/>
          <w:szCs w:val="20"/>
          <w:color w:val="auto"/>
        </w:rPr>
      </w:pPr>
    </w:p>
    <w:p>
      <w:pPr>
        <w:ind w:right="140" w:firstLine="391"/>
        <w:spacing w:after="0" w:line="271" w:lineRule="auto"/>
        <w:rPr>
          <w:sz w:val="20"/>
          <w:szCs w:val="20"/>
          <w:color w:val="auto"/>
        </w:rPr>
      </w:pPr>
      <w:r>
        <w:rPr>
          <w:rFonts w:ascii="Arial" w:cs="Arial" w:eastAsia="Arial" w:hAnsi="Arial"/>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70" w:lineRule="exact"/>
        <w:rPr>
          <w:sz w:val="20"/>
          <w:szCs w:val="20"/>
          <w:color w:val="auto"/>
        </w:rPr>
      </w:pPr>
    </w:p>
    <w:p>
      <w:pPr>
        <w:ind w:right="160" w:firstLine="391"/>
        <w:spacing w:after="0" w:line="259" w:lineRule="auto"/>
        <w:rPr>
          <w:sz w:val="20"/>
          <w:szCs w:val="20"/>
          <w:color w:val="auto"/>
        </w:rPr>
      </w:pPr>
      <w:r>
        <w:rPr>
          <w:rFonts w:ascii="Arial" w:cs="Arial" w:eastAsia="Arial" w:hAnsi="Arial"/>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211" w:lineRule="exact"/>
        <w:rPr>
          <w:sz w:val="20"/>
          <w:szCs w:val="20"/>
          <w:color w:val="auto"/>
        </w:rPr>
      </w:pPr>
    </w:p>
    <w:p>
      <w:pPr>
        <w:ind w:firstLine="391"/>
        <w:spacing w:after="0" w:line="278"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85" w:lineRule="exact"/>
        <w:rPr>
          <w:sz w:val="20"/>
          <w:szCs w:val="20"/>
          <w:color w:val="auto"/>
        </w:rPr>
      </w:pPr>
    </w:p>
    <w:p>
      <w:pPr>
        <w:ind w:right="40" w:firstLine="391"/>
        <w:spacing w:after="0" w:line="275"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In addition, while we believe current trends towards remote or distributed work will prove to be significant and long lasting, and that these trends will open up increased market opportunities for us,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2019, we launched Dropbox Spaces, an evolution of the shared folder which creates a collaborative workspace for individuals and teams to work together. More recently, in 2020, we introduced Dropbox Passwords and Vault to provide additional security features for our users to safely store and access content on our platform. We also launched the Creative Tools Add-On in 2020 to improve the collaboration experience for users who work with media content.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20" w:firstLine="391"/>
        <w:spacing w:after="0" w:line="275"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as a result of the ongoing COVID-19 pandemic, we are temporarily requiring substantially all of our employees to work remotely, which may lead to disruptions and decreased productivity that could result in delays in our product development process. The risk of such disruptions and decreased productivity may persist as we transition to a Virtual First workforce.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manage our growth or plan for future growth.</w:t>
      </w:r>
    </w:p>
    <w:p>
      <w:pPr>
        <w:spacing w:after="0" w:line="247"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Since our founding in 2007, we have experienced rapid growth. 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 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as we transition to a Virtual First workforce and seek to align our resources in order to create a more nimble and streamlined organization.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207"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In addition, the expansion of our business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85" w:lineRule="exact"/>
        <w:rPr>
          <w:sz w:val="20"/>
          <w:szCs w:val="20"/>
          <w:color w:val="auto"/>
        </w:rPr>
      </w:pPr>
    </w:p>
    <w:p>
      <w:pPr>
        <w:ind w:right="60" w:firstLine="391"/>
        <w:spacing w:after="0" w:line="283" w:lineRule="auto"/>
        <w:rPr>
          <w:sz w:val="20"/>
          <w:szCs w:val="20"/>
          <w:color w:val="auto"/>
        </w:rPr>
      </w:pPr>
      <w:r>
        <w:rPr>
          <w:rFonts w:ascii="Arial" w:cs="Arial" w:eastAsia="Arial" w:hAnsi="Arial"/>
          <w:sz w:val="16"/>
          <w:szCs w:val="16"/>
          <w:color w:val="auto"/>
        </w:rPr>
        <w:t>We depend on the continued service and performance of our key personnel. In particular, Andrew W. Houston, our Chief Executive Officer and one of our co-founders, is critical to our vision, strategic direction, culture, and offerings. From time to 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192" w:lineRule="exact"/>
        <w:rPr>
          <w:sz w:val="20"/>
          <w:szCs w:val="20"/>
          <w:color w:val="auto"/>
        </w:rPr>
      </w:pPr>
    </w:p>
    <w:p>
      <w:pPr>
        <w:ind w:right="60" w:firstLine="391"/>
        <w:spacing w:after="0" w:line="262" w:lineRule="auto"/>
        <w:rPr>
          <w:sz w:val="20"/>
          <w:szCs w:val="20"/>
          <w:color w:val="auto"/>
        </w:rPr>
      </w:pPr>
      <w:r>
        <w:rPr>
          <w:rFonts w:ascii="Arial" w:cs="Arial" w:eastAsia="Arial" w:hAnsi="Arial"/>
          <w:sz w:val="17"/>
          <w:szCs w:val="17"/>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new Virtual First strategy will give us the opportunity to realign our resources in order to create a more nimble and streamlined organization, we can provide no assurance that we will be able to successfully execute on these plans, and failure to successfully manage these transitions may cause disruptions to our business.</w:t>
      </w:r>
    </w:p>
    <w:p>
      <w:pPr>
        <w:spacing w:after="0" w:line="204" w:lineRule="exact"/>
        <w:rPr>
          <w:sz w:val="20"/>
          <w:szCs w:val="20"/>
          <w:color w:val="auto"/>
        </w:rPr>
      </w:pPr>
    </w:p>
    <w:p>
      <w:pPr>
        <w:ind w:right="40" w:firstLine="391"/>
        <w:spacing w:after="0" w:line="286" w:lineRule="auto"/>
        <w:rPr>
          <w:sz w:val="20"/>
          <w:szCs w:val="20"/>
          <w:color w:val="auto"/>
        </w:rPr>
      </w:pPr>
      <w:r>
        <w:rPr>
          <w:rFonts w:ascii="Arial" w:cs="Arial" w:eastAsia="Arial" w:hAnsi="Arial"/>
          <w:sz w:val="17"/>
          <w:szCs w:val="17"/>
          <w:color w:val="auto"/>
        </w:rPr>
        <w:t>To execute our business plan, we must attract and retain highly qualified personnel. Competition for these employees is intense and has recently intensified as a result of industry trends, particularly in the San Francisco Bay Area where our</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headquarters is located, and we may not be successful in attracting and retaining qualified personnel. We have experienced, and we may continue experience, difficulty in hiring and retaining highly skilled employees with appropriate qualifications. As we transition to a Virtual First workforce,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Furthermore, our workforce reduction in January 2021 may result in increased attrition beyond our intended reduction-in-force, reduce employee morale and negatively impact employee recruiting and retention. If we fail to attract new personnel, or fail to retain and motivate our current personnel, our business and growth prospects could be harmed.</w:t>
      </w:r>
    </w:p>
    <w:p>
      <w:pPr>
        <w:spacing w:after="0" w:line="195" w:lineRule="exact"/>
        <w:rPr>
          <w:sz w:val="20"/>
          <w:szCs w:val="20"/>
          <w:color w:val="auto"/>
        </w:rPr>
      </w:pPr>
    </w:p>
    <w:p>
      <w:pPr>
        <w:ind w:right="100" w:firstLine="391"/>
        <w:spacing w:after="0" w:line="266" w:lineRule="auto"/>
        <w:rPr>
          <w:sz w:val="20"/>
          <w:szCs w:val="20"/>
          <w:color w:val="auto"/>
        </w:rPr>
      </w:pPr>
      <w:r>
        <w:rPr>
          <w:rFonts w:ascii="Arial" w:cs="Arial" w:eastAsia="Arial" w:hAnsi="Arial"/>
          <w:sz w:val="17"/>
          <w:szCs w:val="17"/>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transition to a Virtual First workforce.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lack of a significant outbound sales force may limit the potential growth of our business.</w:t>
      </w:r>
    </w:p>
    <w:p>
      <w:pPr>
        <w:spacing w:after="0" w:line="247" w:lineRule="exact"/>
        <w:rPr>
          <w:sz w:val="20"/>
          <w:szCs w:val="20"/>
          <w:color w:val="auto"/>
        </w:rPr>
      </w:pPr>
    </w:p>
    <w:p>
      <w:pPr>
        <w:ind w:firstLine="391"/>
        <w:spacing w:after="0" w:line="296" w:lineRule="auto"/>
        <w:rPr>
          <w:sz w:val="20"/>
          <w:szCs w:val="20"/>
          <w:color w:val="auto"/>
        </w:rPr>
      </w:pPr>
      <w:r>
        <w:rPr>
          <w:rFonts w:ascii="Arial" w:cs="Arial" w:eastAsia="Arial" w:hAnsi="Arial"/>
          <w:sz w:val="15"/>
          <w:szCs w:val="15"/>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Furthermore, as part of our workforce reduction in January 2021 we have reduced the size of our outbound sales force to simplify and drive further efficiencies in our outbound sales operations.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expand sales to large organizations, which could lengthen sales cycles and result in greater deployment challenges.</w:t>
      </w:r>
    </w:p>
    <w:p>
      <w:pPr>
        <w:spacing w:after="0" w:line="247"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catastrophic events, including public health epidemics such as the ongoing COVID-19 pandemic, that limit our ability to travel or meet in person, as well as the reduction in the size of our outbound sales force as part of our workforce reduction in January 2021. As a result, sales to large organizations may lead to greater unpredictability in our business,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offer high-quality customer support may harm our relationships with our users and our financial results.</w:t>
      </w:r>
    </w:p>
    <w:p>
      <w:pPr>
        <w:spacing w:after="0" w:line="247" w:lineRule="exact"/>
        <w:rPr>
          <w:sz w:val="20"/>
          <w:szCs w:val="20"/>
          <w:color w:val="auto"/>
        </w:rPr>
      </w:pPr>
    </w:p>
    <w:p>
      <w:pPr>
        <w:ind w:right="40" w:firstLine="391"/>
        <w:spacing w:after="0" w:line="260"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16.14 million as of June 30, 2021.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support, or a market perception that we do not maintain high-quality customer support, could harm our reputation, business, results of operations, and financial condition.</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85" w:lineRule="exact"/>
        <w:rPr>
          <w:sz w:val="20"/>
          <w:szCs w:val="20"/>
          <w:color w:val="auto"/>
        </w:rPr>
      </w:pPr>
    </w:p>
    <w:p>
      <w:pPr>
        <w:ind w:right="20" w:firstLine="391"/>
        <w:spacing w:after="0" w:line="306" w:lineRule="auto"/>
        <w:rPr>
          <w:sz w:val="20"/>
          <w:szCs w:val="20"/>
          <w:color w:val="auto"/>
        </w:rPr>
      </w:pPr>
      <w:r>
        <w:rPr>
          <w:rFonts w:ascii="Arial" w:cs="Arial" w:eastAsia="Arial" w:hAnsi="Arial"/>
          <w:sz w:val="15"/>
          <w:szCs w:val="15"/>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7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85" w:lineRule="exact"/>
        <w:rPr>
          <w:sz w:val="20"/>
          <w:szCs w:val="20"/>
          <w:color w:val="auto"/>
        </w:rPr>
      </w:pPr>
    </w:p>
    <w:p>
      <w:pPr>
        <w:ind w:firstLine="391"/>
        <w:spacing w:after="0" w:line="278" w:lineRule="auto"/>
        <w:rPr>
          <w:sz w:val="20"/>
          <w:szCs w:val="20"/>
          <w:color w:val="auto"/>
        </w:rPr>
      </w:pPr>
      <w:r>
        <w:rPr>
          <w:rFonts w:ascii="Arial" w:cs="Arial" w:eastAsia="Arial" w:hAnsi="Arial"/>
          <w:sz w:val="16"/>
          <w:szCs w:val="16"/>
          <w:color w:val="auto"/>
        </w:rPr>
        <w:t>We have paying users across 180 countries and approximately half of our revenue in the year ended December 31, 2020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97" w:lineRule="exact"/>
        <w:rPr>
          <w:sz w:val="20"/>
          <w:szCs w:val="20"/>
          <w:color w:val="auto"/>
        </w:rPr>
      </w:pPr>
    </w:p>
    <w:p>
      <w:pPr>
        <w:ind w:left="1260" w:right="560" w:hanging="318"/>
        <w:spacing w:after="0" w:line="271" w:lineRule="auto"/>
        <w:tabs>
          <w:tab w:leader="none" w:pos="1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with applicable international laws, regulations, and standards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97" w:lineRule="exact"/>
        <w:rPr>
          <w:rFonts w:ascii="Arial" w:cs="Arial" w:eastAsia="Arial" w:hAnsi="Arial"/>
          <w:sz w:val="17"/>
          <w:szCs w:val="17"/>
          <w:color w:val="auto"/>
        </w:rPr>
      </w:pPr>
    </w:p>
    <w:p>
      <w:pPr>
        <w:ind w:left="1260" w:right="480" w:hanging="318"/>
        <w:spacing w:after="0" w:line="286" w:lineRule="auto"/>
        <w:tabs>
          <w:tab w:leader="none" w:pos="1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recruiting and retaining talented and capable employees outside the United States, and maintaining our company culture across all of our locations, including as we shift to a Virtual First and increasingly distributed workforce;</w:t>
      </w:r>
    </w:p>
    <w:p>
      <w:pPr>
        <w:spacing w:after="0" w:line="185" w:lineRule="exact"/>
        <w:rPr>
          <w:rFonts w:ascii="Arial" w:cs="Arial" w:eastAsia="Arial" w:hAnsi="Arial"/>
          <w:sz w:val="17"/>
          <w:szCs w:val="17"/>
          <w:color w:val="auto"/>
        </w:rPr>
      </w:pPr>
    </w:p>
    <w:p>
      <w:pPr>
        <w:ind w:left="1260" w:right="120" w:hanging="318"/>
        <w:spacing w:after="0" w:line="357" w:lineRule="auto"/>
        <w:tabs>
          <w:tab w:leader="none" w:pos="1256"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38" w:lineRule="exact"/>
        <w:rPr>
          <w:rFonts w:ascii="Arial" w:cs="Arial" w:eastAsia="Arial" w:hAnsi="Arial"/>
          <w:sz w:val="15"/>
          <w:szCs w:val="15"/>
          <w:color w:val="auto"/>
        </w:rPr>
      </w:pPr>
    </w:p>
    <w:p>
      <w:pPr>
        <w:ind w:left="1260" w:hanging="318"/>
        <w:spacing w:after="0"/>
        <w:tabs>
          <w:tab w:leader="none" w:pos="12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management of an employee base in jurisdictions that may not give us the same employment and retention flexibility as does the United States;</w:t>
      </w:r>
    </w:p>
    <w:p>
      <w:pPr>
        <w:spacing w:after="0" w:line="270" w:lineRule="exact"/>
        <w:rPr>
          <w:rFonts w:ascii="Arial" w:cs="Arial" w:eastAsia="Arial" w:hAnsi="Arial"/>
          <w:sz w:val="15"/>
          <w:szCs w:val="15"/>
          <w:color w:val="auto"/>
        </w:rPr>
      </w:pPr>
    </w:p>
    <w:p>
      <w:pPr>
        <w:ind w:left="1260" w:hanging="318"/>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w:t>
      </w:r>
    </w:p>
    <w:p>
      <w:pPr>
        <w:spacing w:after="0" w:line="247" w:lineRule="exact"/>
        <w:rPr>
          <w:rFonts w:ascii="Arial" w:cs="Arial" w:eastAsia="Arial" w:hAnsi="Arial"/>
          <w:sz w:val="17"/>
          <w:szCs w:val="17"/>
          <w:color w:val="auto"/>
        </w:rPr>
      </w:pPr>
    </w:p>
    <w:p>
      <w:pPr>
        <w:ind w:left="1260" w:right="660" w:hanging="318"/>
        <w:spacing w:after="0" w:line="286" w:lineRule="auto"/>
        <w:tabs>
          <w:tab w:leader="none" w:pos="1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85" w:lineRule="exact"/>
        <w:rPr>
          <w:rFonts w:ascii="Arial" w:cs="Arial" w:eastAsia="Arial" w:hAnsi="Arial"/>
          <w:sz w:val="17"/>
          <w:szCs w:val="17"/>
          <w:color w:val="auto"/>
        </w:rPr>
      </w:pPr>
    </w:p>
    <w:p>
      <w:pPr>
        <w:ind w:left="1260" w:right="20" w:hanging="318"/>
        <w:spacing w:after="0" w:line="286" w:lineRule="auto"/>
        <w:tabs>
          <w:tab w:leader="none" w:pos="1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247" w:lineRule="exact"/>
        <w:rPr>
          <w:rFonts w:ascii="Arial" w:cs="Arial" w:eastAsia="Arial" w:hAnsi="Arial"/>
          <w:sz w:val="17"/>
          <w:szCs w:val="17"/>
          <w:color w:val="auto"/>
        </w:rPr>
      </w:pPr>
    </w:p>
    <w:p>
      <w:pPr>
        <w:ind w:left="1260" w:right="220" w:hanging="318"/>
        <w:spacing w:after="0" w:line="286" w:lineRule="auto"/>
        <w:tabs>
          <w:tab w:leader="none" w:pos="1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260" w:right="180" w:hanging="318"/>
        <w:spacing w:after="0" w:line="286" w:lineRule="auto"/>
        <w:tabs>
          <w:tab w:leader="none" w:pos="1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 and</w:t>
      </w:r>
    </w:p>
    <w:p>
      <w:pPr>
        <w:spacing w:after="0" w:line="247" w:lineRule="exact"/>
        <w:rPr>
          <w:rFonts w:ascii="Arial" w:cs="Arial" w:eastAsia="Arial" w:hAnsi="Arial"/>
          <w:sz w:val="17"/>
          <w:szCs w:val="17"/>
          <w:color w:val="auto"/>
        </w:rPr>
      </w:pPr>
    </w:p>
    <w:p>
      <w:pPr>
        <w:ind w:left="1260" w:hanging="318"/>
        <w:spacing w:after="0" w:line="286" w:lineRule="auto"/>
        <w:tabs>
          <w:tab w:leader="none" w:pos="1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natural disasters and public health epidemics on employees, travel and the global economy, including the ongoing global COVID-19 pandemic.</w:t>
      </w:r>
    </w:p>
    <w:p>
      <w:pPr>
        <w:spacing w:after="0" w:line="185" w:lineRule="exact"/>
        <w:rPr>
          <w:sz w:val="20"/>
          <w:szCs w:val="20"/>
          <w:color w:val="auto"/>
        </w:rPr>
      </w:pPr>
    </w:p>
    <w:p>
      <w:pPr>
        <w:ind w:right="20" w:firstLine="391"/>
        <w:spacing w:after="0" w:line="261" w:lineRule="auto"/>
        <w:rPr>
          <w:sz w:val="20"/>
          <w:szCs w:val="20"/>
          <w:color w:val="auto"/>
        </w:rPr>
      </w:pPr>
      <w:r>
        <w:rPr>
          <w:rFonts w:ascii="Arial" w:cs="Arial" w:eastAsia="Arial" w:hAnsi="Arial"/>
          <w:sz w:val="17"/>
          <w:szCs w:val="17"/>
          <w:color w:val="auto"/>
        </w:rPr>
        <w:t>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Any violations could result in regulatory investigations and enforcement actions, fines, civil and criminal penalties, damages, injunctions, restrictions on our ability to conduct business, or reputational harm. If we are unable comply with these laws and regulations or manage the complexity of our global operations successfully, our business, results of operations, and financial condition could be adversely affected.</w:t>
      </w:r>
    </w:p>
    <w:p>
      <w:pPr>
        <w:spacing w:after="0" w:line="20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85" w:lineRule="exact"/>
        <w:rPr>
          <w:sz w:val="20"/>
          <w:szCs w:val="20"/>
          <w:color w:val="auto"/>
        </w:rPr>
      </w:pPr>
    </w:p>
    <w:p>
      <w:pPr>
        <w:ind w:right="40" w:firstLine="391"/>
        <w:spacing w:after="0" w:line="287"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88" w:lineRule="exact"/>
        <w:rPr>
          <w:sz w:val="20"/>
          <w:szCs w:val="20"/>
          <w:color w:val="auto"/>
        </w:rPr>
      </w:pPr>
    </w:p>
    <w:p>
      <w:pPr>
        <w:ind w:right="140" w:firstLine="391"/>
        <w:spacing w:after="0" w:line="279" w:lineRule="auto"/>
        <w:rPr>
          <w:sz w:val="20"/>
          <w:szCs w:val="20"/>
          <w:color w:val="auto"/>
        </w:rPr>
      </w:pPr>
      <w:r>
        <w:rPr>
          <w:rFonts w:ascii="Arial" w:cs="Arial" w:eastAsia="Arial" w:hAnsi="Arial"/>
          <w:sz w:val="16"/>
          <w:szCs w:val="16"/>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96" w:lineRule="exact"/>
        <w:rPr>
          <w:sz w:val="20"/>
          <w:szCs w:val="20"/>
          <w:color w:val="auto"/>
        </w:rPr>
      </w:pPr>
    </w:p>
    <w:p>
      <w:pPr>
        <w:ind w:right="20" w:firstLine="391"/>
        <w:spacing w:after="0" w:line="281"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85" w:lineRule="exact"/>
        <w:rPr>
          <w:sz w:val="20"/>
          <w:szCs w:val="20"/>
          <w:color w:val="auto"/>
        </w:rPr>
      </w:pPr>
    </w:p>
    <w:p>
      <w:pPr>
        <w:ind w:right="200" w:firstLine="391"/>
        <w:spacing w:after="0" w:line="262"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4" w:lineRule="exact"/>
        <w:rPr>
          <w:sz w:val="20"/>
          <w:szCs w:val="20"/>
          <w:color w:val="auto"/>
        </w:rPr>
      </w:pPr>
    </w:p>
    <w:p>
      <w:pPr>
        <w:ind w:right="560" w:firstLine="391"/>
        <w:spacing w:after="0" w:line="286" w:lineRule="auto"/>
        <w:rPr>
          <w:sz w:val="20"/>
          <w:szCs w:val="20"/>
          <w:color w:val="auto"/>
        </w:rPr>
      </w:pPr>
      <w:r>
        <w:rPr>
          <w:rFonts w:ascii="Arial" w:cs="Arial" w:eastAsia="Arial" w:hAnsi="Arial"/>
          <w:sz w:val="17"/>
          <w:szCs w:val="17"/>
          <w:color w:val="auto"/>
        </w:rPr>
        <w:t>We also depend on our ecosystem of developers to create applications that will integrate with our platform. As of December 31, 2020, Dropbox was receiving over 60 billion API calls per month, and more than 750,000 developers had</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97" w:lineRule="exact"/>
        <w:rPr>
          <w:sz w:val="20"/>
          <w:szCs w:val="20"/>
          <w:color w:val="auto"/>
        </w:rPr>
      </w:pPr>
    </w:p>
    <w:p>
      <w:pPr>
        <w:ind w:firstLine="391"/>
        <w:spacing w:after="0" w:line="286" w:lineRule="auto"/>
        <w:rPr>
          <w:sz w:val="20"/>
          <w:szCs w:val="20"/>
          <w:color w:val="auto"/>
        </w:rPr>
      </w:pPr>
      <w:r>
        <w:rPr>
          <w:rFonts w:ascii="Arial" w:cs="Arial" w:eastAsia="Arial" w:hAnsi="Arial"/>
          <w:sz w:val="17"/>
          <w:szCs w:val="17"/>
          <w:color w:val="auto"/>
        </w:rPr>
        <w:t>We may not have the ability to control or prevent these risks. As a result, issues relating to these applications could adversely affect our business, brand, and reputation.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70" w:lineRule="exact"/>
        <w:rPr>
          <w:sz w:val="20"/>
          <w:szCs w:val="20"/>
          <w:color w:val="auto"/>
        </w:rPr>
      </w:pPr>
    </w:p>
    <w:p>
      <w:pPr>
        <w:ind w:right="40" w:firstLine="391"/>
        <w:spacing w:after="0" w:line="277"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247" w:lineRule="exact"/>
        <w:rPr>
          <w:sz w:val="20"/>
          <w:szCs w:val="20"/>
          <w:color w:val="auto"/>
        </w:rPr>
      </w:pPr>
    </w:p>
    <w:p>
      <w:pPr>
        <w:ind w:firstLine="391"/>
        <w:spacing w:after="0" w:line="279" w:lineRule="auto"/>
        <w:rPr>
          <w:sz w:val="20"/>
          <w:szCs w:val="20"/>
          <w:color w:val="auto"/>
        </w:rPr>
      </w:pPr>
      <w:r>
        <w:rPr>
          <w:rFonts w:ascii="Arial" w:cs="Arial" w:eastAsia="Arial" w:hAnsi="Arial"/>
          <w:sz w:val="16"/>
          <w:szCs w:val="16"/>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6" w:lineRule="exact"/>
        <w:rPr>
          <w:sz w:val="20"/>
          <w:szCs w:val="20"/>
          <w:color w:val="auto"/>
        </w:rPr>
      </w:pPr>
    </w:p>
    <w:p>
      <w:pPr>
        <w:ind w:right="40" w:firstLine="391"/>
        <w:spacing w:after="0" w:line="271" w:lineRule="auto"/>
        <w:rPr>
          <w:sz w:val="20"/>
          <w:szCs w:val="20"/>
          <w:color w:val="auto"/>
        </w:rPr>
      </w:pPr>
      <w:r>
        <w:rPr>
          <w:rFonts w:ascii="Arial" w:cs="Arial" w:eastAsia="Arial" w:hAnsi="Arial"/>
          <w:sz w:val="17"/>
          <w:szCs w:val="17"/>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97" w:lineRule="exact"/>
        <w:rPr>
          <w:sz w:val="20"/>
          <w:szCs w:val="20"/>
          <w:color w:val="auto"/>
        </w:rPr>
      </w:pPr>
    </w:p>
    <w:p>
      <w:pPr>
        <w:ind w:left="1260" w:hanging="31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us to issue refunds to our users or expose us to claims for damages;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cause us to lose existing users and make it more difficult to attract new users;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24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85" w:lineRule="exact"/>
        <w:rPr>
          <w:sz w:val="20"/>
          <w:szCs w:val="20"/>
          <w:color w:val="auto"/>
        </w:rPr>
      </w:pPr>
    </w:p>
    <w:p>
      <w:pPr>
        <w:ind w:right="40" w:firstLine="391"/>
        <w:spacing w:after="0" w:line="271" w:lineRule="auto"/>
        <w:rPr>
          <w:sz w:val="20"/>
          <w:szCs w:val="20"/>
          <w:color w:val="auto"/>
        </w:rPr>
      </w:pPr>
      <w:r>
        <w:rPr>
          <w:rFonts w:ascii="Arial" w:cs="Arial" w:eastAsia="Arial" w:hAnsi="Arial"/>
          <w:sz w:val="17"/>
          <w:szCs w:val="17"/>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2021, we acquired DocSend, a secure document sharing platform, to expand our content collaboration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capabilities to include additional business critical workflows. The pursuit of acquisitions may divert the attention of management and cause us to incur various expenses in identifying, investigating, and pursuing suitable acquisitions, whether or not they are consummated.</w:t>
      </w:r>
    </w:p>
    <w:p>
      <w:pPr>
        <w:spacing w:after="0" w:line="185" w:lineRule="exact"/>
        <w:rPr>
          <w:sz w:val="20"/>
          <w:szCs w:val="20"/>
          <w:color w:val="auto"/>
        </w:rPr>
      </w:pPr>
    </w:p>
    <w:p>
      <w:pPr>
        <w:ind w:right="280" w:firstLine="391"/>
        <w:spacing w:after="0" w:line="271" w:lineRule="auto"/>
        <w:rPr>
          <w:sz w:val="20"/>
          <w:szCs w:val="20"/>
          <w:color w:val="auto"/>
        </w:rPr>
      </w:pPr>
      <w:r>
        <w:rPr>
          <w:rFonts w:ascii="Arial" w:cs="Arial" w:eastAsia="Arial" w:hAnsi="Arial"/>
          <w:sz w:val="17"/>
          <w:szCs w:val="17"/>
          <w:color w:val="auto"/>
        </w:rPr>
        <w:t>We have limited experience making acquisitions. We may not be able to find suitable acquisition candidates and we may not be able to complete acquisitions on favorable terms, if at all. If we do complete acquisitions, we may not ultimately strengthen our competitive position or achieve the anticipated benefits from such acquisitions, due to a number of factors, including:</w:t>
      </w:r>
    </w:p>
    <w:p>
      <w:pPr>
        <w:spacing w:after="0" w:line="197" w:lineRule="exact"/>
        <w:rPr>
          <w:sz w:val="20"/>
          <w:szCs w:val="20"/>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acquisition-related costs, liabilities, or tax impacts, some of which may be unanticipated;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258" w:lineRule="exact"/>
        <w:rPr>
          <w:rFonts w:ascii="Arial" w:cs="Arial" w:eastAsia="Arial" w:hAnsi="Arial"/>
          <w:sz w:val="16"/>
          <w:szCs w:val="16"/>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ineffective or inadequate, controls, procedures, or policies at an acquired business;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multiple product lines or services offerings, as a result of our acquisitions, that are offered, priced, and supported differently;</w:t>
      </w:r>
    </w:p>
    <w:p>
      <w:pPr>
        <w:spacing w:after="0" w:line="247" w:lineRule="exact"/>
        <w:rPr>
          <w:rFonts w:ascii="Arial" w:cs="Arial" w:eastAsia="Arial" w:hAnsi="Arial"/>
          <w:sz w:val="17"/>
          <w:szCs w:val="17"/>
          <w:color w:val="auto"/>
        </w:rPr>
      </w:pPr>
    </w:p>
    <w:p>
      <w:pPr>
        <w:ind w:left="1260" w:right="380" w:hanging="318"/>
        <w:spacing w:after="0" w:line="286" w:lineRule="auto"/>
        <w:tabs>
          <w:tab w:leader="none" w:pos="12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 unknown liabilities or risks associated with an acquired business, including those arising from existing contractual obligations or litigation matters;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inability to maintain relationships with key customers, suppliers, and partners of an acquired business;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lack of experience in new markets, products or technologies;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 and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w:t>
      </w:r>
    </w:p>
    <w:p>
      <w:pPr>
        <w:spacing w:after="0" w:line="247" w:lineRule="exact"/>
        <w:rPr>
          <w:sz w:val="20"/>
          <w:szCs w:val="20"/>
          <w:color w:val="auto"/>
        </w:rPr>
      </w:pPr>
    </w:p>
    <w:p>
      <w:pPr>
        <w:jc w:val="both"/>
        <w:ind w:right="120" w:firstLine="313"/>
        <w:spacing w:after="0" w:line="271"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97" w:lineRule="exact"/>
        <w:rPr>
          <w:sz w:val="20"/>
          <w:szCs w:val="20"/>
          <w:color w:val="auto"/>
        </w:rPr>
      </w:pPr>
    </w:p>
    <w:p>
      <w:pPr>
        <w:ind w:right="120" w:firstLine="313"/>
        <w:spacing w:after="0" w:line="312" w:lineRule="auto"/>
        <w:rPr>
          <w:sz w:val="20"/>
          <w:szCs w:val="20"/>
          <w:color w:val="auto"/>
        </w:rPr>
      </w:pPr>
      <w:r>
        <w:rPr>
          <w:rFonts w:ascii="Arial" w:cs="Arial" w:eastAsia="Arial" w:hAnsi="Arial"/>
          <w:sz w:val="15"/>
          <w:szCs w:val="15"/>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71" w:lineRule="exact"/>
        <w:rPr>
          <w:sz w:val="20"/>
          <w:szCs w:val="20"/>
          <w:color w:val="auto"/>
        </w:rPr>
      </w:pPr>
    </w:p>
    <w:p>
      <w:pPr>
        <w:ind w:firstLine="313"/>
        <w:spacing w:after="0" w:line="271" w:lineRule="auto"/>
        <w:rPr>
          <w:sz w:val="20"/>
          <w:szCs w:val="20"/>
          <w:color w:val="auto"/>
        </w:rPr>
      </w:pPr>
      <w:r>
        <w:rPr>
          <w:rFonts w:ascii="Arial" w:cs="Arial" w:eastAsia="Arial" w:hAnsi="Arial"/>
          <w:sz w:val="17"/>
          <w:szCs w:val="17"/>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97" w:lineRule="exact"/>
        <w:rPr>
          <w:sz w:val="20"/>
          <w:szCs w:val="20"/>
          <w:color w:val="auto"/>
        </w:rPr>
      </w:pPr>
    </w:p>
    <w:p>
      <w:pPr>
        <w:ind w:right="160" w:firstLine="313"/>
        <w:spacing w:after="0" w:line="266" w:lineRule="auto"/>
        <w:rPr>
          <w:sz w:val="20"/>
          <w:szCs w:val="20"/>
          <w:color w:val="auto"/>
        </w:rPr>
      </w:pPr>
      <w:r>
        <w:rPr>
          <w:rFonts w:ascii="Arial" w:cs="Arial" w:eastAsia="Arial" w:hAnsi="Arial"/>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259" w:lineRule="exact"/>
        <w:rPr>
          <w:sz w:val="20"/>
          <w:szCs w:val="20"/>
          <w:color w:val="auto"/>
        </w:rPr>
      </w:pPr>
    </w:p>
    <w:p>
      <w:pPr>
        <w:jc w:val="both"/>
        <w:ind w:right="100" w:firstLine="391"/>
        <w:spacing w:after="0" w:line="283" w:lineRule="auto"/>
        <w:rPr>
          <w:sz w:val="20"/>
          <w:szCs w:val="20"/>
          <w:color w:val="auto"/>
        </w:rPr>
      </w:pPr>
      <w:r>
        <w:rPr>
          <w:rFonts w:ascii="Arial" w:cs="Arial" w:eastAsia="Arial" w:hAnsi="Arial"/>
          <w:sz w:val="16"/>
          <w:szCs w:val="16"/>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For example, the ongoing COVID-19 pandemic and efforts to control such pandemic have resulted in economic uncertainty worldwide and may cause, or have already caused, an economic recession in the United States and elsewhere, which could</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cause current and prospective paying users to delay, decrease, or cancel purchases of our products and services, or delay or default on their payment obligations.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As a result, our business, results of operations, and financial condition may be significantly affected by changes in the economy generally.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and future indebtedness may limit our operating flexibility or otherwise affect our business.</w:t>
      </w:r>
    </w:p>
    <w:p>
      <w:pPr>
        <w:spacing w:after="0" w:line="247" w:lineRule="exact"/>
        <w:rPr>
          <w:sz w:val="20"/>
          <w:szCs w:val="20"/>
          <w:color w:val="auto"/>
        </w:rPr>
      </w:pPr>
    </w:p>
    <w:p>
      <w:pPr>
        <w:ind w:right="220" w:firstLine="391"/>
        <w:spacing w:after="0" w:line="286" w:lineRule="auto"/>
        <w:rPr>
          <w:sz w:val="20"/>
          <w:szCs w:val="20"/>
          <w:color w:val="auto"/>
        </w:rPr>
      </w:pPr>
      <w:r>
        <w:rPr>
          <w:rFonts w:ascii="Arial" w:cs="Arial" w:eastAsia="Arial" w:hAnsi="Arial"/>
          <w:sz w:val="17"/>
          <w:szCs w:val="17"/>
          <w:color w:val="auto"/>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spacing w:after="0" w:line="185" w:lineRule="exact"/>
        <w:rPr>
          <w:sz w:val="20"/>
          <w:szCs w:val="20"/>
          <w:color w:val="auto"/>
        </w:rPr>
      </w:pPr>
    </w:p>
    <w:p>
      <w:pPr>
        <w:ind w:right="60" w:firstLine="391"/>
        <w:spacing w:after="0" w:line="287" w:lineRule="auto"/>
        <w:rPr>
          <w:sz w:val="20"/>
          <w:szCs w:val="20"/>
          <w:color w:val="auto"/>
        </w:rPr>
      </w:pPr>
      <w:r>
        <w:rPr>
          <w:rFonts w:ascii="Arial" w:cs="Arial" w:eastAsia="Arial" w:hAnsi="Arial"/>
          <w:sz w:val="16"/>
          <w:szCs w:val="16"/>
          <w:color w:val="auto"/>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addition, such current and future indebtedness could:</w:t>
      </w:r>
    </w:p>
    <w:p>
      <w:pPr>
        <w:spacing w:after="0" w:line="247" w:lineRule="exact"/>
        <w:rPr>
          <w:sz w:val="20"/>
          <w:szCs w:val="20"/>
          <w:color w:val="auto"/>
        </w:rPr>
      </w:pPr>
    </w:p>
    <w:p>
      <w:pPr>
        <w:ind w:left="1260" w:hanging="318"/>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make it more difficult for us to satisfy our debt obligations, including the 2026 Notes and the 2028 Notes;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247" w:lineRule="exact"/>
        <w:rPr>
          <w:rFonts w:ascii="Arial" w:cs="Arial" w:eastAsia="Arial" w:hAnsi="Arial"/>
          <w:sz w:val="17"/>
          <w:szCs w:val="17"/>
          <w:color w:val="auto"/>
        </w:rPr>
      </w:pPr>
    </w:p>
    <w:p>
      <w:pPr>
        <w:ind w:left="1260" w:right="40" w:hanging="318"/>
        <w:spacing w:after="0" w:line="286" w:lineRule="auto"/>
        <w:tabs>
          <w:tab w:leader="none" w:pos="12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w:t>
      </w:r>
    </w:p>
    <w:p>
      <w:pPr>
        <w:spacing w:after="0" w:line="247" w:lineRule="exact"/>
        <w:rPr>
          <w:rFonts w:ascii="Arial" w:cs="Arial" w:eastAsia="Arial" w:hAnsi="Arial"/>
          <w:sz w:val="17"/>
          <w:szCs w:val="17"/>
          <w:color w:val="auto"/>
        </w:rPr>
      </w:pPr>
    </w:p>
    <w:p>
      <w:pPr>
        <w:ind w:left="1260" w:right="380" w:hanging="318"/>
        <w:spacing w:after="0" w:line="286" w:lineRule="auto"/>
        <w:tabs>
          <w:tab w:leader="none" w:pos="12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 our current and future operations, make it more difficult to successfully execute our business strategy or restrict us from exploiting business opportunities;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place us at a competitive disadvantage compared to our competitors that have less indebtedness or are not subject to restrictive covenants; and</w:t>
      </w:r>
    </w:p>
    <w:p>
      <w:pPr>
        <w:spacing w:after="0" w:line="270" w:lineRule="exact"/>
        <w:rPr>
          <w:rFonts w:ascii="Arial" w:cs="Arial" w:eastAsia="Arial" w:hAnsi="Arial"/>
          <w:sz w:val="15"/>
          <w:szCs w:val="15"/>
          <w:color w:val="auto"/>
        </w:rPr>
      </w:pPr>
    </w:p>
    <w:p>
      <w:pPr>
        <w:ind w:left="1260" w:right="60" w:hanging="318"/>
        <w:spacing w:after="0" w:line="286" w:lineRule="auto"/>
        <w:tabs>
          <w:tab w:leader="none" w:pos="12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 our availability to borrow additional funds for working capital, capital expenditures, acquisitions, debt service requirements, execution of our business strategy or other general purposes.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Any of the foregoing could have a material adverse effect on our business, cash flows, results of operations and financial condition.</w:t>
      </w:r>
    </w:p>
    <w:p>
      <w:pPr>
        <w:spacing w:after="0" w:line="24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85" w:lineRule="exact"/>
        <w:rPr>
          <w:sz w:val="20"/>
          <w:szCs w:val="20"/>
          <w:color w:val="auto"/>
        </w:rPr>
      </w:pPr>
    </w:p>
    <w:p>
      <w:pPr>
        <w:ind w:right="60" w:firstLine="391"/>
        <w:spacing w:after="0" w:line="287" w:lineRule="auto"/>
        <w:rPr>
          <w:sz w:val="20"/>
          <w:szCs w:val="20"/>
          <w:color w:val="auto"/>
        </w:rPr>
      </w:pPr>
      <w:r>
        <w:rPr>
          <w:rFonts w:ascii="Arial" w:cs="Arial" w:eastAsia="Arial" w:hAnsi="Arial"/>
          <w:sz w:val="16"/>
          <w:szCs w:val="16"/>
          <w:color w:val="auto"/>
        </w:rPr>
        <w:t>We finance a significant portion of our expenditures through leasing arrangements, and we may enter into additional similar arrangements in the future. As of December 31, 2020, we had an aggregate of $1,624.1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88" w:lineRule="exact"/>
        <w:rPr>
          <w:sz w:val="20"/>
          <w:szCs w:val="20"/>
          <w:color w:val="auto"/>
        </w:rPr>
      </w:pPr>
    </w:p>
    <w:p>
      <w:pPr>
        <w:ind w:left="1260" w:hanging="318"/>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 repayment of any outstanding lease obligations;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terminate our leasing arrangements;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terminate our access to the leased datacenters we utilize;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stop delivery of ordered equipment;</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sell or require us to return our leased equipment;</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hanging="318"/>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repayment of any outstanding amounts drawn on our revolving credit facility;</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terminate our revolving credit facility; or</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us to pay significant fees, penalties, or damages.</w:t>
      </w:r>
    </w:p>
    <w:p>
      <w:pPr>
        <w:spacing w:after="0" w:line="247" w:lineRule="exact"/>
        <w:rPr>
          <w:sz w:val="20"/>
          <w:szCs w:val="20"/>
          <w:color w:val="auto"/>
        </w:rPr>
      </w:pPr>
    </w:p>
    <w:p>
      <w:pPr>
        <w:ind w:right="60" w:firstLine="391"/>
        <w:spacing w:after="0" w:line="263" w:lineRule="auto"/>
        <w:rPr>
          <w:sz w:val="20"/>
          <w:szCs w:val="20"/>
          <w:color w:val="auto"/>
        </w:rPr>
      </w:pPr>
      <w:r>
        <w:rPr>
          <w:rFonts w:ascii="Arial" w:cs="Arial" w:eastAsia="Arial" w:hAnsi="Arial"/>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99"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Risks Related to Our Financial Performance or Results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has declined in recent periods and may continue to slow in the future.</w:t>
      </w:r>
    </w:p>
    <w:p>
      <w:pPr>
        <w:spacing w:after="0" w:line="247" w:lineRule="exact"/>
        <w:rPr>
          <w:sz w:val="20"/>
          <w:szCs w:val="20"/>
          <w:color w:val="auto"/>
        </w:rPr>
      </w:pPr>
    </w:p>
    <w:p>
      <w:pPr>
        <w:ind w:right="60" w:firstLine="391"/>
        <w:spacing w:after="0" w:line="261" w:lineRule="auto"/>
        <w:rPr>
          <w:sz w:val="20"/>
          <w:szCs w:val="20"/>
          <w:color w:val="auto"/>
        </w:rPr>
      </w:pPr>
      <w:r>
        <w:rPr>
          <w:rFonts w:ascii="Arial" w:cs="Arial" w:eastAsia="Arial" w:hAnsi="Arial"/>
          <w:sz w:val="17"/>
          <w:szCs w:val="17"/>
          <w:color w:val="auto"/>
        </w:rPr>
        <w:t>We have experienced significant revenue growth in prior periods. However, 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 decrease in the growth of the overall content collaboration market, a failure by us to continue capitalizing on growth opportunities, the impact of catastrophic events on economic conditions or on our current and prospective paying users,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may increase expenses in the future, and we may not be able to achieve or maintain profitability.</w:t>
      </w:r>
    </w:p>
    <w:p>
      <w:pPr>
        <w:spacing w:after="0" w:line="247" w:lineRule="exact"/>
        <w:rPr>
          <w:sz w:val="20"/>
          <w:szCs w:val="20"/>
          <w:color w:val="auto"/>
        </w:rPr>
      </w:pPr>
    </w:p>
    <w:p>
      <w:pPr>
        <w:ind w:firstLine="391"/>
        <w:spacing w:after="0" w:line="293" w:lineRule="auto"/>
        <w:rPr>
          <w:sz w:val="20"/>
          <w:szCs w:val="20"/>
          <w:color w:val="auto"/>
        </w:rPr>
      </w:pPr>
      <w:r>
        <w:rPr>
          <w:rFonts w:ascii="Arial" w:cs="Arial" w:eastAsia="Arial" w:hAnsi="Arial"/>
          <w:sz w:val="15"/>
          <w:szCs w:val="15"/>
          <w:color w:val="auto"/>
        </w:rPr>
        <w:t>We have incurred net losses on an annual basis since our inception. We incurred net losses of $256.3 million, $52.7 million, and $484.9 million in the years ended December 31, 2020, 2019, and 2018, respectively, and we had an accumulated deficit of $2,241.4 million as of December 31, 2020. While we have been profitable on a GAAP basis in prior fiscal quarters, we have not been profitable for a full fiscal year, and we may not achieve or maintain profitability in future periods. As we strive to grow our business, expenses may increase, particularly as we continue to make investments to scale our business.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new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185" w:lineRule="exact"/>
        <w:rPr>
          <w:sz w:val="20"/>
          <w:szCs w:val="20"/>
          <w:color w:val="auto"/>
        </w:rPr>
      </w:pPr>
    </w:p>
    <w:p>
      <w:pPr>
        <w:ind w:firstLine="391"/>
        <w:spacing w:after="0" w:line="299" w:lineRule="auto"/>
        <w:rPr>
          <w:sz w:val="20"/>
          <w:szCs w:val="20"/>
          <w:color w:val="auto"/>
        </w:rPr>
      </w:pPr>
      <w:r>
        <w:rPr>
          <w:rFonts w:ascii="Arial" w:cs="Arial" w:eastAsia="Arial" w:hAnsi="Arial"/>
          <w:sz w:val="15"/>
          <w:szCs w:val="15"/>
          <w:color w:val="auto"/>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47" w:lineRule="exact"/>
        <w:rPr>
          <w:sz w:val="20"/>
          <w:szCs w:val="20"/>
          <w:color w:val="auto"/>
        </w:rPr>
      </w:pPr>
    </w:p>
    <w:p>
      <w:pPr>
        <w:ind w:right="60" w:firstLine="391"/>
        <w:spacing w:after="0" w:line="261" w:lineRule="auto"/>
        <w:rPr>
          <w:sz w:val="20"/>
          <w:szCs w:val="20"/>
          <w:color w:val="auto"/>
        </w:rPr>
      </w:pPr>
      <w:r>
        <w:rPr>
          <w:rFonts w:ascii="Arial" w:cs="Arial" w:eastAsia="Arial" w:hAnsi="Arial"/>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205" w:lineRule="exact"/>
        <w:rPr>
          <w:sz w:val="20"/>
          <w:szCs w:val="20"/>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attract new paying users and convert registered to paying users;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247" w:lineRule="exact"/>
        <w:rPr>
          <w:rFonts w:ascii="Arial" w:cs="Arial" w:eastAsia="Arial" w:hAnsi="Arial"/>
          <w:sz w:val="17"/>
          <w:szCs w:val="17"/>
          <w:color w:val="auto"/>
        </w:rPr>
      </w:pPr>
    </w:p>
    <w:p>
      <w:pPr>
        <w:ind w:left="1260" w:right="140" w:hanging="318"/>
        <w:spacing w:after="0" w:line="286" w:lineRule="auto"/>
        <w:tabs>
          <w:tab w:leader="none" w:pos="125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 as well as entry into operating and finance leases;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of expenses related to acquisitions;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and success of new product feature and service introductions by us or our competitors;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47" w:lineRule="exact"/>
        <w:rPr>
          <w:rFonts w:ascii="Arial" w:cs="Arial" w:eastAsia="Arial" w:hAnsi="Arial"/>
          <w:sz w:val="17"/>
          <w:szCs w:val="17"/>
          <w:color w:val="auto"/>
        </w:rPr>
      </w:pPr>
    </w:p>
    <w:p>
      <w:pPr>
        <w:ind w:left="1260" w:right="140" w:hanging="318"/>
        <w:spacing w:after="0" w:line="319" w:lineRule="auto"/>
        <w:tabs>
          <w:tab w:leader="none" w:pos="12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62" w:lineRule="exact"/>
        <w:rPr>
          <w:rFonts w:ascii="Arial" w:cs="Arial" w:eastAsia="Arial" w:hAnsi="Arial"/>
          <w:sz w:val="16"/>
          <w:szCs w:val="16"/>
          <w:color w:val="auto"/>
        </w:rPr>
      </w:pPr>
    </w:p>
    <w:p>
      <w:pPr>
        <w:ind w:left="1260" w:right="580" w:hanging="318"/>
        <w:spacing w:after="0" w:line="319" w:lineRule="auto"/>
        <w:tabs>
          <w:tab w:leader="none" w:pos="12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reserves or other non-cash credits or charges, such as the impairment charges related to certain of our unused office space in connection with our shift to a new Virtual First work model and releases of deferred tax asset valuation allowances; and</w:t>
      </w:r>
    </w:p>
    <w:p>
      <w:pPr>
        <w:spacing w:after="0" w:line="162" w:lineRule="exact"/>
        <w:rPr>
          <w:rFonts w:ascii="Arial" w:cs="Arial" w:eastAsia="Arial" w:hAnsi="Arial"/>
          <w:sz w:val="16"/>
          <w:szCs w:val="16"/>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other impacts of shifting our operations to a new Virtual First work model.</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85" w:lineRule="exact"/>
        <w:rPr>
          <w:sz w:val="20"/>
          <w:szCs w:val="20"/>
          <w:color w:val="auto"/>
        </w:rPr>
      </w:pPr>
    </w:p>
    <w:p>
      <w:pPr>
        <w:ind w:firstLine="391"/>
        <w:spacing w:after="0" w:line="259" w:lineRule="auto"/>
        <w:rPr>
          <w:sz w:val="20"/>
          <w:szCs w:val="20"/>
          <w:color w:val="auto"/>
        </w:rPr>
      </w:pPr>
      <w:r>
        <w:rPr>
          <w:rFonts w:ascii="Arial" w:cs="Arial" w:eastAsia="Arial" w:hAnsi="Arial"/>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70" w:lineRule="exact"/>
        <w:rPr>
          <w:sz w:val="20"/>
          <w:szCs w:val="20"/>
          <w:color w:val="auto"/>
        </w:rPr>
      </w:pPr>
    </w:p>
    <w:p>
      <w:pPr>
        <w:ind w:right="60" w:firstLine="391"/>
        <w:spacing w:after="0" w:line="259" w:lineRule="auto"/>
        <w:rPr>
          <w:sz w:val="20"/>
          <w:szCs w:val="20"/>
          <w:color w:val="auto"/>
        </w:rPr>
      </w:pPr>
      <w:r>
        <w:rPr>
          <w:rFonts w:ascii="Arial" w:cs="Arial" w:eastAsia="Arial" w:hAnsi="Arial"/>
          <w:sz w:val="17"/>
          <w:szCs w:val="17"/>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2020, 29% of our sales were denominated in currencies other than U.S. dollars. Our expenses, by contrast, are primarily denominated in U.S. dollars. As a result, any increase in the value of the U.S. dollar against these foreign currencies, including those resulting from the impact of the COVID-19 pandemic,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counterparty risk with respect to the convertible note hedge transactions.</w:t>
      </w:r>
    </w:p>
    <w:p>
      <w:pPr>
        <w:spacing w:after="0" w:line="247" w:lineRule="exact"/>
        <w:rPr>
          <w:sz w:val="20"/>
          <w:szCs w:val="20"/>
          <w:color w:val="auto"/>
        </w:rPr>
      </w:pPr>
    </w:p>
    <w:p>
      <w:pPr>
        <w:ind w:right="140" w:firstLine="391"/>
        <w:spacing w:after="0" w:line="278" w:lineRule="auto"/>
        <w:rPr>
          <w:sz w:val="20"/>
          <w:szCs w:val="20"/>
          <w:color w:val="auto"/>
        </w:rPr>
      </w:pPr>
      <w:r>
        <w:rPr>
          <w:rFonts w:ascii="Arial" w:cs="Arial" w:eastAsia="Arial" w:hAnsi="Arial"/>
          <w:sz w:val="16"/>
          <w:szCs w:val="16"/>
          <w:color w:val="auto"/>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47" w:lineRule="exact"/>
        <w:rPr>
          <w:sz w:val="20"/>
          <w:szCs w:val="20"/>
          <w:color w:val="auto"/>
        </w:rPr>
      </w:pPr>
    </w:p>
    <w:p>
      <w:pPr>
        <w:ind w:right="40" w:firstLine="391"/>
        <w:spacing w:after="0" w:line="276" w:lineRule="auto"/>
        <w:rPr>
          <w:sz w:val="20"/>
          <w:szCs w:val="20"/>
          <w:color w:val="auto"/>
        </w:rPr>
      </w:pPr>
      <w:r>
        <w:rPr>
          <w:rFonts w:ascii="Arial" w:cs="Arial" w:eastAsia="Arial" w:hAnsi="Arial"/>
          <w:sz w:val="16"/>
          <w:szCs w:val="16"/>
          <w:color w:val="auto"/>
        </w:rPr>
        <w:t>As of December 31, 2020, we had $697.7 million of federal, $292.8 million of state, and $430.5 million of foreign net operating loss carryforwards available to reduce future taxable income. Of our federal net operating loss carryforwards, $71.8 million will begin to expire in 2032 and $625.9 million will carryforward indefinitely, while state net operating losses begin to expire in 2029. As of December 31, 2020, we had research credit carryforwards of $207.9 million and $113.8 million for federal and state income tax purposes. The federal credit carryforward will begin to expire in 2027. The state research credits have no expiration date. The Company also had $2.1 million of state enterprise zone credit carryforwards, which will begin to expire in 2023. We also had $0.5 million of foreign tax credit carryforwards,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pre-change attributes will be subject to limitation. However, we do not expect that the annual limitations will significantly impact our ability to utilize our net operating loss or tax credit carryforwards prior to expiration.</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85" w:lineRule="exact"/>
        <w:rPr>
          <w:sz w:val="20"/>
          <w:szCs w:val="20"/>
          <w:color w:val="auto"/>
        </w:rPr>
      </w:pPr>
    </w:p>
    <w:p>
      <w:pPr>
        <w:ind w:right="360" w:firstLine="391"/>
        <w:spacing w:after="0" w:line="263"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20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85" w:lineRule="exact"/>
        <w:rPr>
          <w:sz w:val="20"/>
          <w:szCs w:val="20"/>
          <w:color w:val="auto"/>
        </w:rPr>
      </w:pPr>
    </w:p>
    <w:p>
      <w:pPr>
        <w:ind w:right="20" w:firstLine="391"/>
        <w:spacing w:after="0" w:line="279" w:lineRule="auto"/>
        <w:rPr>
          <w:sz w:val="20"/>
          <w:szCs w:val="20"/>
          <w:color w:val="auto"/>
        </w:rPr>
      </w:pPr>
      <w:r>
        <w:rPr>
          <w:rFonts w:ascii="Arial" w:cs="Arial" w:eastAsia="Arial" w:hAnsi="Arial"/>
          <w:sz w:val="16"/>
          <w:szCs w:val="16"/>
          <w:color w:val="auto"/>
        </w:rPr>
        <w:t>On May 28, 2021 the US Treasury released the General Explanations of the Administration's Fiscal Year 2022 Revenue Proposals, also known as the 'Green Book'. The Green Book provides detailed insights into the proposals of President Biden's American Jobs Plan and American Families Plan which was issued on April 7, 2021. The proposals in the plans include, but are not limited to, (1) raising the US corporate income tax rate from 21% to 28%, (2) reducing benefits included in the Global Intangible Low-Taxed Income (“GILTI”) regime and repealing Foreign-Derived Intangible Income (“FDII”) deductions, (3) replacing the Base Erosion and Anti-Abuse Tax (“BEAT”) with a new tax, Stopping Harmful Inversions and Ending Low Tax Developments (“SHIELD”), which disallows deductions for payments to low-taxed members, and (4) enacting a 15% minimum tax on book income of companies with income in excess of $2 billion. If enacted, certain proposed changes could have an adverse impact on our business, results of operations, financial condition and cash flow.</w:t>
      </w:r>
    </w:p>
    <w:p>
      <w:pPr>
        <w:spacing w:after="0" w:line="196"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On June 5, 2021 the G7 Finance Ministers announced an agreement in which the participating countries committed to new taxing rights that allow countries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The meeting marked an early test of whether the US position on the OECD's Inclusive Framework (“OECD IF”) “Taxation of the Digital Economy” project would provide momentum to finding a common base for agreement.</w:t>
      </w:r>
    </w:p>
    <w:p>
      <w:pPr>
        <w:spacing w:after="0" w:line="205" w:lineRule="exact"/>
        <w:rPr>
          <w:sz w:val="20"/>
          <w:szCs w:val="20"/>
          <w:color w:val="auto"/>
        </w:rPr>
      </w:pPr>
    </w:p>
    <w:p>
      <w:pPr>
        <w:ind w:right="20" w:firstLine="391"/>
        <w:spacing w:after="0" w:line="301" w:lineRule="auto"/>
        <w:rPr>
          <w:sz w:val="20"/>
          <w:szCs w:val="20"/>
          <w:color w:val="auto"/>
        </w:rPr>
      </w:pPr>
      <w:r>
        <w:rPr>
          <w:rFonts w:ascii="Arial" w:cs="Arial" w:eastAsia="Arial" w:hAnsi="Arial"/>
          <w:sz w:val="15"/>
          <w:szCs w:val="15"/>
          <w:color w:val="auto"/>
        </w:rPr>
        <w:t>In 2018, the European Commission (“EC”) introduced proposals addressing taxation of digital businesses operating within the European Union (“EU”) but has not reached an agreement on a sales tax with a scope limited to digital advertising services. As a result, certain countries, including the UK, Italy and France, unilaterally moved to introduce their own digital service tax. In January 2021, the EC released an Inception Impact Assessment to inform stakeholders about proposed legislative changes to the taxation of the digital economy. It is intended that the new initiative will help mitigate potential distortions and fragmentation of tax rules arising in the EU single market by designing a single set of rules which is consistent with the Digital Services Act package and the EC's digital strategy. In June 2021, as part of the OECD-IF's Pillar Two, there was an agreement to support efforts through the G20/OECD-IF and provide for appropriate coordination between the application of the new international tax rules and the removal of all digital services taxes, and other similar measures, on all companies.</w:t>
      </w:r>
    </w:p>
    <w:p>
      <w:pPr>
        <w:spacing w:after="0" w:line="179" w:lineRule="exact"/>
        <w:rPr>
          <w:sz w:val="20"/>
          <w:szCs w:val="20"/>
          <w:color w:val="auto"/>
        </w:rPr>
      </w:pPr>
    </w:p>
    <w:p>
      <w:pPr>
        <w:ind w:right="40" w:firstLine="391"/>
        <w:spacing w:after="0" w:line="271" w:lineRule="auto"/>
        <w:rPr>
          <w:sz w:val="20"/>
          <w:szCs w:val="20"/>
          <w:color w:val="auto"/>
        </w:rPr>
      </w:pPr>
      <w:r>
        <w:rPr>
          <w:rFonts w:ascii="Arial" w:cs="Arial" w:eastAsia="Arial" w:hAnsi="Arial"/>
          <w:sz w:val="17"/>
          <w:szCs w:val="17"/>
          <w:color w:val="auto"/>
        </w:rPr>
        <w:t>Due to the increasing focus by government taxing authorities on multinational companies, the tax laws of certain countries in which we do business could change on a prospective or retroactive basis, and any such changes could increase our liabilities for taxes, interest and penalties, lead to higher effective tax rates, and harm our cash flows, results of operations and financial condition.</w:t>
      </w:r>
    </w:p>
    <w:p>
      <w:pPr>
        <w:spacing w:after="0" w:line="197" w:lineRule="exact"/>
        <w:rPr>
          <w:sz w:val="20"/>
          <w:szCs w:val="20"/>
          <w:color w:val="auto"/>
        </w:rPr>
      </w:pPr>
    </w:p>
    <w:p>
      <w:pPr>
        <w:ind w:right="220"/>
        <w:spacing w:after="0" w:line="357"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38"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Legal and Regulatory Compliance</w:t>
      </w:r>
    </w:p>
    <w:p>
      <w:pPr>
        <w:spacing w:after="0" w:line="253"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38" w:lineRule="exact"/>
        <w:rPr>
          <w:sz w:val="20"/>
          <w:szCs w:val="20"/>
          <w:color w:val="auto"/>
        </w:rPr>
      </w:pPr>
    </w:p>
    <w:p>
      <w:pPr>
        <w:ind w:right="180" w:firstLine="391"/>
        <w:spacing w:after="0" w:line="261"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205" w:lineRule="exact"/>
        <w:rPr>
          <w:sz w:val="20"/>
          <w:szCs w:val="20"/>
          <w:color w:val="auto"/>
        </w:rPr>
      </w:pPr>
    </w:p>
    <w:p>
      <w:pPr>
        <w:ind w:right="60" w:firstLine="391"/>
        <w:spacing w:after="0" w:line="261" w:lineRule="auto"/>
        <w:rPr>
          <w:sz w:val="20"/>
          <w:szCs w:val="20"/>
          <w:color w:val="auto"/>
        </w:rPr>
      </w:pPr>
      <w:r>
        <w:rPr>
          <w:rFonts w:ascii="Arial" w:cs="Arial" w:eastAsia="Arial" w:hAnsi="Arial"/>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policies and practices around subscriptions, billing, auto-renewal, intermediate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05" w:lineRule="exact"/>
        <w:rPr>
          <w:sz w:val="20"/>
          <w:szCs w:val="20"/>
          <w:color w:val="auto"/>
        </w:rPr>
      </w:pPr>
    </w:p>
    <w:p>
      <w:pPr>
        <w:ind w:firstLine="391"/>
        <w:spacing w:after="0" w:line="295"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81" w:lineRule="exact"/>
        <w:rPr>
          <w:sz w:val="20"/>
          <w:szCs w:val="20"/>
          <w:color w:val="auto"/>
        </w:rPr>
      </w:pPr>
    </w:p>
    <w:p>
      <w:pPr>
        <w:ind w:right="180" w:firstLine="391"/>
        <w:spacing w:after="0" w:line="283"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9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85" w:lineRule="exact"/>
        <w:rPr>
          <w:sz w:val="20"/>
          <w:szCs w:val="20"/>
          <w:color w:val="auto"/>
        </w:rPr>
      </w:pPr>
    </w:p>
    <w:p>
      <w:pPr>
        <w:ind w:right="40" w:firstLine="391"/>
        <w:spacing w:after="0" w:line="277"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199" w:lineRule="exact"/>
        <w:rPr>
          <w:sz w:val="20"/>
          <w:szCs w:val="20"/>
          <w:color w:val="auto"/>
        </w:rPr>
      </w:pPr>
    </w:p>
    <w:p>
      <w:pPr>
        <w:ind w:right="580" w:firstLine="391"/>
        <w:spacing w:after="0" w:line="286"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actual or perceived failure to comply with privacy, data protection, and information security laws, regulations, and obligations could harm our business.</w:t>
      </w:r>
    </w:p>
    <w:p>
      <w:pPr>
        <w:spacing w:after="0" w:line="270" w:lineRule="exact"/>
        <w:rPr>
          <w:sz w:val="20"/>
          <w:szCs w:val="20"/>
          <w:color w:val="auto"/>
        </w:rPr>
      </w:pPr>
    </w:p>
    <w:p>
      <w:pPr>
        <w:ind w:right="120" w:firstLine="391"/>
        <w:spacing w:after="0" w:line="260"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7" w:lineRule="exact"/>
        <w:rPr>
          <w:sz w:val="20"/>
          <w:szCs w:val="20"/>
          <w:color w:val="auto"/>
        </w:rPr>
      </w:pPr>
    </w:p>
    <w:p>
      <w:pPr>
        <w:jc w:val="both"/>
        <w:ind w:right="260" w:firstLine="391"/>
        <w:spacing w:after="0" w:line="295"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 The GDPR imposed more stringent data protection requirements and provides greater penalties for noncompliance than previous data protection laws.</w:t>
      </w:r>
    </w:p>
    <w:p>
      <w:pPr>
        <w:spacing w:after="0" w:line="181" w:lineRule="exact"/>
        <w:rPr>
          <w:sz w:val="20"/>
          <w:szCs w:val="20"/>
          <w:color w:val="auto"/>
        </w:rPr>
      </w:pPr>
    </w:p>
    <w:p>
      <w:pPr>
        <w:ind w:firstLine="391"/>
        <w:spacing w:after="0" w:line="295" w:lineRule="auto"/>
        <w:rPr>
          <w:sz w:val="20"/>
          <w:szCs w:val="20"/>
          <w:color w:val="auto"/>
        </w:rPr>
      </w:pPr>
      <w:r>
        <w:rPr>
          <w:rFonts w:ascii="Arial" w:cs="Arial" w:eastAsia="Arial" w:hAnsi="Arial"/>
          <w:sz w:val="15"/>
          <w:szCs w:val="15"/>
          <w:color w:val="auto"/>
        </w:rPr>
        <w:t>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invalidated Decision 2016/1250 on the adequacy of the protection provided by the U.S.-EU Privacy Shield Framework, and the Swiss Federal Data Protection and Information Commissioner has stated that it no longer considers the U.S.-Swiss Privacy Shield adequate for the purposes of transfers of personal data from Switzerland to the U.S. While we rely on additional legal mechanisms to transfer data from the EEA and Switzerland to the United States, there is some regulatory uncertainty surrounding the future of data transfers from these locations to the United States, and we are closely monitoring regulatory developments in this area. The California Consumer Privacy Act of 2018 (the "CCPA"), which affords consumers expanded privacy protections, went into effect on January 1, 2020. However, certain aspects of the CCPA and its enforcement remain uncertain. Additionally, a new privacy law, the California Privacy Rights Act ("CPRA"), which will go into effect on January 1, 2023, significantly modified the CCPA, potentially resulting in further uncertainty and requiring us to incur additional costs and expenses. The effects of the CCPA and the CPRA remain far-reaching, and depending on final regulatory guidance and other related developments, potentially may require us to modify our data processing practices and policies and to incur substantial costs and expenses in an effort to comply. Similarly, a number of legislative proposals in the European Union, the United States, at both the federal and state level, as well as other jurisdictions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84" w:lineRule="exact"/>
        <w:rPr>
          <w:sz w:val="20"/>
          <w:szCs w:val="20"/>
          <w:color w:val="auto"/>
        </w:rPr>
      </w:pPr>
    </w:p>
    <w:p>
      <w:pPr>
        <w:ind w:firstLine="391"/>
        <w:spacing w:after="0" w:line="278" w:lineRule="auto"/>
        <w:rPr>
          <w:sz w:val="20"/>
          <w:szCs w:val="20"/>
          <w:color w:val="auto"/>
        </w:rPr>
      </w:pPr>
      <w:r>
        <w:rPr>
          <w:rFonts w:ascii="Arial" w:cs="Arial" w:eastAsia="Arial" w:hAnsi="Arial"/>
          <w:sz w:val="16"/>
          <w:szCs w:val="16"/>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80" w:firstLine="391"/>
        <w:spacing w:after="0" w:line="262" w:lineRule="auto"/>
        <w:rPr>
          <w:sz w:val="20"/>
          <w:szCs w:val="20"/>
          <w:color w:val="auto"/>
        </w:rPr>
      </w:pPr>
      <w:r>
        <w:rPr>
          <w:rFonts w:ascii="Arial" w:cs="Arial" w:eastAsia="Arial" w:hAnsi="Arial"/>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impacted by changes in internet access for our users or laws specifically governing the internet.</w:t>
      </w:r>
    </w:p>
    <w:p>
      <w:pPr>
        <w:spacing w:after="0" w:line="247" w:lineRule="exact"/>
        <w:rPr>
          <w:sz w:val="20"/>
          <w:szCs w:val="20"/>
          <w:color w:val="auto"/>
        </w:rPr>
      </w:pPr>
    </w:p>
    <w:p>
      <w:pPr>
        <w:ind w:right="120" w:firstLine="391"/>
        <w:spacing w:after="0" w:line="266" w:lineRule="auto"/>
        <w:rPr>
          <w:sz w:val="20"/>
          <w:szCs w:val="20"/>
          <w:color w:val="auto"/>
        </w:rPr>
      </w:pPr>
      <w:r>
        <w:rPr>
          <w:rFonts w:ascii="Arial" w:cs="Arial" w:eastAsia="Arial" w:hAnsi="Arial"/>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01" w:lineRule="exact"/>
        <w:rPr>
          <w:sz w:val="20"/>
          <w:szCs w:val="20"/>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25"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97"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9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85" w:lineRule="exact"/>
        <w:rPr>
          <w:sz w:val="20"/>
          <w:szCs w:val="20"/>
          <w:color w:val="auto"/>
        </w:rPr>
      </w:pPr>
    </w:p>
    <w:p>
      <w:pPr>
        <w:ind w:right="160" w:firstLine="391"/>
        <w:spacing w:after="0" w:line="312" w:lineRule="auto"/>
        <w:rPr>
          <w:sz w:val="20"/>
          <w:szCs w:val="20"/>
          <w:color w:val="auto"/>
        </w:rPr>
      </w:pPr>
      <w:r>
        <w:rPr>
          <w:rFonts w:ascii="Arial" w:cs="Arial" w:eastAsia="Arial" w:hAnsi="Arial"/>
          <w:sz w:val="15"/>
          <w:szCs w:val="15"/>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transactions involving our securities and our platform.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47" w:lineRule="exact"/>
        <w:rPr>
          <w:sz w:val="20"/>
          <w:szCs w:val="20"/>
          <w:color w:val="auto"/>
        </w:rPr>
      </w:pPr>
    </w:p>
    <w:p>
      <w:pPr>
        <w:ind w:firstLine="391"/>
        <w:spacing w:after="0" w:line="295" w:lineRule="auto"/>
        <w:rPr>
          <w:sz w:val="20"/>
          <w:szCs w:val="20"/>
          <w:color w:val="auto"/>
        </w:rPr>
      </w:pPr>
      <w:r>
        <w:rPr>
          <w:rFonts w:ascii="Arial" w:cs="Arial" w:eastAsia="Arial" w:hAnsi="Arial"/>
          <w:sz w:val="15"/>
          <w:szCs w:val="15"/>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1,200 issued patents and more than 450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247" w:lineRule="exact"/>
        <w:rPr>
          <w:sz w:val="20"/>
          <w:szCs w:val="20"/>
          <w:color w:val="auto"/>
        </w:rPr>
      </w:pPr>
    </w:p>
    <w:p>
      <w:pPr>
        <w:ind w:right="460" w:firstLine="391"/>
        <w:spacing w:after="0" w:line="286"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85" w:lineRule="exact"/>
        <w:rPr>
          <w:sz w:val="20"/>
          <w:szCs w:val="20"/>
          <w:color w:val="auto"/>
        </w:rPr>
      </w:pPr>
    </w:p>
    <w:p>
      <w:pPr>
        <w:ind w:left="1260" w:hanging="318"/>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270" w:lineRule="exact"/>
        <w:rPr>
          <w:rFonts w:ascii="Arial" w:cs="Arial" w:eastAsia="Arial" w:hAnsi="Arial"/>
          <w:sz w:val="15"/>
          <w:szCs w:val="15"/>
          <w:color w:val="auto"/>
        </w:rPr>
      </w:pPr>
    </w:p>
    <w:p>
      <w:pPr>
        <w:ind w:left="1260" w:hanging="318"/>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247" w:lineRule="exact"/>
        <w:rPr>
          <w:rFonts w:ascii="Arial" w:cs="Arial" w:eastAsia="Arial" w:hAnsi="Arial"/>
          <w:sz w:val="17"/>
          <w:szCs w:val="17"/>
          <w:color w:val="auto"/>
        </w:rPr>
      </w:pPr>
    </w:p>
    <w:p>
      <w:pPr>
        <w:ind w:left="1260" w:right="180" w:hanging="318"/>
        <w:spacing w:after="0" w:line="286" w:lineRule="auto"/>
        <w:tabs>
          <w:tab w:leader="none" w:pos="12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changes in our key metrics;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perceived breaches of, or failures related to, privacy, data protection or data security;</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significant change in our management; and</w:t>
      </w:r>
    </w:p>
    <w:p>
      <w:pPr>
        <w:spacing w:after="0" w:line="247" w:lineRule="exact"/>
        <w:rPr>
          <w:rFonts w:ascii="Arial" w:cs="Arial" w:eastAsia="Arial" w:hAnsi="Arial"/>
          <w:sz w:val="17"/>
          <w:szCs w:val="17"/>
          <w:color w:val="auto"/>
        </w:rPr>
      </w:pPr>
    </w:p>
    <w:p>
      <w:pPr>
        <w:ind w:left="1260" w:right="120" w:hanging="318"/>
        <w:spacing w:after="0" w:line="271" w:lineRule="auto"/>
        <w:tabs>
          <w:tab w:leader="none" w:pos="12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 and 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97" w:lineRule="exact"/>
        <w:rPr>
          <w:sz w:val="20"/>
          <w:szCs w:val="20"/>
          <w:color w:val="auto"/>
        </w:rPr>
      </w:pPr>
    </w:p>
    <w:p>
      <w:pPr>
        <w:ind w:right="20" w:firstLine="391"/>
        <w:spacing w:after="0" w:line="306" w:lineRule="auto"/>
        <w:rPr>
          <w:sz w:val="20"/>
          <w:szCs w:val="20"/>
          <w:color w:val="auto"/>
        </w:rPr>
      </w:pPr>
      <w:r>
        <w:rPr>
          <w:rFonts w:ascii="Arial" w:cs="Arial" w:eastAsia="Arial" w:hAnsi="Arial"/>
          <w:sz w:val="15"/>
          <w:szCs w:val="15"/>
          <w:color w:val="auto"/>
        </w:rPr>
        <w:t>In addition, in the past, following periods of volatility in the overall market and the market price of a particular company’s securities, securities class action litigation has often been instituted against these companies.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This recent litigation, and any securities litigation that may be instituted against us in the future, could result in substantial costs and a diversion of our management’s attention and resources.</w:t>
      </w:r>
    </w:p>
    <w:p>
      <w:pPr>
        <w:spacing w:after="0" w:line="17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85" w:lineRule="exact"/>
        <w:rPr>
          <w:sz w:val="20"/>
          <w:szCs w:val="20"/>
          <w:color w:val="auto"/>
        </w:rPr>
      </w:pPr>
    </w:p>
    <w:p>
      <w:pPr>
        <w:ind w:firstLine="391"/>
        <w:spacing w:after="0" w:line="277" w:lineRule="auto"/>
        <w:rPr>
          <w:sz w:val="20"/>
          <w:szCs w:val="20"/>
          <w:color w:val="auto"/>
        </w:rPr>
      </w:pPr>
      <w:r>
        <w:rPr>
          <w:rFonts w:ascii="Arial" w:cs="Arial" w:eastAsia="Arial" w:hAnsi="Arial"/>
          <w:sz w:val="16"/>
          <w:szCs w:val="16"/>
          <w:color w:val="auto"/>
        </w:rPr>
        <w:t>Our Class A common stock has one vote per share, our Class B common stock has ten votes per share, and our Class C common stock has no voting rights, except as otherwise required by law. As of June 30, 2021, our directors, executive officers and holders of more than 5% of our common stock, and their respective affiliates, held in the aggregate 77.7% of the voting power of our capital stock, with Mr. Houston holding approximately 71.9% of the voting power of our capital stock. We are including Mr. Houston's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85" w:lineRule="exact"/>
        <w:rPr>
          <w:sz w:val="20"/>
          <w:szCs w:val="20"/>
          <w:color w:val="auto"/>
        </w:rPr>
      </w:pPr>
    </w:p>
    <w:p>
      <w:pPr>
        <w:ind w:right="80" w:firstLine="391"/>
        <w:spacing w:after="0" w:line="275" w:lineRule="auto"/>
        <w:rPr>
          <w:sz w:val="20"/>
          <w:szCs w:val="20"/>
          <w:color w:val="auto"/>
        </w:rPr>
      </w:pPr>
      <w:r>
        <w:rPr>
          <w:rFonts w:ascii="Arial" w:cs="Arial" w:eastAsia="Arial" w:hAnsi="Arial"/>
          <w:sz w:val="16"/>
          <w:szCs w:val="16"/>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203" w:lineRule="exact"/>
        <w:rPr>
          <w:sz w:val="20"/>
          <w:szCs w:val="20"/>
          <w:color w:val="auto"/>
        </w:rPr>
      </w:pPr>
    </w:p>
    <w:p>
      <w:pPr>
        <w:jc w:val="both"/>
        <w:ind w:right="320" w:firstLine="391"/>
        <w:spacing w:after="0" w:line="323" w:lineRule="auto"/>
        <w:rPr>
          <w:sz w:val="20"/>
          <w:szCs w:val="20"/>
          <w:color w:val="auto"/>
        </w:rPr>
      </w:pPr>
      <w:r>
        <w:rPr>
          <w:rFonts w:ascii="Arial" w:cs="Arial" w:eastAsia="Arial" w:hAnsi="Arial"/>
          <w:sz w:val="15"/>
          <w:szCs w:val="15"/>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63" w:lineRule="exact"/>
        <w:rPr>
          <w:sz w:val="20"/>
          <w:szCs w:val="20"/>
          <w:color w:val="auto"/>
        </w:rPr>
      </w:pPr>
    </w:p>
    <w:p>
      <w:pPr>
        <w:ind w:right="20" w:firstLine="391"/>
        <w:spacing w:after="0" w:line="279" w:lineRule="auto"/>
        <w:rPr>
          <w:sz w:val="20"/>
          <w:szCs w:val="20"/>
          <w:color w:val="auto"/>
        </w:rPr>
      </w:pPr>
      <w:r>
        <w:rPr>
          <w:rFonts w:ascii="Arial" w:cs="Arial" w:eastAsia="Arial" w:hAnsi="Arial"/>
          <w:sz w:val="16"/>
          <w:szCs w:val="16"/>
          <w:color w:val="auto"/>
        </w:rPr>
        <w:t>Additionally,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S&amp;P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could depress the market price of our Class A common stock.</w:t>
      </w:r>
    </w:p>
    <w:p>
      <w:pPr>
        <w:spacing w:after="0" w:line="247" w:lineRule="exact"/>
        <w:rPr>
          <w:sz w:val="20"/>
          <w:szCs w:val="20"/>
          <w:color w:val="auto"/>
        </w:rPr>
      </w:pPr>
    </w:p>
    <w:p>
      <w:pPr>
        <w:ind w:right="300" w:firstLine="391"/>
        <w:spacing w:after="0" w:line="286" w:lineRule="auto"/>
        <w:rPr>
          <w:sz w:val="20"/>
          <w:szCs w:val="20"/>
          <w:color w:val="auto"/>
        </w:rPr>
      </w:pPr>
      <w:r>
        <w:rPr>
          <w:rFonts w:ascii="Arial" w:cs="Arial" w:eastAsia="Arial" w:hAnsi="Arial"/>
          <w:sz w:val="17"/>
          <w:szCs w:val="17"/>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85" w:lineRule="exact"/>
        <w:rPr>
          <w:sz w:val="20"/>
          <w:szCs w:val="20"/>
          <w:color w:val="auto"/>
        </w:rPr>
      </w:pPr>
    </w:p>
    <w:p>
      <w:pPr>
        <w:ind w:right="80" w:firstLine="391"/>
        <w:spacing w:after="0" w:line="271" w:lineRule="auto"/>
        <w:rPr>
          <w:sz w:val="20"/>
          <w:szCs w:val="20"/>
          <w:color w:val="auto"/>
        </w:rPr>
      </w:pPr>
      <w:r>
        <w:rPr>
          <w:rFonts w:ascii="Arial" w:cs="Arial" w:eastAsia="Arial" w:hAnsi="Arial"/>
          <w:sz w:val="17"/>
          <w:szCs w:val="17"/>
          <w:color w:val="auto"/>
        </w:rPr>
        <w:t>In addition, we have filed registration statements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97" w:lineRule="exact"/>
        <w:rPr>
          <w:sz w:val="20"/>
          <w:szCs w:val="20"/>
          <w:color w:val="auto"/>
        </w:rPr>
      </w:pPr>
    </w:p>
    <w:p>
      <w:pPr>
        <w:ind w:right="40" w:firstLine="391"/>
        <w:spacing w:after="0" w:line="319"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Transactions relating to our 2026 Notes and 2028 Notes may dilute the ownership interest of stockholders, or may otherwise depress the price of our common stock.</w:t>
      </w:r>
    </w:p>
    <w:p>
      <w:pPr>
        <w:spacing w:after="0" w:line="185" w:lineRule="exact"/>
        <w:rPr>
          <w:sz w:val="20"/>
          <w:szCs w:val="20"/>
          <w:color w:val="auto"/>
        </w:rPr>
      </w:pPr>
    </w:p>
    <w:p>
      <w:pPr>
        <w:ind w:right="20" w:firstLine="391"/>
        <w:spacing w:after="0" w:line="283" w:lineRule="auto"/>
        <w:rPr>
          <w:sz w:val="20"/>
          <w:szCs w:val="20"/>
          <w:color w:val="auto"/>
        </w:rPr>
      </w:pPr>
      <w:r>
        <w:rPr>
          <w:rFonts w:ascii="Arial" w:cs="Arial" w:eastAsia="Arial" w:hAnsi="Arial"/>
          <w:sz w:val="16"/>
          <w:szCs w:val="16"/>
          <w:color w:val="auto"/>
        </w:rPr>
        <w:t>If the 2026 Notes or the 2028 Notes are converted by holders of such series, we have the ability under the applicable indenture to deliver cash, common stock, or any combination of cash or common stock, at our election upon conversion of the applicable series of convertible notes. If we elect to deliver common stock upon conversion of the 2026 Notes or the 2028 Notes,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convertible notes.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Anticipated future conversions of the 2026 Notes or 2028 Notes into shares of our Class A common stock could depress the price of our Class A common stock.</w:t>
      </w:r>
    </w:p>
    <w:p>
      <w:pPr>
        <w:spacing w:after="0" w:line="2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85" w:lineRule="exact"/>
        <w:rPr>
          <w:sz w:val="20"/>
          <w:szCs w:val="20"/>
          <w:color w:val="auto"/>
        </w:rPr>
      </w:pPr>
    </w:p>
    <w:p>
      <w:pPr>
        <w:ind w:right="120" w:firstLine="391"/>
        <w:spacing w:after="0" w:line="287"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88" w:lineRule="exact"/>
        <w:rPr>
          <w:sz w:val="20"/>
          <w:szCs w:val="20"/>
          <w:color w:val="auto"/>
        </w:rPr>
      </w:pPr>
    </w:p>
    <w:p>
      <w:pPr>
        <w:ind w:left="1260" w:hanging="318"/>
        <w:spacing w:after="0" w:line="286"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85" w:lineRule="exact"/>
        <w:rPr>
          <w:rFonts w:ascii="Arial" w:cs="Arial" w:eastAsia="Arial" w:hAnsi="Arial"/>
          <w:sz w:val="17"/>
          <w:szCs w:val="17"/>
          <w:color w:val="auto"/>
        </w:rPr>
      </w:pPr>
    </w:p>
    <w:p>
      <w:pPr>
        <w:ind w:left="1260" w:right="40" w:hanging="318"/>
        <w:spacing w:after="0" w:line="271"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97" w:lineRule="exact"/>
        <w:rPr>
          <w:rFonts w:ascii="Arial" w:cs="Arial" w:eastAsia="Arial" w:hAnsi="Arial"/>
          <w:sz w:val="17"/>
          <w:szCs w:val="17"/>
          <w:color w:val="auto"/>
        </w:rPr>
      </w:pPr>
    </w:p>
    <w:p>
      <w:pPr>
        <w:jc w:val="both"/>
        <w:ind w:left="1260" w:right="240" w:hanging="318"/>
        <w:spacing w:after="0" w:line="271"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97" w:lineRule="exact"/>
        <w:rPr>
          <w:rFonts w:ascii="Arial" w:cs="Arial" w:eastAsia="Arial" w:hAnsi="Arial"/>
          <w:sz w:val="17"/>
          <w:szCs w:val="17"/>
          <w:color w:val="auto"/>
        </w:rPr>
      </w:pPr>
    </w:p>
    <w:p>
      <w:pPr>
        <w:ind w:left="1260" w:hanging="318"/>
        <w:spacing w:after="0" w:line="287" w:lineRule="auto"/>
        <w:tabs>
          <w:tab w:leader="none" w:pos="12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87" w:lineRule="exact"/>
        <w:rPr>
          <w:rFonts w:ascii="Arial" w:cs="Arial" w:eastAsia="Arial" w:hAnsi="Arial"/>
          <w:sz w:val="16"/>
          <w:szCs w:val="16"/>
          <w:color w:val="auto"/>
        </w:rPr>
      </w:pPr>
    </w:p>
    <w:p>
      <w:pPr>
        <w:ind w:left="1260" w:right="280" w:hanging="318"/>
        <w:spacing w:after="0" w:line="286"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85" w:lineRule="exact"/>
        <w:rPr>
          <w:rFonts w:ascii="Arial" w:cs="Arial" w:eastAsia="Arial" w:hAnsi="Arial"/>
          <w:sz w:val="17"/>
          <w:szCs w:val="17"/>
          <w:color w:val="auto"/>
        </w:rPr>
      </w:pPr>
    </w:p>
    <w:p>
      <w:pPr>
        <w:ind w:left="1260" w:right="400" w:hanging="318"/>
        <w:spacing w:after="0" w:line="286"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after the Voting Threshold Date our stockholders will only be able to take action at a meeting of stockholders, and will not be able to take action by written consent for any matter;</w:t>
      </w:r>
    </w:p>
    <w:p>
      <w:pPr>
        <w:spacing w:after="0" w:line="185" w:lineRule="exact"/>
        <w:rPr>
          <w:rFonts w:ascii="Arial" w:cs="Arial" w:eastAsia="Arial" w:hAnsi="Arial"/>
          <w:sz w:val="17"/>
          <w:szCs w:val="17"/>
          <w:color w:val="auto"/>
        </w:rPr>
      </w:pPr>
    </w:p>
    <w:p>
      <w:pPr>
        <w:ind w:left="1260" w:right="80" w:hanging="318"/>
        <w:spacing w:after="0" w:line="286"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until the Voting Threshold Date, our stockholders will be able to act by written consent only if the action is first recommended or approved by the Board of Directors;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247" w:lineRule="exact"/>
        <w:rPr>
          <w:rFonts w:ascii="Arial" w:cs="Arial" w:eastAsia="Arial" w:hAnsi="Arial"/>
          <w:sz w:val="17"/>
          <w:szCs w:val="17"/>
          <w:color w:val="auto"/>
        </w:rPr>
      </w:pPr>
    </w:p>
    <w:p>
      <w:pPr>
        <w:jc w:val="both"/>
        <w:ind w:left="1260" w:right="300" w:hanging="318"/>
        <w:spacing w:after="0" w:line="271"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97" w:lineRule="exact"/>
        <w:rPr>
          <w:rFonts w:ascii="Arial" w:cs="Arial" w:eastAsia="Arial" w:hAnsi="Arial"/>
          <w:sz w:val="17"/>
          <w:szCs w:val="17"/>
          <w:color w:val="auto"/>
        </w:rPr>
      </w:pPr>
    </w:p>
    <w:p>
      <w:pPr>
        <w:ind w:left="1260" w:hanging="318"/>
        <w:spacing w:after="0"/>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certain litigation against us may be required to be brought in Delaware;</w:t>
      </w:r>
    </w:p>
    <w:p>
      <w:pPr>
        <w:spacing w:after="0" w:line="247" w:lineRule="exact"/>
        <w:rPr>
          <w:rFonts w:ascii="Arial" w:cs="Arial" w:eastAsia="Arial" w:hAnsi="Arial"/>
          <w:sz w:val="17"/>
          <w:szCs w:val="17"/>
          <w:color w:val="auto"/>
        </w:rPr>
      </w:pPr>
    </w:p>
    <w:p>
      <w:pPr>
        <w:ind w:left="1260" w:right="260" w:hanging="318"/>
        <w:spacing w:after="0" w:line="286"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85" w:lineRule="exact"/>
        <w:rPr>
          <w:rFonts w:ascii="Arial" w:cs="Arial" w:eastAsia="Arial" w:hAnsi="Arial"/>
          <w:sz w:val="17"/>
          <w:szCs w:val="17"/>
          <w:color w:val="auto"/>
        </w:rPr>
      </w:pPr>
    </w:p>
    <w:p>
      <w:pPr>
        <w:ind w:left="1260" w:right="60" w:hanging="318"/>
        <w:spacing w:after="0" w:line="286"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201"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204" w:lineRule="exact"/>
        <w:rPr>
          <w:sz w:val="20"/>
          <w:szCs w:val="20"/>
          <w:color w:val="auto"/>
        </w:rPr>
      </w:pPr>
    </w:p>
    <w:p>
      <w:pPr>
        <w:ind w:right="60" w:firstLine="391"/>
        <w:spacing w:after="0" w:line="286" w:lineRule="auto"/>
        <w:rPr>
          <w:sz w:val="20"/>
          <w:szCs w:val="20"/>
          <w:color w:val="auto"/>
        </w:rPr>
      </w:pPr>
      <w:r>
        <w:rPr>
          <w:rFonts w:ascii="Arial" w:cs="Arial" w:eastAsia="Arial" w:hAnsi="Arial"/>
          <w:sz w:val="17"/>
          <w:szCs w:val="17"/>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85" w:lineRule="exact"/>
        <w:rPr>
          <w:sz w:val="20"/>
          <w:szCs w:val="20"/>
          <w:color w:val="auto"/>
        </w:rPr>
      </w:pPr>
    </w:p>
    <w:p>
      <w:pPr>
        <w:ind w:right="400" w:firstLine="391"/>
        <w:spacing w:after="0" w:line="295"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1" w:lineRule="exact"/>
        <w:rPr>
          <w:sz w:val="20"/>
          <w:szCs w:val="20"/>
          <w:color w:val="auto"/>
        </w:rPr>
      </w:pPr>
    </w:p>
    <w:p>
      <w:pPr>
        <w:ind w:right="540" w:firstLine="391"/>
        <w:spacing w:after="0" w:line="286" w:lineRule="auto"/>
        <w:rPr>
          <w:sz w:val="20"/>
          <w:szCs w:val="20"/>
          <w:color w:val="auto"/>
        </w:rPr>
      </w:pPr>
      <w:r>
        <w:rPr>
          <w:rFonts w:ascii="Arial" w:cs="Arial" w:eastAsia="Arial" w:hAnsi="Arial"/>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247" w:lineRule="exact"/>
        <w:rPr>
          <w:sz w:val="20"/>
          <w:szCs w:val="20"/>
          <w:color w:val="auto"/>
        </w:rPr>
      </w:pPr>
    </w:p>
    <w:p>
      <w:pPr>
        <w:ind w:firstLine="391"/>
        <w:spacing w:after="0" w:line="259" w:lineRule="auto"/>
        <w:rPr>
          <w:sz w:val="20"/>
          <w:szCs w:val="20"/>
          <w:color w:val="auto"/>
        </w:rPr>
      </w:pPr>
      <w:r>
        <w:rPr>
          <w:rFonts w:ascii="Arial" w:cs="Arial" w:eastAsia="Arial" w:hAnsi="Arial"/>
          <w:sz w:val="17"/>
          <w:szCs w:val="17"/>
          <w:color w:val="auto"/>
        </w:rPr>
        <w:t>In February 2020, our Board of Directors approved a stock repurchase program for the repurchase of up to $600 million of the outstanding shares of our Class A common stock and in February 2021 our Board of Directors authorized the repurchase of up to an additional $1 billion of the outstanding shares of our Class A common stock. The repurchase program does not have an expiration date and we are not obligated to repurchase a specified number or dollar value of shares. Share repurchases will be made from time to time in private transactions or open market purchases, as permitted by securities laws and other legal requirements. Although we have previously announced an intention to increase the pace of our share repurchases, any share repurchases remain subject to the circumstances in place at that time, including prevailing market prices. As a result, there can be no guarantee around the timing of our share repurchases, or that the volume of such repurchases will increase.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47" w:lineRule="exact"/>
        <w:rPr>
          <w:sz w:val="20"/>
          <w:szCs w:val="20"/>
          <w:color w:val="auto"/>
        </w:rPr>
      </w:pPr>
    </w:p>
    <w:p>
      <w:pPr>
        <w:ind w:right="260" w:firstLine="391"/>
        <w:spacing w:after="0" w:line="26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Risk Factors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247" w:lineRule="exact"/>
        <w:rPr>
          <w:sz w:val="20"/>
          <w:szCs w:val="20"/>
          <w:color w:val="auto"/>
        </w:rPr>
      </w:pPr>
    </w:p>
    <w:p>
      <w:pPr>
        <w:ind w:right="40" w:firstLine="391"/>
        <w:spacing w:after="0" w:line="262"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such as COVID-19, or the fear of such events, have resulted in responses, including government-imposed travel restrictions, grounding of flights, and shutdown 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spacing w:after="0" w:line="204" w:lineRule="exact"/>
        <w:rPr>
          <w:sz w:val="20"/>
          <w:szCs w:val="20"/>
          <w:color w:val="auto"/>
        </w:rPr>
      </w:pPr>
    </w:p>
    <w:p>
      <w:pPr>
        <w:ind w:right="60" w:firstLine="391"/>
        <w:spacing w:after="0" w:line="279" w:lineRule="auto"/>
        <w:rPr>
          <w:sz w:val="20"/>
          <w:szCs w:val="20"/>
          <w:color w:val="auto"/>
        </w:rPr>
      </w:pPr>
      <w:r>
        <w:rPr>
          <w:rFonts w:ascii="Arial" w:cs="Arial" w:eastAsia="Arial" w:hAnsi="Arial"/>
          <w:sz w:val="16"/>
          <w:szCs w:val="16"/>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adversely impact our results of operations.</w:t>
      </w:r>
    </w:p>
    <w:p>
      <w:pPr>
        <w:spacing w:after="0" w:line="247" w:lineRule="exact"/>
        <w:rPr>
          <w:sz w:val="20"/>
          <w:szCs w:val="20"/>
          <w:color w:val="auto"/>
        </w:rPr>
      </w:pPr>
    </w:p>
    <w:p>
      <w:pPr>
        <w:ind w:right="120" w:firstLine="391"/>
        <w:spacing w:after="0" w:line="312" w:lineRule="auto"/>
        <w:rPr>
          <w:sz w:val="20"/>
          <w:szCs w:val="20"/>
          <w:color w:val="auto"/>
        </w:rPr>
      </w:pPr>
      <w:r>
        <w:rPr>
          <w:rFonts w:ascii="Arial" w:cs="Arial" w:eastAsia="Arial" w:hAnsi="Arial"/>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71"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Our tax provision could also be impacted by changes in accounting principles, changes in U.S. federal, state, or international tax laws applicable to corporate multinationals such as the recent legislation enacted in the United States, other fundamental law changes currently being considered by many countries, and changes in taxing jurisdictions’ administrative interpretations, decisions, policies, and positions. Additionally, the Organization for Economic Co-Operation and Development has released guidance covering various topics, including digital economy, transfer pricing, country-by-country reporting, and definitional changes to permanent establishment that could ultimately impact our tax liabilities.</w:t>
      </w:r>
    </w:p>
    <w:p>
      <w:pPr>
        <w:spacing w:after="0" w:line="205" w:lineRule="exact"/>
        <w:rPr>
          <w:sz w:val="20"/>
          <w:szCs w:val="20"/>
          <w:color w:val="auto"/>
        </w:rPr>
      </w:pPr>
    </w:p>
    <w:p>
      <w:pPr>
        <w:ind w:right="40" w:firstLine="391"/>
        <w:spacing w:after="0" w:line="262"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04"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5" w:lineRule="exact"/>
        <w:rPr>
          <w:sz w:val="20"/>
          <w:szCs w:val="20"/>
          <w:color w:val="auto"/>
        </w:rPr>
      </w:pPr>
    </w:p>
    <w:p>
      <w:pPr>
        <w:ind w:right="20" w:firstLine="391"/>
        <w:spacing w:after="0" w:line="266"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1" w:lineRule="exact"/>
        <w:rPr>
          <w:sz w:val="20"/>
          <w:szCs w:val="20"/>
          <w:color w:val="auto"/>
        </w:rPr>
      </w:pPr>
    </w:p>
    <w:p>
      <w:pPr>
        <w:ind w:right="160" w:firstLine="391"/>
        <w:spacing w:after="0" w:line="312" w:lineRule="auto"/>
        <w:rPr>
          <w:sz w:val="20"/>
          <w:szCs w:val="20"/>
          <w:color w:val="auto"/>
        </w:rPr>
      </w:pPr>
      <w:r>
        <w:rPr>
          <w:rFonts w:ascii="Arial" w:cs="Arial" w:eastAsia="Arial" w:hAnsi="Arial"/>
          <w:sz w:val="15"/>
          <w:szCs w:val="15"/>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199" w:lineRule="exact"/>
        <w:rPr>
          <w:sz w:val="20"/>
          <w:szCs w:val="20"/>
          <w:color w:val="auto"/>
        </w:rPr>
      </w:pPr>
    </w:p>
    <w:p>
      <w:pPr>
        <w:ind w:right="40" w:firstLine="391"/>
        <w:spacing w:after="0" w:line="277"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47" w:lineRule="exact"/>
        <w:rPr>
          <w:sz w:val="20"/>
          <w:szCs w:val="20"/>
          <w:color w:val="auto"/>
        </w:rPr>
      </w:pPr>
    </w:p>
    <w:p>
      <w:pPr>
        <w:ind w:right="20" w:firstLine="391"/>
        <w:spacing w:after="0" w:line="263"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247" w:lineRule="exact"/>
        <w:rPr>
          <w:sz w:val="20"/>
          <w:szCs w:val="20"/>
          <w:color w:val="auto"/>
        </w:rPr>
      </w:pPr>
    </w:p>
    <w:p>
      <w:pPr>
        <w:ind w:right="40" w:firstLine="391"/>
        <w:spacing w:after="0" w:line="301"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85" w:lineRule="exact"/>
        <w:rPr>
          <w:sz w:val="20"/>
          <w:szCs w:val="20"/>
          <w:color w:val="auto"/>
        </w:rPr>
      </w:pPr>
    </w:p>
    <w:p>
      <w:pPr>
        <w:jc w:val="both"/>
        <w:ind w:firstLine="391"/>
        <w:spacing w:after="0" w:line="283"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information with respect to Dropbox's repurchases of Class A common stock during the quarter ended June 30, 2021.</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color w:val="auto"/>
                <w:w w:val="88"/>
              </w:rPr>
              <w:t>Total 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jc w:val="center"/>
              <w:ind w:right="59"/>
              <w:spacing w:after="0"/>
              <w:rPr>
                <w:sz w:val="20"/>
                <w:szCs w:val="20"/>
                <w:color w:val="auto"/>
              </w:rPr>
            </w:pPr>
            <w:r>
              <w:rPr>
                <w:rFonts w:ascii="Arial" w:cs="Arial" w:eastAsia="Arial" w:hAnsi="Arial"/>
                <w:sz w:val="16"/>
                <w:szCs w:val="16"/>
                <w:color w:val="auto"/>
                <w:w w:val="91"/>
              </w:rPr>
              <w:t>Approximate Dollar Value of</w:t>
            </w: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jc w:val="center"/>
              <w:ind w:right="59"/>
              <w:spacing w:after="0" w:line="156" w:lineRule="exact"/>
              <w:rPr>
                <w:sz w:val="20"/>
                <w:szCs w:val="20"/>
                <w:color w:val="auto"/>
              </w:rPr>
            </w:pPr>
            <w:r>
              <w:rPr>
                <w:rFonts w:ascii="Arial" w:cs="Arial" w:eastAsia="Arial" w:hAnsi="Arial"/>
                <w:sz w:val="16"/>
                <w:szCs w:val="16"/>
                <w:color w:val="auto"/>
                <w:w w:val="86"/>
              </w:rPr>
              <w:t>Shares that May Yet Be</w:t>
            </w: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right"/>
              <w:ind w:right="256"/>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jc w:val="center"/>
              <w:spacing w:after="0" w:line="156" w:lineRule="exact"/>
              <w:rPr>
                <w:sz w:val="20"/>
                <w:szCs w:val="20"/>
                <w:color w:val="auto"/>
              </w:rPr>
            </w:pPr>
            <w:r>
              <w:rPr>
                <w:rFonts w:ascii="Arial" w:cs="Arial" w:eastAsia="Arial" w:hAnsi="Arial"/>
                <w:sz w:val="16"/>
                <w:szCs w:val="16"/>
                <w:color w:val="auto"/>
                <w:w w:val="88"/>
              </w:rPr>
              <w:t>Purchased as Part of Publicly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jc w:val="center"/>
              <w:ind w:right="59"/>
              <w:spacing w:after="0" w:line="156" w:lineRule="exact"/>
              <w:rPr>
                <w:sz w:val="20"/>
                <w:szCs w:val="20"/>
                <w:color w:val="auto"/>
              </w:rPr>
            </w:pPr>
            <w:r>
              <w:rPr>
                <w:rFonts w:ascii="Arial" w:cs="Arial" w:eastAsia="Arial" w:hAnsi="Arial"/>
                <w:sz w:val="16"/>
                <w:szCs w:val="16"/>
                <w:color w:val="auto"/>
                <w:w w:val="87"/>
              </w:rPr>
              <w:t>Purchased Under Publicly</w:t>
            </w:r>
          </w:p>
        </w:tc>
        <w:tc>
          <w:tcPr>
            <w:tcW w:w="0" w:type="dxa"/>
            <w:vAlign w:val="bottom"/>
          </w:tcPr>
          <w:p>
            <w:pPr>
              <w:spacing w:after="0"/>
              <w:rPr>
                <w:sz w:val="1"/>
                <w:szCs w:val="1"/>
                <w:color w:val="auto"/>
              </w:rPr>
            </w:pPr>
          </w:p>
        </w:tc>
      </w:tr>
      <w:tr>
        <w:trPr>
          <w:trHeight w:val="156"/>
        </w:trPr>
        <w:tc>
          <w:tcPr>
            <w:tcW w:w="2120" w:type="dxa"/>
            <w:vAlign w:val="bottom"/>
            <w:vMerge w:val="restart"/>
          </w:tcPr>
          <w:p>
            <w:pPr>
              <w:jc w:val="center"/>
              <w:spacing w:after="0"/>
              <w:rPr>
                <w:sz w:val="20"/>
                <w:szCs w:val="20"/>
                <w:color w:val="auto"/>
              </w:rPr>
            </w:pPr>
            <w:r>
              <w:rPr>
                <w:rFonts w:ascii="Arial" w:cs="Arial" w:eastAsia="Arial" w:hAnsi="Arial"/>
                <w:sz w:val="16"/>
                <w:szCs w:val="16"/>
                <w:color w:val="auto"/>
                <w:w w:val="90"/>
              </w:rPr>
              <w:t>Period</w:t>
            </w:r>
          </w:p>
        </w:tc>
        <w:tc>
          <w:tcPr>
            <w:tcW w:w="100" w:type="dxa"/>
            <w:vAlign w:val="bottom"/>
            <w:vMerge w:val="restart"/>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vMerge w:val="restart"/>
          </w:tcPr>
          <w:p>
            <w:pPr>
              <w:jc w:val="right"/>
              <w:ind w:right="13"/>
              <w:spacing w:after="0"/>
              <w:rPr>
                <w:sz w:val="20"/>
                <w:szCs w:val="20"/>
                <w:color w:val="auto"/>
              </w:rPr>
            </w:pPr>
            <w:r>
              <w:rPr>
                <w:rFonts w:ascii="Arial" w:cs="Arial" w:eastAsia="Arial" w:hAnsi="Arial"/>
                <w:sz w:val="16"/>
                <w:szCs w:val="16"/>
                <w:color w:val="auto"/>
                <w:w w:val="88"/>
              </w:rPr>
              <w:t>Average Price Paid per Share</w:t>
            </w:r>
            <w:r>
              <w:rPr>
                <w:rFonts w:ascii="Arial" w:cs="Arial" w:eastAsia="Arial" w:hAnsi="Arial"/>
                <w:sz w:val="20"/>
                <w:szCs w:val="20"/>
                <w:color w:val="auto"/>
                <w:w w:val="88"/>
                <w:vertAlign w:val="superscript"/>
              </w:rPr>
              <w:t>(2)</w:t>
            </w:r>
          </w:p>
        </w:tc>
        <w:tc>
          <w:tcPr>
            <w:tcW w:w="100" w:type="dxa"/>
            <w:vAlign w:val="bottom"/>
            <w:vMerge w:val="restart"/>
          </w:tcPr>
          <w:p>
            <w:pPr>
              <w:spacing w:after="0"/>
              <w:rPr>
                <w:sz w:val="13"/>
                <w:szCs w:val="13"/>
                <w:color w:val="auto"/>
              </w:rPr>
            </w:pPr>
          </w:p>
        </w:tc>
        <w:tc>
          <w:tcPr>
            <w:tcW w:w="2140" w:type="dxa"/>
            <w:vAlign w:val="bottom"/>
          </w:tcPr>
          <w:p>
            <w:pPr>
              <w:jc w:val="center"/>
              <w:spacing w:after="0" w:line="156" w:lineRule="exact"/>
              <w:rPr>
                <w:sz w:val="20"/>
                <w:szCs w:val="20"/>
                <w:color w:val="auto"/>
              </w:rPr>
            </w:pPr>
            <w:r>
              <w:rPr>
                <w:rFonts w:ascii="Arial" w:cs="Arial" w:eastAsia="Arial" w:hAnsi="Arial"/>
                <w:sz w:val="16"/>
                <w:szCs w:val="16"/>
                <w:color w:val="auto"/>
                <w:w w:val="87"/>
              </w:rPr>
              <w:t>Announced Programs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jc w:val="center"/>
              <w:ind w:right="39"/>
              <w:spacing w:after="0" w:line="156" w:lineRule="exact"/>
              <w:rPr>
                <w:sz w:val="20"/>
                <w:szCs w:val="20"/>
                <w:color w:val="auto"/>
              </w:rPr>
            </w:pPr>
            <w:r>
              <w:rPr>
                <w:rFonts w:ascii="Arial" w:cs="Arial" w:eastAsia="Arial" w:hAnsi="Arial"/>
                <w:sz w:val="16"/>
                <w:szCs w:val="16"/>
                <w:color w:val="auto"/>
                <w:w w:val="87"/>
              </w:rPr>
              <w:t>Announced Programs</w:t>
            </w:r>
          </w:p>
        </w:tc>
        <w:tc>
          <w:tcPr>
            <w:tcW w:w="0" w:type="dxa"/>
            <w:vAlign w:val="bottom"/>
          </w:tcPr>
          <w:p>
            <w:pPr>
              <w:spacing w:after="0"/>
              <w:rPr>
                <w:sz w:val="1"/>
                <w:szCs w:val="1"/>
                <w:color w:val="auto"/>
              </w:rPr>
            </w:pPr>
          </w:p>
        </w:tc>
      </w:tr>
      <w:tr>
        <w:trPr>
          <w:trHeight w:val="205"/>
        </w:trPr>
        <w:tc>
          <w:tcPr>
            <w:tcW w:w="21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160" w:type="dxa"/>
            <w:vAlign w:val="bottom"/>
            <w:tcBorders>
              <w:bottom w:val="single" w:sz="8" w:color="auto"/>
            </w:tcBorders>
          </w:tcPr>
          <w:p>
            <w:pPr>
              <w:jc w:val="right"/>
              <w:ind w:right="216"/>
              <w:spacing w:after="0" w:line="206" w:lineRule="exact"/>
              <w:rPr>
                <w:sz w:val="20"/>
                <w:szCs w:val="20"/>
                <w:color w:val="auto"/>
              </w:rPr>
            </w:pPr>
            <w:r>
              <w:rPr>
                <w:rFonts w:ascii="Arial" w:cs="Arial" w:eastAsia="Arial" w:hAnsi="Arial"/>
                <w:sz w:val="16"/>
                <w:szCs w:val="16"/>
                <w:color w:val="auto"/>
              </w:rPr>
              <w:t>Purchased (in millions)</w:t>
            </w:r>
            <w:r>
              <w:rPr>
                <w:rFonts w:ascii="Arial" w:cs="Arial" w:eastAsia="Arial" w:hAnsi="Arial"/>
                <w:sz w:val="20"/>
                <w:szCs w:val="20"/>
                <w:color w:val="auto"/>
                <w:vertAlign w:val="superscript"/>
              </w:rPr>
              <w:t>(1)</w:t>
            </w:r>
          </w:p>
        </w:tc>
        <w:tc>
          <w:tcPr>
            <w:tcW w:w="100" w:type="dxa"/>
            <w:vAlign w:val="bottom"/>
          </w:tcPr>
          <w:p>
            <w:pPr>
              <w:spacing w:after="0"/>
              <w:rPr>
                <w:sz w:val="17"/>
                <w:szCs w:val="17"/>
                <w:color w:val="auto"/>
              </w:rPr>
            </w:pPr>
          </w:p>
        </w:tc>
        <w:tc>
          <w:tcPr>
            <w:tcW w:w="2140" w:type="dxa"/>
            <w:vAlign w:val="bottom"/>
            <w:tcBorders>
              <w:bottom w:val="single" w:sz="8" w:color="auto"/>
            </w:tcBorders>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14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center"/>
              <w:ind w:right="59"/>
              <w:spacing w:after="0" w:line="206"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0" w:type="dxa"/>
            <w:vAlign w:val="bottom"/>
          </w:tcPr>
          <w:p>
            <w:pPr>
              <w:spacing w:after="0"/>
              <w:rPr>
                <w:sz w:val="1"/>
                <w:szCs w:val="1"/>
                <w:color w:val="auto"/>
              </w:rPr>
            </w:pPr>
          </w:p>
        </w:tc>
      </w:tr>
      <w:tr>
        <w:trPr>
          <w:trHeight w:val="214"/>
        </w:trPr>
        <w:tc>
          <w:tcPr>
            <w:tcW w:w="2220" w:type="dxa"/>
            <w:vAlign w:val="bottom"/>
            <w:gridSpan w:val="2"/>
          </w:tcPr>
          <w:p>
            <w:pPr>
              <w:spacing w:after="0"/>
              <w:rPr>
                <w:sz w:val="20"/>
                <w:szCs w:val="20"/>
                <w:color w:val="auto"/>
              </w:rPr>
            </w:pPr>
            <w:r>
              <w:rPr>
                <w:rFonts w:ascii="Arial" w:cs="Arial" w:eastAsia="Arial" w:hAnsi="Arial"/>
                <w:sz w:val="17"/>
                <w:szCs w:val="17"/>
                <w:color w:val="auto"/>
              </w:rPr>
              <w:t>April 1 - 30</w:t>
            </w:r>
          </w:p>
        </w:tc>
        <w:tc>
          <w:tcPr>
            <w:tcW w:w="2160" w:type="dxa"/>
            <w:vAlign w:val="bottom"/>
          </w:tcPr>
          <w:p>
            <w:pPr>
              <w:jc w:val="right"/>
              <w:spacing w:after="0"/>
              <w:rPr>
                <w:sz w:val="20"/>
                <w:szCs w:val="20"/>
                <w:color w:val="auto"/>
              </w:rPr>
            </w:pPr>
            <w:r>
              <w:rPr>
                <w:rFonts w:ascii="Arial" w:cs="Arial" w:eastAsia="Arial" w:hAnsi="Arial"/>
                <w:sz w:val="17"/>
                <w:szCs w:val="17"/>
                <w:color w:val="auto"/>
              </w:rPr>
              <w:t>1.58</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26.59</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1.58</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928.41</w:t>
            </w:r>
          </w:p>
        </w:tc>
        <w:tc>
          <w:tcPr>
            <w:tcW w:w="0" w:type="dxa"/>
            <w:vAlign w:val="bottom"/>
          </w:tcPr>
          <w:p>
            <w:pPr>
              <w:spacing w:after="0"/>
              <w:rPr>
                <w:sz w:val="1"/>
                <w:szCs w:val="1"/>
                <w:color w:val="auto"/>
              </w:rPr>
            </w:pPr>
          </w:p>
        </w:tc>
      </w:tr>
      <w:tr>
        <w:trPr>
          <w:trHeight w:val="221"/>
        </w:trPr>
        <w:tc>
          <w:tcPr>
            <w:tcW w:w="2220" w:type="dxa"/>
            <w:vAlign w:val="bottom"/>
            <w:gridSpan w:val="2"/>
          </w:tcPr>
          <w:p>
            <w:pPr>
              <w:spacing w:after="0"/>
              <w:rPr>
                <w:sz w:val="20"/>
                <w:szCs w:val="20"/>
                <w:color w:val="auto"/>
              </w:rPr>
            </w:pPr>
            <w:r>
              <w:rPr>
                <w:rFonts w:ascii="Arial" w:cs="Arial" w:eastAsia="Arial" w:hAnsi="Arial"/>
                <w:sz w:val="17"/>
                <w:szCs w:val="17"/>
                <w:color w:val="auto"/>
              </w:rPr>
              <w:t>May 1 - 31</w:t>
            </w:r>
          </w:p>
        </w:tc>
        <w:tc>
          <w:tcPr>
            <w:tcW w:w="2160" w:type="dxa"/>
            <w:vAlign w:val="bottom"/>
          </w:tcPr>
          <w:p>
            <w:pPr>
              <w:jc w:val="right"/>
              <w:spacing w:after="0"/>
              <w:rPr>
                <w:sz w:val="20"/>
                <w:szCs w:val="20"/>
                <w:color w:val="auto"/>
              </w:rPr>
            </w:pPr>
            <w:r>
              <w:rPr>
                <w:rFonts w:ascii="Arial" w:cs="Arial" w:eastAsia="Arial" w:hAnsi="Arial"/>
                <w:sz w:val="17"/>
                <w:szCs w:val="17"/>
                <w:color w:val="auto"/>
              </w:rPr>
              <w:t>1.68</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25.80</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1.68</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885.19</w:t>
            </w:r>
          </w:p>
        </w:tc>
        <w:tc>
          <w:tcPr>
            <w:tcW w:w="0" w:type="dxa"/>
            <w:vAlign w:val="bottom"/>
          </w:tcPr>
          <w:p>
            <w:pPr>
              <w:spacing w:after="0"/>
              <w:rPr>
                <w:sz w:val="1"/>
                <w:szCs w:val="1"/>
                <w:color w:val="auto"/>
              </w:rPr>
            </w:pPr>
          </w:p>
        </w:tc>
      </w:tr>
      <w:tr>
        <w:trPr>
          <w:trHeight w:val="221"/>
        </w:trPr>
        <w:tc>
          <w:tcPr>
            <w:tcW w:w="2220" w:type="dxa"/>
            <w:vAlign w:val="bottom"/>
            <w:gridSpan w:val="2"/>
          </w:tcPr>
          <w:p>
            <w:pPr>
              <w:spacing w:after="0"/>
              <w:rPr>
                <w:sz w:val="20"/>
                <w:szCs w:val="20"/>
                <w:color w:val="auto"/>
              </w:rPr>
            </w:pPr>
            <w:r>
              <w:rPr>
                <w:rFonts w:ascii="Arial" w:cs="Arial" w:eastAsia="Arial" w:hAnsi="Arial"/>
                <w:sz w:val="17"/>
                <w:szCs w:val="17"/>
                <w:color w:val="auto"/>
              </w:rPr>
              <w:t>June 1 - 30</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29.29</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819.53</w:t>
            </w:r>
          </w:p>
        </w:tc>
        <w:tc>
          <w:tcPr>
            <w:tcW w:w="0" w:type="dxa"/>
            <w:vAlign w:val="bottom"/>
          </w:tcPr>
          <w:p>
            <w:pPr>
              <w:spacing w:after="0"/>
              <w:rPr>
                <w:sz w:val="1"/>
                <w:szCs w:val="1"/>
                <w:color w:val="auto"/>
              </w:rPr>
            </w:pPr>
          </w:p>
        </w:tc>
      </w:tr>
      <w:tr>
        <w:trPr>
          <w:trHeight w:val="214"/>
        </w:trPr>
        <w:tc>
          <w:tcPr>
            <w:tcW w:w="222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Total</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27.45</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right="80" w:firstLine="4"/>
        <w:spacing w:after="0" w:line="265" w:lineRule="auto"/>
        <w:tabs>
          <w:tab w:leader="none" w:pos="16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On February 20, 2020, we announced that our Board of Directors approved a stock repurchase program for the repurchase of up to $600 million of the Company's outstanding shares of Class A common stock. On February 18, 2021, we announced that our Board of Directors authorized the repurchase of an additional $1 billion of the outstanding shares of our Class A common stock. We completed the February 2020 authorization of $600 million during the three months ended March 31, 2021 and continued stock repurchases under the February 2021 authorization.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Equity" of this Quarterly Report on Form 10-Q for additional information related to share repurchases.</w:t>
      </w:r>
    </w:p>
    <w:p>
      <w:pPr>
        <w:spacing w:after="0" w:line="183" w:lineRule="exact"/>
        <w:rPr>
          <w:rFonts w:ascii="Arial" w:cs="Arial" w:eastAsia="Arial" w:hAnsi="Arial"/>
          <w:sz w:val="19"/>
          <w:szCs w:val="19"/>
          <w:color w:val="auto"/>
          <w:vertAlign w:val="superscript"/>
        </w:rPr>
      </w:pPr>
    </w:p>
    <w:p>
      <w:pPr>
        <w:ind w:left="160" w:hanging="156"/>
        <w:spacing w:after="0"/>
        <w:tabs>
          <w:tab w:leader="none" w:pos="16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Average price paid per share includes costs associated with the repurchases.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EXHIBIT INDEX</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Incorporated by</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880" w:type="dxa"/>
            <w:vAlign w:val="bottom"/>
            <w:gridSpan w:val="6"/>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7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Reference from</w:t>
            </w:r>
          </w:p>
        </w:tc>
        <w:tc>
          <w:tcPr>
            <w:tcW w:w="120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0"/>
              </w:rPr>
              <w:t>Filed with SEC</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4880" w:type="dxa"/>
            <w:vAlign w:val="bottom"/>
            <w:gridSpan w:val="6"/>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Exhibit Number</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1060" w:type="dxa"/>
            <w:vAlign w:val="bottom"/>
          </w:tcPr>
          <w:p>
            <w:pPr>
              <w:spacing w:after="0"/>
              <w:rPr>
                <w:sz w:val="20"/>
                <w:szCs w:val="20"/>
                <w:color w:val="auto"/>
              </w:rPr>
            </w:pPr>
            <w:r>
              <w:rPr>
                <w:rFonts w:ascii="Arial" w:cs="Arial" w:eastAsia="Arial" w:hAnsi="Arial"/>
                <w:sz w:val="14"/>
                <w:szCs w:val="14"/>
                <w:color w:val="auto"/>
              </w:rPr>
              <w:t>31.1</w:t>
            </w:r>
          </w:p>
        </w:tc>
        <w:tc>
          <w:tcPr>
            <w:tcW w:w="5200" w:type="dxa"/>
            <w:vAlign w:val="bottom"/>
            <w:gridSpan w:val="7"/>
          </w:tcPr>
          <w:p>
            <w:pPr>
              <w:spacing w:after="0"/>
              <w:rPr>
                <w:rFonts w:ascii="Arial" w:cs="Arial" w:eastAsia="Arial" w:hAnsi="Arial"/>
                <w:sz w:val="14"/>
                <w:szCs w:val="14"/>
                <w:color w:val="0000FF"/>
                <w:w w:val="93"/>
              </w:rPr>
            </w:pPr>
            <w:hyperlink w:anchor="page97">
              <w:r>
                <w:rPr>
                  <w:rFonts w:ascii="Arial" w:cs="Arial" w:eastAsia="Arial" w:hAnsi="Arial"/>
                  <w:sz w:val="14"/>
                  <w:szCs w:val="14"/>
                  <w:color w:val="0000FF"/>
                  <w:w w:val="93"/>
                </w:rPr>
                <w:t>Certification of Principal Executive Officer pursuant to Exchange Act Rules 13a-14(a) and</w:t>
              </w:r>
            </w:hyperlink>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60" w:type="dxa"/>
            <w:vAlign w:val="bottom"/>
          </w:tcPr>
          <w:p>
            <w:pPr>
              <w:spacing w:after="0"/>
              <w:rPr>
                <w:sz w:val="9"/>
                <w:szCs w:val="9"/>
                <w:color w:val="auto"/>
              </w:rPr>
            </w:pPr>
          </w:p>
        </w:tc>
        <w:tc>
          <w:tcPr>
            <w:tcW w:w="4580" w:type="dxa"/>
            <w:vAlign w:val="bottom"/>
            <w:tcBorders>
              <w:top w:val="single" w:sz="8" w:color="0000FF"/>
              <w:bottom w:val="single" w:sz="8" w:color="0000FF"/>
            </w:tcBorders>
            <w:gridSpan w:val="2"/>
          </w:tcPr>
          <w:p>
            <w:pPr>
              <w:spacing w:after="0" w:line="110" w:lineRule="exact"/>
              <w:rPr>
                <w:rFonts w:ascii="Arial" w:cs="Arial" w:eastAsia="Arial" w:hAnsi="Arial"/>
                <w:sz w:val="12"/>
                <w:szCs w:val="12"/>
                <w:color w:val="0000FF"/>
              </w:rPr>
            </w:pPr>
            <w:hyperlink w:anchor="page97">
              <w:r>
                <w:rPr>
                  <w:rFonts w:ascii="Arial" w:cs="Arial" w:eastAsia="Arial" w:hAnsi="Arial"/>
                  <w:sz w:val="12"/>
                  <w:szCs w:val="12"/>
                  <w:color w:val="0000FF"/>
                </w:rPr>
                <w:t>15d-14(a), as adopted pursuant to Section 302 of the Sarbanes-Oxley Act of 2002.</w:t>
              </w:r>
            </w:hyperlink>
          </w:p>
        </w:tc>
        <w:tc>
          <w:tcPr>
            <w:tcW w:w="480" w:type="dxa"/>
            <w:vAlign w:val="bottom"/>
            <w:tcBorders>
              <w:top w:val="single" w:sz="8" w:color="0000FF"/>
            </w:tcBorders>
            <w:gridSpan w:val="4"/>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060" w:type="dxa"/>
            <w:vAlign w:val="bottom"/>
          </w:tcPr>
          <w:p>
            <w:pPr>
              <w:spacing w:after="0"/>
              <w:rPr>
                <w:sz w:val="20"/>
                <w:szCs w:val="20"/>
                <w:color w:val="auto"/>
              </w:rPr>
            </w:pPr>
            <w:r>
              <w:rPr>
                <w:rFonts w:ascii="Arial" w:cs="Arial" w:eastAsia="Arial" w:hAnsi="Arial"/>
                <w:sz w:val="14"/>
                <w:szCs w:val="14"/>
                <w:color w:val="auto"/>
              </w:rPr>
              <w:t>31.2</w:t>
            </w:r>
          </w:p>
        </w:tc>
        <w:tc>
          <w:tcPr>
            <w:tcW w:w="5200" w:type="dxa"/>
            <w:vAlign w:val="bottom"/>
            <w:gridSpan w:val="7"/>
          </w:tcPr>
          <w:p>
            <w:pPr>
              <w:spacing w:after="0"/>
              <w:rPr>
                <w:rFonts w:ascii="Arial" w:cs="Arial" w:eastAsia="Arial" w:hAnsi="Arial"/>
                <w:sz w:val="14"/>
                <w:szCs w:val="14"/>
                <w:color w:val="0000FF"/>
                <w:w w:val="94"/>
              </w:rPr>
            </w:pPr>
            <w:hyperlink w:anchor="page98">
              <w:r>
                <w:rPr>
                  <w:rFonts w:ascii="Arial" w:cs="Arial" w:eastAsia="Arial" w:hAnsi="Arial"/>
                  <w:sz w:val="14"/>
                  <w:szCs w:val="14"/>
                  <w:color w:val="0000FF"/>
                  <w:w w:val="94"/>
                </w:rPr>
                <w:t>Certification of Principal Financial Officer pursuant to Exchange Act Rules 13a-14(a) and</w:t>
              </w:r>
            </w:hyperlink>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60" w:type="dxa"/>
            <w:vAlign w:val="bottom"/>
          </w:tcPr>
          <w:p>
            <w:pPr>
              <w:spacing w:after="0"/>
              <w:rPr>
                <w:sz w:val="9"/>
                <w:szCs w:val="9"/>
                <w:color w:val="auto"/>
              </w:rPr>
            </w:pPr>
          </w:p>
        </w:tc>
        <w:tc>
          <w:tcPr>
            <w:tcW w:w="4580" w:type="dxa"/>
            <w:vAlign w:val="bottom"/>
            <w:tcBorders>
              <w:top w:val="single" w:sz="8" w:color="0000FF"/>
              <w:bottom w:val="single" w:sz="8" w:color="0000FF"/>
            </w:tcBorders>
            <w:gridSpan w:val="2"/>
          </w:tcPr>
          <w:p>
            <w:pPr>
              <w:spacing w:after="0" w:line="110" w:lineRule="exact"/>
              <w:rPr>
                <w:rFonts w:ascii="Arial" w:cs="Arial" w:eastAsia="Arial" w:hAnsi="Arial"/>
                <w:sz w:val="12"/>
                <w:szCs w:val="12"/>
                <w:color w:val="0000FF"/>
              </w:rPr>
            </w:pPr>
            <w:hyperlink w:anchor="page98">
              <w:r>
                <w:rPr>
                  <w:rFonts w:ascii="Arial" w:cs="Arial" w:eastAsia="Arial" w:hAnsi="Arial"/>
                  <w:sz w:val="12"/>
                  <w:szCs w:val="12"/>
                  <w:color w:val="0000FF"/>
                </w:rPr>
                <w:t>15d-14(a), as adopted pursuant to Section 302 of the Sarbanes-Oxley Act of 2002.</w:t>
              </w:r>
            </w:hyperlink>
          </w:p>
        </w:tc>
        <w:tc>
          <w:tcPr>
            <w:tcW w:w="440" w:type="dxa"/>
            <w:vAlign w:val="bottom"/>
            <w:tcBorders>
              <w:top w:val="single" w:sz="8" w:color="0000FF"/>
            </w:tcBorders>
            <w:gridSpan w:val="3"/>
          </w:tcPr>
          <w:p>
            <w:pPr>
              <w:spacing w:after="0"/>
              <w:rPr>
                <w:sz w:val="9"/>
                <w:szCs w:val="9"/>
                <w:color w:val="auto"/>
              </w:rPr>
            </w:pPr>
          </w:p>
        </w:tc>
        <w:tc>
          <w:tcPr>
            <w:tcW w:w="18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060" w:type="dxa"/>
            <w:vAlign w:val="bottom"/>
          </w:tcPr>
          <w:p>
            <w:pPr>
              <w:spacing w:after="0"/>
              <w:rPr>
                <w:sz w:val="20"/>
                <w:szCs w:val="20"/>
                <w:color w:val="auto"/>
              </w:rPr>
            </w:pPr>
            <w:r>
              <w:rPr>
                <w:rFonts w:ascii="Arial" w:cs="Arial" w:eastAsia="Arial" w:hAnsi="Arial"/>
                <w:sz w:val="14"/>
                <w:szCs w:val="14"/>
                <w:color w:val="auto"/>
              </w:rPr>
              <w:t>32.1†</w:t>
            </w:r>
          </w:p>
        </w:tc>
        <w:tc>
          <w:tcPr>
            <w:tcW w:w="5200" w:type="dxa"/>
            <w:vAlign w:val="bottom"/>
            <w:gridSpan w:val="7"/>
          </w:tcPr>
          <w:p>
            <w:pPr>
              <w:spacing w:after="0"/>
              <w:rPr>
                <w:rFonts w:ascii="Arial" w:cs="Arial" w:eastAsia="Arial" w:hAnsi="Arial"/>
                <w:sz w:val="14"/>
                <w:szCs w:val="14"/>
                <w:color w:val="0000FF"/>
                <w:w w:val="98"/>
              </w:rPr>
            </w:pPr>
            <w:hyperlink w:anchor="page99">
              <w:r>
                <w:rPr>
                  <w:rFonts w:ascii="Arial" w:cs="Arial" w:eastAsia="Arial" w:hAnsi="Arial"/>
                  <w:sz w:val="14"/>
                  <w:szCs w:val="14"/>
                  <w:color w:val="0000FF"/>
                  <w:w w:val="98"/>
                </w:rPr>
                <w:t>Certifications of Principal Executive Officer and Principal Financial Officer pursuant to</w:t>
              </w:r>
            </w:hyperlink>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spacing w:after="0"/>
              <w:rPr>
                <w:sz w:val="9"/>
                <w:szCs w:val="9"/>
                <w:color w:val="auto"/>
              </w:rPr>
            </w:pPr>
          </w:p>
        </w:tc>
        <w:tc>
          <w:tcPr>
            <w:tcW w:w="5200" w:type="dxa"/>
            <w:vAlign w:val="bottom"/>
            <w:gridSpan w:val="7"/>
          </w:tcPr>
          <w:p>
            <w:pPr>
              <w:spacing w:after="0" w:line="110" w:lineRule="exact"/>
              <w:rPr>
                <w:rFonts w:ascii="Arial" w:cs="Arial" w:eastAsia="Arial" w:hAnsi="Arial"/>
                <w:sz w:val="12"/>
                <w:szCs w:val="12"/>
                <w:color w:val="0000FF"/>
              </w:rPr>
            </w:pPr>
            <w:hyperlink w:anchor="page99">
              <w:r>
                <w:rPr>
                  <w:rFonts w:ascii="Arial" w:cs="Arial" w:eastAsia="Arial" w:hAnsi="Arial"/>
                  <w:sz w:val="12"/>
                  <w:szCs w:val="12"/>
                  <w:color w:val="0000FF"/>
                </w:rPr>
                <w:t>18 U.S.C. Section 1350 as adopted pursuant to Section 906 of the Sarbanes-Oxley Act of</w:t>
              </w:r>
            </w:hyperlink>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60" w:type="dxa"/>
            <w:vAlign w:val="bottom"/>
          </w:tcPr>
          <w:p>
            <w:pPr>
              <w:spacing w:after="0"/>
              <w:rPr>
                <w:sz w:val="9"/>
                <w:szCs w:val="9"/>
                <w:color w:val="auto"/>
              </w:rPr>
            </w:pPr>
          </w:p>
        </w:tc>
        <w:tc>
          <w:tcPr>
            <w:tcW w:w="320" w:type="dxa"/>
            <w:vAlign w:val="bottom"/>
            <w:tcBorders>
              <w:top w:val="single" w:sz="8" w:color="0000FF"/>
              <w:bottom w:val="single" w:sz="8" w:color="0000FF"/>
            </w:tcBorders>
          </w:tcPr>
          <w:p>
            <w:pPr>
              <w:spacing w:after="0" w:line="110" w:lineRule="exact"/>
              <w:rPr>
                <w:rFonts w:ascii="Arial" w:cs="Arial" w:eastAsia="Arial" w:hAnsi="Arial"/>
                <w:sz w:val="12"/>
                <w:szCs w:val="12"/>
                <w:color w:val="0000FF"/>
                <w:w w:val="99"/>
              </w:rPr>
            </w:pPr>
            <w:hyperlink w:anchor="page99">
              <w:r>
                <w:rPr>
                  <w:rFonts w:ascii="Arial" w:cs="Arial" w:eastAsia="Arial" w:hAnsi="Arial"/>
                  <w:sz w:val="12"/>
                  <w:szCs w:val="12"/>
                  <w:color w:val="0000FF"/>
                  <w:w w:val="99"/>
                </w:rPr>
                <w:t>2002.</w:t>
              </w:r>
            </w:hyperlink>
          </w:p>
        </w:tc>
        <w:tc>
          <w:tcPr>
            <w:tcW w:w="426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1080" w:right="5020" w:hanging="1059"/>
        <w:spacing w:after="0" w:line="257" w:lineRule="auto"/>
        <w:tabs>
          <w:tab w:leader="none" w:pos="10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following financial statements from the Company's Quarterly Report on Form 10-Q for the quarter ended June 30, 2021,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Equity, and (vi) Notes to Unaudited Condensed Consolidated Financial Statements.</w:t>
      </w:r>
    </w:p>
    <w:p>
      <w:pPr>
        <w:spacing w:after="0" w:line="273" w:lineRule="exact"/>
        <w:rPr>
          <w:sz w:val="20"/>
          <w:szCs w:val="20"/>
          <w:color w:val="auto"/>
        </w:rPr>
      </w:pPr>
    </w:p>
    <w:p>
      <w:pPr>
        <w:ind w:left="1080" w:hanging="1059"/>
        <w:spacing w:after="0"/>
        <w:tabs>
          <w:tab w:leader="none" w:pos="10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320" w:lineRule="exact"/>
        <w:rPr>
          <w:rFonts w:ascii="Arial" w:cs="Arial" w:eastAsia="Arial" w:hAnsi="Arial"/>
          <w:sz w:val="14"/>
          <w:szCs w:val="14"/>
          <w:color w:val="auto"/>
        </w:rPr>
      </w:pPr>
    </w:p>
    <w:p>
      <w:pPr>
        <w:ind w:firstLine="4"/>
        <w:spacing w:after="0" w:line="243" w:lineRule="auto"/>
        <w:tabs>
          <w:tab w:leader="none" w:pos="10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53" w:lineRule="exact"/>
        <w:rPr>
          <w:sz w:val="20"/>
          <w:szCs w:val="20"/>
          <w:color w:val="auto"/>
        </w:rPr>
      </w:pPr>
    </w:p>
    <w:p>
      <w:pPr>
        <w:ind w:right="260" w:firstLine="174"/>
        <w:spacing w:after="0" w:line="28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060" w:type="dxa"/>
            <w:vAlign w:val="bottom"/>
            <w:gridSpan w:val="3"/>
          </w:tcPr>
          <w:p>
            <w:pPr>
              <w:ind w:left="440"/>
              <w:spacing w:after="0"/>
              <w:rPr>
                <w:sz w:val="20"/>
                <w:szCs w:val="20"/>
                <w:color w:val="auto"/>
              </w:rPr>
            </w:pPr>
            <w:r>
              <w:rPr>
                <w:rFonts w:ascii="Arial" w:cs="Arial" w:eastAsia="Arial" w:hAnsi="Arial"/>
                <w:sz w:val="17"/>
                <w:szCs w:val="17"/>
                <w:b w:val="1"/>
                <w:bCs w:val="1"/>
                <w:color w:val="auto"/>
              </w:rPr>
              <w:t>DROPBOX, INC.</w:t>
            </w:r>
          </w:p>
        </w:tc>
        <w:tc>
          <w:tcPr>
            <w:tcW w:w="40" w:type="dxa"/>
            <w:vAlign w:val="bottom"/>
          </w:tcPr>
          <w:p>
            <w:pPr>
              <w:spacing w:after="0"/>
              <w:rPr>
                <w:sz w:val="19"/>
                <w:szCs w:val="19"/>
                <w:color w:val="auto"/>
              </w:rPr>
            </w:pPr>
          </w:p>
        </w:tc>
      </w:tr>
      <w:tr>
        <w:trPr>
          <w:trHeight w:val="482"/>
        </w:trPr>
        <w:tc>
          <w:tcPr>
            <w:tcW w:w="500" w:type="dxa"/>
            <w:vAlign w:val="bottom"/>
          </w:tcPr>
          <w:p>
            <w:pPr>
              <w:spacing w:after="0"/>
              <w:rPr>
                <w:sz w:val="20"/>
                <w:szCs w:val="20"/>
                <w:color w:val="auto"/>
              </w:rPr>
            </w:pPr>
            <w:r>
              <w:rPr>
                <w:rFonts w:ascii="Arial" w:cs="Arial" w:eastAsia="Arial" w:hAnsi="Arial"/>
                <w:sz w:val="17"/>
                <w:szCs w:val="17"/>
                <w:color w:val="auto"/>
              </w:rPr>
              <w:t>Date:</w:t>
            </w:r>
          </w:p>
        </w:tc>
        <w:tc>
          <w:tcPr>
            <w:tcW w:w="1620" w:type="dxa"/>
            <w:vAlign w:val="bottom"/>
          </w:tcPr>
          <w:p>
            <w:pPr>
              <w:ind w:left="100"/>
              <w:spacing w:after="0"/>
              <w:rPr>
                <w:sz w:val="20"/>
                <w:szCs w:val="20"/>
                <w:color w:val="auto"/>
              </w:rPr>
            </w:pPr>
            <w:r>
              <w:rPr>
                <w:rFonts w:ascii="Arial" w:cs="Arial" w:eastAsia="Arial" w:hAnsi="Arial"/>
                <w:sz w:val="17"/>
                <w:szCs w:val="17"/>
                <w:color w:val="auto"/>
              </w:rPr>
              <w:t>August 6, 2021</w:t>
            </w:r>
          </w:p>
        </w:tc>
        <w:tc>
          <w:tcPr>
            <w:tcW w:w="1520" w:type="dxa"/>
            <w:vAlign w:val="bottom"/>
          </w:tcPr>
          <w:p>
            <w:pPr>
              <w:ind w:left="440"/>
              <w:spacing w:after="0"/>
              <w:rPr>
                <w:sz w:val="20"/>
                <w:szCs w:val="20"/>
                <w:color w:val="auto"/>
              </w:rPr>
            </w:pPr>
            <w:r>
              <w:rPr>
                <w:rFonts w:ascii="Arial" w:cs="Arial" w:eastAsia="Arial" w:hAnsi="Arial"/>
                <w:sz w:val="17"/>
                <w:szCs w:val="17"/>
                <w:color w:val="auto"/>
              </w:rPr>
              <w:t>By:</w:t>
            </w:r>
          </w:p>
        </w:tc>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Andrew W. Houston</w:t>
            </w:r>
          </w:p>
        </w:tc>
        <w:tc>
          <w:tcPr>
            <w:tcW w:w="40" w:type="dxa"/>
            <w:vAlign w:val="bottom"/>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7"/>
                <w:szCs w:val="17"/>
                <w:color w:val="auto"/>
              </w:rPr>
              <w:t>Andrew W. Houston</w:t>
            </w:r>
          </w:p>
        </w:tc>
        <w:tc>
          <w:tcPr>
            <w:tcW w:w="40" w:type="dxa"/>
            <w:vAlign w:val="bottom"/>
          </w:tcPr>
          <w:p>
            <w:pPr>
              <w:spacing w:after="0"/>
              <w:rPr>
                <w:sz w:val="18"/>
                <w:szCs w:val="18"/>
                <w:color w:val="auto"/>
              </w:rPr>
            </w:pPr>
          </w:p>
        </w:tc>
      </w:tr>
      <w:tr>
        <w:trPr>
          <w:trHeight w:val="221"/>
        </w:trPr>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7"/>
                <w:szCs w:val="17"/>
                <w:i w:val="1"/>
                <w:iCs w:val="1"/>
                <w:color w:val="auto"/>
              </w:rPr>
              <w:t>(Principal Executive Officer)</w:t>
            </w:r>
          </w:p>
        </w:tc>
        <w:tc>
          <w:tcPr>
            <w:tcW w:w="40" w:type="dxa"/>
            <w:vAlign w:val="bottom"/>
          </w:tcPr>
          <w:p>
            <w:pPr>
              <w:spacing w:after="0"/>
              <w:rPr>
                <w:sz w:val="19"/>
                <w:szCs w:val="19"/>
                <w:color w:val="auto"/>
              </w:rPr>
            </w:pPr>
          </w:p>
        </w:tc>
      </w:tr>
      <w:tr>
        <w:trPr>
          <w:trHeight w:val="690"/>
        </w:trPr>
        <w:tc>
          <w:tcPr>
            <w:tcW w:w="500" w:type="dxa"/>
            <w:vAlign w:val="bottom"/>
          </w:tcPr>
          <w:p>
            <w:pPr>
              <w:ind w:left="20"/>
              <w:spacing w:after="0"/>
              <w:rPr>
                <w:sz w:val="20"/>
                <w:szCs w:val="20"/>
                <w:color w:val="auto"/>
              </w:rPr>
            </w:pPr>
            <w:r>
              <w:rPr>
                <w:rFonts w:ascii="Arial" w:cs="Arial" w:eastAsia="Arial" w:hAnsi="Arial"/>
                <w:sz w:val="17"/>
                <w:szCs w:val="17"/>
                <w:color w:val="auto"/>
              </w:rPr>
              <w:t>Date:</w:t>
            </w:r>
          </w:p>
        </w:tc>
        <w:tc>
          <w:tcPr>
            <w:tcW w:w="1620" w:type="dxa"/>
            <w:vAlign w:val="bottom"/>
          </w:tcPr>
          <w:p>
            <w:pPr>
              <w:ind w:left="120"/>
              <w:spacing w:after="0"/>
              <w:rPr>
                <w:sz w:val="20"/>
                <w:szCs w:val="20"/>
                <w:color w:val="auto"/>
              </w:rPr>
            </w:pPr>
            <w:r>
              <w:rPr>
                <w:rFonts w:ascii="Arial" w:cs="Arial" w:eastAsia="Arial" w:hAnsi="Arial"/>
                <w:sz w:val="17"/>
                <w:szCs w:val="17"/>
                <w:color w:val="auto"/>
              </w:rPr>
              <w:t>August 6, 2021</w:t>
            </w:r>
          </w:p>
        </w:tc>
        <w:tc>
          <w:tcPr>
            <w:tcW w:w="1520" w:type="dxa"/>
            <w:vAlign w:val="bottom"/>
          </w:tcPr>
          <w:p>
            <w:pPr>
              <w:ind w:left="46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Timothy J. Regan</w:t>
            </w:r>
          </w:p>
        </w:tc>
        <w:tc>
          <w:tcPr>
            <w:tcW w:w="40" w:type="dxa"/>
            <w:vAlign w:val="bottom"/>
            <w:tcBorders>
              <w:bottom w:val="single" w:sz="8" w:color="auto"/>
            </w:tcBorders>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Timothy J. Regan</w:t>
            </w:r>
          </w:p>
        </w:tc>
        <w:tc>
          <w:tcPr>
            <w:tcW w:w="40" w:type="dxa"/>
            <w:vAlign w:val="bottom"/>
          </w:tcPr>
          <w:p>
            <w:pPr>
              <w:spacing w:after="0"/>
              <w:rPr>
                <w:sz w:val="18"/>
                <w:szCs w:val="18"/>
                <w:color w:val="auto"/>
              </w:rPr>
            </w:pPr>
          </w:p>
        </w:tc>
      </w:tr>
      <w:tr>
        <w:trPr>
          <w:trHeight w:val="221"/>
        </w:trPr>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40" w:type="dxa"/>
            <w:vAlign w:val="bottom"/>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7"/>
                <w:szCs w:val="17"/>
                <w:i w:val="1"/>
                <w:iCs w:val="1"/>
                <w:color w:val="auto"/>
              </w:rPr>
              <w:t>(Principal Accounting and Financial Officer)</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7"/>
          <w:szCs w:val="17"/>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 Andrew W. Houston, certify that:</w:t>
      </w:r>
    </w:p>
    <w:p>
      <w:pPr>
        <w:spacing w:after="0" w:line="221" w:lineRule="exact"/>
        <w:rPr>
          <w:sz w:val="20"/>
          <w:szCs w:val="20"/>
          <w:color w:val="auto"/>
        </w:rPr>
      </w:pPr>
    </w:p>
    <w:p>
      <w:pPr>
        <w:ind w:left="320" w:hanging="316"/>
        <w:spacing w:after="0"/>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21" w:lineRule="exact"/>
        <w:rPr>
          <w:rFonts w:ascii="Arial" w:cs="Arial" w:eastAsia="Arial" w:hAnsi="Arial"/>
          <w:sz w:val="17"/>
          <w:szCs w:val="17"/>
          <w:color w:val="auto"/>
        </w:rPr>
      </w:pPr>
    </w:p>
    <w:p>
      <w:pPr>
        <w:ind w:left="320" w:right="40" w:hanging="316"/>
        <w:spacing w:after="0" w:line="319"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6"/>
          <w:szCs w:val="16"/>
          <w:color w:val="auto"/>
        </w:rPr>
      </w:pPr>
    </w:p>
    <w:p>
      <w:pPr>
        <w:ind w:left="320" w:right="140" w:hanging="316"/>
        <w:spacing w:after="0" w:line="286"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20" w:right="120" w:hanging="316"/>
        <w:spacing w:after="0" w:line="286"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9" w:lineRule="exact"/>
        <w:rPr>
          <w:rFonts w:ascii="Arial" w:cs="Arial" w:eastAsia="Arial" w:hAnsi="Arial"/>
          <w:sz w:val="17"/>
          <w:szCs w:val="17"/>
          <w:color w:val="auto"/>
        </w:rPr>
      </w:pPr>
    </w:p>
    <w:p>
      <w:pPr>
        <w:ind w:left="620" w:right="260" w:hanging="303"/>
        <w:spacing w:after="0" w:line="271" w:lineRule="auto"/>
        <w:tabs>
          <w:tab w:leader="none" w:pos="617"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620" w:right="140" w:hanging="303"/>
        <w:spacing w:after="0" w:line="286" w:lineRule="auto"/>
        <w:tabs>
          <w:tab w:leader="none" w:pos="614"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ind w:left="620" w:right="180" w:hanging="303"/>
        <w:spacing w:after="0" w:line="271" w:lineRule="auto"/>
        <w:tabs>
          <w:tab w:leader="none" w:pos="617"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320" w:right="560" w:hanging="316"/>
        <w:spacing w:after="0" w:line="319"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620" w:right="60" w:hanging="303"/>
        <w:spacing w:after="0" w:line="286" w:lineRule="auto"/>
        <w:tabs>
          <w:tab w:leader="none" w:pos="61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20" w:right="300" w:hanging="303"/>
        <w:spacing w:after="0" w:line="286" w:lineRule="auto"/>
        <w:tabs>
          <w:tab w:leader="none" w:pos="61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August 6, 2021</w:t>
      </w:r>
    </w:p>
    <w:p>
      <w:pPr>
        <w:spacing w:after="0" w:line="143"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273" w:lineRule="exact"/>
        <w:rPr>
          <w:sz w:val="20"/>
          <w:szCs w:val="20"/>
          <w:color w:val="auto"/>
        </w:rPr>
      </w:pPr>
    </w:p>
    <w:tbl>
      <w:tblPr>
        <w:tblLayout w:type="fixed"/>
        <w:tblInd w:w="66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Andrew W. Houston</w:t>
            </w:r>
          </w:p>
        </w:tc>
      </w:tr>
      <w:tr>
        <w:trPr>
          <w:trHeight w:val="214"/>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840" w:type="dxa"/>
            <w:vAlign w:val="bottom"/>
          </w:tcPr>
          <w:p>
            <w:pPr>
              <w:ind w:left="20"/>
              <w:spacing w:after="0"/>
              <w:rPr>
                <w:sz w:val="20"/>
                <w:szCs w:val="20"/>
                <w:color w:val="auto"/>
              </w:rPr>
            </w:pPr>
            <w:r>
              <w:rPr>
                <w:rFonts w:ascii="Arial" w:cs="Arial" w:eastAsia="Arial" w:hAnsi="Arial"/>
                <w:sz w:val="17"/>
                <w:szCs w:val="17"/>
                <w:color w:val="auto"/>
              </w:rPr>
              <w:t>Andrew W. Houston</w:t>
            </w:r>
          </w:p>
        </w:tc>
      </w:t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8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1"/>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059"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 Timothy J. Regan, certify that:</w:t>
      </w:r>
    </w:p>
    <w:p>
      <w:pPr>
        <w:spacing w:after="0" w:line="221" w:lineRule="exact"/>
        <w:rPr>
          <w:sz w:val="20"/>
          <w:szCs w:val="20"/>
          <w:color w:val="auto"/>
        </w:rPr>
      </w:pPr>
    </w:p>
    <w:p>
      <w:pPr>
        <w:ind w:left="320" w:hanging="316"/>
        <w:spacing w:after="0"/>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21" w:lineRule="exact"/>
        <w:rPr>
          <w:rFonts w:ascii="Arial" w:cs="Arial" w:eastAsia="Arial" w:hAnsi="Arial"/>
          <w:sz w:val="17"/>
          <w:szCs w:val="17"/>
          <w:color w:val="auto"/>
        </w:rPr>
      </w:pPr>
    </w:p>
    <w:p>
      <w:pPr>
        <w:ind w:left="320" w:right="40" w:hanging="316"/>
        <w:spacing w:after="0" w:line="319"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6"/>
          <w:szCs w:val="16"/>
          <w:color w:val="auto"/>
        </w:rPr>
      </w:pPr>
    </w:p>
    <w:p>
      <w:pPr>
        <w:ind w:left="320" w:right="140" w:hanging="316"/>
        <w:spacing w:after="0" w:line="286"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20" w:right="120" w:hanging="316"/>
        <w:spacing w:after="0" w:line="286"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9" w:lineRule="exact"/>
        <w:rPr>
          <w:rFonts w:ascii="Arial" w:cs="Arial" w:eastAsia="Arial" w:hAnsi="Arial"/>
          <w:sz w:val="17"/>
          <w:szCs w:val="17"/>
          <w:color w:val="auto"/>
        </w:rPr>
      </w:pPr>
    </w:p>
    <w:p>
      <w:pPr>
        <w:ind w:left="620" w:right="260" w:hanging="303"/>
        <w:spacing w:after="0" w:line="271" w:lineRule="auto"/>
        <w:tabs>
          <w:tab w:leader="none" w:pos="617"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620" w:right="140" w:hanging="303"/>
        <w:spacing w:after="0" w:line="286" w:lineRule="auto"/>
        <w:tabs>
          <w:tab w:leader="none" w:pos="614"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ind w:left="620" w:right="180" w:hanging="303"/>
        <w:spacing w:after="0" w:line="271" w:lineRule="auto"/>
        <w:tabs>
          <w:tab w:leader="none" w:pos="617"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320" w:right="560" w:hanging="316"/>
        <w:spacing w:after="0" w:line="319"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620" w:right="60" w:hanging="303"/>
        <w:spacing w:after="0" w:line="286" w:lineRule="auto"/>
        <w:tabs>
          <w:tab w:leader="none" w:pos="61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20" w:right="300" w:hanging="303"/>
        <w:spacing w:after="0" w:line="286" w:lineRule="auto"/>
        <w:tabs>
          <w:tab w:leader="none" w:pos="61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August 6, 2021</w:t>
      </w:r>
    </w:p>
    <w:p>
      <w:pPr>
        <w:spacing w:after="0" w:line="260"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DROPBOX, INC.</w:t>
      </w:r>
    </w:p>
    <w:p>
      <w:pPr>
        <w:spacing w:after="0" w:line="221" w:lineRule="exact"/>
        <w:rPr>
          <w:sz w:val="20"/>
          <w:szCs w:val="20"/>
          <w:color w:val="auto"/>
        </w:rPr>
      </w:pPr>
    </w:p>
    <w:p>
      <w:pPr>
        <w:ind w:left="4900"/>
        <w:spacing w:after="0"/>
        <w:tabs>
          <w:tab w:leader="none" w:pos="5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15875</wp:posOffset>
            </wp:positionV>
            <wp:extent cx="14306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Name: Timothy J. Regan</w:t>
      </w:r>
    </w:p>
    <w:p>
      <w:pPr>
        <w:spacing w:after="0" w:line="26" w:lineRule="exact"/>
        <w:rPr>
          <w:sz w:val="20"/>
          <w:szCs w:val="20"/>
          <w:color w:val="auto"/>
        </w:rPr>
      </w:pPr>
    </w:p>
    <w:p>
      <w:pPr>
        <w:ind w:left="4900"/>
        <w:spacing w:after="0"/>
        <w:tabs>
          <w:tab w:leader="none" w:pos="54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Financial Officer</w:t>
      </w:r>
    </w:p>
    <w:p>
      <w:pPr>
        <w:spacing w:after="0" w:line="38" w:lineRule="exact"/>
        <w:rPr>
          <w:sz w:val="20"/>
          <w:szCs w:val="20"/>
          <w:color w:val="auto"/>
        </w:rPr>
      </w:pPr>
    </w:p>
    <w:p>
      <w:pPr>
        <w:ind w:left="5420"/>
        <w:spacing w:after="0"/>
        <w:tabs>
          <w:tab w:leader="none" w:pos="6320" w:val="left"/>
          <w:tab w:leader="none" w:pos="7360" w:val="left"/>
        </w:tabs>
        <w:rPr>
          <w:sz w:val="20"/>
          <w:szCs w:val="20"/>
          <w:color w:val="auto"/>
        </w:rPr>
      </w:pPr>
      <w:r>
        <w:rPr>
          <w:rFonts w:ascii="Arial" w:cs="Arial" w:eastAsia="Arial" w:hAnsi="Arial"/>
          <w:sz w:val="17"/>
          <w:szCs w:val="17"/>
          <w:color w:val="auto"/>
        </w:rPr>
        <w:t>(Principal</w:t>
        <w:tab/>
        <w:t>Accounting</w:t>
      </w:r>
      <w:r>
        <w:rPr>
          <w:sz w:val="20"/>
          <w:szCs w:val="20"/>
          <w:color w:val="auto"/>
        </w:rPr>
        <w:tab/>
      </w:r>
      <w:r>
        <w:rPr>
          <w:rFonts w:ascii="Arial" w:cs="Arial" w:eastAsia="Arial" w:hAnsi="Arial"/>
          <w:sz w:val="14"/>
          <w:szCs w:val="14"/>
          <w:color w:val="auto"/>
        </w:rPr>
        <w:t>and</w:t>
      </w:r>
    </w:p>
    <w:p>
      <w:pPr>
        <w:spacing w:after="0" w:line="1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Financial Officer)</w:t>
      </w:r>
    </w:p>
    <w:p>
      <w:pPr>
        <w:sectPr>
          <w:pgSz w:w="11900" w:h="16838" w:orient="portrait"/>
          <w:cols w:equalWidth="0" w:num="1">
            <w:col w:w="11240"/>
          </w:cols>
          <w:pgMar w:left="320" w:top="1059"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9"/>
          <w:szCs w:val="19"/>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August 6, 2021</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Andrew W. Houston</w:t>
            </w:r>
          </w:p>
        </w:tc>
      </w:tr>
      <w:tr>
        <w:trPr>
          <w:trHeight w:val="227"/>
        </w:trPr>
        <w:tc>
          <w:tcPr>
            <w:tcW w:w="1120" w:type="dxa"/>
            <w:vAlign w:val="bottom"/>
            <w:shd w:val="clear" w:color="auto" w:fill="FEFEFE"/>
          </w:tcPr>
          <w:p>
            <w:pPr>
              <w:spacing w:after="0"/>
              <w:rPr>
                <w:sz w:val="19"/>
                <w:szCs w:val="19"/>
                <w:color w:val="auto"/>
              </w:rPr>
            </w:pPr>
          </w:p>
        </w:tc>
        <w:tc>
          <w:tcPr>
            <w:tcW w:w="4880" w:type="dxa"/>
            <w:vAlign w:val="bottom"/>
            <w:shd w:val="clear" w:color="auto" w:fill="FEFEFE"/>
          </w:tcPr>
          <w:p>
            <w:pPr>
              <w:spacing w:after="0"/>
              <w:rPr>
                <w:sz w:val="19"/>
                <w:szCs w:val="19"/>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Andrew W. Houston</w:t>
            </w:r>
          </w:p>
        </w:tc>
      </w:tr>
      <w:tr>
        <w:trPr>
          <w:trHeight w:val="234"/>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Executive Officer</w:t>
            </w:r>
          </w:p>
        </w:tc>
      </w:tr>
      <w:tr>
        <w:trPr>
          <w:trHeight w:val="264"/>
        </w:trPr>
        <w:tc>
          <w:tcPr>
            <w:tcW w:w="1120" w:type="dxa"/>
            <w:vAlign w:val="bottom"/>
            <w:shd w:val="clear" w:color="auto" w:fill="FEFEFE"/>
          </w:tcPr>
          <w:p>
            <w:pPr>
              <w:spacing w:after="0"/>
              <w:rPr>
                <w:sz w:val="22"/>
                <w:szCs w:val="22"/>
                <w:color w:val="auto"/>
              </w:rPr>
            </w:pPr>
          </w:p>
        </w:tc>
        <w:tc>
          <w:tcPr>
            <w:tcW w:w="4880" w:type="dxa"/>
            <w:vAlign w:val="bottom"/>
            <w:shd w:val="clear" w:color="auto" w:fill="FEFEFE"/>
          </w:tcPr>
          <w:p>
            <w:pPr>
              <w:spacing w:after="0"/>
              <w:rPr>
                <w:sz w:val="22"/>
                <w:szCs w:val="22"/>
                <w:color w:val="auto"/>
              </w:rPr>
            </w:pPr>
          </w:p>
        </w:tc>
        <w:tc>
          <w:tcPr>
            <w:tcW w:w="840" w:type="dxa"/>
            <w:vAlign w:val="bottom"/>
            <w:shd w:val="clear" w:color="auto" w:fill="FEFEFE"/>
          </w:tcPr>
          <w:p>
            <w:pPr>
              <w:spacing w:after="0"/>
              <w:rPr>
                <w:sz w:val="22"/>
                <w:szCs w:val="22"/>
                <w:color w:val="auto"/>
              </w:rPr>
            </w:pP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Executive Officer)</w:t>
            </w:r>
          </w:p>
        </w:tc>
      </w:tr>
      <w:tr>
        <w:trPr>
          <w:trHeight w:val="283"/>
        </w:trPr>
        <w:tc>
          <w:tcPr>
            <w:tcW w:w="1120" w:type="dxa"/>
            <w:vAlign w:val="bottom"/>
            <w:shd w:val="clear" w:color="auto" w:fill="FEFEFE"/>
          </w:tcPr>
          <w:p>
            <w:pPr>
              <w:spacing w:after="0"/>
              <w:rPr>
                <w:sz w:val="24"/>
                <w:szCs w:val="24"/>
                <w:color w:val="auto"/>
              </w:rPr>
            </w:pPr>
          </w:p>
        </w:tc>
        <w:tc>
          <w:tcPr>
            <w:tcW w:w="488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4400" w:type="dxa"/>
            <w:vAlign w:val="bottom"/>
            <w:shd w:val="clear" w:color="auto" w:fill="FEFEFE"/>
          </w:tcPr>
          <w:p>
            <w:pPr>
              <w:spacing w:after="0"/>
              <w:rPr>
                <w:sz w:val="24"/>
                <w:szCs w:val="24"/>
                <w:color w:val="auto"/>
              </w:rPr>
            </w:pPr>
          </w:p>
        </w:tc>
      </w:tr>
    </w:tbl>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I, Timothy J. Regan, certify, pursuant to 18 U.S.C. Section 1350, as adopted pursuant to Section 906 of the Sarbanes-Oxley Act of 2002, that the Quarterly Report on Form 10-Q of Dropbox, Inc. for the fiscal quarter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August 6, 2021</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Timothy J. Regan</w:t>
            </w:r>
          </w:p>
        </w:tc>
      </w:tr>
      <w:tr>
        <w:trPr>
          <w:trHeight w:val="227"/>
        </w:trPr>
        <w:tc>
          <w:tcPr>
            <w:tcW w:w="1120" w:type="dxa"/>
            <w:vAlign w:val="bottom"/>
            <w:shd w:val="clear" w:color="auto" w:fill="FEFEFE"/>
          </w:tcPr>
          <w:p>
            <w:pPr>
              <w:spacing w:after="0"/>
              <w:rPr>
                <w:sz w:val="19"/>
                <w:szCs w:val="19"/>
                <w:color w:val="auto"/>
              </w:rPr>
            </w:pPr>
          </w:p>
        </w:tc>
        <w:tc>
          <w:tcPr>
            <w:tcW w:w="4880" w:type="dxa"/>
            <w:vAlign w:val="bottom"/>
            <w:shd w:val="clear" w:color="auto" w:fill="FEFEFE"/>
          </w:tcPr>
          <w:p>
            <w:pPr>
              <w:spacing w:after="0"/>
              <w:rPr>
                <w:sz w:val="19"/>
                <w:szCs w:val="19"/>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Timothy J. Regan</w:t>
            </w:r>
          </w:p>
        </w:tc>
      </w:tr>
      <w:tr>
        <w:trPr>
          <w:trHeight w:val="234"/>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Financial Officer</w:t>
            </w:r>
          </w:p>
        </w:tc>
      </w:tr>
      <w:tr>
        <w:trPr>
          <w:trHeight w:val="234"/>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spacing w:after="0"/>
              <w:rPr>
                <w:sz w:val="20"/>
                <w:szCs w:val="20"/>
                <w:color w:val="auto"/>
              </w:rPr>
            </w:pP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10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2"/>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2"/>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2"/>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2"/>
    </w:lvl>
  </w:abstractNum>
  <w:abstractNum w:abstractNumId="18">
    <w:nsid w:val="3A95F874"/>
    <w:multiLevelType w:val="hybridMultilevel"/>
    <w:lvl w:ilvl="0">
      <w:lvlJc w:val="left"/>
      <w:lvlText w:val="(%1)"/>
      <w:numFmt w:val="decimal"/>
      <w:start w:val="2"/>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01"/>
    </w:lvl>
  </w:abstractNum>
  <w:abstractNum w:abstractNumId="37">
    <w:nsid w:val="5E884ADC"/>
    <w:multiLevelType w:val="hybridMultilevel"/>
    <w:lvl w:ilvl="0">
      <w:lvlJc w:val="left"/>
      <w:lvlText w:val="†"/>
      <w:numFmt w:val="bullet"/>
      <w:start w:val="1"/>
    </w:lvl>
    <w:lvl w:ilvl="1">
      <w:lvlJc w:val="left"/>
      <w:lvlText w:val="%2"/>
      <w:numFmt w:val="decimal"/>
      <w:start w:val="104"/>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2021-08-06T16:12:37Z</dcterms:created>
  <dcterms:modified xsi:type="dcterms:W3CDTF">2021-08-06T16:12:37Z</dcterms:modified>
</cp:coreProperties>
</file>