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114935</wp:posOffset>
            </wp:positionV>
            <wp:extent cx="1746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129540</wp:posOffset>
            </wp:positionV>
            <wp:extent cx="1746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 w:lineRule="exact"/>
        <w:rPr>
          <w:sz w:val="24"/>
          <w:szCs w:val="24"/>
          <w:color w:val="auto"/>
        </w:rPr>
      </w:pPr>
    </w:p>
    <w:p>
      <w:pPr>
        <w:ind w:left="3840" w:right="2160" w:hanging="3836"/>
        <w:spacing w:after="0" w:line="278" w:lineRule="auto"/>
        <w:tabs>
          <w:tab w:leader="none" w:pos="201"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September 30, 2022</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27" w:lineRule="exact"/>
        <w:rPr>
          <w:sz w:val="24"/>
          <w:szCs w:val="24"/>
          <w:color w:val="auto"/>
        </w:rPr>
      </w:pPr>
    </w:p>
    <w:p>
      <w:pPr>
        <w:ind w:left="3740" w:right="2140" w:hanging="3736"/>
        <w:spacing w:after="0" w:line="278" w:lineRule="auto"/>
        <w:tabs>
          <w:tab w:leader="none" w:pos="21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69850</wp:posOffset>
            </wp:positionV>
            <wp:extent cx="2955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Dropbox,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117475</wp:posOffset>
            </wp:positionV>
            <wp:extent cx="2955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72" w:lineRule="exact"/>
        <w:rPr>
          <w:sz w:val="24"/>
          <w:szCs w:val="24"/>
          <w:color w:val="auto"/>
        </w:rPr>
      </w:pPr>
    </w:p>
    <w:p>
      <w:pPr>
        <w:ind w:left="2040"/>
        <w:spacing w:after="0"/>
        <w:tabs>
          <w:tab w:leader="none" w:pos="92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26-0138832</w:t>
      </w:r>
    </w:p>
    <w:p>
      <w:pPr>
        <w:spacing w:after="0" w:line="35" w:lineRule="exact"/>
        <w:rPr>
          <w:sz w:val="24"/>
          <w:szCs w:val="24"/>
          <w:color w:val="auto"/>
        </w:rPr>
      </w:pPr>
    </w:p>
    <w:p>
      <w:pPr>
        <w:ind w:left="540"/>
        <w:spacing w:after="0"/>
        <w:tabs>
          <w:tab w:leader="none" w:pos="8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135890</wp:posOffset>
            </wp:positionV>
            <wp:extent cx="2955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1800 Owens Street</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San Francisco, California 94158</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(415) 857-6800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116205</wp:posOffset>
            </wp:positionV>
            <wp:extent cx="2955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33655</wp:posOffset>
            </wp:positionV>
            <wp:extent cx="625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9195" cy="8255"/>
                    </a:xfrm>
                    <a:prstGeom prst="rect">
                      <a:avLst/>
                    </a:prstGeom>
                    <a:noFill/>
                  </pic:spPr>
                </pic:pic>
              </a:graphicData>
            </a:graphic>
          </wp:anchor>
        </w:drawing>
      </w:r>
    </w:p>
    <w:p>
      <w:pPr>
        <w:spacing w:after="0" w:line="68"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5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203"/>
        </w:trPr>
        <w:tc>
          <w:tcPr>
            <w:tcW w:w="3640" w:type="dxa"/>
            <w:vAlign w:val="bottom"/>
            <w:gridSpan w:val="3"/>
          </w:tcPr>
          <w:p>
            <w:pPr>
              <w:jc w:val="center"/>
              <w:ind w:right="620"/>
              <w:spacing w:after="0"/>
              <w:rPr>
                <w:sz w:val="20"/>
                <w:szCs w:val="20"/>
                <w:color w:val="auto"/>
              </w:rPr>
            </w:pPr>
            <w:r>
              <w:rPr>
                <w:rFonts w:ascii="Arial" w:cs="Arial" w:eastAsia="Arial" w:hAnsi="Arial"/>
                <w:sz w:val="14"/>
                <w:szCs w:val="14"/>
                <w:color w:val="auto"/>
                <w:w w:val="89"/>
              </w:rPr>
              <w:t>Class A Common Stock, par value $0.00001 per share</w:t>
            </w:r>
          </w:p>
        </w:tc>
        <w:tc>
          <w:tcPr>
            <w:tcW w:w="600" w:type="dxa"/>
            <w:vAlign w:val="bottom"/>
          </w:tcPr>
          <w:p>
            <w:pPr>
              <w:spacing w:after="0"/>
              <w:rPr>
                <w:sz w:val="17"/>
                <w:szCs w:val="17"/>
                <w:color w:val="auto"/>
              </w:rPr>
            </w:pPr>
          </w:p>
        </w:tc>
        <w:tc>
          <w:tcPr>
            <w:tcW w:w="2700" w:type="dxa"/>
            <w:vAlign w:val="bottom"/>
            <w:gridSpan w:val="2"/>
          </w:tcPr>
          <w:p>
            <w:pPr>
              <w:jc w:val="center"/>
              <w:ind w:right="1580"/>
              <w:spacing w:after="0"/>
              <w:rPr>
                <w:sz w:val="20"/>
                <w:szCs w:val="20"/>
                <w:color w:val="auto"/>
              </w:rPr>
            </w:pPr>
            <w:r>
              <w:rPr>
                <w:rFonts w:ascii="Arial" w:cs="Arial" w:eastAsia="Arial" w:hAnsi="Arial"/>
                <w:sz w:val="14"/>
                <w:szCs w:val="14"/>
                <w:color w:val="auto"/>
                <w:w w:val="97"/>
              </w:rPr>
              <w:t>DBX</w:t>
            </w: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(Nasdaq Global Select Market)</w:t>
            </w:r>
          </w:p>
        </w:tc>
      </w:tr>
    </w:tbl>
    <w:p>
      <w:pPr>
        <w:spacing w:after="0" w:line="372" w:lineRule="exact"/>
        <w:rPr>
          <w:sz w:val="24"/>
          <w:szCs w:val="24"/>
          <w:color w:val="auto"/>
        </w:rPr>
      </w:pPr>
    </w:p>
    <w:p>
      <w:pPr>
        <w:ind w:right="240" w:firstLine="313"/>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2" w:lineRule="exact"/>
        <w:rPr>
          <w:sz w:val="24"/>
          <w:szCs w:val="24"/>
          <w:color w:val="auto"/>
        </w:rPr>
      </w:pPr>
    </w:p>
    <w:p>
      <w:pPr>
        <w:ind w:right="120" w:firstLine="313"/>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199" w:lineRule="exact"/>
        <w:rPr>
          <w:sz w:val="24"/>
          <w:szCs w:val="24"/>
          <w:color w:val="auto"/>
        </w:rPr>
      </w:pPr>
    </w:p>
    <w:p>
      <w:pPr>
        <w:ind w:firstLine="313"/>
        <w:spacing w:after="0" w:line="31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6"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52"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151" w:lineRule="exact"/>
        <w:rPr>
          <w:sz w:val="24"/>
          <w:szCs w:val="24"/>
          <w:color w:val="auto"/>
        </w:rPr>
      </w:pPr>
    </w:p>
    <w:p>
      <w:pPr>
        <w:ind w:left="5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3" w:lineRule="exact"/>
        <w:rPr>
          <w:sz w:val="24"/>
          <w:szCs w:val="24"/>
          <w:color w:val="auto"/>
        </w:rPr>
      </w:pPr>
    </w:p>
    <w:p>
      <w:pPr>
        <w:sectPr>
          <w:pgSz w:w="11900" w:h="16838" w:orient="portrait"/>
          <w:cols w:equalWidth="0" w:num="2">
            <w:col w:w="10740" w:space="340"/>
            <w:col w:w="120"/>
          </w:cols>
          <w:pgMar w:left="320" w:top="969" w:right="379" w:bottom="1440" w:gutter="0" w:footer="0" w:header="0"/>
          <w:type w:val="continuous"/>
        </w:sectPr>
      </w:pPr>
    </w:p>
    <w:p>
      <w:pPr>
        <w:spacing w:after="0" w:line="134" w:lineRule="exact"/>
        <w:rPr>
          <w:sz w:val="24"/>
          <w:szCs w:val="24"/>
          <w:color w:val="auto"/>
        </w:rPr>
      </w:pPr>
    </w:p>
    <w:p>
      <w:pPr>
        <w:ind w:right="3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8" w:lineRule="exact"/>
        <w:rPr>
          <w:sz w:val="24"/>
          <w:szCs w:val="24"/>
          <w:color w:val="auto"/>
        </w:rPr>
      </w:pPr>
    </w:p>
    <w:p>
      <w:pPr>
        <w:ind w:right="80"/>
        <w:spacing w:after="0" w:line="279" w:lineRule="auto"/>
        <w:rPr>
          <w:sz w:val="20"/>
          <w:szCs w:val="20"/>
          <w:color w:val="auto"/>
        </w:rPr>
      </w:pPr>
      <w:r>
        <w:rPr>
          <w:rFonts w:ascii="Arial" w:cs="Arial" w:eastAsia="Arial" w:hAnsi="Arial"/>
          <w:sz w:val="13"/>
          <w:szCs w:val="13"/>
          <w:color w:val="auto"/>
        </w:rPr>
        <w:t>As of October 31, 2022, there were 280,411,760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2,478,426 shares of Class A common stock subject to restricted stock awards that were granted to other Dropbox executives and vest upon the satisfaction of a service condition and as applicable, achievement of certain stock price goals), 82,324,618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815975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FORWARD-LOOKING STATEMENTS</w:t>
      </w:r>
    </w:p>
    <w:p>
      <w:pPr>
        <w:spacing w:after="0" w:line="243"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07" w:lineRule="exact"/>
        <w:rPr>
          <w:sz w:val="20"/>
          <w:szCs w:val="20"/>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47" w:lineRule="exact"/>
        <w:rPr>
          <w:rFonts w:ascii="Arial" w:cs="Arial" w:eastAsia="Arial" w:hAnsi="Arial"/>
          <w:sz w:val="17"/>
          <w:szCs w:val="17"/>
          <w:color w:val="auto"/>
        </w:rPr>
      </w:pPr>
    </w:p>
    <w:p>
      <w:pPr>
        <w:ind w:left="700" w:right="6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84" w:lineRule="exact"/>
        <w:rPr>
          <w:rFonts w:ascii="Arial" w:cs="Arial" w:eastAsia="Arial" w:hAnsi="Arial"/>
          <w:sz w:val="17"/>
          <w:szCs w:val="17"/>
          <w:color w:val="auto"/>
        </w:rPr>
      </w:pPr>
    </w:p>
    <w:p>
      <w:pPr>
        <w:ind w:left="700" w:right="42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34" w:lineRule="exact"/>
        <w:rPr>
          <w:rFonts w:ascii="Arial" w:cs="Arial" w:eastAsia="Arial" w:hAnsi="Arial"/>
          <w:sz w:val="17"/>
          <w:szCs w:val="17"/>
          <w:color w:val="auto"/>
        </w:rPr>
      </w:pPr>
    </w:p>
    <w:p>
      <w:pPr>
        <w:ind w:left="700" w:right="20" w:hanging="305"/>
        <w:spacing w:after="0" w:line="339" w:lineRule="auto"/>
        <w:tabs>
          <w:tab w:leader="none" w:pos="6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potential ongoing impacts of the COVID-19 pandemic and related public health measures, as well as the potential for a more permanent global shift to remote or distributed work, on our business, the business of our customers, suppliers and partners, and the economy;</w:t>
      </w:r>
    </w:p>
    <w:p>
      <w:pPr>
        <w:spacing w:after="0" w:line="151" w:lineRule="exact"/>
        <w:rPr>
          <w:rFonts w:ascii="Arial" w:cs="Arial" w:eastAsia="Arial" w:hAnsi="Arial"/>
          <w:sz w:val="15"/>
          <w:szCs w:val="15"/>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34" w:lineRule="exact"/>
        <w:rPr>
          <w:rFonts w:ascii="Arial" w:cs="Arial" w:eastAsia="Arial" w:hAnsi="Arial"/>
          <w:sz w:val="17"/>
          <w:szCs w:val="17"/>
          <w:color w:val="auto"/>
        </w:rPr>
      </w:pPr>
    </w:p>
    <w:p>
      <w:pPr>
        <w:ind w:left="700" w:right="180" w:hanging="305"/>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or distributed work;</w:t>
      </w:r>
    </w:p>
    <w:p>
      <w:pPr>
        <w:spacing w:after="0" w:line="19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around future growth;</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introduce new products and features;</w:t>
      </w:r>
    </w:p>
    <w:p>
      <w:pPr>
        <w:spacing w:after="0" w:line="247" w:lineRule="exact"/>
        <w:rPr>
          <w:rFonts w:ascii="Arial" w:cs="Arial" w:eastAsia="Arial" w:hAnsi="Arial"/>
          <w:sz w:val="17"/>
          <w:szCs w:val="17"/>
          <w:color w:val="auto"/>
        </w:rPr>
      </w:pPr>
    </w:p>
    <w:p>
      <w:pPr>
        <w:ind w:left="700" w:right="30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as a result of our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security breaches and unauthorized access to customer data;</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new or modified laws, policies, taxes, and regulations on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and cash equivalents to meet our liquidity needs; 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of companies and assets.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22" w:lineRule="exact"/>
        <w:rPr>
          <w:sz w:val="20"/>
          <w:szCs w:val="20"/>
          <w:color w:val="auto"/>
        </w:rPr>
      </w:pPr>
    </w:p>
    <w:p>
      <w:pPr>
        <w:ind w:right="80" w:firstLine="430"/>
        <w:spacing w:after="0" w:line="279"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7"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SUMMARY OF RISK FACTORS</w:t>
      </w:r>
    </w:p>
    <w:p>
      <w:pPr>
        <w:spacing w:after="0" w:line="254" w:lineRule="exact"/>
        <w:rPr>
          <w:sz w:val="20"/>
          <w:szCs w:val="20"/>
          <w:color w:val="auto"/>
        </w:rPr>
      </w:pPr>
    </w:p>
    <w:p>
      <w:pPr>
        <w:ind w:right="80" w:firstLine="391"/>
        <w:spacing w:after="0" w:line="263"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207" w:lineRule="exact"/>
        <w:rPr>
          <w:sz w:val="20"/>
          <w:szCs w:val="20"/>
          <w:color w:val="auto"/>
        </w:rPr>
      </w:pPr>
    </w:p>
    <w:p>
      <w:pPr>
        <w:ind w:left="700" w:right="26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47" w:lineRule="exact"/>
        <w:rPr>
          <w:rFonts w:ascii="Arial" w:cs="Arial" w:eastAsia="Arial" w:hAnsi="Arial"/>
          <w:sz w:val="17"/>
          <w:szCs w:val="17"/>
          <w:color w:val="auto"/>
        </w:rPr>
      </w:pPr>
    </w:p>
    <w:p>
      <w:pPr>
        <w:ind w:left="700" w:right="24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 or incidents.</w:t>
      </w:r>
    </w:p>
    <w:p>
      <w:pPr>
        <w:spacing w:after="0" w:line="184" w:lineRule="exact"/>
        <w:rPr>
          <w:rFonts w:ascii="Arial" w:cs="Arial" w:eastAsia="Arial" w:hAnsi="Arial"/>
          <w:sz w:val="17"/>
          <w:szCs w:val="17"/>
          <w:color w:val="auto"/>
        </w:rPr>
      </w:pPr>
    </w:p>
    <w:p>
      <w:pPr>
        <w:ind w:left="700" w:right="30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0" w:lineRule="exact"/>
        <w:rPr>
          <w:rFonts w:ascii="Arial" w:cs="Arial" w:eastAsia="Arial" w:hAnsi="Arial"/>
          <w:sz w:val="15"/>
          <w:szCs w:val="15"/>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47" w:lineRule="exact"/>
        <w:rPr>
          <w:rFonts w:ascii="Arial" w:cs="Arial" w:eastAsia="Arial" w:hAnsi="Arial"/>
          <w:sz w:val="17"/>
          <w:szCs w:val="17"/>
          <w:color w:val="auto"/>
        </w:rPr>
      </w:pPr>
    </w:p>
    <w:p>
      <w:pPr>
        <w:ind w:left="70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rFonts w:ascii="Arial" w:cs="Arial" w:eastAsia="Arial" w:hAnsi="Arial"/>
          <w:sz w:val="17"/>
          <w:szCs w:val="17"/>
          <w:color w:val="auto"/>
        </w:rPr>
      </w:pPr>
    </w:p>
    <w:p>
      <w:pPr>
        <w:ind w:left="700" w:right="58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4" w:lineRule="exact"/>
        <w:rPr>
          <w:rFonts w:ascii="Arial" w:cs="Arial" w:eastAsia="Arial" w:hAnsi="Arial"/>
          <w:sz w:val="17"/>
          <w:szCs w:val="17"/>
          <w:color w:val="auto"/>
        </w:rPr>
      </w:pPr>
    </w:p>
    <w:p>
      <w:pPr>
        <w:ind w:left="700" w:right="16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full extent of the impacts of the on-going COVID-19 pandemic on our business is currently unknown, but it may adversely affect our financial results as well as our business operations.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47" w:lineRule="exact"/>
        <w:rPr>
          <w:rFonts w:ascii="Arial" w:cs="Arial" w:eastAsia="Arial" w:hAnsi="Arial"/>
          <w:sz w:val="17"/>
          <w:szCs w:val="17"/>
          <w:color w:val="auto"/>
        </w:rPr>
      </w:pPr>
    </w:p>
    <w:p>
      <w:pPr>
        <w:ind w:left="700" w:right="14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47" w:lineRule="exact"/>
        <w:rPr>
          <w:rFonts w:ascii="Arial" w:cs="Arial" w:eastAsia="Arial" w:hAnsi="Arial"/>
          <w:sz w:val="17"/>
          <w:szCs w:val="17"/>
          <w:color w:val="auto"/>
        </w:rPr>
      </w:pPr>
    </w:p>
    <w:p>
      <w:pPr>
        <w:ind w:left="700" w:right="80" w:hanging="305"/>
        <w:spacing w:after="0" w:line="287"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w:t>
            </w:r>
          </w:p>
        </w:tc>
      </w:tr>
      <w:tr>
        <w:trPr>
          <w:trHeight w:val="189"/>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20" w:type="dxa"/>
            <w:vAlign w:val="bottom"/>
            <w:tcBorders>
              <w:bottom w:val="single" w:sz="8" w:color="0000FF"/>
            </w:tcBorders>
            <w:gridSpan w:val="8"/>
          </w:tcPr>
          <w:p>
            <w:pPr>
              <w:jc w:val="center"/>
              <w:spacing w:after="0"/>
              <w:rPr>
                <w:sz w:val="20"/>
                <w:szCs w:val="20"/>
                <w:color w:val="auto"/>
              </w:rPr>
            </w:pPr>
            <w:r>
              <w:rPr>
                <w:rFonts w:ascii="Arial" w:cs="Arial" w:eastAsia="Arial" w:hAnsi="Arial"/>
                <w:sz w:val="16"/>
                <w:szCs w:val="16"/>
                <w:color w:val="0000FF"/>
                <w:w w:val="96"/>
              </w:rPr>
              <w:t>PART I. FINANCIAL INFORMATION</w:t>
            </w:r>
          </w:p>
        </w:tc>
        <w:tc>
          <w:tcPr>
            <w:tcW w:w="3260" w:type="dxa"/>
            <w:vAlign w:val="bottom"/>
            <w:gridSpan w:val="5"/>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87"/>
              </w:rPr>
              <w:t>Condensed Consolidated Financial Statements (Unaudited)</w:t>
            </w:r>
          </w:p>
        </w:tc>
        <w:tc>
          <w:tcPr>
            <w:tcW w:w="5420" w:type="dxa"/>
            <w:vAlign w:val="bottom"/>
            <w:gridSpan w:val="10"/>
          </w:tcPr>
          <w:p>
            <w:pPr>
              <w:spacing w:after="0"/>
              <w:rPr>
                <w:sz w:val="16"/>
                <w:szCs w:val="16"/>
                <w:color w:val="auto"/>
              </w:rPr>
            </w:pPr>
          </w:p>
        </w:tc>
        <w:tc>
          <w:tcPr>
            <w:tcW w:w="106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r>
      <w:tr>
        <w:trPr>
          <w:trHeight w:val="189"/>
        </w:trPr>
        <w:tc>
          <w:tcPr>
            <w:tcW w:w="920" w:type="dxa"/>
            <w:vAlign w:val="bottom"/>
          </w:tcPr>
          <w:p>
            <w:pPr>
              <w:spacing w:after="0"/>
              <w:rPr>
                <w:sz w:val="16"/>
                <w:szCs w:val="16"/>
                <w:color w:val="auto"/>
              </w:rPr>
            </w:pPr>
          </w:p>
        </w:tc>
        <w:tc>
          <w:tcPr>
            <w:tcW w:w="57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86"/>
              </w:rPr>
              <w:t>Condensed Consolidated Balance Sheets as of September 30, 2022 and December 31, 2021</w:t>
            </w:r>
          </w:p>
        </w:tc>
        <w:tc>
          <w:tcPr>
            <w:tcW w:w="3400" w:type="dxa"/>
            <w:vAlign w:val="bottom"/>
            <w:gridSpan w:val="6"/>
          </w:tcPr>
          <w:p>
            <w:pPr>
              <w:spacing w:after="0"/>
              <w:rPr>
                <w:sz w:val="16"/>
                <w:szCs w:val="16"/>
                <w:color w:val="auto"/>
              </w:rPr>
            </w:pPr>
          </w:p>
        </w:tc>
        <w:tc>
          <w:tcPr>
            <w:tcW w:w="106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6</w:t>
            </w:r>
          </w:p>
        </w:tc>
      </w:tr>
      <w:tr>
        <w:trPr>
          <w:trHeight w:val="189"/>
        </w:trPr>
        <w:tc>
          <w:tcPr>
            <w:tcW w:w="920" w:type="dxa"/>
            <w:vAlign w:val="bottom"/>
          </w:tcPr>
          <w:p>
            <w:pPr>
              <w:spacing w:after="0"/>
              <w:rPr>
                <w:sz w:val="16"/>
                <w:szCs w:val="16"/>
                <w:color w:val="auto"/>
              </w:rPr>
            </w:pPr>
          </w:p>
        </w:tc>
        <w:tc>
          <w:tcPr>
            <w:tcW w:w="756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87"/>
              </w:rPr>
              <w:t>Condensed Consolidated Statements of Operations for the Three and Nine Months Ended September 30, 2022 and 2021</w:t>
            </w:r>
          </w:p>
        </w:tc>
        <w:tc>
          <w:tcPr>
            <w:tcW w:w="1560" w:type="dxa"/>
            <w:vAlign w:val="bottom"/>
            <w:gridSpan w:val="3"/>
          </w:tcPr>
          <w:p>
            <w:pPr>
              <w:spacing w:after="0"/>
              <w:rPr>
                <w:sz w:val="16"/>
                <w:szCs w:val="16"/>
                <w:color w:val="auto"/>
              </w:rPr>
            </w:pPr>
          </w:p>
        </w:tc>
        <w:tc>
          <w:tcPr>
            <w:tcW w:w="106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7</w:t>
            </w:r>
          </w:p>
        </w:tc>
      </w:tr>
      <w:tr>
        <w:trPr>
          <w:trHeight w:val="189"/>
        </w:trPr>
        <w:tc>
          <w:tcPr>
            <w:tcW w:w="920" w:type="dxa"/>
            <w:vAlign w:val="bottom"/>
          </w:tcPr>
          <w:p>
            <w:pPr>
              <w:spacing w:after="0"/>
              <w:rPr>
                <w:sz w:val="16"/>
                <w:szCs w:val="16"/>
                <w:color w:val="auto"/>
              </w:rPr>
            </w:pPr>
          </w:p>
        </w:tc>
        <w:tc>
          <w:tcPr>
            <w:tcW w:w="832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87"/>
              </w:rPr>
              <w:t>Condensed Consolidated Statements of Comprehensive Income for the Three and Nine Months Ended September 30, 2022 and 2021</w:t>
            </w:r>
          </w:p>
        </w:tc>
        <w:tc>
          <w:tcPr>
            <w:tcW w:w="800" w:type="dxa"/>
            <w:vAlign w:val="bottom"/>
          </w:tcPr>
          <w:p>
            <w:pPr>
              <w:spacing w:after="0"/>
              <w:rPr>
                <w:sz w:val="16"/>
                <w:szCs w:val="16"/>
                <w:color w:val="auto"/>
              </w:rPr>
            </w:pPr>
          </w:p>
        </w:tc>
        <w:tc>
          <w:tcPr>
            <w:tcW w:w="106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8</w:t>
            </w:r>
          </w:p>
        </w:tc>
      </w:tr>
      <w:tr>
        <w:trPr>
          <w:trHeight w:val="189"/>
        </w:trPr>
        <w:tc>
          <w:tcPr>
            <w:tcW w:w="920" w:type="dxa"/>
            <w:vAlign w:val="bottom"/>
          </w:tcPr>
          <w:p>
            <w:pPr>
              <w:spacing w:after="0"/>
              <w:rPr>
                <w:sz w:val="16"/>
                <w:szCs w:val="16"/>
                <w:color w:val="auto"/>
              </w:rPr>
            </w:pPr>
          </w:p>
        </w:tc>
        <w:tc>
          <w:tcPr>
            <w:tcW w:w="912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8"/>
              </w:rPr>
              <w:t>Condensed Consolidated Statements of Stockholders' Deficit for the Three and Nine Months Ended September 30, 2022 and 2021</w:t>
            </w:r>
          </w:p>
        </w:tc>
        <w:tc>
          <w:tcPr>
            <w:tcW w:w="106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9</w:t>
            </w:r>
          </w:p>
        </w:tc>
      </w:tr>
      <w:tr>
        <w:trPr>
          <w:trHeight w:val="189"/>
        </w:trPr>
        <w:tc>
          <w:tcPr>
            <w:tcW w:w="920" w:type="dxa"/>
            <w:vAlign w:val="bottom"/>
          </w:tcPr>
          <w:p>
            <w:pPr>
              <w:spacing w:after="0"/>
              <w:rPr>
                <w:sz w:val="16"/>
                <w:szCs w:val="16"/>
                <w:color w:val="auto"/>
              </w:rPr>
            </w:pPr>
          </w:p>
        </w:tc>
        <w:tc>
          <w:tcPr>
            <w:tcW w:w="756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87"/>
              </w:rPr>
              <w:t>Condensed Consolidated Statements of Cash Flows for the Three and Nine Months Ended September 30, 2022 and 2021</w:t>
            </w:r>
          </w:p>
        </w:tc>
        <w:tc>
          <w:tcPr>
            <w:tcW w:w="1560" w:type="dxa"/>
            <w:vAlign w:val="bottom"/>
            <w:gridSpan w:val="3"/>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11</w:t>
            </w:r>
          </w:p>
        </w:tc>
      </w:tr>
      <w:tr>
        <w:trPr>
          <w:trHeight w:val="189"/>
        </w:trPr>
        <w:tc>
          <w:tcPr>
            <w:tcW w:w="920" w:type="dxa"/>
            <w:vAlign w:val="bottom"/>
          </w:tcPr>
          <w:p>
            <w:pPr>
              <w:spacing w:after="0"/>
              <w:rPr>
                <w:sz w:val="16"/>
                <w:szCs w:val="16"/>
                <w:color w:val="auto"/>
              </w:rPr>
            </w:pPr>
          </w:p>
        </w:tc>
        <w:tc>
          <w:tcPr>
            <w:tcW w:w="9120" w:type="dxa"/>
            <w:vAlign w:val="bottom"/>
            <w:gridSpan w:val="20"/>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1140" w:type="dxa"/>
            <w:vAlign w:val="bottom"/>
            <w:gridSpan w:val="4"/>
          </w:tcPr>
          <w:p>
            <w:pPr>
              <w:jc w:val="right"/>
              <w:spacing w:after="0"/>
              <w:rPr>
                <w:sz w:val="20"/>
                <w:szCs w:val="20"/>
                <w:color w:val="auto"/>
              </w:rPr>
            </w:pPr>
            <w:r>
              <w:rPr>
                <w:rFonts w:ascii="Arial" w:cs="Arial" w:eastAsia="Arial" w:hAnsi="Arial"/>
                <w:sz w:val="16"/>
                <w:szCs w:val="16"/>
                <w:color w:val="0000FF"/>
              </w:rPr>
              <w:t>12</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56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88"/>
              </w:rPr>
              <w:t>Management's Discussion and Analysis of Financial Condition and Results of Operations</w:t>
            </w:r>
          </w:p>
        </w:tc>
        <w:tc>
          <w:tcPr>
            <w:tcW w:w="3520" w:type="dxa"/>
            <w:vAlign w:val="bottom"/>
            <w:gridSpan w:val="7"/>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41</w:t>
            </w: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380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0"/>
              </w:rPr>
              <w:t>Quantitative and Qualitative Disclosures About Market Risk</w:t>
            </w:r>
          </w:p>
        </w:tc>
        <w:tc>
          <w:tcPr>
            <w:tcW w:w="5320" w:type="dxa"/>
            <w:vAlign w:val="bottom"/>
            <w:gridSpan w:val="8"/>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59</w:t>
            </w: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9120" w:type="dxa"/>
            <w:vAlign w:val="bottom"/>
            <w:gridSpan w:val="20"/>
          </w:tcPr>
          <w:p>
            <w:pPr>
              <w:spacing w:after="0"/>
              <w:rPr>
                <w:sz w:val="20"/>
                <w:szCs w:val="20"/>
                <w:color w:val="auto"/>
              </w:rPr>
            </w:pPr>
            <w:r>
              <w:rPr>
                <w:rFonts w:ascii="Arial" w:cs="Arial" w:eastAsia="Arial" w:hAnsi="Arial"/>
                <w:sz w:val="16"/>
                <w:szCs w:val="16"/>
                <w:color w:val="0000FF"/>
              </w:rPr>
              <w:t>Controls and Procedures</w:t>
            </w:r>
          </w:p>
        </w:tc>
        <w:tc>
          <w:tcPr>
            <w:tcW w:w="1140" w:type="dxa"/>
            <w:vAlign w:val="bottom"/>
            <w:gridSpan w:val="4"/>
          </w:tcPr>
          <w:p>
            <w:pPr>
              <w:jc w:val="right"/>
              <w:spacing w:after="0"/>
              <w:rPr>
                <w:sz w:val="20"/>
                <w:szCs w:val="20"/>
                <w:color w:val="auto"/>
              </w:rPr>
            </w:pPr>
            <w:r>
              <w:rPr>
                <w:rFonts w:ascii="Arial" w:cs="Arial" w:eastAsia="Arial" w:hAnsi="Arial"/>
                <w:sz w:val="16"/>
                <w:szCs w:val="16"/>
                <w:color w:val="0000FF"/>
              </w:rPr>
              <w:t>60</w:t>
            </w:r>
          </w:p>
        </w:tc>
      </w:tr>
      <w:tr>
        <w:trPr>
          <w:trHeight w:val="449"/>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5"/>
          </w:tcPr>
          <w:p>
            <w:pPr>
              <w:jc w:val="center"/>
              <w:spacing w:after="0"/>
              <w:rPr>
                <w:sz w:val="20"/>
                <w:szCs w:val="20"/>
                <w:color w:val="auto"/>
              </w:rPr>
            </w:pPr>
            <w:r>
              <w:rPr>
                <w:rFonts w:ascii="Arial" w:cs="Arial" w:eastAsia="Arial" w:hAnsi="Arial"/>
                <w:sz w:val="16"/>
                <w:szCs w:val="16"/>
                <w:color w:val="0000FF"/>
                <w:w w:val="94"/>
              </w:rPr>
              <w:t>PART II. OTHER INFORMATION</w:t>
            </w:r>
          </w:p>
        </w:tc>
        <w:tc>
          <w:tcPr>
            <w:tcW w:w="340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1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5"/>
              </w:rPr>
              <w:t>Legal Proceedings</w:t>
            </w:r>
          </w:p>
        </w:tc>
        <w:tc>
          <w:tcPr>
            <w:tcW w:w="7960" w:type="dxa"/>
            <w:vAlign w:val="bottom"/>
            <w:gridSpan w:val="15"/>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61</w:t>
            </w: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912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1140" w:type="dxa"/>
            <w:vAlign w:val="bottom"/>
            <w:gridSpan w:val="4"/>
          </w:tcPr>
          <w:p>
            <w:pPr>
              <w:jc w:val="right"/>
              <w:spacing w:after="0"/>
              <w:rPr>
                <w:sz w:val="20"/>
                <w:szCs w:val="20"/>
                <w:color w:val="auto"/>
              </w:rPr>
            </w:pPr>
            <w:r>
              <w:rPr>
                <w:rFonts w:ascii="Arial" w:cs="Arial" w:eastAsia="Arial" w:hAnsi="Arial"/>
                <w:sz w:val="16"/>
                <w:szCs w:val="16"/>
                <w:color w:val="0000FF"/>
              </w:rPr>
              <w:t>62</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37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87"/>
              </w:rPr>
              <w:t>Unregistered Sales of Equity Securities and Use of Proceeds</w:t>
            </w:r>
          </w:p>
        </w:tc>
        <w:tc>
          <w:tcPr>
            <w:tcW w:w="5340" w:type="dxa"/>
            <w:vAlign w:val="bottom"/>
            <w:gridSpan w:val="9"/>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90</w:t>
            </w: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Exhibits</w:t>
            </w:r>
          </w:p>
        </w:tc>
        <w:tc>
          <w:tcPr>
            <w:tcW w:w="8600" w:type="dxa"/>
            <w:vAlign w:val="bottom"/>
            <w:gridSpan w:val="19"/>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90</w:t>
            </w:r>
          </w:p>
        </w:tc>
      </w:tr>
      <w:tr>
        <w:trPr>
          <w:trHeight w:val="189"/>
        </w:trPr>
        <w:tc>
          <w:tcPr>
            <w:tcW w:w="92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1"/>
              </w:rPr>
              <w:t>Exhibit Index</w:t>
            </w:r>
          </w:p>
        </w:tc>
        <w:tc>
          <w:tcPr>
            <w:tcW w:w="8260" w:type="dxa"/>
            <w:vAlign w:val="bottom"/>
            <w:gridSpan w:val="16"/>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91</w:t>
            </w:r>
          </w:p>
        </w:tc>
      </w:tr>
      <w:tr>
        <w:trPr>
          <w:trHeight w:val="189"/>
        </w:trPr>
        <w:tc>
          <w:tcPr>
            <w:tcW w:w="920" w:type="dxa"/>
            <w:vAlign w:val="bottom"/>
          </w:tcPr>
          <w:p>
            <w:pPr>
              <w:spacing w:after="0"/>
              <w:rPr>
                <w:sz w:val="16"/>
                <w:szCs w:val="16"/>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3"/>
              </w:rPr>
              <w:t>Signatures</w:t>
            </w:r>
          </w:p>
        </w:tc>
        <w:tc>
          <w:tcPr>
            <w:tcW w:w="8460" w:type="dxa"/>
            <w:vAlign w:val="bottom"/>
            <w:gridSpan w:val="18"/>
          </w:tcPr>
          <w:p>
            <w:pPr>
              <w:spacing w:after="0"/>
              <w:rPr>
                <w:sz w:val="16"/>
                <w:szCs w:val="16"/>
                <w:color w:val="auto"/>
              </w:rPr>
            </w:pPr>
          </w:p>
        </w:tc>
        <w:tc>
          <w:tcPr>
            <w:tcW w:w="980" w:type="dxa"/>
            <w:vAlign w:val="bottom"/>
            <w:gridSpan w:val="2"/>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92</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2022</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32"/>
        </w:trPr>
        <w:tc>
          <w:tcPr>
            <w:tcW w:w="67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1,081.4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and other receivables, net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322.0</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4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and other current liabilities</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Accrued compensation and benefits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139.1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Finance lease obligation</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120.4</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671.5</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1,156.4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1,175.8</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1,370.3</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3,385.2</w:t>
            </w: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Additional paid-in-capital</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2,438.9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2,448.1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(2,739.4)</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(293.9)</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3,091.3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except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20" w:type="dxa"/>
            <w:vAlign w:val="bottom"/>
            <w:gridSpan w:val="4"/>
          </w:tcPr>
          <w:p>
            <w:pPr>
              <w:jc w:val="right"/>
              <w:ind w:right="35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7"/>
                <w:szCs w:val="17"/>
                <w:b w:val="1"/>
                <w:bCs w:val="1"/>
                <w:color w:val="auto"/>
                <w:w w:val="98"/>
              </w:rPr>
              <w:t>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c>
          <w:tcPr>
            <w:tcW w:w="0" w:type="dxa"/>
            <w:vAlign w:val="bottom"/>
          </w:tcPr>
          <w:p>
            <w:pPr>
              <w:spacing w:after="0"/>
              <w:rPr>
                <w:sz w:val="1"/>
                <w:szCs w:val="1"/>
                <w:color w:val="auto"/>
              </w:rPr>
            </w:pP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6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328.4</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1,264.0</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103.6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304.3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319.2</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c>
          <w:tcPr>
            <w:tcW w:w="0" w:type="dxa"/>
            <w:vAlign w:val="bottom"/>
          </w:tcPr>
          <w:p>
            <w:pPr>
              <w:spacing w:after="0"/>
              <w:rPr>
                <w:sz w:val="1"/>
                <w:szCs w:val="1"/>
                <w:color w:val="auto"/>
              </w:rPr>
            </w:pPr>
          </w:p>
        </w:tc>
      </w:tr>
      <w:tr>
        <w:trPr>
          <w:trHeight w:val="222"/>
        </w:trPr>
        <w:tc>
          <w:tcPr>
            <w:tcW w:w="3960" w:type="dxa"/>
            <w:vAlign w:val="bottom"/>
          </w:tcPr>
          <w:p>
            <w:pPr>
              <w:ind w:left="220"/>
              <w:spacing w:after="0" w:line="222"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261.7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share-basic and diluted: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6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973"/>
              <w:spacing w:after="0" w:line="194"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0.19</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13"/>
              <w:spacing w:after="0" w:line="194"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0.61</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513"/>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shares used in computing net income</w:t>
            </w:r>
          </w:p>
        </w:tc>
        <w:tc>
          <w:tcPr>
            <w:tcW w:w="1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358.1</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385.5</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364.2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390.6</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4"/>
              </w:rPr>
              <w:t>per share attributable to common stockholders, basic</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line="156" w:lineRule="exact"/>
              <w:rPr>
                <w:sz w:val="20"/>
                <w:szCs w:val="20"/>
                <w:color w:val="auto"/>
              </w:rPr>
            </w:pPr>
            <w:r>
              <w:rPr>
                <w:rFonts w:ascii="Arial" w:cs="Arial" w:eastAsia="Arial" w:hAnsi="Arial"/>
                <w:sz w:val="17"/>
                <w:szCs w:val="17"/>
                <w:color w:val="auto"/>
                <w:w w:val="92"/>
              </w:rPr>
              <w:t>Weighted-average shares used in computing net income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80"/>
              <w:spacing w:after="0" w:line="170" w:lineRule="exact"/>
              <w:rPr>
                <w:sz w:val="20"/>
                <w:szCs w:val="20"/>
                <w:color w:val="auto"/>
              </w:rPr>
            </w:pPr>
            <w:r>
              <w:rPr>
                <w:rFonts w:ascii="Arial" w:cs="Arial" w:eastAsia="Arial" w:hAnsi="Arial"/>
                <w:sz w:val="17"/>
                <w:szCs w:val="17"/>
                <w:color w:val="auto"/>
              </w:rPr>
              <w:t>per share attributable to common stockholders,</w:t>
            </w:r>
          </w:p>
        </w:tc>
        <w:tc>
          <w:tcPr>
            <w:tcW w:w="1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360.1</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398.1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366.5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08"/>
        </w:trPr>
        <w:tc>
          <w:tcPr>
            <w:tcW w:w="3960" w:type="dxa"/>
            <w:vAlign w:val="bottom"/>
          </w:tcPr>
          <w:p>
            <w:pPr>
              <w:ind w:left="180"/>
              <w:spacing w:after="0"/>
              <w:rPr>
                <w:sz w:val="20"/>
                <w:szCs w:val="20"/>
                <w:color w:val="auto"/>
              </w:rPr>
            </w:pPr>
            <w:r>
              <w:rPr>
                <w:rFonts w:ascii="Arial" w:cs="Arial" w:eastAsia="Arial" w:hAnsi="Arial"/>
                <w:sz w:val="17"/>
                <w:szCs w:val="17"/>
                <w:color w:val="auto"/>
              </w:rPr>
              <w:t>diluted</w:t>
            </w: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40" w:hanging="136"/>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27"/>
        </w:trPr>
        <w:tc>
          <w:tcPr>
            <w:tcW w:w="39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553"/>
              <w:spacing w:after="0"/>
              <w:rPr>
                <w:sz w:val="20"/>
                <w:szCs w:val="20"/>
                <w:color w:val="auto"/>
              </w:rPr>
            </w:pPr>
            <w:r>
              <w:rPr>
                <w:rFonts w:ascii="Arial" w:cs="Arial" w:eastAsia="Arial" w:hAnsi="Arial"/>
                <w:sz w:val="17"/>
                <w:szCs w:val="17"/>
                <w:b w:val="1"/>
                <w:bCs w:val="1"/>
                <w:color w:val="auto"/>
                <w:w w:val="91"/>
              </w:rPr>
              <w:t>September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060" w:type="dxa"/>
            <w:vAlign w:val="bottom"/>
            <w:tcBorders>
              <w:bottom w:val="single" w:sz="8" w:color="auto"/>
            </w:tcBorders>
          </w:tcPr>
          <w:p>
            <w:pPr>
              <w:spacing w:after="0"/>
              <w:rPr>
                <w:sz w:val="19"/>
                <w:szCs w:val="19"/>
                <w:color w:val="auto"/>
              </w:rPr>
            </w:pPr>
          </w:p>
        </w:tc>
      </w:tr>
      <w:tr>
        <w:trPr>
          <w:trHeight w:val="215"/>
        </w:trPr>
        <w:tc>
          <w:tcPr>
            <w:tcW w:w="3960" w:type="dxa"/>
            <w:vAlign w:val="bottom"/>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2"/>
        </w:trPr>
        <w:tc>
          <w:tcPr>
            <w:tcW w:w="39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48.7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169.6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141.7</w:t>
            </w: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22"/>
        </w:trPr>
        <w:tc>
          <w:tcPr>
            <w:tcW w:w="39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36.6</w:t>
            </w:r>
          </w:p>
        </w:tc>
      </w:tr>
    </w:tbl>
    <w:p>
      <w:pPr>
        <w:spacing w:after="0" w:line="322" w:lineRule="exact"/>
        <w:rPr>
          <w:sz w:val="20"/>
          <w:szCs w:val="20"/>
          <w:color w:val="auto"/>
        </w:rPr>
      </w:pPr>
    </w:p>
    <w:p>
      <w:pPr>
        <w:ind w:left="160" w:hanging="156"/>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the Company's decision to shift to a Virtual First work model. See Note 9 "Leases" for further information.</w:t>
      </w:r>
    </w:p>
    <w:p>
      <w:pPr>
        <w:spacing w:after="0" w:line="228" w:lineRule="exact"/>
        <w:rPr>
          <w:rFonts w:ascii="Arial" w:cs="Arial" w:eastAsia="Arial" w:hAnsi="Arial"/>
          <w:sz w:val="18"/>
          <w:szCs w:val="18"/>
          <w:color w:val="auto"/>
          <w:vertAlign w:val="superscript"/>
        </w:rPr>
      </w:pPr>
    </w:p>
    <w:p>
      <w:pPr>
        <w:ind w:left="3000"/>
        <w:spacing w:after="0"/>
        <w:rPr>
          <w:rFonts w:ascii="Arial" w:cs="Arial" w:eastAsia="Arial" w:hAnsi="Arial"/>
          <w:sz w:val="18"/>
          <w:szCs w:val="18"/>
          <w:color w:val="auto"/>
          <w:vertAlign w:val="superscript"/>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right"/>
              <w:ind w:right="39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center"/>
              <w:ind w:left="573"/>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31"/>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7"/>
                <w:szCs w:val="17"/>
                <w:b w:val="1"/>
                <w:bCs w:val="1"/>
                <w:color w:val="auto"/>
                <w:w w:val="98"/>
              </w:rPr>
              <w:t>September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7"/>
                <w:szCs w:val="17"/>
                <w:b w:val="1"/>
                <w:bCs w:val="1"/>
                <w:color w:val="auto"/>
                <w:w w:val="91"/>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60" w:type="dxa"/>
            <w:vAlign w:val="bottom"/>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32"/>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900"/>
              <w:spacing w:after="0"/>
              <w:rPr>
                <w:sz w:val="20"/>
                <w:szCs w:val="20"/>
                <w:color w:val="auto"/>
              </w:rPr>
            </w:pPr>
            <w:r>
              <w:rPr>
                <w:rFonts w:ascii="Arial" w:cs="Arial" w:eastAsia="Arial" w:hAnsi="Arial"/>
                <w:sz w:val="17"/>
                <w:szCs w:val="17"/>
                <w:color w:val="auto"/>
              </w:rPr>
              <w:t>224.9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w:t>
            </w: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Change in foreign currency translation adjustments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8"/>
              </w:rPr>
              <w:t>(10.2)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170"/>
        </w:trPr>
        <w:tc>
          <w:tcPr>
            <w:tcW w:w="3960" w:type="dxa"/>
            <w:vAlign w:val="bottom"/>
          </w:tcPr>
          <w:p>
            <w:pPr>
              <w:ind w:left="220"/>
              <w:spacing w:after="0" w:line="170" w:lineRule="exact"/>
              <w:rPr>
                <w:sz w:val="20"/>
                <w:szCs w:val="20"/>
                <w:color w:val="auto"/>
              </w:rPr>
            </w:pPr>
            <w:r>
              <w:rPr>
                <w:rFonts w:ascii="Arial" w:cs="Arial" w:eastAsia="Arial" w:hAnsi="Arial"/>
                <w:sz w:val="17"/>
                <w:szCs w:val="17"/>
                <w:color w:val="auto"/>
                <w:w w:val="94"/>
              </w:rPr>
              <w:t>Change in net unrealized gains and losses on short-</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4"/>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term investments</w:t>
            </w: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w w:val="98"/>
              </w:rPr>
              <w:t>(45.3)</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98"/>
              </w:rPr>
              <w:t>(55.5)</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5"/>
        </w:trPr>
        <w:tc>
          <w:tcPr>
            <w:tcW w:w="3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169.4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w:t>
            </w: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DEFICIT</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Three Months Ended September 30, 2022</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Three Months Ended September 30, 2021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Class B</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Total</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Class B common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10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Common Stock</w:t>
            </w:r>
          </w:p>
        </w:tc>
        <w:tc>
          <w:tcPr>
            <w:tcW w:w="88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9"/>
              </w:rPr>
              <w:t>paid 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1060" w:type="dxa"/>
            <w:vAlign w:val="bottom"/>
            <w:gridSpan w:val="2"/>
            <w:vMerge w:val="restart"/>
          </w:tcPr>
          <w:p>
            <w:pPr>
              <w:jc w:val="center"/>
              <w:ind w:right="40"/>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stock</w:t>
            </w:r>
          </w:p>
        </w:tc>
        <w:tc>
          <w:tcPr>
            <w:tcW w:w="88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91"/>
              </w:rPr>
              <w:t>paid-in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96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deficit</w:t>
            </w:r>
          </w:p>
        </w:tc>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6"/>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2,424.1</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(2,926.1)</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ind w:left="260"/>
              <w:spacing w:after="0"/>
              <w:rPr>
                <w:sz w:val="20"/>
                <w:szCs w:val="20"/>
                <w:color w:val="auto"/>
              </w:rPr>
            </w:pPr>
            <w:r>
              <w:rPr>
                <w:rFonts w:ascii="Arial" w:cs="Arial" w:eastAsia="Arial" w:hAnsi="Arial"/>
                <w:sz w:val="16"/>
                <w:szCs w:val="16"/>
                <w:color w:val="auto"/>
                <w:w w:val="90"/>
              </w:rPr>
              <w:t>(40.9)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(109.2)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stock options</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ind w:left="260"/>
              <w:spacing w:after="0"/>
              <w:rPr>
                <w:sz w:val="20"/>
                <w:szCs w:val="20"/>
                <w:color w:val="auto"/>
              </w:rPr>
            </w:pPr>
            <w:r>
              <w:rPr>
                <w:rFonts w:ascii="Arial" w:cs="Arial" w:eastAsia="Arial" w:hAnsi="Arial"/>
                <w:sz w:val="16"/>
                <w:szCs w:val="16"/>
                <w:color w:val="auto"/>
                <w:w w:val="90"/>
              </w:rPr>
              <w:t>(17.2)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354.9</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2,438.9</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(2,972.1)</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ind w:left="260"/>
              <w:spacing w:after="0"/>
              <w:rPr>
                <w:sz w:val="20"/>
                <w:szCs w:val="20"/>
                <w:color w:val="auto"/>
              </w:rPr>
            </w:pPr>
            <w:r>
              <w:rPr>
                <w:rFonts w:ascii="Arial" w:cs="Arial" w:eastAsia="Arial" w:hAnsi="Arial"/>
                <w:sz w:val="16"/>
                <w:szCs w:val="16"/>
                <w:color w:val="auto"/>
                <w:w w:val="90"/>
              </w:rPr>
              <w:t>(58.1)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tabs>
          <w:tab w:leader="none" w:pos="620" w:val="left"/>
          <w:tab w:leader="none" w:pos="1140" w:val="left"/>
          <w:tab w:leader="none" w:pos="1480" w:val="left"/>
          <w:tab w:leader="none" w:pos="1800" w:val="left"/>
          <w:tab w:leader="none" w:pos="2000" w:val="left"/>
          <w:tab w:leader="none" w:pos="2640" w:val="left"/>
          <w:tab w:leader="none" w:pos="2940" w:val="left"/>
          <w:tab w:leader="none" w:pos="4400" w:val="left"/>
          <w:tab w:leader="none" w:pos="4760" w:val="left"/>
          <w:tab w:leader="none" w:pos="5260" w:val="left"/>
        </w:tabs>
        <w:rPr>
          <w:sz w:val="20"/>
          <w:szCs w:val="20"/>
          <w:color w:val="auto"/>
        </w:rPr>
      </w:pPr>
      <w:r>
        <w:rPr>
          <w:rFonts w:ascii="Arial" w:cs="Arial" w:eastAsia="Arial" w:hAnsi="Arial"/>
          <w:sz w:val="16"/>
          <w:szCs w:val="16"/>
          <w:color w:val="auto"/>
        </w:rPr>
        <w:t>(542.9)</w:t>
        <w:tab/>
        <w:t>386.5</w:t>
        <w:tab/>
        <w:t>$</w:t>
      </w:r>
      <w:r>
        <w:rPr>
          <w:sz w:val="20"/>
          <w:szCs w:val="20"/>
          <w:color w:val="auto"/>
        </w:rPr>
        <w:tab/>
      </w:r>
      <w:r>
        <w:rPr>
          <w:rFonts w:ascii="Arial" w:cs="Arial" w:eastAsia="Arial" w:hAnsi="Arial"/>
          <w:sz w:val="16"/>
          <w:szCs w:val="16"/>
          <w:color w:val="auto"/>
        </w:rPr>
        <w:t>—</w:t>
        <w:tab/>
        <w:t>$</w:t>
        <w:tab/>
        <w:t>2,446.9</w:t>
        <w:tab/>
        <w:t>$</w:t>
        <w:tab/>
        <w:t>(2,547.5)  $</w:t>
      </w:r>
      <w:r>
        <w:rPr>
          <w:sz w:val="20"/>
          <w:szCs w:val="20"/>
          <w:color w:val="auto"/>
        </w:rPr>
        <w:tab/>
      </w:r>
      <w:r>
        <w:rPr>
          <w:rFonts w:ascii="Arial" w:cs="Arial" w:eastAsia="Arial" w:hAnsi="Arial"/>
          <w:sz w:val="16"/>
          <w:szCs w:val="16"/>
          <w:color w:val="auto"/>
        </w:rPr>
        <w:t>5.8</w:t>
        <w:tab/>
        <w:t>$</w:t>
      </w:r>
      <w:r>
        <w:rPr>
          <w:sz w:val="20"/>
          <w:szCs w:val="20"/>
          <w:color w:val="auto"/>
        </w:rPr>
        <w:tab/>
      </w:r>
      <w:r>
        <w:rPr>
          <w:rFonts w:ascii="Arial" w:cs="Arial" w:eastAsia="Arial" w:hAnsi="Arial"/>
          <w:sz w:val="13"/>
          <w:szCs w:val="13"/>
          <w:color w:val="auto"/>
        </w:rPr>
        <w:t>(94.8)</w:t>
      </w:r>
    </w:p>
    <w:p>
      <w:pPr>
        <w:spacing w:after="0" w:line="200" w:lineRule="exact"/>
        <w:rPr>
          <w:sz w:val="20"/>
          <w:szCs w:val="20"/>
          <w:color w:val="auto"/>
        </w:rPr>
      </w:pPr>
    </w:p>
    <w:p>
      <w:pPr>
        <w:spacing w:after="0" w:line="294" w:lineRule="exact"/>
        <w:rPr>
          <w:sz w:val="20"/>
          <w:szCs w:val="20"/>
          <w:color w:val="auto"/>
        </w:rPr>
      </w:pPr>
    </w:p>
    <w:p>
      <w:pPr>
        <w:ind w:left="260"/>
        <w:spacing w:after="0"/>
        <w:tabs>
          <w:tab w:leader="none" w:pos="780" w:val="left"/>
          <w:tab w:leader="none" w:pos="1480" w:val="left"/>
          <w:tab w:leader="none" w:pos="2320" w:val="left"/>
          <w:tab w:leader="none" w:pos="3320" w:val="left"/>
          <w:tab w:leader="none" w:pos="4440" w:val="left"/>
          <w:tab w:leader="none" w:pos="5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7198360" cy="828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82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0" w:type="dxa"/>
            <w:vAlign w:val="bottom"/>
          </w:tcPr>
          <w:p>
            <w:pPr>
              <w:jc w:val="right"/>
              <w:ind w:right="82"/>
              <w:spacing w:after="0"/>
              <w:rPr>
                <w:sz w:val="20"/>
                <w:szCs w:val="20"/>
                <w:color w:val="auto"/>
              </w:rPr>
            </w:pPr>
            <w:r>
              <w:rPr>
                <w:rFonts w:ascii="Arial" w:cs="Arial" w:eastAsia="Arial" w:hAnsi="Arial"/>
                <w:sz w:val="16"/>
                <w:szCs w:val="16"/>
                <w:color w:val="auto"/>
              </w:rPr>
              <w:t>(29.6)</w:t>
            </w:r>
          </w:p>
        </w:tc>
        <w:tc>
          <w:tcPr>
            <w:tcW w:w="660" w:type="dxa"/>
            <w:vAlign w:val="bottom"/>
          </w:tcPr>
          <w:p>
            <w:pPr>
              <w:jc w:val="center"/>
              <w:ind w:right="2"/>
              <w:spacing w:after="0"/>
              <w:rPr>
                <w:sz w:val="20"/>
                <w:szCs w:val="20"/>
                <w:color w:val="auto"/>
              </w:rPr>
            </w:pPr>
            <w:r>
              <w:rPr>
                <w:rFonts w:ascii="Arial" w:cs="Arial" w:eastAsia="Arial" w:hAnsi="Arial"/>
                <w:sz w:val="16"/>
                <w:szCs w:val="16"/>
                <w:color w:val="auto"/>
                <w:w w:val="91"/>
              </w:rPr>
              <w:t>(1.1)</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82"/>
              <w:spacing w:after="0"/>
              <w:rPr>
                <w:sz w:val="20"/>
                <w:szCs w:val="20"/>
                <w:color w:val="auto"/>
              </w:rPr>
            </w:pPr>
            <w:r>
              <w:rPr>
                <w:rFonts w:ascii="Arial" w:cs="Arial" w:eastAsia="Arial" w:hAnsi="Arial"/>
                <w:sz w:val="16"/>
                <w:szCs w:val="16"/>
                <w:color w:val="auto"/>
              </w:rPr>
              <w:t>(8.3)</w:t>
            </w:r>
          </w:p>
        </w:tc>
        <w:tc>
          <w:tcPr>
            <w:tcW w:w="1200" w:type="dxa"/>
            <w:vAlign w:val="bottom"/>
          </w:tcPr>
          <w:p>
            <w:pPr>
              <w:jc w:val="right"/>
              <w:ind w:right="382"/>
              <w:spacing w:after="0"/>
              <w:rPr>
                <w:sz w:val="20"/>
                <w:szCs w:val="20"/>
                <w:color w:val="auto"/>
              </w:rPr>
            </w:pPr>
            <w:r>
              <w:rPr>
                <w:rFonts w:ascii="Arial" w:cs="Arial" w:eastAsia="Arial" w:hAnsi="Arial"/>
                <w:sz w:val="16"/>
                <w:szCs w:val="16"/>
                <w:color w:val="auto"/>
              </w:rPr>
              <w:t>(27.2)</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522"/>
        </w:trPr>
        <w:tc>
          <w:tcPr>
            <w:tcW w:w="600" w:type="dxa"/>
            <w:vAlign w:val="bottom"/>
          </w:tcPr>
          <w:p>
            <w:pPr>
              <w:jc w:val="right"/>
              <w:ind w:right="82"/>
              <w:spacing w:after="0"/>
              <w:rPr>
                <w:sz w:val="20"/>
                <w:szCs w:val="20"/>
                <w:color w:val="auto"/>
              </w:rPr>
            </w:pPr>
            <w:r>
              <w:rPr>
                <w:rFonts w:ascii="Arial" w:cs="Arial" w:eastAsia="Arial" w:hAnsi="Arial"/>
                <w:sz w:val="16"/>
                <w:szCs w:val="16"/>
                <w:color w:val="auto"/>
                <w:w w:val="82"/>
              </w:rPr>
              <w:t>(171.4)</w:t>
            </w:r>
          </w:p>
        </w:tc>
        <w:tc>
          <w:tcPr>
            <w:tcW w:w="660" w:type="dxa"/>
            <w:vAlign w:val="bottom"/>
          </w:tcPr>
          <w:p>
            <w:pPr>
              <w:jc w:val="center"/>
              <w:ind w:right="2"/>
              <w:spacing w:after="0"/>
              <w:rPr>
                <w:sz w:val="20"/>
                <w:szCs w:val="20"/>
                <w:color w:val="auto"/>
              </w:rPr>
            </w:pPr>
            <w:r>
              <w:rPr>
                <w:rFonts w:ascii="Arial" w:cs="Arial" w:eastAsia="Arial" w:hAnsi="Arial"/>
                <w:sz w:val="16"/>
                <w:szCs w:val="16"/>
                <w:color w:val="auto"/>
                <w:w w:val="91"/>
              </w:rPr>
              <w:t>(5.8)</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82"/>
              <w:spacing w:after="0"/>
              <w:rPr>
                <w:sz w:val="20"/>
                <w:szCs w:val="20"/>
                <w:color w:val="auto"/>
              </w:rPr>
            </w:pPr>
            <w:r>
              <w:rPr>
                <w:rFonts w:ascii="Arial" w:cs="Arial" w:eastAsia="Arial" w:hAnsi="Arial"/>
                <w:sz w:val="16"/>
                <w:szCs w:val="16"/>
                <w:color w:val="auto"/>
              </w:rPr>
              <w:t>(44.6)</w:t>
            </w:r>
          </w:p>
        </w:tc>
        <w:tc>
          <w:tcPr>
            <w:tcW w:w="1200" w:type="dxa"/>
            <w:vAlign w:val="bottom"/>
          </w:tcPr>
          <w:p>
            <w:pPr>
              <w:jc w:val="right"/>
              <w:ind w:right="382"/>
              <w:spacing w:after="0"/>
              <w:rPr>
                <w:sz w:val="20"/>
                <w:szCs w:val="20"/>
                <w:color w:val="auto"/>
              </w:rPr>
            </w:pPr>
            <w:r>
              <w:rPr>
                <w:rFonts w:ascii="Arial" w:cs="Arial" w:eastAsia="Arial" w:hAnsi="Arial"/>
                <w:sz w:val="16"/>
                <w:szCs w:val="16"/>
                <w:color w:val="auto"/>
              </w:rPr>
              <w:t>(136.4)</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(181.0)</w:t>
            </w:r>
          </w:p>
        </w:tc>
      </w:tr>
      <w:tr>
        <w:trPr>
          <w:trHeight w:val="522"/>
        </w:trPr>
        <w:tc>
          <w:tcPr>
            <w:tcW w:w="60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0.1</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2"/>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-326390</wp:posOffset>
            </wp:positionV>
            <wp:extent cx="7198360" cy="331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0.4</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65"/>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86.1</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(17.2)</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83.2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r>
      <w:tr>
        <w:trPr>
          <w:trHeight w:val="31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(591.3)</w:t>
            </w:r>
          </w:p>
        </w:tc>
        <w:tc>
          <w:tcPr>
            <w:tcW w:w="500" w:type="dxa"/>
            <w:vAlign w:val="bottom"/>
          </w:tcPr>
          <w:p>
            <w:pPr>
              <w:jc w:val="right"/>
              <w:spacing w:after="0"/>
              <w:rPr>
                <w:sz w:val="20"/>
                <w:szCs w:val="20"/>
                <w:color w:val="auto"/>
              </w:rPr>
            </w:pPr>
            <w:r>
              <w:rPr>
                <w:rFonts w:ascii="Arial" w:cs="Arial" w:eastAsia="Arial" w:hAnsi="Arial"/>
                <w:sz w:val="16"/>
                <w:szCs w:val="16"/>
                <w:color w:val="auto"/>
              </w:rPr>
              <w:t>382.8</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  2,468.1</w:t>
            </w:r>
          </w:p>
        </w:tc>
        <w:tc>
          <w:tcPr>
            <w:tcW w:w="8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(2,635.5)</w:t>
            </w:r>
          </w:p>
        </w:tc>
        <w:tc>
          <w:tcPr>
            <w:tcW w:w="8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(162.6)</w:t>
            </w:r>
          </w:p>
        </w:tc>
      </w:tr>
      <w:tr>
        <w:trPr>
          <w:trHeight w:val="22"/>
        </w:trPr>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-942975</wp:posOffset>
            </wp:positionV>
            <wp:extent cx="719836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23177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-380365</wp:posOffset>
            </wp:positionV>
            <wp:extent cx="7198360" cy="381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Nine Months Ended September 30, 2022</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8"/>
              </w:rPr>
              <w:t>Nine Months Ended September 30, 2021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Class B</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Total</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Class B common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10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other</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Common Stock</w:t>
            </w:r>
          </w:p>
        </w:tc>
        <w:tc>
          <w:tcPr>
            <w:tcW w:w="88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9"/>
              </w:rPr>
              <w:t>paid 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1060" w:type="dxa"/>
            <w:vAlign w:val="bottom"/>
            <w:gridSpan w:val="2"/>
            <w:vMerge w:val="restart"/>
          </w:tcPr>
          <w:p>
            <w:pPr>
              <w:jc w:val="center"/>
              <w:ind w:right="40"/>
              <w:spacing w:after="0" w:line="157" w:lineRule="exact"/>
              <w:rPr>
                <w:sz w:val="20"/>
                <w:szCs w:val="20"/>
                <w:color w:val="auto"/>
              </w:rPr>
            </w:pPr>
            <w:r>
              <w:rPr>
                <w:rFonts w:ascii="Arial" w:cs="Arial" w:eastAsia="Arial" w:hAnsi="Arial"/>
                <w:sz w:val="16"/>
                <w:szCs w:val="16"/>
                <w:b w:val="1"/>
                <w:bCs w:val="1"/>
                <w:color w:val="auto"/>
                <w:w w:val="86"/>
              </w:rPr>
              <w:t>stockholders'</w:t>
            </w:r>
          </w:p>
        </w:tc>
        <w:tc>
          <w:tcPr>
            <w:tcW w:w="1160" w:type="dxa"/>
            <w:vAlign w:val="bottom"/>
            <w:tcBorders>
              <w:bottom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stock</w:t>
            </w:r>
          </w:p>
        </w:tc>
        <w:tc>
          <w:tcPr>
            <w:tcW w:w="88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91"/>
              </w:rPr>
              <w:t>paid-in</w:t>
            </w:r>
          </w:p>
        </w:tc>
        <w:tc>
          <w:tcPr>
            <w:tcW w:w="100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7"/>
              </w:rPr>
              <w:t>Accumulated</w:t>
            </w:r>
          </w:p>
        </w:tc>
        <w:tc>
          <w:tcPr>
            <w:tcW w:w="112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comprehensive</w:t>
            </w:r>
          </w:p>
        </w:tc>
        <w:tc>
          <w:tcPr>
            <w:tcW w:w="96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74"/>
              </w:rPr>
              <w:t>loss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deficit</w:t>
            </w:r>
          </w:p>
        </w:tc>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6"/>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1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375.5</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2,448.1</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(2,739.4)</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(59.6)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common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(223.1)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(398.0)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7"/>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8"/>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(55.5)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354.9</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2,438.9</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(2,972.1)</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(58.1)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(293.9)</w:t>
            </w:r>
          </w:p>
        </w:tc>
        <w:tc>
          <w:tcPr>
            <w:tcW w:w="500" w:type="dxa"/>
            <w:vAlign w:val="bottom"/>
          </w:tcPr>
          <w:p>
            <w:pPr>
              <w:jc w:val="right"/>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2,564.3</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(2,241.4)</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678"/>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04"/>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(91.0)</w:t>
            </w: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(621.1)</w:t>
            </w:r>
          </w:p>
        </w:tc>
        <w:tc>
          <w:tcPr>
            <w:tcW w:w="500" w:type="dxa"/>
            <w:vAlign w:val="bottom"/>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(534.7)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(763.7)</w:t>
            </w:r>
          </w:p>
        </w:tc>
      </w:tr>
      <w:tr>
        <w:trPr>
          <w:trHeight w:val="52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0.4</w:t>
            </w: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83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130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65"/>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243.4</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214.6</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(55.5)</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2"/>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224.9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r>
      <w:tr>
        <w:trPr>
          <w:trHeight w:val="319"/>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(591.3)</w:t>
            </w:r>
          </w:p>
        </w:tc>
        <w:tc>
          <w:tcPr>
            <w:tcW w:w="500" w:type="dxa"/>
            <w:vAlign w:val="bottom"/>
          </w:tcPr>
          <w:p>
            <w:pPr>
              <w:jc w:val="right"/>
              <w:spacing w:after="0"/>
              <w:rPr>
                <w:sz w:val="20"/>
                <w:szCs w:val="20"/>
                <w:color w:val="auto"/>
              </w:rPr>
            </w:pPr>
            <w:r>
              <w:rPr>
                <w:rFonts w:ascii="Arial" w:cs="Arial" w:eastAsia="Arial" w:hAnsi="Arial"/>
                <w:sz w:val="16"/>
                <w:szCs w:val="16"/>
                <w:color w:val="auto"/>
              </w:rPr>
              <w:t>382.8</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2,468.1</w:t>
            </w:r>
          </w:p>
        </w:tc>
        <w:tc>
          <w:tcPr>
            <w:tcW w:w="8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(2,635.5)</w:t>
            </w:r>
          </w:p>
        </w:tc>
        <w:tc>
          <w:tcPr>
            <w:tcW w:w="8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(162.6)</w:t>
            </w:r>
          </w:p>
        </w:tc>
      </w:tr>
      <w:tr>
        <w:trPr>
          <w:trHeight w:val="22"/>
        </w:trPr>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-5050155</wp:posOffset>
            </wp:positionV>
            <wp:extent cx="7198360" cy="828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-3890645</wp:posOffset>
            </wp:positionV>
            <wp:extent cx="7198360" cy="331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-3029585</wp:posOffset>
            </wp:positionV>
            <wp:extent cx="7198360" cy="629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360" cy="62928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-1771015</wp:posOffset>
            </wp:positionV>
            <wp:extent cx="7198360" cy="828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-711200</wp:posOffset>
            </wp:positionV>
            <wp:extent cx="7198360" cy="331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-247650</wp:posOffset>
            </wp:positionV>
            <wp:extent cx="7198360"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360"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See accompanying Notes to Condensed Consolidated Financial Statement</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0"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Nine Months Ended</w:t>
      </w:r>
    </w:p>
    <w:p>
      <w:pPr>
        <w:jc w:val="center"/>
        <w:ind w:left="7960"/>
        <w:spacing w:after="0"/>
        <w:rPr>
          <w:sz w:val="20"/>
          <w:szCs w:val="20"/>
          <w:color w:val="auto"/>
        </w:rPr>
      </w:pPr>
      <w:r>
        <w:rPr>
          <w:rFonts w:ascii="Arial" w:cs="Arial" w:eastAsia="Arial" w:hAnsi="Arial"/>
          <w:sz w:val="16"/>
          <w:szCs w:val="16"/>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r>
      <w:tr>
        <w:trPr>
          <w:trHeight w:val="34"/>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211.2</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0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equity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19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w:t>
            </w: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1,389.1</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convertible note hedge in connection with issuance of convertible senior notes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repurchases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r>
      <w:tr>
        <w:trPr>
          <w:trHeight w:val="19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374.0</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79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acquired under finance leases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ind w:firstLine="430"/>
        <w:spacing w:after="0" w:line="320" w:lineRule="auto"/>
        <w:rPr>
          <w:sz w:val="20"/>
          <w:szCs w:val="20"/>
          <w:color w:val="auto"/>
        </w:rPr>
      </w:pPr>
      <w:r>
        <w:rPr>
          <w:rFonts w:ascii="Arial" w:cs="Arial" w:eastAsia="Arial" w:hAnsi="Arial"/>
          <w:sz w:val="16"/>
          <w:szCs w:val="16"/>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03" w:lineRule="exact"/>
        <w:rPr>
          <w:sz w:val="20"/>
          <w:szCs w:val="20"/>
          <w:color w:val="auto"/>
        </w:rPr>
      </w:pPr>
    </w:p>
    <w:p>
      <w:pPr>
        <w:ind w:right="80" w:firstLine="430"/>
        <w:spacing w:after="0" w:line="288" w:lineRule="auto"/>
        <w:rPr>
          <w:sz w:val="20"/>
          <w:szCs w:val="20"/>
          <w:color w:val="auto"/>
        </w:rPr>
      </w:pPr>
      <w:r>
        <w:rPr>
          <w:rFonts w:ascii="Arial" w:cs="Arial" w:eastAsia="Arial" w:hAnsi="Arial"/>
          <w:sz w:val="16"/>
          <w:szCs w:val="16"/>
          <w:color w:val="auto"/>
        </w:rPr>
        <w:t>The condensed consolidated balance sheet as of December 31, 2021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2022 or any future period.</w:t>
      </w:r>
    </w:p>
    <w:p>
      <w:pPr>
        <w:spacing w:after="0" w:line="186"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2021, included in the Company's Annual Report on Form 10-K on file with the SEC ("Annual Report").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ind w:right="280" w:firstLine="430"/>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03"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Company’s most significant estimates and judgments involve the valuation of acquired intangible assets and goodwill from business combinations as well as the valuation of right-of-use and other lease related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our condensed consolidated financial statements included elsewhere in this Quarterly Report on Form 10-Q for information regarding the Company’s long-lived assets and revenue by geography.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loss, net of tax.</w:t>
      </w:r>
    </w:p>
    <w:p>
      <w:pPr>
        <w:spacing w:after="0" w:line="198"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Gains and losses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jc w:val="both"/>
        <w:ind w:right="340"/>
        <w:spacing w:after="0" w:line="271" w:lineRule="auto"/>
        <w:rPr>
          <w:sz w:val="20"/>
          <w:szCs w:val="20"/>
          <w:color w:val="auto"/>
        </w:rPr>
      </w:pPr>
      <w:r>
        <w:rPr>
          <w:rFonts w:ascii="Arial" w:cs="Arial" w:eastAsia="Arial" w:hAnsi="Arial"/>
          <w:sz w:val="17"/>
          <w:szCs w:val="17"/>
          <w:color w:val="auto"/>
        </w:rPr>
        <w:t>rates. The Company recorded net foreign currency transaction gains of $5.1 million and $4.0 million during the three and nine months ended September 30, 2022, respectively, and net foreign currency transaction losses of $1.4 million and $0.8 million during the three and nine months ended September 30, 2021,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68" w:lineRule="exact"/>
        <w:rPr>
          <w:sz w:val="20"/>
          <w:szCs w:val="20"/>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48" w:lineRule="exact"/>
        <w:rPr>
          <w:sz w:val="20"/>
          <w:szCs w:val="20"/>
          <w:color w:val="auto"/>
        </w:rPr>
      </w:pPr>
    </w:p>
    <w:p>
      <w:pPr>
        <w:ind w:right="180" w:firstLine="430"/>
        <w:spacing w:after="0" w:line="307"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120" w:firstLine="430"/>
        <w:spacing w:after="0" w:line="296"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0" w:lineRule="exact"/>
        <w:rPr>
          <w:sz w:val="20"/>
          <w:szCs w:val="20"/>
          <w:color w:val="auto"/>
        </w:rPr>
      </w:pPr>
    </w:p>
    <w:p>
      <w:pPr>
        <w:ind w:right="480" w:firstLine="430"/>
        <w:spacing w:after="0" w:line="287"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4" w:lineRule="exact"/>
        <w:rPr>
          <w:sz w:val="20"/>
          <w:szCs w:val="20"/>
          <w:color w:val="auto"/>
        </w:rPr>
      </w:pPr>
    </w:p>
    <w:p>
      <w:pPr>
        <w:jc w:val="both"/>
        <w:ind w:right="160" w:firstLine="430"/>
        <w:spacing w:after="0" w:line="27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98"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The Company recognized $330.4 million and $632.2 million of revenue during the three and nine months ended September 30, 2022, respectively, and recognized $312.1 million and $574.3 million of revenue during the three and nine months ended September 30, 2021, respectively, that was included in the deferred revenue balances at the beginning of their respective periods.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2022, future estimated revenue related to performance obligations that were unsatisfied or partially unsatisfied was $758.5 million.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substantial majority of the unsatisfied performance obligations will be satisfied over the next twelve months.</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30"/>
        <w:spacing w:after="0" w:line="303" w:lineRule="auto"/>
        <w:rPr>
          <w:sz w:val="20"/>
          <w:szCs w:val="20"/>
          <w:color w:val="auto"/>
        </w:rPr>
      </w:pPr>
      <w:r>
        <w:rPr>
          <w:rFonts w:ascii="Arial" w:cs="Arial" w:eastAsia="Arial" w:hAnsi="Arial"/>
          <w:sz w:val="15"/>
          <w:szCs w:val="15"/>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co-founders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9"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184"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In March 2021, 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to our condensed consolidated financial statements included elsewhere in this Quarterly Report on Form 10-Q for further information.</w:t>
      </w:r>
    </w:p>
    <w:p>
      <w:pPr>
        <w:spacing w:after="0" w:line="203" w:lineRule="exact"/>
        <w:rPr>
          <w:sz w:val="20"/>
          <w:szCs w:val="20"/>
          <w:color w:val="auto"/>
        </w:rPr>
      </w:pPr>
    </w:p>
    <w:p>
      <w:pPr>
        <w:ind w:right="60" w:firstLine="430"/>
        <w:spacing w:after="0" w:line="277" w:lineRule="auto"/>
        <w:rPr>
          <w:sz w:val="20"/>
          <w:szCs w:val="20"/>
          <w:color w:val="auto"/>
        </w:rPr>
      </w:pPr>
      <w:r>
        <w:rPr>
          <w:rFonts w:ascii="Arial" w:cs="Arial" w:eastAsia="Arial" w:hAnsi="Arial"/>
          <w:sz w:val="16"/>
          <w:szCs w:val="16"/>
          <w:color w:val="auto"/>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Stock Price Targets may not be satisfied. The first tranche of Mr. Houston's Co-Founder Grant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our condensed consolidated financial statements included elsewhere in this Quarterly Report on Form 10-Q for further information.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right="100" w:firstLine="430"/>
        <w:spacing w:after="0" w:line="278"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7"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98"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7" w:lineRule="exact"/>
        <w:rPr>
          <w:sz w:val="20"/>
          <w:szCs w:val="20"/>
          <w:color w:val="auto"/>
        </w:rPr>
      </w:pPr>
    </w:p>
    <w:p>
      <w:pPr>
        <w:ind w:right="80" w:firstLine="430"/>
        <w:spacing w:after="0" w:line="281"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430"/>
        <w:spacing w:after="0" w:line="279"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2022. As of September 30, 2022 and December 31, 2021, no allowance for credit losses in short-term investments was recorded.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ind w:firstLine="430"/>
        <w:spacing w:after="0" w:line="323" w:lineRule="auto"/>
        <w:rPr>
          <w:sz w:val="20"/>
          <w:szCs w:val="20"/>
          <w:color w:val="auto"/>
        </w:rPr>
      </w:pPr>
      <w:r>
        <w:rPr>
          <w:rFonts w:ascii="Arial" w:cs="Arial" w:eastAsia="Arial" w:hAnsi="Arial"/>
          <w:sz w:val="15"/>
          <w:szCs w:val="15"/>
          <w:color w:val="auto"/>
        </w:rPr>
        <w:t>Trade accounts receivable are typically unsecured and are derived from revenue earned from customers located around the world. Two distribution partners accounted for 16% and 31% of total trade and other receivables, net as of September 30, 2022. Two distribution partners accounted for 14% and 29% of total trade and other receivables, net as of December 31, 2021. No customer accounted for more than 10% of the Company’s revenue in the periods presented.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7"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$8.6 million and $24.6 million during the three and nine months ended September 30, 2022 respectively and $7.2 million and $17.0 million during the three and nine months ended September 30, 2021, respectively.</w:t>
      </w:r>
    </w:p>
    <w:p>
      <w:pPr>
        <w:spacing w:after="0" w:line="189" w:lineRule="exact"/>
        <w:rPr>
          <w:sz w:val="20"/>
          <w:szCs w:val="20"/>
          <w:color w:val="auto"/>
        </w:rPr>
      </w:pPr>
    </w:p>
    <w:p>
      <w:pPr>
        <w:jc w:val="both"/>
        <w:ind w:right="120" w:firstLine="430"/>
        <w:spacing w:after="0" w:line="271" w:lineRule="auto"/>
        <w:rPr>
          <w:sz w:val="20"/>
          <w:szCs w:val="20"/>
          <w:color w:val="auto"/>
        </w:rPr>
      </w:pPr>
      <w:r>
        <w:rPr>
          <w:rFonts w:ascii="Arial" w:cs="Arial" w:eastAsia="Arial" w:hAnsi="Arial"/>
          <w:sz w:val="17"/>
          <w:szCs w:val="17"/>
          <w:color w:val="auto"/>
        </w:rPr>
        <w:t>Deferred commissions, net included in prepaid and other current assets were $33.7 million and $30.8 million as of September 30, 2022 and December 31, 2021, respectively. Deferred commissions, net included in other assets were $27.4 million and $34.6 million as of September 30, 2022 and December 31, 2021, respectively.</w:t>
      </w:r>
    </w:p>
    <w:p>
      <w:pPr>
        <w:spacing w:after="0" w:line="198" w:lineRule="exact"/>
        <w:rPr>
          <w:sz w:val="20"/>
          <w:szCs w:val="20"/>
          <w:color w:val="auto"/>
        </w:rPr>
      </w:pPr>
    </w:p>
    <w:p>
      <w:pPr>
        <w:ind w:right="80" w:firstLine="430"/>
        <w:spacing w:after="0" w:line="281" w:lineRule="auto"/>
        <w:rPr>
          <w:sz w:val="20"/>
          <w:szCs w:val="20"/>
          <w:color w:val="auto"/>
        </w:rPr>
      </w:pPr>
      <w:r>
        <w:rPr>
          <w:rFonts w:ascii="Arial" w:cs="Arial" w:eastAsia="Arial" w:hAnsi="Arial"/>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commissions are typically amortized over one year. Amortization of deferred commissions was $10.2 million and $28.9 million for the three and nine months ended September 30, 2022, respectively and $8.2 million and $23.6 million for the three and nine months ended September 30, 2021, respectively. Amortization of deferred commissions is included in sales and marketing expense in the accompanying condensed consolidated statements of operations. There was no material impairment loss in relation to the deferred costs for any period presented.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7"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40" w:type="dxa"/>
            <w:vAlign w:val="bottom"/>
            <w:gridSpan w:val="3"/>
          </w:tcPr>
          <w:p>
            <w:pPr>
              <w:ind w:left="440"/>
              <w:spacing w:after="0"/>
              <w:rPr>
                <w:sz w:val="20"/>
                <w:szCs w:val="20"/>
                <w:color w:val="auto"/>
              </w:rPr>
            </w:pPr>
            <w:r>
              <w:rPr>
                <w:rFonts w:ascii="Arial" w:cs="Arial" w:eastAsia="Arial" w:hAnsi="Arial"/>
                <w:sz w:val="17"/>
                <w:szCs w:val="17"/>
                <w:color w:val="auto"/>
                <w:w w:val="95"/>
              </w:rPr>
              <w:t>The following table presents the estimated useful lives of property and equipment:</w:t>
            </w:r>
          </w:p>
        </w:tc>
        <w:tc>
          <w:tcPr>
            <w:tcW w:w="4880" w:type="dxa"/>
            <w:vAlign w:val="bottom"/>
          </w:tcPr>
          <w:p>
            <w:pPr>
              <w:spacing w:after="0"/>
              <w:rPr>
                <w:sz w:val="19"/>
                <w:szCs w:val="19"/>
                <w:color w:val="auto"/>
              </w:rPr>
            </w:pPr>
          </w:p>
        </w:tc>
      </w:tr>
      <w:tr>
        <w:trPr>
          <w:trHeight w:val="483"/>
        </w:trPr>
        <w:tc>
          <w:tcPr>
            <w:tcW w:w="6340" w:type="dxa"/>
            <w:vAlign w:val="bottom"/>
            <w:gridSpan w:val="3"/>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4880" w:type="dxa"/>
            <w:vAlign w:val="bottom"/>
          </w:tcPr>
          <w:p>
            <w:pPr>
              <w:jc w:val="center"/>
              <w:ind w:right="653"/>
              <w:spacing w:after="0"/>
              <w:rPr>
                <w:sz w:val="20"/>
                <w:szCs w:val="20"/>
                <w:color w:val="auto"/>
              </w:rPr>
            </w:pPr>
            <w:r>
              <w:rPr>
                <w:rFonts w:ascii="Arial" w:cs="Arial" w:eastAsia="Arial" w:hAnsi="Arial"/>
                <w:sz w:val="17"/>
                <w:szCs w:val="17"/>
                <w:b w:val="1"/>
                <w:bCs w:val="1"/>
                <w:color w:val="auto"/>
                <w:w w:val="91"/>
              </w:rPr>
              <w:t>Useful life</w:t>
            </w:r>
          </w:p>
        </w:tc>
      </w:tr>
      <w:tr>
        <w:trPr>
          <w:trHeight w:val="32"/>
        </w:trPr>
        <w:tc>
          <w:tcPr>
            <w:tcW w:w="5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r>
      <w:tr>
        <w:trPr>
          <w:trHeight w:val="222"/>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4880" w:type="dxa"/>
            <w:vAlign w:val="bottom"/>
            <w:shd w:val="clear" w:color="auto" w:fill="CCEEFF"/>
          </w:tcPr>
          <w:p>
            <w:pPr>
              <w:jc w:val="center"/>
              <w:ind w:right="653"/>
              <w:spacing w:after="0"/>
              <w:rPr>
                <w:sz w:val="20"/>
                <w:szCs w:val="20"/>
                <w:color w:val="auto"/>
              </w:rPr>
            </w:pPr>
            <w:r>
              <w:rPr>
                <w:rFonts w:ascii="Arial" w:cs="Arial" w:eastAsia="Arial" w:hAnsi="Arial"/>
                <w:sz w:val="17"/>
                <w:szCs w:val="17"/>
                <w:color w:val="auto"/>
                <w:w w:val="90"/>
              </w:rPr>
              <w:t>20 to 30 years</w:t>
            </w:r>
          </w:p>
        </w:tc>
      </w:tr>
      <w:tr>
        <w:trPr>
          <w:trHeight w:val="222"/>
        </w:trPr>
        <w:tc>
          <w:tcPr>
            <w:tcW w:w="6340" w:type="dxa"/>
            <w:vAlign w:val="bottom"/>
            <w:gridSpan w:val="3"/>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4880" w:type="dxa"/>
            <w:vAlign w:val="bottom"/>
          </w:tcPr>
          <w:p>
            <w:pPr>
              <w:jc w:val="center"/>
              <w:ind w:right="653"/>
              <w:spacing w:after="0"/>
              <w:rPr>
                <w:sz w:val="20"/>
                <w:szCs w:val="20"/>
                <w:color w:val="auto"/>
              </w:rPr>
            </w:pPr>
            <w:r>
              <w:rPr>
                <w:rFonts w:ascii="Arial" w:cs="Arial" w:eastAsia="Arial" w:hAnsi="Arial"/>
                <w:sz w:val="17"/>
                <w:szCs w:val="17"/>
                <w:color w:val="auto"/>
                <w:w w:val="92"/>
              </w:rPr>
              <w:t>3 to 5 years</w:t>
            </w:r>
          </w:p>
        </w:tc>
      </w:tr>
      <w:tr>
        <w:trPr>
          <w:trHeight w:val="222"/>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4880" w:type="dxa"/>
            <w:vAlign w:val="bottom"/>
            <w:shd w:val="clear" w:color="auto" w:fill="CCEEFF"/>
          </w:tcPr>
          <w:p>
            <w:pPr>
              <w:jc w:val="center"/>
              <w:ind w:right="653"/>
              <w:spacing w:after="0"/>
              <w:rPr>
                <w:sz w:val="20"/>
                <w:szCs w:val="20"/>
                <w:color w:val="auto"/>
              </w:rPr>
            </w:pPr>
            <w:r>
              <w:rPr>
                <w:rFonts w:ascii="Arial" w:cs="Arial" w:eastAsia="Arial" w:hAnsi="Arial"/>
                <w:sz w:val="17"/>
                <w:szCs w:val="17"/>
                <w:color w:val="auto"/>
                <w:w w:val="92"/>
              </w:rPr>
              <w:t>3 to 7 years</w:t>
            </w:r>
          </w:p>
        </w:tc>
      </w:tr>
      <w:tr>
        <w:trPr>
          <w:trHeight w:val="222"/>
        </w:trPr>
        <w:tc>
          <w:tcPr>
            <w:tcW w:w="6340" w:type="dxa"/>
            <w:vAlign w:val="bottom"/>
            <w:gridSpan w:val="3"/>
          </w:tcPr>
          <w:p>
            <w:pPr>
              <w:ind w:left="20"/>
              <w:spacing w:after="0"/>
              <w:rPr>
                <w:sz w:val="20"/>
                <w:szCs w:val="20"/>
                <w:color w:val="auto"/>
              </w:rPr>
            </w:pPr>
            <w:r>
              <w:rPr>
                <w:rFonts w:ascii="Arial" w:cs="Arial" w:eastAsia="Arial" w:hAnsi="Arial"/>
                <w:sz w:val="17"/>
                <w:szCs w:val="17"/>
                <w:color w:val="auto"/>
              </w:rPr>
              <w:t>Leasehold improvements</w:t>
            </w:r>
          </w:p>
        </w:tc>
        <w:tc>
          <w:tcPr>
            <w:tcW w:w="4880" w:type="dxa"/>
            <w:vAlign w:val="bottom"/>
          </w:tcPr>
          <w:p>
            <w:pPr>
              <w:jc w:val="center"/>
              <w:ind w:right="653"/>
              <w:spacing w:after="0"/>
              <w:rPr>
                <w:sz w:val="20"/>
                <w:szCs w:val="20"/>
                <w:color w:val="auto"/>
              </w:rPr>
            </w:pPr>
            <w:r>
              <w:rPr>
                <w:rFonts w:ascii="Arial" w:cs="Arial" w:eastAsia="Arial" w:hAnsi="Arial"/>
                <w:sz w:val="17"/>
                <w:szCs w:val="17"/>
                <w:color w:val="auto"/>
                <w:w w:val="92"/>
              </w:rPr>
              <w:t>Lesser of estimated useful life or remaining lease term</w:t>
            </w:r>
          </w:p>
        </w:tc>
      </w:tr>
    </w:tbl>
    <w:p>
      <w:pPr>
        <w:spacing w:after="0" w:line="3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6" w:lineRule="exact"/>
        <w:rPr>
          <w:sz w:val="20"/>
          <w:szCs w:val="20"/>
          <w:color w:val="auto"/>
        </w:rPr>
      </w:pPr>
    </w:p>
    <w:p>
      <w:pPr>
        <w:ind w:right="20" w:firstLine="430"/>
        <w:spacing w:after="0" w:line="288"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6"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7"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84" w:lineRule="exact"/>
        <w:rPr>
          <w:sz w:val="20"/>
          <w:szCs w:val="20"/>
          <w:color w:val="auto"/>
        </w:rPr>
      </w:pPr>
    </w:p>
    <w:p>
      <w:pPr>
        <w:ind w:right="20" w:firstLine="430"/>
        <w:spacing w:after="0" w:line="284" w:lineRule="auto"/>
        <w:rPr>
          <w:sz w:val="20"/>
          <w:szCs w:val="20"/>
          <w:color w:val="auto"/>
        </w:rPr>
      </w:pPr>
      <w:r>
        <w:rPr>
          <w:rFonts w:ascii="Arial" w:cs="Arial" w:eastAsia="Arial" w:hAnsi="Arial"/>
          <w:sz w:val="16"/>
          <w:szCs w:val="16"/>
          <w:color w:val="auto"/>
        </w:rPr>
        <w:t>As part of the Company's Virtual First strategy, Dropbox has retained a portion of its office space for in-person collaboration while the remainder will be subleased. The Company recorded impairment charges of $4.0 million and $12.7 million during the three and nine months ended September 30, 2022, respectively, and zero and $17.3 million during the three and nine months ended September 30, 2021, respectively, related to other lease-related property and real estate assets. These impairment charges were recorded as a result of the Company's decision to move towards a Virtual First work model. See Note 9 "Leases" to our condensed consolidated financial statements included elsewhere in this Quarterly Report on Form 10-Q for further information.</w:t>
      </w:r>
    </w:p>
    <w:p>
      <w:pPr>
        <w:spacing w:after="0" w:line="189"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207"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180" w:firstLine="430"/>
        <w:spacing w:after="0" w:line="271" w:lineRule="auto"/>
        <w:rPr>
          <w:sz w:val="20"/>
          <w:szCs w:val="20"/>
          <w:color w:val="auto"/>
        </w:rPr>
      </w:pPr>
      <w:r>
        <w:rPr>
          <w:rFonts w:ascii="Arial" w:cs="Arial" w:eastAsia="Arial" w:hAnsi="Arial"/>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9"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measurement period, which may be up to one year from the acquisition date, adjustments to the fair value of these tangible and intangible assets acquired and liabilities assumed may be recorded, with the corresponding offset to goodwill.</w:t>
      </w:r>
    </w:p>
    <w:p>
      <w:pPr>
        <w:spacing w:after="0" w:line="54" w:lineRule="exact"/>
        <w:rPr>
          <w:sz w:val="20"/>
          <w:szCs w:val="20"/>
          <w:color w:val="auto"/>
        </w:rPr>
      </w:pPr>
    </w:p>
    <w:p>
      <w:pPr>
        <w:ind w:firstLine="430"/>
        <w:spacing w:after="0" w:line="287"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right="240" w:firstLine="430"/>
        <w:spacing w:after="0" w:line="284"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9"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4" w:lineRule="exact"/>
        <w:rPr>
          <w:sz w:val="20"/>
          <w:szCs w:val="20"/>
          <w:color w:val="auto"/>
        </w:rPr>
      </w:pPr>
    </w:p>
    <w:p>
      <w:pPr>
        <w:ind w:right="260" w:firstLine="430"/>
        <w:spacing w:after="0" w:line="287" w:lineRule="auto"/>
        <w:rPr>
          <w:sz w:val="20"/>
          <w:szCs w:val="20"/>
          <w:color w:val="auto"/>
        </w:rPr>
      </w:pPr>
      <w:r>
        <w:rPr>
          <w:rFonts w:ascii="Arial" w:cs="Arial" w:eastAsia="Arial" w:hAnsi="Arial"/>
          <w:sz w:val="17"/>
          <w:szCs w:val="17"/>
          <w:color w:val="auto"/>
        </w:rPr>
        <w:t>The Company has not recorded impairment charges on goodwill or intangible assets for the periods presented in these condensed consolidated financial statements.</w:t>
      </w:r>
    </w:p>
    <w:p>
      <w:pPr>
        <w:spacing w:after="0" w:line="184" w:lineRule="exact"/>
        <w:rPr>
          <w:sz w:val="20"/>
          <w:szCs w:val="20"/>
          <w:color w:val="auto"/>
        </w:rPr>
      </w:pPr>
    </w:p>
    <w:p>
      <w:pPr>
        <w:jc w:val="both"/>
        <w:ind w:right="200" w:firstLine="391"/>
        <w:spacing w:after="0" w:line="271" w:lineRule="auto"/>
        <w:rPr>
          <w:sz w:val="20"/>
          <w:szCs w:val="20"/>
          <w:color w:val="auto"/>
        </w:rPr>
      </w:pPr>
      <w:r>
        <w:rPr>
          <w:rFonts w:ascii="Arial" w:cs="Arial" w:eastAsia="Arial" w:hAnsi="Arial"/>
          <w:sz w:val="17"/>
          <w:szCs w:val="17"/>
          <w:color w:val="auto"/>
        </w:rPr>
        <w:t>During the nine months ended September 30, 2022 and 2021, the Company recorded impairment charges in conjunction with the Company's decision to move towards a Virtual First work model. See Note 9 "Leases" to our condensed consolidated financial statements included elsewhere in this Quarterly Report on Form 10-Q for further information.</w:t>
      </w:r>
    </w:p>
    <w:p>
      <w:pPr>
        <w:spacing w:after="0" w:line="198"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8" w:lineRule="exact"/>
        <w:rPr>
          <w:sz w:val="20"/>
          <w:szCs w:val="20"/>
          <w:color w:val="auto"/>
        </w:rPr>
      </w:pPr>
    </w:p>
    <w:p>
      <w:pPr>
        <w:ind w:right="80" w:firstLine="430"/>
        <w:spacing w:after="0" w:line="266"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3" w:lineRule="exact"/>
        <w:rPr>
          <w:sz w:val="20"/>
          <w:szCs w:val="20"/>
          <w:color w:val="auto"/>
        </w:rPr>
      </w:pPr>
    </w:p>
    <w:p>
      <w:pPr>
        <w:ind w:right="360" w:firstLine="430"/>
        <w:spacing w:after="0" w:line="266"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203" w:lineRule="exact"/>
        <w:rPr>
          <w:sz w:val="20"/>
          <w:szCs w:val="20"/>
          <w:color w:val="auto"/>
        </w:rPr>
      </w:pPr>
    </w:p>
    <w:p>
      <w:pPr>
        <w:ind w:right="140" w:firstLine="430"/>
        <w:spacing w:after="0" w:line="320"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7" w:lineRule="exact"/>
        <w:rPr>
          <w:sz w:val="20"/>
          <w:szCs w:val="20"/>
          <w:color w:val="auto"/>
        </w:rPr>
      </w:pPr>
    </w:p>
    <w:p>
      <w:pPr>
        <w:ind w:right="40" w:firstLine="430"/>
        <w:spacing w:after="0" w:line="280"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jc w:val="both"/>
        <w:ind w:left="480" w:right="300"/>
        <w:spacing w:after="0" w:line="27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8" w:lineRule="exact"/>
        <w:rPr>
          <w:sz w:val="20"/>
          <w:szCs w:val="20"/>
          <w:color w:val="auto"/>
        </w:rPr>
      </w:pPr>
    </w:p>
    <w:p>
      <w:pPr>
        <w:ind w:left="480" w:right="80"/>
        <w:spacing w:after="0" w:line="287"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17" w:lineRule="exact"/>
        <w:rPr>
          <w:sz w:val="20"/>
          <w:szCs w:val="20"/>
          <w:color w:val="auto"/>
        </w:rPr>
      </w:pPr>
    </w:p>
    <w:p>
      <w:pPr>
        <w:ind w:right="20" w:firstLine="430"/>
        <w:spacing w:after="0" w:line="262"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which requires entities to recognize and measure contract assets and contract liabilities acquired in a business combination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Topic 606, Revenue from Contracts with Customers, instead of fair value at the acquisition date in accordance with Topic 805. The amendments in ASU 2021-08 will result in the acquirer recording acquired contract assets and liabilities on the same basis that would have been recorded by the acquiree before the acquisition under ASC Topic 606. The amendments in ASU 2021-08 are effective for fiscal years beginning after December 15, 2022, with early adoption permitted. The Company is evaluating the effect of adopting this new accounting guidance.</w:t>
      </w:r>
    </w:p>
    <w:p>
      <w:pPr>
        <w:spacing w:after="0" w:line="76" w:lineRule="exact"/>
        <w:rPr>
          <w:sz w:val="20"/>
          <w:szCs w:val="20"/>
          <w:color w:val="auto"/>
        </w:rPr>
      </w:pPr>
    </w:p>
    <w:p>
      <w:pPr>
        <w:ind w:firstLine="430"/>
        <w:spacing w:after="0" w:line="281" w:lineRule="auto"/>
        <w:rPr>
          <w:sz w:val="20"/>
          <w:szCs w:val="20"/>
          <w:color w:val="auto"/>
        </w:rPr>
      </w:pPr>
      <w:r>
        <w:rPr>
          <w:rFonts w:ascii="Arial" w:cs="Arial" w:eastAsia="Arial" w:hAnsi="Arial"/>
          <w:sz w:val="16"/>
          <w:szCs w:val="16"/>
          <w:color w:val="auto"/>
        </w:rPr>
        <w:t xml:space="preserve">In March 2022, the FASB issued ASU 2022-02, </w:t>
      </w:r>
      <w:r>
        <w:rPr>
          <w:rFonts w:ascii="Arial" w:cs="Arial" w:eastAsia="Arial" w:hAnsi="Arial"/>
          <w:sz w:val="16"/>
          <w:szCs w:val="16"/>
          <w:i w:val="1"/>
          <w:iCs w:val="1"/>
          <w:color w:val="auto"/>
        </w:rPr>
        <w:t>Financial Instruments—Credit Losses (Topic 326): Troubled Debt Restructurings and Vintage Disclosures,</w:t>
      </w:r>
      <w:r>
        <w:rPr>
          <w:rFonts w:ascii="Arial" w:cs="Arial" w:eastAsia="Arial" w:hAnsi="Arial"/>
          <w:sz w:val="16"/>
          <w:szCs w:val="16"/>
          <w:color w:val="auto"/>
        </w:rPr>
        <w:t xml:space="preserve"> which eliminates the accounting guidance on troubled debt restructurings for creditors in ASC 310-40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amendments in ASU 2022-02 are effective for fiscal years beginning after December 15, 2022, and interim periods within those fiscal years. The Company does not expect the adoption of ASU 2022-02 to have a significant impact on its consolidated financial statements.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 Stock Compensation (Topic 718), and Derivatives and Hedging - Contracts in Entity's Own Equity (Subtopic 815-40) </w:t>
      </w:r>
      <w:r>
        <w:rPr>
          <w:rFonts w:ascii="Arial" w:cs="Arial" w:eastAsia="Arial" w:hAnsi="Arial"/>
          <w:sz w:val="17"/>
          <w:szCs w:val="17"/>
          <w:color w:val="auto"/>
        </w:rPr>
        <w:t>to clarify and reduce</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(for example, warrants) that remain equity classified after modification or exchange. The Company adopted ASU 2021-04 on January 1, 2022. The adoption of the standard did not have a material impact on the Company's condensed consolidated financial statements.</w:t>
      </w:r>
    </w:p>
    <w:p>
      <w:pPr>
        <w:spacing w:after="0" w:line="207"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 xml:space="preserve">In July 2021, the FASB issued ASU 2021-05, </w:t>
      </w:r>
      <w:r>
        <w:rPr>
          <w:rFonts w:ascii="Arial" w:cs="Arial" w:eastAsia="Arial" w:hAnsi="Arial"/>
          <w:sz w:val="17"/>
          <w:szCs w:val="17"/>
          <w:i w:val="1"/>
          <w:iCs w:val="1"/>
          <w:color w:val="auto"/>
        </w:rPr>
        <w:t>Leases (Topic 842)</w:t>
      </w:r>
      <w:r>
        <w:rPr>
          <w:rFonts w:ascii="Arial" w:cs="Arial" w:eastAsia="Arial" w:hAnsi="Arial"/>
          <w:sz w:val="17"/>
          <w:szCs w:val="17"/>
          <w:color w:val="auto"/>
        </w:rPr>
        <w:t>, which amends ASC 842 so that lessors are no longer required to recognize a selling loss upon commencement of a lease with variable lease payments that, prior to the amendments, would have been classified as a sales-type or direct financing lease. Furthermore, a lessor must classify as an operating lease any lease that would otherwise be classified as a sales-type or direct financing lease and that would result in the recognition of a selling loss at lease commencement, provided that the lease includes variable lease payments that do not depend on an index or rate. The Company adopted ASU 2021-05 on January 1, 2022. The adoption of the standard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December 31, 2021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40"/>
              <w:spacing w:after="0"/>
              <w:rPr>
                <w:sz w:val="20"/>
                <w:szCs w:val="20"/>
                <w:color w:val="auto"/>
              </w:rPr>
            </w:pPr>
            <w:r>
              <w:rPr>
                <w:rFonts w:ascii="Arial" w:cs="Arial" w:eastAsia="Arial" w:hAnsi="Arial"/>
                <w:sz w:val="17"/>
                <w:szCs w:val="17"/>
                <w:b w:val="1"/>
                <w:bCs w:val="1"/>
                <w:color w:val="auto"/>
              </w:rPr>
              <w:t>As of September 30, 2022</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Amortized Cost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Unrealized Gain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8"/>
              </w:rPr>
              <w:t>Unrealized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222"/>
        </w:trPr>
        <w:tc>
          <w:tcPr>
            <w:tcW w:w="352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0" w:type="dxa"/>
            <w:vAlign w:val="bottom"/>
          </w:tcPr>
          <w:p>
            <w:pPr>
              <w:spacing w:after="0"/>
              <w:rPr>
                <w:sz w:val="1"/>
                <w:szCs w:val="1"/>
                <w:color w:val="auto"/>
              </w:rPr>
            </w:pPr>
          </w:p>
        </w:tc>
      </w:tr>
      <w:tr>
        <w:trPr>
          <w:trHeight w:val="222"/>
        </w:trPr>
        <w:tc>
          <w:tcPr>
            <w:tcW w:w="3520" w:type="dxa"/>
            <w:vAlign w:val="bottom"/>
          </w:tcPr>
          <w:p>
            <w:pPr>
              <w:ind w:left="12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314.9</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1,081.4</w:t>
            </w:r>
          </w:p>
        </w:tc>
        <w:tc>
          <w:tcPr>
            <w:tcW w:w="0" w:type="dxa"/>
            <w:vAlign w:val="bottom"/>
          </w:tcPr>
          <w:p>
            <w:pPr>
              <w:spacing w:after="0"/>
              <w:rPr>
                <w:sz w:val="1"/>
                <w:szCs w:val="1"/>
                <w:color w:val="auto"/>
              </w:rPr>
            </w:pPr>
          </w:p>
        </w:tc>
      </w:tr>
      <w:tr>
        <w:trPr>
          <w:trHeight w:val="23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760"/>
              <w:spacing w:after="0"/>
              <w:rPr>
                <w:sz w:val="20"/>
                <w:szCs w:val="20"/>
                <w:color w:val="auto"/>
              </w:rPr>
            </w:pPr>
            <w:r>
              <w:rPr>
                <w:rFonts w:ascii="Arial" w:cs="Arial" w:eastAsia="Arial" w:hAnsi="Arial"/>
                <w:sz w:val="17"/>
                <w:szCs w:val="17"/>
                <w:b w:val="1"/>
                <w:bCs w:val="1"/>
                <w:color w:val="auto"/>
              </w:rPr>
              <w:t>As of December 31, 2021</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5"/>
        </w:trPr>
        <w:tc>
          <w:tcPr>
            <w:tcW w:w="3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Amortized Cost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Unrealized Gain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8"/>
              </w:rPr>
              <w:t>Unrealized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r>
      <w:tr>
        <w:trPr>
          <w:trHeight w:val="222"/>
        </w:trPr>
        <w:tc>
          <w:tcPr>
            <w:tcW w:w="352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w:t>
            </w:r>
          </w:p>
        </w:tc>
      </w:tr>
      <w:tr>
        <w:trPr>
          <w:trHeight w:val="215"/>
        </w:trPr>
        <w:tc>
          <w:tcPr>
            <w:tcW w:w="3520" w:type="dxa"/>
            <w:vAlign w:val="bottom"/>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533.0</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533.0</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52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7"/>
                <w:szCs w:val="17"/>
                <w:color w:val="auto"/>
                <w:w w:val="92"/>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603.8</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7"/>
                <w:szCs w:val="17"/>
                <w:color w:val="auto"/>
                <w:w w:val="92"/>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139.6</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22"/>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2"/>
        </w:trPr>
        <w:tc>
          <w:tcPr>
            <w:tcW w:w="352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5"/>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w w:val="92"/>
              </w:rPr>
              <w:t>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1,185.1</w:t>
            </w:r>
          </w:p>
        </w:tc>
      </w:tr>
      <w:tr>
        <w:trPr>
          <w:trHeight w:val="215"/>
        </w:trPr>
        <w:tc>
          <w:tcPr>
            <w:tcW w:w="352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1,726.8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w w:val="92"/>
              </w:rPr>
              <w:t>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1,718.1</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$10.9 million and $8.3 million as of September 30, 2022 and December 31, 2021,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short-term investments were designated as available-for-sale securities as of September 30, 2022 and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September 30,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tcPr>
          <w:p>
            <w:pPr>
              <w:jc w:val="right"/>
              <w:ind w:right="1233"/>
              <w:spacing w:after="0"/>
              <w:rPr>
                <w:sz w:val="20"/>
                <w:szCs w:val="20"/>
                <w:color w:val="auto"/>
              </w:rPr>
            </w:pPr>
            <w:r>
              <w:rPr>
                <w:rFonts w:ascii="Arial" w:cs="Arial" w:eastAsia="Arial" w:hAnsi="Arial"/>
                <w:sz w:val="17"/>
                <w:szCs w:val="17"/>
                <w:b w:val="1"/>
                <w:bCs w:val="1"/>
                <w:color w:val="auto"/>
              </w:rPr>
              <w:t>As of September 30, 2022</w:t>
            </w:r>
          </w:p>
        </w:tc>
      </w:tr>
      <w:tr>
        <w:trPr>
          <w:trHeight w:val="215"/>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7"/>
                <w:szCs w:val="17"/>
                <w:b w:val="1"/>
                <w:bCs w:val="1"/>
                <w:color w:val="auto"/>
              </w:rPr>
              <w:t>Amortized cost</w:t>
            </w: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Arial" w:cs="Arial" w:eastAsia="Arial" w:hAnsi="Arial"/>
                <w:sz w:val="17"/>
                <w:szCs w:val="17"/>
                <w:b w:val="1"/>
                <w:bCs w:val="1"/>
                <w:color w:val="auto"/>
                <w:w w:val="99"/>
              </w:rPr>
              <w:t>Estimated fair value</w:t>
            </w:r>
          </w:p>
        </w:tc>
      </w:tr>
      <w:tr>
        <w:trPr>
          <w:trHeight w:val="215"/>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391.4</w:t>
            </w:r>
          </w:p>
        </w:tc>
      </w:tr>
      <w:tr>
        <w:trPr>
          <w:trHeight w:val="222"/>
        </w:trPr>
        <w:tc>
          <w:tcPr>
            <w:tcW w:w="670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452.3</w:t>
            </w: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237.7</w:t>
            </w:r>
          </w:p>
        </w:tc>
      </w:tr>
      <w:tr>
        <w:trPr>
          <w:trHeight w:val="215"/>
        </w:trPr>
        <w:tc>
          <w:tcPr>
            <w:tcW w:w="670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1,081.4</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right="240" w:firstLine="430"/>
        <w:spacing w:after="0" w:line="271" w:lineRule="auto"/>
        <w:rPr>
          <w:sz w:val="20"/>
          <w:szCs w:val="20"/>
          <w:color w:val="auto"/>
        </w:rPr>
      </w:pPr>
      <w:r>
        <w:rPr>
          <w:rFonts w:ascii="Arial" w:cs="Arial" w:eastAsia="Arial" w:hAnsi="Arial"/>
          <w:sz w:val="17"/>
          <w:szCs w:val="17"/>
          <w:color w:val="auto"/>
        </w:rPr>
        <w:t>The Company had 746 short-term investments in unrealized loss positions as of September 30, 2022. There were no material gains or losses from short-term investments that were reclassified out of accumulated other comprehensive loss for the three and nine months ended September 30, 2022 or for the three and nine months ended September 30, 2021.</w:t>
      </w:r>
    </w:p>
    <w:p>
      <w:pPr>
        <w:spacing w:after="0" w:line="198" w:lineRule="exact"/>
        <w:rPr>
          <w:sz w:val="20"/>
          <w:szCs w:val="20"/>
          <w:color w:val="auto"/>
        </w:rPr>
      </w:pPr>
    </w:p>
    <w:p>
      <w:pPr>
        <w:ind w:right="220" w:firstLine="430"/>
        <w:spacing w:after="0" w:line="266" w:lineRule="auto"/>
        <w:rPr>
          <w:sz w:val="20"/>
          <w:szCs w:val="20"/>
          <w:color w:val="auto"/>
        </w:rPr>
      </w:pPr>
      <w:r>
        <w:rPr>
          <w:rFonts w:ascii="Arial" w:cs="Arial" w:eastAsia="Arial" w:hAnsi="Arial"/>
          <w:sz w:val="17"/>
          <w:szCs w:val="17"/>
          <w:color w:val="auto"/>
        </w:rPr>
        <w:t>As of September 30, 2022, the Company’s short-term investments portfolio consisted of nine security types, seven of which were in an unrealized loss position. The Company’s short-term investments had unrealized losses of approximately $53.9 million as of September 30, 2022. The following tables present the breakdown of the short-term investments that have been in a continuous unrealized loss position aggregated by investment category,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200"/>
              <w:spacing w:after="0"/>
              <w:rPr>
                <w:sz w:val="20"/>
                <w:szCs w:val="20"/>
                <w:color w:val="auto"/>
              </w:rPr>
            </w:pPr>
            <w:r>
              <w:rPr>
                <w:rFonts w:ascii="Arial" w:cs="Arial" w:eastAsia="Arial" w:hAnsi="Arial"/>
                <w:sz w:val="17"/>
                <w:szCs w:val="17"/>
                <w:b w:val="1"/>
                <w:bCs w:val="1"/>
                <w:color w:val="auto"/>
                <w:w w:val="90"/>
              </w:rPr>
              <w:t>As of September 30, 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98"/>
              </w:rPr>
              <w:t>More than 12 months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Arial" w:cs="Arial" w:eastAsia="Arial" w:hAnsi="Arial"/>
                <w:sz w:val="17"/>
                <w:szCs w:val="17"/>
                <w:b w:val="1"/>
                <w:bCs w:val="1"/>
                <w:color w:val="auto"/>
                <w:w w:val="85"/>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w w:val="98"/>
              </w:rPr>
              <w:t>Gross Unrealized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63" w:lineRule="exact"/>
              <w:rPr>
                <w:sz w:val="20"/>
                <w:szCs w:val="20"/>
                <w:color w:val="auto"/>
              </w:rPr>
            </w:pPr>
            <w:r>
              <w:rPr>
                <w:rFonts w:ascii="Arial" w:cs="Arial" w:eastAsia="Arial" w:hAnsi="Arial"/>
                <w:sz w:val="17"/>
                <w:szCs w:val="17"/>
                <w:b w:val="1"/>
                <w:bCs w:val="1"/>
                <w:color w:val="auto"/>
                <w:w w:val="85"/>
              </w:rPr>
              <w:t>Gross</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Arial" w:cs="Arial" w:eastAsia="Arial" w:hAnsi="Arial"/>
                <w:sz w:val="17"/>
                <w:szCs w:val="17"/>
                <w:b w:val="1"/>
                <w:bCs w:val="1"/>
                <w:color w:val="auto"/>
                <w:w w:val="95"/>
              </w:rPr>
              <w:t>Unrealized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70" w:lineRule="exact"/>
              <w:rPr>
                <w:sz w:val="20"/>
                <w:szCs w:val="20"/>
                <w:color w:val="auto"/>
              </w:rPr>
            </w:pPr>
            <w:r>
              <w:rPr>
                <w:rFonts w:ascii="Arial" w:cs="Arial" w:eastAsia="Arial" w:hAnsi="Arial"/>
                <w:sz w:val="17"/>
                <w:szCs w:val="17"/>
                <w:b w:val="1"/>
                <w:bCs w:val="1"/>
                <w:color w:val="auto"/>
                <w:w w:val="95"/>
              </w:rPr>
              <w:t>Unrealized</w:t>
            </w: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b w:val="1"/>
                <w:bCs w:val="1"/>
                <w:color w:val="auto"/>
              </w:rPr>
              <w:t>Fair Value</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Losses</w:t>
            </w:r>
          </w:p>
        </w:tc>
        <w:tc>
          <w:tcPr>
            <w:tcW w:w="20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b w:val="1"/>
                <w:bCs w:val="1"/>
                <w:color w:val="auto"/>
              </w:rPr>
              <w:t>Fair Value</w:t>
            </w:r>
          </w:p>
        </w:tc>
        <w:tc>
          <w:tcPr>
            <w:tcW w:w="1420" w:type="dxa"/>
            <w:vAlign w:val="bottom"/>
            <w:gridSpan w:val="3"/>
          </w:tcPr>
          <w:p>
            <w:pPr>
              <w:ind w:left="420"/>
              <w:spacing w:after="0"/>
              <w:rPr>
                <w:sz w:val="20"/>
                <w:szCs w:val="20"/>
                <w:color w:val="auto"/>
              </w:rPr>
            </w:pPr>
            <w:r>
              <w:rPr>
                <w:rFonts w:ascii="Arial" w:cs="Arial" w:eastAsia="Arial" w:hAnsi="Arial"/>
                <w:sz w:val="17"/>
                <w:szCs w:val="17"/>
                <w:b w:val="1"/>
                <w:bCs w:val="1"/>
                <w:color w:val="auto"/>
              </w:rPr>
              <w:t>Losses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b w:val="1"/>
                <w:bCs w:val="1"/>
                <w:color w:val="auto"/>
              </w:rPr>
              <w:t>Fair Value</w:t>
            </w:r>
          </w:p>
        </w:tc>
        <w:tc>
          <w:tcPr>
            <w:tcW w:w="200" w:type="dxa"/>
            <w:vAlign w:val="bottom"/>
          </w:tcPr>
          <w:p>
            <w:pPr>
              <w:spacing w:after="0"/>
              <w:rPr>
                <w:sz w:val="20"/>
                <w:szCs w:val="20"/>
                <w:color w:val="auto"/>
              </w:rPr>
            </w:pPr>
          </w:p>
        </w:tc>
        <w:tc>
          <w:tcPr>
            <w:tcW w:w="1100" w:type="dxa"/>
            <w:vAlign w:val="bottom"/>
          </w:tcPr>
          <w:p>
            <w:pPr>
              <w:jc w:val="center"/>
              <w:ind w:right="93"/>
              <w:spacing w:after="0"/>
              <w:rPr>
                <w:sz w:val="20"/>
                <w:szCs w:val="20"/>
                <w:color w:val="auto"/>
              </w:rPr>
            </w:pPr>
            <w:r>
              <w:rPr>
                <w:rFonts w:ascii="Arial" w:cs="Arial" w:eastAsia="Arial" w:hAnsi="Arial"/>
                <w:sz w:val="17"/>
                <w:szCs w:val="17"/>
                <w:b w:val="1"/>
                <w:bCs w:val="1"/>
                <w:color w:val="auto"/>
                <w:w w:val="81"/>
              </w:rPr>
              <w:t>Losses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securities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569.8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427.1</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996.9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w w:val="91"/>
              </w:rPr>
              <w:t>As of December 31, 2021</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7"/>
                <w:szCs w:val="17"/>
                <w:b w:val="1"/>
                <w:bCs w:val="1"/>
                <w:color w:val="auto"/>
                <w:w w:val="98"/>
              </w:rPr>
              <w:t>More than 12 months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Arial" w:cs="Arial" w:eastAsia="Arial" w:hAnsi="Arial"/>
                <w:sz w:val="17"/>
                <w:szCs w:val="17"/>
                <w:b w:val="1"/>
                <w:bCs w:val="1"/>
                <w:color w:val="auto"/>
                <w:w w:val="85"/>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w w:val="98"/>
              </w:rPr>
              <w:t>Gross Unrealized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63" w:lineRule="exact"/>
              <w:rPr>
                <w:sz w:val="20"/>
                <w:szCs w:val="20"/>
                <w:color w:val="auto"/>
              </w:rPr>
            </w:pPr>
            <w:r>
              <w:rPr>
                <w:rFonts w:ascii="Arial" w:cs="Arial" w:eastAsia="Arial" w:hAnsi="Arial"/>
                <w:sz w:val="17"/>
                <w:szCs w:val="17"/>
                <w:b w:val="1"/>
                <w:bCs w:val="1"/>
                <w:color w:val="auto"/>
                <w:w w:val="85"/>
              </w:rPr>
              <w:t>Gross</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Arial" w:cs="Arial" w:eastAsia="Arial" w:hAnsi="Arial"/>
                <w:sz w:val="17"/>
                <w:szCs w:val="17"/>
                <w:b w:val="1"/>
                <w:bCs w:val="1"/>
                <w:color w:val="auto"/>
                <w:w w:val="95"/>
              </w:rPr>
              <w:t>Unrealized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70" w:lineRule="exact"/>
              <w:rPr>
                <w:sz w:val="20"/>
                <w:szCs w:val="20"/>
                <w:color w:val="auto"/>
              </w:rPr>
            </w:pPr>
            <w:r>
              <w:rPr>
                <w:rFonts w:ascii="Arial" w:cs="Arial" w:eastAsia="Arial" w:hAnsi="Arial"/>
                <w:sz w:val="17"/>
                <w:szCs w:val="17"/>
                <w:b w:val="1"/>
                <w:bCs w:val="1"/>
                <w:color w:val="auto"/>
                <w:w w:val="95"/>
              </w:rPr>
              <w:t>Unrealized</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85"/>
              </w:rPr>
              <w:t>Losses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b w:val="1"/>
                <w:bCs w:val="1"/>
                <w:color w:val="auto"/>
              </w:rPr>
              <w:t>Losses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81"/>
              </w:rPr>
              <w:t>Losses</w:t>
            </w: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 and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Supranational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941.0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ind w:lef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941.0</w:t>
            </w:r>
          </w:p>
        </w:tc>
        <w:tc>
          <w:tcPr>
            <w:tcW w:w="1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40" w:firstLine="430"/>
        <w:spacing w:after="0" w:line="323" w:lineRule="auto"/>
        <w:rPr>
          <w:sz w:val="20"/>
          <w:szCs w:val="20"/>
          <w:color w:val="auto"/>
        </w:rPr>
      </w:pPr>
      <w:r>
        <w:rPr>
          <w:rFonts w:ascii="Arial" w:cs="Arial" w:eastAsia="Arial" w:hAnsi="Arial"/>
          <w:sz w:val="15"/>
          <w:szCs w:val="15"/>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64" w:lineRule="exact"/>
        <w:rPr>
          <w:sz w:val="20"/>
          <w:szCs w:val="20"/>
          <w:color w:val="auto"/>
        </w:rPr>
      </w:pPr>
    </w:p>
    <w:p>
      <w:pPr>
        <w:jc w:val="both"/>
        <w:ind w:right="200" w:firstLine="430"/>
        <w:spacing w:after="0" w:line="357" w:lineRule="auto"/>
        <w:rPr>
          <w:sz w:val="20"/>
          <w:szCs w:val="20"/>
          <w:color w:val="auto"/>
        </w:rPr>
      </w:pPr>
      <w:r>
        <w:rPr>
          <w:rFonts w:ascii="Arial" w:cs="Arial" w:eastAsia="Arial" w:hAnsi="Arial"/>
          <w:sz w:val="15"/>
          <w:szCs w:val="15"/>
          <w:color w:val="auto"/>
        </w:rPr>
        <w:t>The Company recorded interest income from its cash, cash equivalents, and short-term investments of $4.7 million and $9.1 million during the three and nine months ended September 30, 2022, respectively, and $1.7 million and $5.5 million during three and nine months ended September 30, 2021,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54" w:lineRule="exact"/>
        <w:rPr>
          <w:sz w:val="20"/>
          <w:szCs w:val="20"/>
          <w:color w:val="auto"/>
        </w:rPr>
      </w:pPr>
    </w:p>
    <w:p>
      <w:pPr>
        <w:jc w:val="both"/>
        <w:ind w:right="20" w:firstLine="430"/>
        <w:spacing w:after="0" w:line="27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7"/>
                <w:szCs w:val="17"/>
                <w:b w:val="1"/>
                <w:bCs w:val="1"/>
                <w:color w:val="auto"/>
              </w:rPr>
              <w:t>As of September 30, 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r>
      <w:tr>
        <w:trPr>
          <w:trHeight w:val="20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279.2</w:t>
            </w:r>
          </w:p>
        </w:tc>
        <w:tc>
          <w:tcPr>
            <w:tcW w:w="10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279.2</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279.2</w:t>
            </w:r>
          </w:p>
        </w:tc>
        <w:tc>
          <w:tcPr>
            <w:tcW w:w="100" w:type="dxa"/>
            <w:vAlign w:val="bottom"/>
          </w:tcPr>
          <w:p>
            <w:pPr>
              <w:spacing w:after="0"/>
              <w:rPr>
                <w:sz w:val="18"/>
                <w:szCs w:val="18"/>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285.3</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38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502.0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502.0</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112.0</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41.4</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2"/>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1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1,081.4</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1,081.4</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279.2</w:t>
            </w:r>
          </w:p>
        </w:tc>
        <w:tc>
          <w:tcPr>
            <w:tcW w:w="100" w:type="dxa"/>
            <w:vAlign w:val="bottom"/>
          </w:tcPr>
          <w:p>
            <w:pPr>
              <w:spacing w:after="0"/>
              <w:rPr>
                <w:sz w:val="18"/>
                <w:szCs w:val="18"/>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5"/>
              </w:rPr>
              <w:t>1,087.5</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1,366.7</w:t>
            </w:r>
          </w:p>
        </w:tc>
      </w:tr>
      <w:tr>
        <w:trPr>
          <w:trHeight w:val="20"/>
        </w:trPr>
        <w:tc>
          <w:tcPr>
            <w:tcW w:w="3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7"/>
                <w:szCs w:val="17"/>
                <w:b w:val="1"/>
                <w:bCs w:val="1"/>
                <w:color w:val="auto"/>
              </w:rPr>
              <w:t>As of December 31,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Borders>
              <w:bottom w:val="single" w:sz="8" w:color="auto"/>
            </w:tcBorders>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237.5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1,185.1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1,185.1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20" w:firstLine="430"/>
        <w:spacing w:after="0" w:line="271" w:lineRule="auto"/>
        <w:rPr>
          <w:sz w:val="20"/>
          <w:szCs w:val="20"/>
          <w:color w:val="auto"/>
        </w:rPr>
      </w:pPr>
      <w:r>
        <w:rPr>
          <w:rFonts w:ascii="Arial" w:cs="Arial" w:eastAsia="Arial" w:hAnsi="Arial"/>
          <w:sz w:val="17"/>
          <w:szCs w:val="17"/>
          <w:color w:val="auto"/>
        </w:rPr>
        <w:t>As of December 31, 2021, the Company had an investment in a non-marketable equity security in a privately held company without a readily determinable market value. The investment had a carrying value of $5.6 million and was categorized as Level 3 as of December 31, 2021. The investment was sold in the nine months ended September 30, 2022 resulting in a gain of $5.0 million.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48"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84" w:lineRule="exact"/>
        <w:rPr>
          <w:sz w:val="20"/>
          <w:szCs w:val="20"/>
          <w:color w:val="auto"/>
        </w:rPr>
      </w:pPr>
    </w:p>
    <w:p>
      <w:pPr>
        <w:jc w:val="both"/>
        <w:ind w:right="360" w:firstLine="430"/>
        <w:spacing w:after="0" w:line="271" w:lineRule="auto"/>
        <w:rPr>
          <w:sz w:val="20"/>
          <w:szCs w:val="20"/>
          <w:color w:val="auto"/>
        </w:rPr>
      </w:pPr>
      <w:r>
        <w:rPr>
          <w:rFonts w:ascii="Arial" w:cs="Arial" w:eastAsia="Arial" w:hAnsi="Arial"/>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September 30, 2022. Refer to Note 8 "Debt" for further details on the 2026 Notes and 2028 Notes.</w:t>
      </w:r>
    </w:p>
    <w:p>
      <w:pPr>
        <w:spacing w:after="0" w:line="198" w:lineRule="exact"/>
        <w:rPr>
          <w:sz w:val="20"/>
          <w:szCs w:val="20"/>
          <w:color w:val="auto"/>
        </w:rPr>
      </w:pPr>
    </w:p>
    <w:p>
      <w:pPr>
        <w:jc w:val="both"/>
        <w:ind w:right="100" w:firstLine="430"/>
        <w:spacing w:after="0" w:line="271" w:lineRule="auto"/>
        <w:rPr>
          <w:sz w:val="20"/>
          <w:szCs w:val="20"/>
          <w:color w:val="auto"/>
        </w:rPr>
      </w:pPr>
      <w:r>
        <w:rPr>
          <w:rFonts w:ascii="Arial" w:cs="Arial" w:eastAsia="Arial" w:hAnsi="Arial"/>
          <w:sz w:val="17"/>
          <w:szCs w:val="17"/>
          <w:color w:val="auto"/>
        </w:rPr>
        <w:t>The estimated fair value of the 2026 Notes and the 2028 Notes, based on a market approach as of September 30, 2022 was approximately $610.6 million and $593.0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0" w:type="dxa"/>
            <w:vAlign w:val="bottom"/>
            <w:gridSpan w:val="2"/>
          </w:tcPr>
          <w:p>
            <w:pPr>
              <w:spacing w:after="0"/>
              <w:rPr>
                <w:sz w:val="20"/>
                <w:szCs w:val="20"/>
                <w:color w:val="auto"/>
              </w:rPr>
            </w:pPr>
            <w:r>
              <w:rPr>
                <w:rFonts w:ascii="Arial" w:cs="Arial" w:eastAsia="Arial" w:hAnsi="Arial"/>
                <w:sz w:val="17"/>
                <w:szCs w:val="17"/>
                <w:b w:val="1"/>
                <w:bCs w:val="1"/>
                <w:color w:val="auto"/>
              </w:rPr>
              <w:t>Note 4. Property and Equipment, Net</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3"/>
        </w:trPr>
        <w:tc>
          <w:tcPr>
            <w:tcW w:w="40" w:type="dxa"/>
            <w:vAlign w:val="bottom"/>
          </w:tcPr>
          <w:p>
            <w:pPr>
              <w:spacing w:after="0"/>
              <w:rPr>
                <w:sz w:val="24"/>
                <w:szCs w:val="24"/>
                <w:color w:val="auto"/>
              </w:rPr>
            </w:pPr>
          </w:p>
        </w:tc>
        <w:tc>
          <w:tcPr>
            <w:tcW w:w="6760" w:type="dxa"/>
            <w:vAlign w:val="bottom"/>
          </w:tcPr>
          <w:p>
            <w:pPr>
              <w:ind w:left="400"/>
              <w:spacing w:after="0"/>
              <w:rPr>
                <w:sz w:val="20"/>
                <w:szCs w:val="20"/>
                <w:color w:val="auto"/>
              </w:rPr>
            </w:pPr>
            <w:r>
              <w:rPr>
                <w:rFonts w:ascii="Arial" w:cs="Arial" w:eastAsia="Arial" w:hAnsi="Arial"/>
                <w:sz w:val="17"/>
                <w:szCs w:val="17"/>
                <w:color w:val="auto"/>
              </w:rPr>
              <w:t>Property and equipment, net consisted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3"/>
        </w:trPr>
        <w:tc>
          <w:tcPr>
            <w:tcW w:w="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2022</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Arial" w:cs="Arial" w:eastAsia="Arial" w:hAnsi="Arial"/>
                <w:sz w:val="17"/>
                <w:szCs w:val="17"/>
                <w:b w:val="1"/>
                <w:bCs w:val="1"/>
                <w:color w:val="auto"/>
                <w:w w:val="97"/>
              </w:rPr>
              <w:t>December 31, 2021</w:t>
            </w:r>
          </w:p>
        </w:tc>
      </w:tr>
      <w:tr>
        <w:trPr>
          <w:trHeight w:val="215"/>
        </w:trPr>
        <w:tc>
          <w:tcPr>
            <w:tcW w:w="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Datacenter and other computer equipment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634.5</w:t>
            </w:r>
          </w:p>
        </w:tc>
      </w:tr>
      <w:tr>
        <w:trPr>
          <w:trHeight w:val="222"/>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15"/>
        </w:trPr>
        <w:tc>
          <w:tcPr>
            <w:tcW w:w="4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774.6</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w:t>
            </w:r>
          </w:p>
        </w:tc>
      </w:tr>
      <w:tr>
        <w:trPr>
          <w:trHeight w:val="240"/>
        </w:trPr>
        <w:tc>
          <w:tcPr>
            <w:tcW w:w="4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80" w:firstLine="430"/>
        <w:spacing w:after="0" w:line="263"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September 30, 2022 and December 31, 2021 included a total of $431.7 million and $469.4 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$236.5 million and $237.6 million as of September 30, 2022 and December 31, 2021, respectively.</w:t>
      </w:r>
    </w:p>
    <w:p>
      <w:pPr>
        <w:spacing w:after="0" w:line="207"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Depreciation expense related to property and equipment was $35.1 million and $105.9 million for the three and nine months ended September 30, 2022, respectively, and $34.8 million and $99.0 million for the three and nine months ended September 30, 2021,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54" w:lineRule="exact"/>
        <w:rPr>
          <w:sz w:val="20"/>
          <w:szCs w:val="20"/>
          <w:color w:val="auto"/>
        </w:rPr>
      </w:pPr>
    </w:p>
    <w:p>
      <w:pPr>
        <w:ind w:right="180" w:firstLine="430"/>
        <w:spacing w:after="0" w:line="266" w:lineRule="auto"/>
        <w:rPr>
          <w:sz w:val="20"/>
          <w:szCs w:val="20"/>
          <w:color w:val="auto"/>
        </w:rPr>
      </w:pPr>
      <w:r>
        <w:rPr>
          <w:rFonts w:ascii="Arial" w:cs="Arial" w:eastAsia="Arial" w:hAnsi="Arial"/>
          <w:sz w:val="17"/>
          <w:szCs w:val="17"/>
          <w:color w:val="auto"/>
        </w:rPr>
        <w:t>On March 22, 2021, the Company acquired all outstanding stock of DocSend, a secure document sharing and analytics company. The Company believes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condensed consolidated results of operations since the date of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83"/>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Purchase consideration</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r>
    </w:tbl>
    <w:p>
      <w:pPr>
        <w:spacing w:after="0" w:line="294" w:lineRule="exact"/>
        <w:rPr>
          <w:sz w:val="20"/>
          <w:szCs w:val="20"/>
          <w:color w:val="auto"/>
        </w:rPr>
      </w:pPr>
    </w:p>
    <w:p>
      <w:pPr>
        <w:ind w:left="140" w:hanging="136"/>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fair value of options assumed was based upon the Black-Scholes option-pricing model.</w:t>
      </w:r>
    </w:p>
    <w:p>
      <w:pPr>
        <w:spacing w:after="0" w:line="249" w:lineRule="exact"/>
        <w:rPr>
          <w:sz w:val="20"/>
          <w:szCs w:val="20"/>
          <w:color w:val="auto"/>
        </w:rPr>
      </w:pPr>
    </w:p>
    <w:p>
      <w:pPr>
        <w:ind w:right="60" w:firstLine="430"/>
        <w:spacing w:after="0" w:line="312" w:lineRule="auto"/>
        <w:rPr>
          <w:sz w:val="20"/>
          <w:szCs w:val="20"/>
          <w:color w:val="auto"/>
        </w:rPr>
      </w:pPr>
      <w:r>
        <w:rPr>
          <w:rFonts w:ascii="Arial" w:cs="Arial" w:eastAsia="Arial" w:hAnsi="Arial"/>
          <w:sz w:val="15"/>
          <w:szCs w:val="15"/>
          <w:color w:val="auto"/>
        </w:rPr>
        <w:t>In addition to the total purchase consideration above, the Company has compensation agreements with key DocSend personnel consisting of $30.7 million in cash payments subject to ongoing employee service. The related expenses are recognized within sales and marketing and research and development expenses over the required service period of approximately three years. The payments began in the first quarter of 2022, with $10.2 million paid during the nine months ended September 30, 2022. The remaining balance of $20.5 million will be paid out over the next year in accordance with the acquisition agreement.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r>
      <w:tr>
        <w:trPr>
          <w:trHeight w:val="215"/>
        </w:trPr>
        <w:tc>
          <w:tcPr>
            <w:tcW w:w="8200" w:type="dxa"/>
            <w:vAlign w:val="bottom"/>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w:t>
            </w:r>
          </w:p>
        </w:tc>
      </w:tr>
      <w:tr>
        <w:trPr>
          <w:trHeight w:val="20"/>
        </w:trPr>
        <w:tc>
          <w:tcPr>
            <w:tcW w:w="8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40" w:hanging="136"/>
        <w:spacing w:after="0"/>
        <w:tabs>
          <w:tab w:leader="none" w:pos="140" w:val="left"/>
        </w:tabs>
        <w:numPr>
          <w:ilvl w:val="0"/>
          <w:numId w:val="9"/>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 purposes.</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Estimated weighted average</w:t>
            </w:r>
          </w:p>
        </w:tc>
      </w:tr>
      <w:tr>
        <w:trPr>
          <w:trHeight w:val="183"/>
        </w:trPr>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line="183" w:lineRule="exact"/>
              <w:rPr>
                <w:sz w:val="20"/>
                <w:szCs w:val="20"/>
                <w:color w:val="auto"/>
              </w:rPr>
            </w:pPr>
            <w:r>
              <w:rPr>
                <w:rFonts w:ascii="Arial" w:cs="Arial" w:eastAsia="Arial" w:hAnsi="Arial"/>
                <w:sz w:val="17"/>
                <w:szCs w:val="17"/>
                <w:color w:val="auto"/>
                <w:w w:val="92"/>
              </w:rPr>
              <w:t>useful lives</w:t>
            </w: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98"/>
              </w:rPr>
              <w:t>Estimated fair values</w:t>
            </w: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8.1</w:t>
            </w:r>
          </w:p>
        </w:tc>
        <w:tc>
          <w:tcPr>
            <w:tcW w:w="2340" w:type="dxa"/>
            <w:vAlign w:val="bottom"/>
            <w:gridSpan w:val="2"/>
          </w:tcPr>
          <w:p>
            <w:pPr>
              <w:jc w:val="center"/>
              <w:ind w:left="73"/>
              <w:spacing w:after="0"/>
              <w:rPr>
                <w:sz w:val="20"/>
                <w:szCs w:val="20"/>
                <w:color w:val="auto"/>
              </w:rPr>
            </w:pPr>
            <w:r>
              <w:rPr>
                <w:rFonts w:ascii="Arial" w:cs="Arial" w:eastAsia="Arial" w:hAnsi="Arial"/>
                <w:sz w:val="17"/>
                <w:szCs w:val="17"/>
                <w:color w:val="auto"/>
                <w:w w:val="92"/>
              </w:rPr>
              <w:t>5.0</w:t>
            </w: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right="200" w:firstLine="430"/>
        <w:spacing w:after="0" w:line="323"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4"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Pr>
          <w:p>
            <w:pPr>
              <w:spacing w:after="0"/>
              <w:rPr>
                <w:sz w:val="20"/>
                <w:szCs w:val="20"/>
                <w:color w:val="auto"/>
              </w:rPr>
            </w:pPr>
            <w:r>
              <w:rPr>
                <w:rFonts w:ascii="Arial" w:cs="Arial" w:eastAsia="Arial" w:hAnsi="Arial"/>
                <w:sz w:val="17"/>
                <w:szCs w:val="17"/>
                <w:b w:val="1"/>
                <w:bCs w:val="1"/>
                <w:color w:val="auto"/>
              </w:rPr>
              <w:t>Note 6. Intangible Assets</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3"/>
        </w:trPr>
        <w:tc>
          <w:tcPr>
            <w:tcW w:w="508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00"/>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r>
      <w:tr>
        <w:trPr>
          <w:trHeight w:val="177"/>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7" w:lineRule="exact"/>
              <w:rPr>
                <w:sz w:val="20"/>
                <w:szCs w:val="20"/>
                <w:color w:val="auto"/>
              </w:rPr>
            </w:pPr>
            <w:r>
              <w:rPr>
                <w:rFonts w:ascii="Arial" w:cs="Arial" w:eastAsia="Arial" w:hAnsi="Arial"/>
                <w:sz w:val="17"/>
                <w:szCs w:val="17"/>
                <w:b w:val="1"/>
                <w:bCs w:val="1"/>
                <w:color w:val="auto"/>
                <w:w w:val="90"/>
              </w:rPr>
              <w:t>average</w:t>
            </w:r>
          </w:p>
        </w:tc>
      </w:tr>
      <w:tr>
        <w:trPr>
          <w:trHeight w:val="175"/>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3"/>
              </w:rPr>
              <w:t>remaining</w:t>
            </w:r>
          </w:p>
        </w:tc>
      </w:tr>
      <w:tr>
        <w:trPr>
          <w:trHeight w:val="170"/>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useful life</w:t>
            </w:r>
          </w:p>
        </w:tc>
      </w:tr>
      <w:tr>
        <w:trPr>
          <w:trHeight w:val="177"/>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7"/>
                <w:szCs w:val="17"/>
                <w:color w:val="auto"/>
                <w:w w:val="94"/>
              </w:rPr>
              <w:t>(In years)</w:t>
            </w:r>
          </w:p>
        </w:tc>
      </w:tr>
      <w:tr>
        <w:trPr>
          <w:trHeight w:val="227"/>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7"/>
                <w:szCs w:val="17"/>
                <w:b w:val="1"/>
                <w:bCs w:val="1"/>
                <w:color w:val="auto"/>
              </w:rPr>
              <w:t>As of September 30,</w:t>
            </w:r>
          </w:p>
        </w:tc>
        <w:tc>
          <w:tcPr>
            <w:tcW w:w="180" w:type="dxa"/>
            <w:vAlign w:val="bottom"/>
          </w:tcPr>
          <w:p>
            <w:pPr>
              <w:spacing w:after="0"/>
              <w:rPr>
                <w:sz w:val="19"/>
                <w:szCs w:val="19"/>
                <w:color w:val="auto"/>
              </w:rPr>
            </w:pPr>
          </w:p>
        </w:tc>
        <w:tc>
          <w:tcPr>
            <w:tcW w:w="180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As of December 31,</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0"/>
              </w:rPr>
              <w:t>As of September 30,</w:t>
            </w:r>
          </w:p>
        </w:tc>
      </w:tr>
      <w:tr>
        <w:trPr>
          <w:trHeight w:val="215"/>
        </w:trPr>
        <w:tc>
          <w:tcPr>
            <w:tcW w:w="50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2022</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3.1</w:t>
            </w: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28.6</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2.9</w:t>
            </w: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4.6</w:t>
            </w: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Software</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9.0</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0.9</w:t>
            </w: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2.0</w:t>
            </w: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Licenses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3.6</w:t>
            </w: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60" w:type="dxa"/>
            <w:vAlign w:val="bottom"/>
            <w:tcBorders>
              <w:bottom w:val="single" w:sz="8" w:color="CCEEFF"/>
            </w:tcBorders>
            <w:gridSpan w:val="2"/>
          </w:tcPr>
          <w:p>
            <w:pPr>
              <w:jc w:val="center"/>
              <w:ind w:left="13"/>
              <w:spacing w:after="0"/>
              <w:rPr>
                <w:sz w:val="20"/>
                <w:szCs w:val="20"/>
                <w:color w:val="auto"/>
              </w:rPr>
            </w:pPr>
            <w:r>
              <w:rPr>
                <w:rFonts w:ascii="Arial" w:cs="Arial" w:eastAsia="Arial" w:hAnsi="Arial"/>
                <w:sz w:val="17"/>
                <w:szCs w:val="17"/>
                <w:color w:val="auto"/>
                <w:w w:val="84"/>
              </w:rPr>
              <w:t>3.0</w:t>
            </w:r>
          </w:p>
        </w:tc>
      </w:tr>
      <w:tr>
        <w:trPr>
          <w:trHeight w:val="215"/>
        </w:trPr>
        <w:tc>
          <w:tcPr>
            <w:tcW w:w="5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Amortization expense was $3.9 million and $11.7 million for the three and nine months ended September 30, 2022, respectively, and $4.0 million and $11.2 million for the three and nine months ended September 30, 2021, respectively.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000" w:type="dxa"/>
            <w:vAlign w:val="bottom"/>
          </w:tcPr>
          <w:p>
            <w:pPr>
              <w:ind w:left="400"/>
              <w:spacing w:after="0"/>
              <w:rPr>
                <w:sz w:val="20"/>
                <w:szCs w:val="20"/>
                <w:color w:val="auto"/>
              </w:rPr>
            </w:pPr>
            <w:r>
              <w:rPr>
                <w:rFonts w:ascii="Arial" w:cs="Arial" w:eastAsia="Arial" w:hAnsi="Arial"/>
                <w:sz w:val="17"/>
                <w:szCs w:val="17"/>
                <w:color w:val="auto"/>
              </w:rPr>
              <w:t>Expected future amortization expense for intangible assets as of September 30, 2022 is as follows:</w:t>
            </w: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83"/>
        </w:trPr>
        <w:tc>
          <w:tcPr>
            <w:tcW w:w="9000" w:type="dxa"/>
            <w:vAlign w:val="bottom"/>
          </w:tcPr>
          <w:p>
            <w:pPr>
              <w:spacing w:after="0"/>
              <w:rPr>
                <w:sz w:val="20"/>
                <w:szCs w:val="20"/>
                <w:color w:val="auto"/>
              </w:rPr>
            </w:pPr>
            <w:r>
              <w:rPr>
                <w:rFonts w:ascii="Arial" w:cs="Arial" w:eastAsia="Arial" w:hAnsi="Arial"/>
                <w:sz w:val="17"/>
                <w:szCs w:val="17"/>
                <w:b w:val="1"/>
                <w:bCs w:val="1"/>
                <w:color w:val="auto"/>
              </w:rPr>
              <w:t>Year ending December 31,</w:t>
            </w:r>
          </w:p>
        </w:tc>
        <w:tc>
          <w:tcPr>
            <w:tcW w:w="5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Intangible assets</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2022 (excluding the nine months ended September 30, 2022)</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2023</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2025</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9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54" w:lineRule="exact"/>
        <w:rPr>
          <w:sz w:val="20"/>
          <w:szCs w:val="20"/>
          <w:color w:val="auto"/>
        </w:rPr>
      </w:pPr>
    </w:p>
    <w:p>
      <w:pPr>
        <w:ind w:right="460" w:firstLine="430"/>
        <w:spacing w:after="0" w:line="287"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460" w:type="dxa"/>
            <w:vAlign w:val="bottom"/>
            <w:shd w:val="clear" w:color="auto" w:fill="CCEEFF"/>
          </w:tcPr>
          <w:p>
            <w:pPr>
              <w:jc w:val="right"/>
              <w:ind w:right="1273"/>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r>
      <w:tr>
        <w:trPr>
          <w:trHeight w:val="222"/>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4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2022</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600" w:firstLine="430"/>
        <w:spacing w:after="0" w:line="287"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during the periods ended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8" w:lineRule="exact"/>
        <w:rPr>
          <w:sz w:val="20"/>
          <w:szCs w:val="20"/>
          <w:color w:val="auto"/>
        </w:rPr>
      </w:pPr>
    </w:p>
    <w:p>
      <w:pPr>
        <w:ind w:right="200" w:firstLine="430"/>
        <w:spacing w:after="0" w:line="293" w:lineRule="auto"/>
        <w:rPr>
          <w:sz w:val="20"/>
          <w:szCs w:val="20"/>
          <w:color w:val="auto"/>
        </w:rPr>
      </w:pPr>
      <w:r>
        <w:rPr>
          <w:rFonts w:ascii="Arial" w:cs="Arial" w:eastAsia="Arial" w:hAnsi="Arial"/>
          <w:sz w:val="15"/>
          <w:szCs w:val="15"/>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extended the term of the agreement through February 2026. The Company may from time to time request increases in its borrowing capacity under the revolving credit facility of up to</w:t>
      </w:r>
    </w:p>
    <w:p>
      <w:pPr>
        <w:spacing w:after="0" w:line="2" w:lineRule="exact"/>
        <w:rPr>
          <w:sz w:val="20"/>
          <w:szCs w:val="20"/>
          <w:color w:val="auto"/>
        </w:rPr>
      </w:pPr>
    </w:p>
    <w:p>
      <w:pPr>
        <w:ind w:right="580"/>
        <w:spacing w:after="0" w:line="264" w:lineRule="auto"/>
        <w:rPr>
          <w:sz w:val="20"/>
          <w:szCs w:val="20"/>
          <w:color w:val="auto"/>
        </w:rPr>
      </w:pPr>
      <w:r>
        <w:rPr>
          <w:rFonts w:ascii="Arial" w:cs="Arial" w:eastAsia="Arial" w:hAnsi="Arial"/>
          <w:sz w:val="17"/>
          <w:szCs w:val="17"/>
          <w:color w:val="auto"/>
        </w:rPr>
        <w:t>$250.0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w:t>
      </w:r>
    </w:p>
    <w:p>
      <w:pPr>
        <w:spacing w:after="0" w:line="203" w:lineRule="exact"/>
        <w:rPr>
          <w:sz w:val="20"/>
          <w:szCs w:val="20"/>
          <w:color w:val="auto"/>
        </w:rPr>
      </w:pPr>
    </w:p>
    <w:p>
      <w:pPr>
        <w:ind w:right="40" w:firstLine="430"/>
        <w:spacing w:after="0" w:line="261"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1.375% or at an alternative base rate plus a spread of 0.375%.</w:t>
      </w:r>
    </w:p>
    <w:p>
      <w:pPr>
        <w:spacing w:after="0" w:line="20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September 30, 2022 and December 31, 2021, respectively.</w:t>
      </w:r>
    </w:p>
    <w:p>
      <w:pPr>
        <w:spacing w:after="0" w:line="207" w:lineRule="exact"/>
        <w:rPr>
          <w:sz w:val="20"/>
          <w:szCs w:val="20"/>
          <w:color w:val="auto"/>
        </w:rPr>
      </w:pPr>
    </w:p>
    <w:p>
      <w:pPr>
        <w:ind w:right="160" w:firstLine="430"/>
        <w:spacing w:after="0" w:line="271" w:lineRule="auto"/>
        <w:rPr>
          <w:sz w:val="20"/>
          <w:szCs w:val="20"/>
          <w:color w:val="auto"/>
        </w:rPr>
      </w:pPr>
      <w:r>
        <w:rPr>
          <w:rFonts w:ascii="Arial" w:cs="Arial" w:eastAsia="Arial" w:hAnsi="Arial"/>
          <w:sz w:val="17"/>
          <w:szCs w:val="17"/>
          <w:color w:val="auto"/>
        </w:rPr>
        <w:t>The Company had an aggregate of $40.4 million of letters of credit outstanding under the revolving credit facility as of September 30, 2022, and the Company’s total available borrowing capacity under the revolving credit facility was $459.6 million as of September 30, 2022. The Company’s letters of credit have final expiration dates through 2036.</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8"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203"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September 30, 2022. The 2026 Notes will mature on March 1, 2026, and the 2028 Notes will mature on March 1, 2028, in each case, unless earlier converted, redeemed or repurchased.</w:t>
      </w:r>
    </w:p>
    <w:p>
      <w:pPr>
        <w:spacing w:after="0" w:line="203"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September 30, 2022.</w:t>
      </w:r>
    </w:p>
    <w:p>
      <w:pPr>
        <w:spacing w:after="0" w:line="207" w:lineRule="exact"/>
        <w:rPr>
          <w:sz w:val="20"/>
          <w:szCs w:val="20"/>
          <w:color w:val="auto"/>
        </w:rPr>
      </w:pPr>
    </w:p>
    <w:p>
      <w:pPr>
        <w:ind w:right="20" w:firstLine="430"/>
        <w:spacing w:after="0" w:line="263"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September 30, 2022. In addition, during the three and nine months ended September 30, 2022 and 2021 the conditions allowing holders of the Notes to convert were not met. As a result, the Notes were not convertible during the three and nine months ended September 30, 2022 and 2021.</w:t>
      </w:r>
    </w:p>
    <w:p>
      <w:pPr>
        <w:spacing w:after="0" w:line="207" w:lineRule="exact"/>
        <w:rPr>
          <w:sz w:val="20"/>
          <w:szCs w:val="20"/>
          <w:color w:val="auto"/>
        </w:rPr>
      </w:pPr>
    </w:p>
    <w:p>
      <w:pPr>
        <w:ind w:right="100" w:firstLine="430"/>
        <w:spacing w:after="0" w:line="277" w:lineRule="auto"/>
        <w:rPr>
          <w:sz w:val="20"/>
          <w:szCs w:val="20"/>
          <w:color w:val="auto"/>
        </w:rPr>
      </w:pPr>
      <w:r>
        <w:rPr>
          <w:rFonts w:ascii="Arial" w:cs="Arial" w:eastAsia="Arial" w:hAnsi="Arial"/>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8"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6" w:lineRule="exact"/>
        <w:rPr>
          <w:sz w:val="20"/>
          <w:szCs w:val="20"/>
          <w:color w:val="auto"/>
        </w:rPr>
      </w:pPr>
    </w:p>
    <w:p>
      <w:pPr>
        <w:ind w:right="40" w:firstLine="430"/>
        <w:spacing w:after="0" w:line="288"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86" w:lineRule="exact"/>
        <w:rPr>
          <w:sz w:val="20"/>
          <w:szCs w:val="20"/>
          <w:color w:val="auto"/>
        </w:rPr>
      </w:pPr>
    </w:p>
    <w:p>
      <w:pPr>
        <w:ind w:right="40" w:firstLine="430"/>
        <w:spacing w:after="0" w:line="312" w:lineRule="auto"/>
        <w:rPr>
          <w:sz w:val="20"/>
          <w:szCs w:val="20"/>
          <w:color w:val="auto"/>
        </w:rPr>
      </w:pPr>
      <w:r>
        <w:rPr>
          <w:rFonts w:ascii="Arial" w:cs="Arial" w:eastAsia="Arial" w:hAnsi="Arial"/>
          <w:sz w:val="15"/>
          <w:szCs w:val="15"/>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2"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September 30, 2022 and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September 30, 2022</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1,389.1</w:t>
            </w:r>
          </w:p>
        </w:tc>
      </w:tr>
      <w:tr>
        <w:trPr>
          <w:trHeight w:val="22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15"/>
        </w:trPr>
        <w:tc>
          <w:tcPr>
            <w:tcW w:w="4940" w:type="dxa"/>
            <w:vAlign w:val="bottom"/>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688.3</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1,373.1</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7"/>
        </w:trPr>
        <w:tc>
          <w:tcPr>
            <w:tcW w:w="49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December 31, 2021</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40" w:firstLine="626"/>
        <w:spacing w:after="0" w:line="307" w:lineRule="auto"/>
        <w:rPr>
          <w:sz w:val="20"/>
          <w:szCs w:val="20"/>
          <w:color w:val="auto"/>
        </w:rPr>
      </w:pPr>
      <w:r>
        <w:rPr>
          <w:rFonts w:ascii="Arial" w:cs="Arial" w:eastAsia="Arial" w:hAnsi="Arial"/>
          <w:sz w:val="15"/>
          <w:szCs w:val="15"/>
          <w:color w:val="auto"/>
        </w:rPr>
        <w:t>During the three months ended September 30, 2022 and 2021, the Company recognized $0.6 million and $0.6 million in interest expense for the 2026 Notes and $0.4 million and $0.4 million in interest expense for the 2028 Notes, respectively, with such interest expense solely consisting of amortization of issuance costs. During the nine months ended September 30, 2022 and 2021, the Company recognized $1.6 million and $1.3 million in interest expense for the 2026 Notes and $1.2 million and $0.9 million in interest expense for the 2028 Notes, respectively, with such interest expense solely consisting of amortization of issuance costs. The effective interest rate for the 2026 Notes and the 2028 Notes was 0.32% and 0.22%, respectively, as of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3"/>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1, 2022 through December 31, 2022</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r>
      <w:tr>
        <w:trPr>
          <w:trHeight w:val="215"/>
        </w:trPr>
        <w:tc>
          <w:tcPr>
            <w:tcW w:w="920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1,389.1</w:t>
            </w: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48" w:lineRule="exact"/>
        <w:rPr>
          <w:sz w:val="20"/>
          <w:szCs w:val="20"/>
          <w:color w:val="auto"/>
        </w:rPr>
      </w:pPr>
    </w:p>
    <w:p>
      <w:pPr>
        <w:ind w:right="20" w:firstLine="430"/>
        <w:spacing w:after="0" w:line="312"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72"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September 30, 2022, the Company’s stock price was below the exercise price of the respective Note Hedges.</w:t>
      </w:r>
    </w:p>
    <w:p>
      <w:pPr>
        <w:spacing w:after="0" w:line="207" w:lineRule="exact"/>
        <w:rPr>
          <w:sz w:val="20"/>
          <w:szCs w:val="20"/>
          <w:color w:val="auto"/>
        </w:rPr>
      </w:pPr>
    </w:p>
    <w:p>
      <w:pPr>
        <w:ind w:right="180" w:firstLine="430"/>
        <w:spacing w:after="0" w:line="288"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6"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September 30, 2022, the Company’s Class A common stock price was below the exercise price of the Warrants.</w:t>
      </w:r>
    </w:p>
    <w:p>
      <w:pPr>
        <w:spacing w:after="0" w:line="206"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98" w:lineRule="exact"/>
        <w:rPr>
          <w:sz w:val="20"/>
          <w:szCs w:val="20"/>
          <w:color w:val="auto"/>
        </w:rPr>
      </w:pPr>
    </w:p>
    <w:p>
      <w:pPr>
        <w:ind w:right="40" w:firstLine="430"/>
        <w:spacing w:after="0" w:line="288" w:lineRule="auto"/>
        <w:rPr>
          <w:sz w:val="20"/>
          <w:szCs w:val="20"/>
          <w:color w:val="auto"/>
        </w:rPr>
      </w:pPr>
      <w:r>
        <w:rPr>
          <w:rFonts w:ascii="Arial" w:cs="Arial" w:eastAsia="Arial" w:hAnsi="Arial"/>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54" w:lineRule="exact"/>
        <w:rPr>
          <w:sz w:val="20"/>
          <w:szCs w:val="20"/>
          <w:color w:val="auto"/>
        </w:rPr>
      </w:pPr>
    </w:p>
    <w:p>
      <w:pPr>
        <w:ind w:right="80" w:firstLine="391"/>
        <w:spacing w:after="0" w:line="287"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and office equipment. The Company’s leases have remaining lease terms of 1 year to 14 years, some of which include options to extend the leases for up to 5 years.</w:t>
      </w:r>
    </w:p>
    <w:p>
      <w:pPr>
        <w:spacing w:after="0" w:line="184"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The Company also has subleases for several floors of its former corporate offices. The Company classifies its subleases as operating leases. The subleases have remaining lease terms of 1 year to 11 years. Sublease income, which is recorded as a reduction of rental expense, was $5.3 million and $14.8 million during the three and nine months ended September 30, 2022, respectively, and $4.5 million and $12.4 million during the three and nine months ended September 30, 2021, respectively.</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under non-cancellable leases as of September 30, 2022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tcPr>
          <w:p>
            <w:pPr>
              <w:spacing w:after="0"/>
              <w:rPr>
                <w:sz w:val="21"/>
                <w:szCs w:val="21"/>
                <w:color w:val="auto"/>
              </w:rPr>
            </w:pPr>
          </w:p>
        </w:tc>
        <w:tc>
          <w:tcPr>
            <w:tcW w:w="1900" w:type="dxa"/>
            <w:vAlign w:val="bottom"/>
            <w:gridSpan w:val="2"/>
          </w:tcPr>
          <w:p>
            <w:pPr>
              <w:ind w:left="10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b w:val="1"/>
                <w:bCs w:val="1"/>
                <w:color w:val="auto"/>
                <w:vertAlign w:val="superscript"/>
              </w:rPr>
              <w:t>(1)</w:t>
            </w:r>
          </w:p>
        </w:tc>
        <w:tc>
          <w:tcPr>
            <w:tcW w:w="300" w:type="dxa"/>
            <w:vAlign w:val="bottom"/>
          </w:tcPr>
          <w:p>
            <w:pPr>
              <w:spacing w:after="0"/>
              <w:rPr>
                <w:sz w:val="21"/>
                <w:szCs w:val="21"/>
                <w:color w:val="auto"/>
              </w:rPr>
            </w:pPr>
          </w:p>
        </w:tc>
        <w:tc>
          <w:tcPr>
            <w:tcW w:w="1740" w:type="dxa"/>
            <w:vAlign w:val="bottom"/>
          </w:tcPr>
          <w:p>
            <w:pPr>
              <w:jc w:val="right"/>
              <w:ind w:right="393"/>
              <w:spacing w:after="0"/>
              <w:rPr>
                <w:sz w:val="20"/>
                <w:szCs w:val="20"/>
                <w:color w:val="auto"/>
              </w:rPr>
            </w:pPr>
            <w:r>
              <w:rPr>
                <w:rFonts w:ascii="Arial" w:cs="Arial" w:eastAsia="Arial" w:hAnsi="Arial"/>
                <w:sz w:val="17"/>
                <w:szCs w:val="17"/>
                <w:b w:val="1"/>
                <w:bCs w:val="1"/>
                <w:color w:val="auto"/>
              </w:rPr>
              <w:t>Finance leases</w:t>
            </w:r>
          </w:p>
        </w:tc>
      </w:tr>
      <w:tr>
        <w:trPr>
          <w:trHeight w:val="215"/>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(excluding the nine months ended September 30, 2022)</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107.3</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w:t>
            </w:r>
          </w:p>
        </w:tc>
      </w:tr>
      <w:tr>
        <w:trPr>
          <w:trHeight w:val="222"/>
        </w:trPr>
        <w:tc>
          <w:tcPr>
            <w:tcW w:w="70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tenant improvement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080" w:type="dxa"/>
            <w:vAlign w:val="bottom"/>
          </w:tcPr>
          <w:p>
            <w:pPr>
              <w:ind w:left="20"/>
              <w:spacing w:after="0"/>
              <w:rPr>
                <w:sz w:val="20"/>
                <w:szCs w:val="20"/>
                <w:color w:val="auto"/>
              </w:rPr>
            </w:pPr>
            <w:r>
              <w:rPr>
                <w:rFonts w:ascii="Arial" w:cs="Arial" w:eastAsia="Arial" w:hAnsi="Arial"/>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244.6</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280" w:firstLine="4"/>
        <w:spacing w:after="0" w:line="299" w:lineRule="auto"/>
        <w:tabs>
          <w:tab w:leader="none" w:pos="14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datacenters where the Company has possession, excluding rent payments from the Company’s sub-tenants and variable operating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tcPr>
          <w:p>
            <w:pPr>
              <w:ind w:left="400"/>
              <w:spacing w:after="0"/>
              <w:rPr>
                <w:sz w:val="20"/>
                <w:szCs w:val="20"/>
                <w:color w:val="auto"/>
              </w:rPr>
            </w:pPr>
            <w:r>
              <w:rPr>
                <w:rFonts w:ascii="Arial" w:cs="Arial" w:eastAsia="Arial" w:hAnsi="Arial"/>
                <w:sz w:val="17"/>
                <w:szCs w:val="17"/>
                <w:color w:val="auto"/>
              </w:rPr>
              <w:t>Future non-cancelable rent payments from the Company's subtenants as of September 30, 2022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99"/>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(excluding the nine months ended September 30, 2022)</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sub-tenant incentive</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5"/>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 net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r>
    </w:tbl>
    <w:p>
      <w:pPr>
        <w:spacing w:after="0" w:line="314" w:lineRule="exact"/>
        <w:rPr>
          <w:sz w:val="20"/>
          <w:szCs w:val="20"/>
          <w:color w:val="auto"/>
        </w:rPr>
      </w:pPr>
    </w:p>
    <w:p>
      <w:pPr>
        <w:ind w:right="220" w:firstLine="391"/>
        <w:spacing w:after="0" w:line="296" w:lineRule="auto"/>
        <w:rPr>
          <w:sz w:val="20"/>
          <w:szCs w:val="20"/>
          <w:color w:val="auto"/>
        </w:rPr>
      </w:pPr>
      <w:r>
        <w:rPr>
          <w:rFonts w:ascii="Arial" w:cs="Arial" w:eastAsia="Arial" w:hAnsi="Arial"/>
          <w:sz w:val="16"/>
          <w:szCs w:val="16"/>
          <w:color w:val="auto"/>
        </w:rPr>
        <w:t>In 2017, the Company signed a 15 year lease agreement for office space in San Francisco, California, to serve as its corporate headquarters which commenced in 2018. The Company’s obligations under the lease are supported by a $26.1 million letter of credit, which reduced the borrowing capacity under the revolving credit facility. As of September 30, 2022, the Company's remaining minimum obligation for its headquarters was $569.2 million.</w:t>
      </w:r>
    </w:p>
    <w:p>
      <w:pPr>
        <w:spacing w:after="0" w:line="180"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3" w:lineRule="exact"/>
        <w:rPr>
          <w:sz w:val="20"/>
          <w:szCs w:val="20"/>
          <w:color w:val="auto"/>
        </w:rPr>
      </w:pPr>
    </w:p>
    <w:p>
      <w:pPr>
        <w:ind w:right="200" w:firstLine="391"/>
        <w:spacing w:after="0" w:line="271" w:lineRule="auto"/>
        <w:rPr>
          <w:sz w:val="20"/>
          <w:szCs w:val="20"/>
          <w:color w:val="auto"/>
        </w:rPr>
      </w:pPr>
      <w:r>
        <w:rPr>
          <w:rFonts w:ascii="Arial" w:cs="Arial" w:eastAsia="Arial" w:hAnsi="Arial"/>
          <w:sz w:val="17"/>
          <w:szCs w:val="17"/>
          <w:color w:val="auto"/>
        </w:rPr>
        <w:t>In connection with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98" w:lineRule="exact"/>
        <w:rPr>
          <w:sz w:val="20"/>
          <w:szCs w:val="20"/>
          <w:color w:val="auto"/>
        </w:rPr>
      </w:pPr>
    </w:p>
    <w:p>
      <w:pPr>
        <w:ind w:right="240" w:firstLine="391"/>
        <w:spacing w:after="0" w:line="287" w:lineRule="auto"/>
        <w:rPr>
          <w:sz w:val="20"/>
          <w:szCs w:val="20"/>
          <w:color w:val="auto"/>
        </w:rPr>
      </w:pPr>
      <w:r>
        <w:rPr>
          <w:rFonts w:ascii="Arial" w:cs="Arial" w:eastAsia="Arial" w:hAnsi="Arial"/>
          <w:sz w:val="17"/>
          <w:szCs w:val="17"/>
          <w:color w:val="auto"/>
        </w:rPr>
        <w:t>The Company recorded impairment charges of $4.0 million and $12.7 million during the three and nine months ended September 30, 2022, respectively, and zero and $17.3 million during the three and nine months ended September 30, 2021, respectively.</w:t>
      </w:r>
    </w:p>
    <w:p>
      <w:pPr>
        <w:spacing w:after="0" w:line="184" w:lineRule="exact"/>
        <w:rPr>
          <w:sz w:val="20"/>
          <w:szCs w:val="20"/>
          <w:color w:val="auto"/>
        </w:rPr>
      </w:pPr>
    </w:p>
    <w:p>
      <w:pPr>
        <w:ind w:right="400" w:firstLine="391"/>
        <w:spacing w:after="0" w:line="287" w:lineRule="auto"/>
        <w:rPr>
          <w:sz w:val="20"/>
          <w:szCs w:val="20"/>
          <w:color w:val="auto"/>
        </w:rPr>
      </w:pPr>
      <w:r>
        <w:rPr>
          <w:rFonts w:ascii="Arial" w:cs="Arial" w:eastAsia="Arial" w:hAnsi="Arial"/>
          <w:sz w:val="17"/>
          <w:szCs w:val="17"/>
          <w:color w:val="auto"/>
        </w:rPr>
        <w:t>As of September 30, 2022, the Company has a $11.5 million commitment related to an operating lease that has not commenced, with a lease term of 6 years.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117"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6"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The Company is currently involved in California state court litigation asserting violations of federal securities laws, for allegedly making materially false and misleading statements in, or omitting material information from, the Company's initial public offering ("IPO") registration statement. Separate lawsuits making the same or similar allegations were filed in federal court in October 2019, and were resolved in a settlement approved by the federal court in December 2021.</w:t>
      </w:r>
    </w:p>
    <w:p>
      <w:pPr>
        <w:spacing w:after="0" w:line="203" w:lineRule="exact"/>
        <w:rPr>
          <w:sz w:val="20"/>
          <w:szCs w:val="20"/>
          <w:color w:val="auto"/>
        </w:rPr>
      </w:pPr>
    </w:p>
    <w:p>
      <w:pPr>
        <w:ind w:right="80" w:firstLine="391"/>
        <w:spacing w:after="0" w:line="260" w:lineRule="auto"/>
        <w:rPr>
          <w:sz w:val="20"/>
          <w:szCs w:val="20"/>
          <w:color w:val="auto"/>
        </w:rPr>
      </w:pPr>
      <w:r>
        <w:rPr>
          <w:rFonts w:ascii="Arial" w:cs="Arial" w:eastAsia="Arial" w:hAnsi="Arial"/>
          <w:sz w:val="17"/>
          <w:szCs w:val="17"/>
          <w:color w:val="auto"/>
        </w:rPr>
        <w:t>The California state court litigation consolidated four putative class action lawsuits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 state court plaintiffs filed a notice of appeal of this order and on May 13, 2022, the Court of Appeal for the State Court of California affirmed the order dismissing the state court case. The plaintiff petitioned the California Supreme Court for review (which is discretionary) and the Court denied the plaintiff’s petition for review on August 10, 2022. The Company believes the appeal and claims are without merit and intends to vigorously defend against them.</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ind w:right="160" w:firstLine="391"/>
        <w:spacing w:after="0" w:line="27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7" w:lineRule="exact"/>
        <w:rPr>
          <w:sz w:val="20"/>
          <w:szCs w:val="20"/>
          <w:color w:val="auto"/>
        </w:rPr>
      </w:pPr>
    </w:p>
    <w:p>
      <w:pPr>
        <w:jc w:val="both"/>
        <w:ind w:right="320" w:firstLine="391"/>
        <w:spacing w:after="0" w:line="271"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20"/>
                <w:szCs w:val="20"/>
                <w:color w:val="auto"/>
              </w:rPr>
            </w:pPr>
            <w:r>
              <w:rPr>
                <w:rFonts w:ascii="Arial" w:cs="Arial" w:eastAsia="Arial" w:hAnsi="Arial"/>
                <w:sz w:val="17"/>
                <w:szCs w:val="17"/>
                <w:b w:val="1"/>
                <w:bCs w:val="1"/>
                <w:color w:val="auto"/>
              </w:rPr>
              <w:t>Note 11. Accrued and Other Current Liabilities</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7"/>
        </w:trPr>
        <w:tc>
          <w:tcPr>
            <w:tcW w:w="6820" w:type="dxa"/>
            <w:vAlign w:val="bottom"/>
          </w:tcPr>
          <w:p>
            <w:pPr>
              <w:ind w:left="400"/>
              <w:spacing w:after="0"/>
              <w:rPr>
                <w:sz w:val="20"/>
                <w:szCs w:val="20"/>
                <w:color w:val="auto"/>
              </w:rPr>
            </w:pPr>
            <w:r>
              <w:rPr>
                <w:rFonts w:ascii="Arial" w:cs="Arial" w:eastAsia="Arial" w:hAnsi="Arial"/>
                <w:sz w:val="17"/>
                <w:szCs w:val="17"/>
                <w:color w:val="auto"/>
              </w:rPr>
              <w:t>Accrued and other current liabilities consisted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8"/>
        </w:trPr>
        <w:tc>
          <w:tcPr>
            <w:tcW w:w="6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2022</w:t>
            </w:r>
          </w:p>
        </w:tc>
        <w:tc>
          <w:tcPr>
            <w:tcW w:w="260" w:type="dxa"/>
            <w:vAlign w:val="bottom"/>
          </w:tcPr>
          <w:p>
            <w:pPr>
              <w:spacing w:after="0"/>
              <w:rPr>
                <w:sz w:val="18"/>
                <w:szCs w:val="18"/>
                <w:color w:val="auto"/>
              </w:rPr>
            </w:pPr>
          </w:p>
        </w:tc>
        <w:tc>
          <w:tcPr>
            <w:tcW w:w="1900" w:type="dxa"/>
            <w:vAlign w:val="bottom"/>
          </w:tcPr>
          <w:p>
            <w:pPr>
              <w:jc w:val="right"/>
              <w:ind w:right="293"/>
              <w:spacing w:after="0"/>
              <w:rPr>
                <w:sz w:val="20"/>
                <w:szCs w:val="20"/>
                <w:color w:val="auto"/>
              </w:rPr>
            </w:pPr>
            <w:r>
              <w:rPr>
                <w:rFonts w:ascii="Arial" w:cs="Arial" w:eastAsia="Arial" w:hAnsi="Arial"/>
                <w:sz w:val="17"/>
                <w:szCs w:val="17"/>
                <w:b w:val="1"/>
                <w:bCs w:val="1"/>
                <w:color w:val="auto"/>
                <w:w w:val="97"/>
              </w:rPr>
              <w:t>December 31, 2021</w:t>
            </w:r>
          </w:p>
        </w:tc>
      </w:tr>
      <w:tr>
        <w:trPr>
          <w:trHeight w:val="215"/>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22"/>
        </w:trPr>
        <w:tc>
          <w:tcPr>
            <w:tcW w:w="682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2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5"/>
        </w:trPr>
        <w:tc>
          <w:tcPr>
            <w:tcW w:w="682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Deficit</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117"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7" w:lineRule="exact"/>
        <w:rPr>
          <w:sz w:val="20"/>
          <w:szCs w:val="20"/>
          <w:color w:val="auto"/>
        </w:rPr>
      </w:pPr>
    </w:p>
    <w:p>
      <w:pPr>
        <w:ind w:right="80" w:firstLine="391"/>
        <w:spacing w:after="0" w:line="278" w:lineRule="auto"/>
        <w:rPr>
          <w:sz w:val="20"/>
          <w:szCs w:val="20"/>
          <w:color w:val="auto"/>
        </w:rPr>
      </w:pPr>
      <w:r>
        <w:rPr>
          <w:rFonts w:ascii="Arial" w:cs="Arial" w:eastAsia="Arial" w:hAnsi="Arial"/>
          <w:sz w:val="16"/>
          <w:szCs w:val="16"/>
          <w:color w:val="auto"/>
        </w:rPr>
        <w:t>As of September 30, 2022, the Company had authorized 2,400.0 million shares of Class A common stock, 475.0 million shares of Class B common stock, and 800.0 million shares of Class C common stock, each at par value of $0.00001. Holders of Class B common stock voluntarily converted zero and 0.2 million shares into an equivalent number of shares of Class A common stock during the three and nine months ended September 30, 2022, respectively, and 0.2 million and 0.5 million during the three and nine months ended September 30, 2021, respectively. As of September 30, 2022, 272.3 million shares of Class A common stock, 82.6 million shares of Class B common stock, and no shares of Class C common stock were issued and outstanding. As of December 31, 2021, 292.7 million shares of Class A common stock, 82.8 million shares of Class B common stock, and no shares of Class C common stock were issued and outstanding. Class A shares issued and outstanding as of September 30, 2022 and December 31, 2021 exclude unvested restricted stock awards granted to certain executives. Class A shares issued and outstanding also excludes 8.2 million unvested restricted stock awards granted to one of the Company's co-founders as of September 30, 2022 and December 31, 2021, respectively. See "Co-Founder Grant" section below for further details.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8" w:lineRule="exact"/>
        <w:rPr>
          <w:sz w:val="20"/>
          <w:szCs w:val="20"/>
          <w:color w:val="auto"/>
        </w:rPr>
      </w:pPr>
    </w:p>
    <w:p>
      <w:pPr>
        <w:ind w:right="320" w:firstLine="391"/>
        <w:spacing w:after="0" w:line="320"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48" w:lineRule="exact"/>
        <w:rPr>
          <w:sz w:val="20"/>
          <w:szCs w:val="20"/>
          <w:color w:val="auto"/>
        </w:rPr>
      </w:pPr>
    </w:p>
    <w:p>
      <w:pPr>
        <w:ind w:right="20" w:firstLine="391"/>
        <w:spacing w:after="0" w:line="301" w:lineRule="auto"/>
        <w:rPr>
          <w:sz w:val="20"/>
          <w:szCs w:val="20"/>
          <w:color w:val="auto"/>
        </w:rPr>
      </w:pPr>
      <w:r>
        <w:rPr>
          <w:rFonts w:ascii="Arial" w:cs="Arial" w:eastAsia="Arial" w:hAnsi="Arial"/>
          <w:sz w:val="15"/>
          <w:szCs w:val="15"/>
          <w:color w:val="auto"/>
        </w:rPr>
        <w:t>In February 2020, the Company's Board of Directors approved a stock repurchase program for the repurchase of up to $600 million of the Company’s outstanding shares of Class A common stock. The Company completed the February 2020 stock repurchase program of up to $600 million during the first quarter of 2021. In February 2021, the Board of Directors authorized the Company to repurchase up to an additional $1 billion of the Company's outstanding shares of Class A common stock. The Company completed the February 2021 stock repurchase program of up to $1 billion during the second quarter of 2022. In February 2022, the Board of Directors authorized the Company to repurchase up to an additional $1.2 billion of the Company's outstanding shares of Class A</w:t>
      </w:r>
    </w:p>
    <w:p>
      <w:pPr>
        <w:spacing w:after="0" w:line="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98" w:lineRule="exact"/>
        <w:rPr>
          <w:sz w:val="20"/>
          <w:szCs w:val="20"/>
          <w:color w:val="auto"/>
        </w:rPr>
      </w:pPr>
    </w:p>
    <w:p>
      <w:pPr>
        <w:ind w:right="40" w:firstLine="391"/>
        <w:spacing w:after="0" w:line="284" w:lineRule="auto"/>
        <w:rPr>
          <w:sz w:val="20"/>
          <w:szCs w:val="20"/>
          <w:color w:val="auto"/>
        </w:rPr>
      </w:pPr>
      <w:r>
        <w:rPr>
          <w:rFonts w:ascii="Arial" w:cs="Arial" w:eastAsia="Arial" w:hAnsi="Arial"/>
          <w:sz w:val="16"/>
          <w:szCs w:val="16"/>
          <w:color w:val="auto"/>
        </w:rPr>
        <w:t>During the three and nine months ended September 30, 2022, the Company repurchased and subsequently retired 7.7 million and 27.6 million shares of its Class A common stock, respectively, for an aggregate amount of $171.4 million and $621.1 million, respectively. During the three and nine months ended September 30, 2021, the Company repurchased and subsequently retired 5.8 million and 29.9 million shares of its Class A common stock for an aggregate amount of $181.0 million and $763.7 million, respectively. This included $200.0 million in repurchases of 8.6 million shares of the Company's Class A common stock in conjunction with the issuance of the Notes, which was outside of the Company's stock repurchase program.</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48" w:lineRule="exact"/>
        <w:rPr>
          <w:sz w:val="20"/>
          <w:szCs w:val="20"/>
          <w:color w:val="auto"/>
        </w:rPr>
      </w:pPr>
    </w:p>
    <w:p>
      <w:pPr>
        <w:ind w:right="200" w:firstLine="391"/>
        <w:spacing w:after="0" w:line="266" w:lineRule="auto"/>
        <w:rPr>
          <w:sz w:val="20"/>
          <w:szCs w:val="20"/>
          <w:color w:val="auto"/>
        </w:rPr>
      </w:pPr>
      <w:r>
        <w:rPr>
          <w:rFonts w:ascii="Arial" w:cs="Arial" w:eastAsia="Arial" w:hAnsi="Arial"/>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color w:val="auto"/>
        </w:rPr>
        <w:t>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54" w:lineRule="exact"/>
        <w:rPr>
          <w:sz w:val="20"/>
          <w:szCs w:val="20"/>
          <w:color w:val="auto"/>
        </w:rPr>
      </w:pPr>
    </w:p>
    <w:p>
      <w:pPr>
        <w:ind w:right="180" w:firstLine="391"/>
        <w:spacing w:after="0" w:line="287"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84" w:lineRule="exact"/>
        <w:rPr>
          <w:sz w:val="20"/>
          <w:szCs w:val="20"/>
          <w:color w:val="auto"/>
        </w:rPr>
      </w:pPr>
    </w:p>
    <w:p>
      <w:pPr>
        <w:ind w:right="340" w:firstLine="430"/>
        <w:spacing w:after="0" w:line="271" w:lineRule="auto"/>
        <w:rPr>
          <w:sz w:val="20"/>
          <w:szCs w:val="20"/>
          <w:color w:val="auto"/>
        </w:rPr>
      </w:pPr>
      <w:r>
        <w:rPr>
          <w:rFonts w:ascii="Arial" w:cs="Arial" w:eastAsia="Arial" w:hAnsi="Arial"/>
          <w:sz w:val="17"/>
          <w:szCs w:val="17"/>
          <w:color w:val="auto"/>
        </w:rPr>
        <w:t>As of September 30, 2022, there were 35.9 million stock-based awards issued and outstanding and 99.8 million shares available for issuance under the Dropbox Equity Incentive Plans, HelloSign's 2011 Equity Incentive Plan, DocSend's 2013 Stock Plan and DocSend's 2015 Stock Option and Grant Plan (collectively, the "Plans").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nine months ended September 30,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35"/>
        </w:trPr>
        <w:tc>
          <w:tcPr>
            <w:tcW w:w="2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280"/>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50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7"/>
                <w:szCs w:val="17"/>
                <w:color w:val="auto"/>
                <w:w w:val="95"/>
              </w:rPr>
              <w:t>Number of</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0"/>
              </w:rPr>
              <w:t>Weighted-</w:t>
            </w:r>
          </w:p>
        </w:tc>
        <w:tc>
          <w:tcPr>
            <w:tcW w:w="1240" w:type="dxa"/>
            <w:vAlign w:val="bottom"/>
            <w:gridSpan w:val="2"/>
          </w:tcPr>
          <w:p>
            <w:pPr>
              <w:jc w:val="center"/>
              <w:ind w:right="120"/>
              <w:spacing w:after="0" w:line="163" w:lineRule="exact"/>
              <w:rPr>
                <w:sz w:val="20"/>
                <w:szCs w:val="20"/>
                <w:color w:val="auto"/>
              </w:rPr>
            </w:pPr>
            <w:r>
              <w:rPr>
                <w:rFonts w:ascii="Arial" w:cs="Arial" w:eastAsia="Arial" w:hAnsi="Arial"/>
                <w:sz w:val="17"/>
                <w:szCs w:val="17"/>
                <w:color w:val="auto"/>
                <w:w w:val="92"/>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6"/>
              </w:rPr>
              <w:t>shares</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7"/>
              </w:rPr>
              <w:t>average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340" w:type="dxa"/>
            <w:vAlign w:val="bottom"/>
            <w:gridSpan w:val="2"/>
          </w:tcPr>
          <w:p>
            <w:pPr>
              <w:jc w:val="center"/>
              <w:ind w:right="100"/>
              <w:spacing w:after="0" w:line="183" w:lineRule="exact"/>
              <w:rPr>
                <w:sz w:val="20"/>
                <w:szCs w:val="20"/>
                <w:color w:val="auto"/>
              </w:rPr>
            </w:pPr>
            <w:r>
              <w:rPr>
                <w:rFonts w:ascii="Arial" w:cs="Arial" w:eastAsia="Arial" w:hAnsi="Arial"/>
                <w:sz w:val="17"/>
                <w:szCs w:val="17"/>
                <w:color w:val="auto"/>
                <w:w w:val="95"/>
              </w:rPr>
              <w:t>available for</w:t>
            </w:r>
          </w:p>
        </w:tc>
        <w:tc>
          <w:tcPr>
            <w:tcW w:w="1140" w:type="dxa"/>
            <w:vAlign w:val="bottom"/>
          </w:tcPr>
          <w:p>
            <w:pPr>
              <w:jc w:val="center"/>
              <w:spacing w:after="0" w:line="183" w:lineRule="exact"/>
              <w:rPr>
                <w:sz w:val="20"/>
                <w:szCs w:val="20"/>
                <w:color w:val="auto"/>
              </w:rPr>
            </w:pPr>
            <w:r>
              <w:rPr>
                <w:rFonts w:ascii="Arial" w:cs="Arial" w:eastAsia="Arial" w:hAnsi="Arial"/>
                <w:sz w:val="17"/>
                <w:szCs w:val="17"/>
                <w:color w:val="auto"/>
                <w:w w:val="82"/>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3" w:lineRule="exact"/>
              <w:rPr>
                <w:sz w:val="20"/>
                <w:szCs w:val="20"/>
                <w:color w:val="auto"/>
              </w:rPr>
            </w:pPr>
            <w:r>
              <w:rPr>
                <w:rFonts w:ascii="Arial" w:cs="Arial" w:eastAsia="Arial" w:hAnsi="Arial"/>
                <w:sz w:val="17"/>
                <w:szCs w:val="17"/>
                <w:color w:val="auto"/>
                <w:w w:val="87"/>
              </w:rPr>
              <w:t>average</w:t>
            </w:r>
          </w:p>
        </w:tc>
        <w:tc>
          <w:tcPr>
            <w:tcW w:w="1240" w:type="dxa"/>
            <w:vAlign w:val="bottom"/>
            <w:gridSpan w:val="2"/>
          </w:tcPr>
          <w:p>
            <w:pPr>
              <w:jc w:val="center"/>
              <w:ind w:right="100"/>
              <w:spacing w:after="0" w:line="183" w:lineRule="exact"/>
              <w:rPr>
                <w:sz w:val="20"/>
                <w:szCs w:val="20"/>
                <w:color w:val="auto"/>
              </w:rPr>
            </w:pPr>
            <w:r>
              <w:rPr>
                <w:rFonts w:ascii="Arial" w:cs="Arial" w:eastAsia="Arial" w:hAnsi="Arial"/>
                <w:sz w:val="17"/>
                <w:szCs w:val="17"/>
                <w:color w:val="auto"/>
                <w:w w:val="93"/>
              </w:rPr>
              <w:t>remaining</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7"/>
                <w:szCs w:val="17"/>
                <w:color w:val="auto"/>
                <w:w w:val="86"/>
              </w:rPr>
              <w:t>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9"/>
              <w:spacing w:after="0" w:line="183"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3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86"/>
              </w:rPr>
              <w:t>issuance</w:t>
            </w:r>
          </w:p>
        </w:tc>
        <w:tc>
          <w:tcPr>
            <w:tcW w:w="114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1"/>
              </w:rPr>
              <w:t>exercise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1"/>
              </w:rPr>
              <w:t>contractual</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Aggregate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70" w:lineRule="exact"/>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3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1"/>
              </w:rPr>
              <w:t>under the</w:t>
            </w:r>
          </w:p>
        </w:tc>
        <w:tc>
          <w:tcPr>
            <w:tcW w:w="1140" w:type="dxa"/>
            <w:vAlign w:val="bottom"/>
          </w:tcPr>
          <w:p>
            <w:pPr>
              <w:jc w:val="center"/>
              <w:spacing w:after="0" w:line="170" w:lineRule="exact"/>
              <w:rPr>
                <w:sz w:val="20"/>
                <w:szCs w:val="20"/>
                <w:color w:val="auto"/>
              </w:rPr>
            </w:pPr>
            <w:r>
              <w:rPr>
                <w:rFonts w:ascii="Arial" w:cs="Arial" w:eastAsia="Arial" w:hAnsi="Arial"/>
                <w:sz w:val="17"/>
                <w:szCs w:val="17"/>
                <w:color w:val="auto"/>
                <w:w w:val="91"/>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3"/>
              </w:rPr>
              <w:t>term</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1"/>
              </w:rPr>
              <w:t>under the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7"/>
                <w:szCs w:val="17"/>
                <w:color w:val="auto"/>
                <w:w w:val="86"/>
              </w:rPr>
              <w:t>per share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(In years)</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5"/>
              </w:rPr>
              <w:t>intrinsic value</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0"/>
              </w:rPr>
              <w:t>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50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Options exercised and restricted</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units and awards released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500" w:type="dxa"/>
            <w:vAlign w:val="bottom"/>
          </w:tcPr>
          <w:p>
            <w:pPr>
              <w:ind w:left="20"/>
              <w:spacing w:after="0"/>
              <w:rPr>
                <w:sz w:val="20"/>
                <w:szCs w:val="20"/>
                <w:color w:val="auto"/>
              </w:rPr>
            </w:pPr>
            <w:r>
              <w:rPr>
                <w:rFonts w:ascii="Arial" w:cs="Arial" w:eastAsia="Arial" w:hAnsi="Arial"/>
                <w:sz w:val="17"/>
                <w:szCs w:val="17"/>
                <w:color w:val="auto"/>
              </w:rPr>
              <w:t>and awards canceled</w:t>
            </w:r>
          </w:p>
        </w:tc>
        <w:tc>
          <w:tcPr>
            <w:tcW w:w="12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173"/>
        </w:trPr>
        <w:tc>
          <w:tcPr>
            <w:tcW w:w="250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Shares withheld related to net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w w:val="93"/>
              </w:rPr>
              <w:t>share settlement of restricted stock</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 and awards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and awards 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Balance as of September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80"/>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at September 30, 2022</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5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0.3</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13.80</w:t>
            </w:r>
          </w:p>
        </w:tc>
        <w:tc>
          <w:tcPr>
            <w:tcW w:w="100" w:type="dxa"/>
            <w:vAlign w:val="bottom"/>
          </w:tcPr>
          <w:p>
            <w:pPr>
              <w:spacing w:after="0"/>
              <w:rPr>
                <w:sz w:val="15"/>
                <w:szCs w:val="15"/>
                <w:color w:val="auto"/>
              </w:rPr>
            </w:pPr>
          </w:p>
        </w:tc>
        <w:tc>
          <w:tcPr>
            <w:tcW w:w="1120" w:type="dxa"/>
            <w:vAlign w:val="bottom"/>
          </w:tcPr>
          <w:p>
            <w:pPr>
              <w:ind w:left="920"/>
              <w:spacing w:after="0" w:line="181" w:lineRule="exact"/>
              <w:rPr>
                <w:sz w:val="20"/>
                <w:szCs w:val="20"/>
                <w:color w:val="auto"/>
              </w:rPr>
            </w:pPr>
            <w:r>
              <w:rPr>
                <w:rFonts w:ascii="Arial" w:cs="Arial" w:eastAsia="Arial" w:hAnsi="Arial"/>
                <w:sz w:val="16"/>
                <w:szCs w:val="16"/>
                <w:color w:val="auto"/>
                <w:w w:val="80"/>
              </w:rPr>
              <w:t>4.3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2.5</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Unvested at September 30, 2022</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The following table summarizes information about the pre-tax intrinsic value of options exercised during the three and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100" w:type="dxa"/>
            <w:vAlign w:val="bottom"/>
            <w:gridSpan w:val="4"/>
          </w:tcPr>
          <w:p>
            <w:pPr>
              <w:jc w:val="center"/>
              <w:ind w:left="39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31"/>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5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options exercised</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bl>
    <w:p>
      <w:pPr>
        <w:spacing w:after="0" w:line="301" w:lineRule="exact"/>
        <w:rPr>
          <w:sz w:val="20"/>
          <w:szCs w:val="20"/>
          <w:color w:val="auto"/>
        </w:rPr>
      </w:pPr>
    </w:p>
    <w:p>
      <w:pPr>
        <w:ind w:right="240" w:firstLine="430"/>
        <w:spacing w:after="0" w:line="287" w:lineRule="auto"/>
        <w:rPr>
          <w:sz w:val="20"/>
          <w:szCs w:val="20"/>
          <w:color w:val="auto"/>
        </w:rPr>
      </w:pPr>
      <w:r>
        <w:rPr>
          <w:rFonts w:ascii="Arial" w:cs="Arial" w:eastAsia="Arial" w:hAnsi="Arial"/>
          <w:sz w:val="17"/>
          <w:szCs w:val="17"/>
          <w:color w:val="auto"/>
        </w:rPr>
        <w:t>As of September 30, 2022, unamortized stock-based compensation related to unvested stock options, restricted stock awards (excluding the Co-Founder Grant), and RSUs was $786.8 million. The weighted-average period over which such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will be recognized if the requisite service is provided is approximately 2.9 years as of September 30, 2022.</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117" w:lineRule="exact"/>
        <w:rPr>
          <w:sz w:val="20"/>
          <w:szCs w:val="20"/>
          <w:color w:val="auto"/>
        </w:rPr>
      </w:pPr>
    </w:p>
    <w:p>
      <w:pPr>
        <w:ind w:right="440" w:firstLine="430"/>
        <w:spacing w:after="0" w:line="287" w:lineRule="auto"/>
        <w:rPr>
          <w:sz w:val="20"/>
          <w:szCs w:val="20"/>
          <w:color w:val="auto"/>
        </w:rPr>
      </w:pPr>
      <w:r>
        <w:rPr>
          <w:rFonts w:ascii="Arial" w:cs="Arial" w:eastAsia="Arial" w:hAnsi="Arial"/>
          <w:sz w:val="17"/>
          <w:szCs w:val="17"/>
          <w:color w:val="auto"/>
        </w:rPr>
        <w:t>In connection with the acquisition of DocSend the Company assumed 0.4 million unvested stock options which were valued using the Black-Scholes option-pricing model. The fair value of stock options assumed were estimated using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5260" w:type="dxa"/>
            <w:vAlign w:val="bottom"/>
          </w:tcPr>
          <w:p>
            <w:pPr>
              <w:jc w:val="right"/>
              <w:spacing w:after="0"/>
              <w:rPr>
                <w:sz w:val="20"/>
                <w:szCs w:val="20"/>
                <w:color w:val="auto"/>
              </w:rPr>
            </w:pPr>
            <w:r>
              <w:rPr>
                <w:rFonts w:ascii="Arial" w:cs="Arial" w:eastAsia="Arial" w:hAnsi="Arial"/>
                <w:sz w:val="17"/>
                <w:szCs w:val="17"/>
                <w:color w:val="auto"/>
              </w:rPr>
              <w:t>2.0 - 6.8</w:t>
            </w: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526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14" w:lineRule="exact"/>
        <w:rPr>
          <w:sz w:val="20"/>
          <w:szCs w:val="20"/>
          <w:color w:val="auto"/>
        </w:rPr>
      </w:pPr>
    </w:p>
    <w:p>
      <w:pPr>
        <w:ind w:right="220" w:firstLine="430"/>
        <w:spacing w:after="0" w:line="26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240" w:firstLine="430"/>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6" w:lineRule="exact"/>
        <w:rPr>
          <w:sz w:val="20"/>
          <w:szCs w:val="20"/>
          <w:color w:val="auto"/>
        </w:rPr>
      </w:pPr>
    </w:p>
    <w:p>
      <w:pPr>
        <w:ind w:right="580" w:firstLine="430"/>
        <w:spacing w:after="0" w:line="287"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6"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Co-Founder Grant</w:t>
      </w:r>
    </w:p>
    <w:p>
      <w:pPr>
        <w:spacing w:after="0" w:line="11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207" w:lineRule="exact"/>
        <w:rPr>
          <w:sz w:val="20"/>
          <w:szCs w:val="20"/>
          <w:color w:val="auto"/>
        </w:rPr>
      </w:pPr>
    </w:p>
    <w:p>
      <w:pPr>
        <w:jc w:val="both"/>
        <w:ind w:right="140" w:firstLine="430"/>
        <w:spacing w:after="0" w:line="266" w:lineRule="auto"/>
        <w:rPr>
          <w:sz w:val="20"/>
          <w:szCs w:val="20"/>
          <w:color w:val="auto"/>
        </w:rPr>
      </w:pPr>
      <w:r>
        <w:rPr>
          <w:rFonts w:ascii="Arial" w:cs="Arial" w:eastAsia="Arial" w:hAnsi="Arial"/>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3"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84"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The first tranche of Mr. Houston's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conditions are expected to be achieved, and is not reversed if the market conditions are not satisfied. Therefore no incremental stock-based compensation was recognized upon vesting of these RSAs.</w:t>
      </w:r>
    </w:p>
    <w:p>
      <w:pPr>
        <w:spacing w:after="0" w:line="184" w:lineRule="exact"/>
        <w:rPr>
          <w:sz w:val="20"/>
          <w:szCs w:val="20"/>
          <w:color w:val="auto"/>
        </w:rPr>
      </w:pPr>
    </w:p>
    <w:p>
      <w:pPr>
        <w:jc w:val="both"/>
        <w:ind w:right="220" w:firstLine="430"/>
        <w:spacing w:after="0" w:line="296" w:lineRule="auto"/>
        <w:rPr>
          <w:sz w:val="20"/>
          <w:szCs w:val="20"/>
          <w:color w:val="auto"/>
        </w:rPr>
      </w:pPr>
      <w:r>
        <w:rPr>
          <w:rFonts w:ascii="Arial" w:cs="Arial" w:eastAsia="Arial" w:hAnsi="Arial"/>
          <w:sz w:val="16"/>
          <w:szCs w:val="16"/>
          <w:color w:val="auto"/>
        </w:rPr>
        <w:t>The Company recognized stock-based compensation expense related to the Co-Founder Grant of $2.6 million and $9.5 million during the three and nine months ended September 30, 2022, respectively, and $3.7 million and $10.9 million during the three and nine months ended September 30, 2021, respectively. As of September 30, 2022, unamortized stock-based compensation expense related to the Co-Founder Grant was $11.7 million.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Per Share</w:t>
      </w:r>
    </w:p>
    <w:p>
      <w:pPr>
        <w:spacing w:after="0" w:line="254" w:lineRule="exact"/>
        <w:rPr>
          <w:sz w:val="20"/>
          <w:szCs w:val="20"/>
          <w:color w:val="auto"/>
        </w:rPr>
      </w:pPr>
    </w:p>
    <w:p>
      <w:pPr>
        <w:ind w:firstLine="430"/>
        <w:spacing w:after="0" w:line="296" w:lineRule="auto"/>
        <w:rPr>
          <w:sz w:val="20"/>
          <w:szCs w:val="20"/>
          <w:color w:val="auto"/>
        </w:rPr>
      </w:pPr>
      <w:r>
        <w:rPr>
          <w:rFonts w:ascii="Arial" w:cs="Arial" w:eastAsia="Arial" w:hAnsi="Arial"/>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4"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89" w:lineRule="exact"/>
        <w:rPr>
          <w:sz w:val="20"/>
          <w:szCs w:val="20"/>
          <w:color w:val="auto"/>
        </w:rPr>
      </w:pPr>
    </w:p>
    <w:p>
      <w:pPr>
        <w:ind w:right="440" w:firstLine="391"/>
        <w:spacing w:after="0" w:line="287" w:lineRule="auto"/>
        <w:rPr>
          <w:sz w:val="20"/>
          <w:szCs w:val="20"/>
          <w:color w:val="auto"/>
        </w:rPr>
      </w:pPr>
      <w:r>
        <w:rPr>
          <w:rFonts w:ascii="Arial" w:cs="Arial" w:eastAsia="Arial" w:hAnsi="Arial"/>
          <w:sz w:val="17"/>
          <w:szCs w:val="17"/>
          <w:color w:val="auto"/>
        </w:rPr>
        <w:t>The numerators and denominators of the basic and diluted EPS computations for the Company's common stock are calculated as follows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3"/>
              </w:rPr>
              <w:t>Three Months Ended</w:t>
            </w:r>
          </w:p>
        </w:tc>
        <w:tc>
          <w:tcPr>
            <w:tcW w:w="260" w:type="dxa"/>
            <w:vAlign w:val="bottom"/>
          </w:tcPr>
          <w:p>
            <w:pPr>
              <w:spacing w:after="0"/>
              <w:rPr>
                <w:sz w:val="16"/>
                <w:szCs w:val="16"/>
                <w:color w:val="auto"/>
              </w:rPr>
            </w:pPr>
          </w:p>
        </w:tc>
        <w:tc>
          <w:tcPr>
            <w:tcW w:w="2600" w:type="dxa"/>
            <w:vAlign w:val="bottom"/>
            <w:gridSpan w:val="4"/>
          </w:tcPr>
          <w:p>
            <w:pPr>
              <w:jc w:val="right"/>
              <w:ind w:right="553"/>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7"/>
                <w:szCs w:val="17"/>
                <w:b w:val="1"/>
                <w:bCs w:val="1"/>
                <w:color w:val="auto"/>
                <w:w w:val="91"/>
              </w:rPr>
              <w:t>September 30,</w:t>
            </w: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B</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100" w:type="dxa"/>
            <w:vAlign w:val="bottom"/>
          </w:tcPr>
          <w:p>
            <w:pPr>
              <w:jc w:val="right"/>
              <w:ind w:right="33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0.20</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w w:val="94"/>
              </w:rPr>
              <w:t>Reallocation of net income as a result of conversion of Class B to Class A</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83.2</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19.1</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75.6</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5"/>
              </w:rPr>
              <w:t>Weighted-average effect of dilutive restricted stock units and awards and</w:t>
            </w: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stock options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360.1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93"/>
              </w:rPr>
              <w:t>Nine Months Ended</w:t>
            </w:r>
          </w:p>
        </w:tc>
        <w:tc>
          <w:tcPr>
            <w:tcW w:w="260" w:type="dxa"/>
            <w:vAlign w:val="bottom"/>
          </w:tcPr>
          <w:p>
            <w:pPr>
              <w:spacing w:after="0"/>
              <w:rPr>
                <w:sz w:val="16"/>
                <w:szCs w:val="16"/>
                <w:color w:val="auto"/>
              </w:rPr>
            </w:pPr>
          </w:p>
        </w:tc>
        <w:tc>
          <w:tcPr>
            <w:tcW w:w="2600" w:type="dxa"/>
            <w:vAlign w:val="bottom"/>
            <w:gridSpan w:val="4"/>
          </w:tcPr>
          <w:p>
            <w:pPr>
              <w:jc w:val="right"/>
              <w:ind w:right="593"/>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7"/>
                <w:szCs w:val="17"/>
                <w:b w:val="1"/>
                <w:bCs w:val="1"/>
                <w:color w:val="auto"/>
                <w:w w:val="91"/>
              </w:rPr>
              <w:t>September 30,</w:t>
            </w: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B</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color w:val="auto"/>
              </w:rPr>
              <w:t>Class A</w:t>
            </w:r>
          </w:p>
        </w:tc>
        <w:tc>
          <w:tcPr>
            <w:tcW w:w="280" w:type="dxa"/>
            <w:vAlign w:val="bottom"/>
          </w:tcPr>
          <w:p>
            <w:pPr>
              <w:spacing w:after="0"/>
              <w:rPr>
                <w:sz w:val="18"/>
                <w:szCs w:val="18"/>
                <w:color w:val="auto"/>
              </w:rPr>
            </w:pPr>
          </w:p>
        </w:tc>
        <w:tc>
          <w:tcPr>
            <w:tcW w:w="1100" w:type="dxa"/>
            <w:vAlign w:val="bottom"/>
          </w:tcPr>
          <w:p>
            <w:pPr>
              <w:jc w:val="right"/>
              <w:ind w:right="33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0.62</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0.62</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0.54</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w w:val="94"/>
              </w:rPr>
              <w:t>Reallocation of net income as a result of conversion of Class B to Class A</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224.9</w:t>
            </w:r>
          </w:p>
        </w:tc>
        <w:tc>
          <w:tcPr>
            <w:tcW w:w="100" w:type="dxa"/>
            <w:vAlign w:val="bottom"/>
          </w:tcPr>
          <w:p>
            <w:pPr>
              <w:spacing w:after="0"/>
              <w:rPr>
                <w:sz w:val="16"/>
                <w:szCs w:val="16"/>
                <w:color w:val="auto"/>
              </w:rPr>
            </w:pPr>
          </w:p>
        </w:tc>
        <w:tc>
          <w:tcPr>
            <w:tcW w:w="280" w:type="dxa"/>
            <w:vAlign w:val="bottom"/>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50.7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211.2</w:t>
            </w:r>
          </w:p>
        </w:tc>
        <w:tc>
          <w:tcPr>
            <w:tcW w:w="100" w:type="dxa"/>
            <w:vAlign w:val="bottom"/>
          </w:tcPr>
          <w:p>
            <w:pPr>
              <w:spacing w:after="0"/>
              <w:rPr>
                <w:sz w:val="16"/>
                <w:szCs w:val="16"/>
                <w:color w:val="auto"/>
              </w:rPr>
            </w:pPr>
          </w:p>
        </w:tc>
        <w:tc>
          <w:tcPr>
            <w:tcW w:w="280" w:type="dxa"/>
            <w:vAlign w:val="bottom"/>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Arial" w:cs="Arial" w:eastAsia="Arial" w:hAnsi="Arial"/>
                <w:sz w:val="17"/>
                <w:szCs w:val="17"/>
                <w:color w:val="auto"/>
              </w:rPr>
              <w:t>Weighted-average number of common shares outstanding used in</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40"/>
              <w:spacing w:after="0"/>
              <w:rPr>
                <w:sz w:val="20"/>
                <w:szCs w:val="20"/>
                <w:color w:val="auto"/>
              </w:rPr>
            </w:pPr>
            <w:r>
              <w:rPr>
                <w:rFonts w:ascii="Arial" w:cs="Arial" w:eastAsia="Arial" w:hAnsi="Arial"/>
                <w:sz w:val="17"/>
                <w:szCs w:val="17"/>
                <w:color w:val="auto"/>
              </w:rPr>
              <w:t>computing basic net income per share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5"/>
              </w:rPr>
              <w:t>Weighted-average effect of dilutive restricted stock units and awards and</w:t>
            </w: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stock options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w:t>
            </w: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366.5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400.3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computing diluted net income per share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0.61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0.61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0.53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400" w:firstLine="430"/>
        <w:spacing w:after="0" w:line="287"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60" w:type="dxa"/>
            <w:vAlign w:val="bottom"/>
            <w:gridSpan w:val="4"/>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31"/>
        </w:trPr>
        <w:tc>
          <w:tcPr>
            <w:tcW w:w="39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7"/>
                <w:szCs w:val="17"/>
                <w:b w:val="1"/>
                <w:bCs w:val="1"/>
                <w:color w:val="auto"/>
                <w:w w:val="91"/>
              </w:rPr>
              <w:t>September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19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2021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5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gridSpan w:val="3"/>
          </w:tcPr>
          <w:p>
            <w:pPr>
              <w:jc w:val="right"/>
              <w:ind w:right="1133"/>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2"/>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2"/>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58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22"/>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15"/>
        </w:trPr>
        <w:tc>
          <w:tcPr>
            <w:tcW w:w="3960" w:type="dxa"/>
            <w:vAlign w:val="bottom"/>
          </w:tcPr>
          <w:p>
            <w:pPr>
              <w:ind w:left="20"/>
              <w:spacing w:after="0"/>
              <w:rPr>
                <w:sz w:val="20"/>
                <w:szCs w:val="20"/>
                <w:color w:val="auto"/>
              </w:rPr>
            </w:pPr>
            <w:r>
              <w:rPr>
                <w:rFonts w:ascii="Arial" w:cs="Arial" w:eastAsia="Arial" w:hAnsi="Arial"/>
                <w:sz w:val="17"/>
                <w:szCs w:val="17"/>
                <w:color w:val="auto"/>
              </w:rPr>
              <w:t>Total</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71.0</w:t>
            </w: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54" w:lineRule="exact"/>
        <w:rPr>
          <w:sz w:val="20"/>
          <w:szCs w:val="20"/>
          <w:color w:val="auto"/>
        </w:rPr>
      </w:pPr>
    </w:p>
    <w:p>
      <w:pPr>
        <w:ind w:right="40" w:firstLine="430"/>
        <w:spacing w:after="0" w:line="296" w:lineRule="auto"/>
        <w:rPr>
          <w:sz w:val="20"/>
          <w:szCs w:val="20"/>
          <w:color w:val="auto"/>
        </w:rPr>
      </w:pPr>
      <w:r>
        <w:rPr>
          <w:rFonts w:ascii="Arial" w:cs="Arial" w:eastAsia="Arial" w:hAnsi="Arial"/>
          <w:sz w:val="16"/>
          <w:szCs w:val="16"/>
          <w:color w:val="auto"/>
        </w:rPr>
        <w:t>The Company computed the year-to-date income tax provision by applying the estimated annual effective tax rate to the year-to-date pre-tax income and adjusted for discrete tax items in the period. The Company's provision for income taxes was $15.0 million and $46.2 million for the three and nine months ended September 30, 2022, respectively, and $0.5 million and $2.3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391" w:lineRule="exact"/>
        <w:rPr>
          <w:sz w:val="20"/>
          <w:szCs w:val="20"/>
          <w:color w:val="auto"/>
        </w:rPr>
      </w:pPr>
    </w:p>
    <w:p>
      <w:pPr>
        <w:ind w:right="360" w:firstLine="430"/>
        <w:spacing w:after="0" w:line="255" w:lineRule="auto"/>
        <w:rPr>
          <w:sz w:val="20"/>
          <w:szCs w:val="20"/>
          <w:color w:val="auto"/>
        </w:rPr>
      </w:pPr>
      <w:r>
        <w:rPr>
          <w:rFonts w:ascii="Arial" w:cs="Arial" w:eastAsia="Arial" w:hAnsi="Arial"/>
          <w:sz w:val="17"/>
          <w:szCs w:val="17"/>
          <w:color w:val="auto"/>
        </w:rPr>
        <w:t>The provision for income taxes for the nine months ended September 30, 2022 was primarily attributable to federal, state and foreign income taxes. In addition, a requirement of the Tax Cuts and Jobs Act of 2017 (TCJA) to capitalize certain research expenditures became effective January 1, 2022, which resulted in an increase in the federal and state income tax liability.</w:t>
      </w:r>
    </w:p>
    <w:p>
      <w:pPr>
        <w:spacing w:after="0" w:line="211"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For the three and nine months ended September 30, 2022, the difference between the U.S. statutory rate and the Company's effective tax rate was primarily due to the requirement to capitalize research expenditures in accordance with TCJA, which was partially offset by the utilization of U.S. deferred tax assets which have a full valuation allowance.</w:t>
      </w:r>
    </w:p>
    <w:p>
      <w:pPr>
        <w:spacing w:after="0" w:line="198"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For the three and nine months ended September 30, 2021, the difference between the U.S. statutory rate and the Company's effective tax rate was primarily due to the full valuation allowance on its U.S. and Irish deferred tax assets. For the periods presented, the effective tax rate was also impacted by earnings realized in foreign jurisdictions with statutory tax rates lower than the federal statutory tax rate.</w:t>
      </w:r>
    </w:p>
    <w:p>
      <w:pPr>
        <w:spacing w:after="0" w:line="198"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2022, the Company continues to maintain valuation allowances on all of its deferred tax assets in the U.S. and on a portion of its deferred tax assets in one of its foreign jurisdictions.</w:t>
      </w:r>
    </w:p>
    <w:p>
      <w:pPr>
        <w:spacing w:after="0" w:line="203"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Given the Company’s recent history of earnings, management believes that there is a reasonable possibility that, within the next twelve months, sufficient positive evidence may become available to allow management to reach a conclusion that a significant portion of the valuation allowance recorded against the U.S. deferred tax assets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7"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84" w:lineRule="exact"/>
        <w:rPr>
          <w:sz w:val="20"/>
          <w:szCs w:val="20"/>
          <w:color w:val="auto"/>
        </w:rPr>
      </w:pPr>
    </w:p>
    <w:p>
      <w:pPr>
        <w:jc w:val="both"/>
        <w:ind w:right="800" w:firstLine="430"/>
        <w:spacing w:after="0" w:line="323" w:lineRule="auto"/>
        <w:rPr>
          <w:sz w:val="20"/>
          <w:szCs w:val="20"/>
          <w:color w:val="auto"/>
        </w:rPr>
      </w:pPr>
      <w:r>
        <w:rPr>
          <w:rFonts w:ascii="Arial" w:cs="Arial" w:eastAsia="Arial" w:hAnsi="Arial"/>
          <w:sz w:val="15"/>
          <w:szCs w:val="15"/>
          <w:color w:val="auto"/>
        </w:rPr>
        <w:t>Unrecognized tax benefits increased by approximately $4.7 million and $14.3 million for the three and nine months ended September 30, 2022, respectively, of which $3.1 million, if recognized, would affect the Company's effective tax rate. Additionally, unrecognized tax benefits decreased by approximately $0.4 million for the nine months ended September 30, 2022, due to a statute of limitations lapse related to prior period tax positions.</w:t>
      </w:r>
    </w:p>
    <w:p>
      <w:pPr>
        <w:spacing w:after="0" w:line="164" w:lineRule="exact"/>
        <w:rPr>
          <w:sz w:val="20"/>
          <w:szCs w:val="20"/>
          <w:color w:val="auto"/>
        </w:rPr>
      </w:pPr>
    </w:p>
    <w:p>
      <w:pPr>
        <w:jc w:val="both"/>
        <w:ind w:right="160" w:firstLine="430"/>
        <w:spacing w:after="0" w:line="271"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Pr>
          <w:p>
            <w:pPr>
              <w:spacing w:after="0"/>
              <w:rPr>
                <w:sz w:val="20"/>
                <w:szCs w:val="20"/>
                <w:color w:val="auto"/>
              </w:rPr>
            </w:pPr>
            <w:r>
              <w:rPr>
                <w:rFonts w:ascii="Arial" w:cs="Arial" w:eastAsia="Arial" w:hAnsi="Arial"/>
                <w:sz w:val="17"/>
                <w:szCs w:val="17"/>
                <w:b w:val="1"/>
                <w:bCs w:val="1"/>
                <w:color w:val="auto"/>
              </w:rPr>
              <w:t>Note 15. Geographic Areas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3"/>
        </w:trPr>
        <w:tc>
          <w:tcPr>
            <w:tcW w:w="7140" w:type="dxa"/>
            <w:vAlign w:val="bottom"/>
          </w:tcPr>
          <w:p>
            <w:pPr>
              <w:ind w:left="440"/>
              <w:spacing w:after="0"/>
              <w:rPr>
                <w:sz w:val="20"/>
                <w:szCs w:val="20"/>
                <w:color w:val="auto"/>
              </w:rPr>
            </w:pPr>
            <w:r>
              <w:rPr>
                <w:rFonts w:ascii="Arial" w:cs="Arial" w:eastAsia="Arial" w:hAnsi="Arial"/>
                <w:sz w:val="17"/>
                <w:szCs w:val="17"/>
                <w:b w:val="1"/>
                <w:bCs w:val="1"/>
                <w:i w:val="1"/>
                <w:iCs w:val="1"/>
                <w:color w:val="auto"/>
              </w:rPr>
              <w:t>Long-lived assets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3"/>
        </w:trPr>
        <w:tc>
          <w:tcPr>
            <w:tcW w:w="7140" w:type="dxa"/>
            <w:vAlign w:val="bottom"/>
          </w:tcPr>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3"/>
        </w:trPr>
        <w:tc>
          <w:tcPr>
            <w:tcW w:w="7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80" w:type="dxa"/>
            <w:vAlign w:val="bottom"/>
            <w:tcBorders>
              <w:bottom w:val="single" w:sz="8" w:color="auto"/>
            </w:tcBorders>
          </w:tcPr>
          <w:p>
            <w:pPr>
              <w:spacing w:after="0"/>
              <w:rPr>
                <w:sz w:val="24"/>
                <w:szCs w:val="24"/>
                <w:color w:val="auto"/>
              </w:rPr>
            </w:pPr>
          </w:p>
        </w:tc>
      </w:tr>
      <w:tr>
        <w:trPr>
          <w:trHeight w:val="215"/>
        </w:trPr>
        <w:tc>
          <w:tcPr>
            <w:tcW w:w="7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 2022</w:t>
            </w:r>
          </w:p>
        </w:tc>
        <w:tc>
          <w:tcPr>
            <w:tcW w:w="220" w:type="dxa"/>
            <w:vAlign w:val="bottom"/>
          </w:tcPr>
          <w:p>
            <w:pPr>
              <w:spacing w:after="0"/>
              <w:rPr>
                <w:sz w:val="18"/>
                <w:szCs w:val="18"/>
                <w:color w:val="auto"/>
              </w:rPr>
            </w:pPr>
          </w:p>
        </w:tc>
        <w:tc>
          <w:tcPr>
            <w:tcW w:w="1780" w:type="dxa"/>
            <w:vAlign w:val="bottom"/>
          </w:tcPr>
          <w:p>
            <w:pPr>
              <w:jc w:val="right"/>
              <w:ind w:right="213"/>
              <w:spacing w:after="0"/>
              <w:rPr>
                <w:sz w:val="20"/>
                <w:szCs w:val="20"/>
                <w:color w:val="auto"/>
              </w:rPr>
            </w:pPr>
            <w:r>
              <w:rPr>
                <w:rFonts w:ascii="Arial" w:cs="Arial" w:eastAsia="Arial" w:hAnsi="Arial"/>
                <w:sz w:val="17"/>
                <w:szCs w:val="17"/>
                <w:b w:val="1"/>
                <w:bCs w:val="1"/>
                <w:color w:val="auto"/>
                <w:w w:val="95"/>
              </w:rPr>
              <w:t>December 31, 2021</w:t>
            </w:r>
          </w:p>
        </w:tc>
      </w:tr>
      <w:tr>
        <w:trPr>
          <w:trHeight w:val="215"/>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316.6</w:t>
            </w:r>
          </w:p>
        </w:tc>
      </w:tr>
      <w:tr>
        <w:trPr>
          <w:trHeight w:val="222"/>
        </w:trPr>
        <w:tc>
          <w:tcPr>
            <w:tcW w:w="714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4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420" w:firstLine="4"/>
        <w:spacing w:after="0" w:line="263" w:lineRule="auto"/>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 single country other than the United States had a property and equipment balance greater than 10% of total property and equipment, net, as of September 30, 2022 and December 31, 2021.</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three and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302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b w:val="1"/>
                <w:bCs w:val="1"/>
                <w:color w:val="auto"/>
                <w:w w:val="91"/>
              </w:rPr>
              <w:t>Nine Months Ended</w:t>
            </w:r>
          </w:p>
        </w:tc>
        <w:tc>
          <w:tcPr>
            <w:tcW w:w="1060" w:type="dxa"/>
            <w:vAlign w:val="bottom"/>
          </w:tcPr>
          <w:p>
            <w:pPr>
              <w:spacing w:after="0"/>
              <w:rPr>
                <w:sz w:val="16"/>
                <w:szCs w:val="16"/>
                <w:color w:val="auto"/>
              </w:rPr>
            </w:pPr>
          </w:p>
        </w:tc>
      </w:tr>
      <w:tr>
        <w:trPr>
          <w:trHeight w:val="231"/>
        </w:trPr>
        <w:tc>
          <w:tcPr>
            <w:tcW w:w="39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324.5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832.3</w:t>
            </w:r>
          </w:p>
        </w:tc>
      </w:tr>
      <w:tr>
        <w:trPr>
          <w:trHeight w:val="222"/>
        </w:trPr>
        <w:tc>
          <w:tcPr>
            <w:tcW w:w="394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266.5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r>
      <w:tr>
        <w:trPr>
          <w:trHeight w:val="24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591.0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1,592.4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800" w:firstLine="4"/>
        <w:spacing w:after="0" w:line="243"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 single country outside of the United States accounted for more than 10% of total revenue during the three and nine months ended September 30, 2022 and 2021,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4"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jc w:val="center"/>
        <w:ind w:right="980"/>
        <w:spacing w:after="0" w:line="357"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spacing w:after="0" w:line="139"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solving these universal problems, we’ve become invaluable to our users. The popularity of our platform allows us to scale rapidly and efficiently.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We’ve built a thriving global business with 17.55 million paying users.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3" w:lineRule="exact"/>
        <w:rPr>
          <w:sz w:val="20"/>
          <w:szCs w:val="20"/>
          <w:color w:val="auto"/>
        </w:rPr>
      </w:pPr>
    </w:p>
    <w:p>
      <w:pPr>
        <w:ind w:right="60" w:firstLine="430"/>
        <w:spacing w:after="0" w:line="260"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10"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3" w:lineRule="exact"/>
        <w:rPr>
          <w:sz w:val="20"/>
          <w:szCs w:val="20"/>
          <w:color w:val="auto"/>
        </w:rPr>
      </w:pPr>
    </w:p>
    <w:p>
      <w:pPr>
        <w:ind w:right="40" w:firstLine="469"/>
        <w:spacing w:after="0" w:line="263" w:lineRule="auto"/>
        <w:rPr>
          <w:sz w:val="20"/>
          <w:szCs w:val="20"/>
          <w:color w:val="auto"/>
        </w:rPr>
      </w:pPr>
      <w:r>
        <w:rPr>
          <w:rFonts w:ascii="Arial" w:cs="Arial" w:eastAsia="Arial" w:hAnsi="Arial"/>
          <w:sz w:val="17"/>
          <w:szCs w:val="17"/>
          <w:color w:val="auto"/>
        </w:rPr>
        <w:t>We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207" w:lineRule="exact"/>
        <w:rPr>
          <w:sz w:val="20"/>
          <w:szCs w:val="20"/>
          <w:color w:val="auto"/>
        </w:rPr>
      </w:pPr>
    </w:p>
    <w:p>
      <w:pPr>
        <w:ind w:right="140" w:firstLine="469"/>
        <w:spacing w:after="0" w:line="262" w:lineRule="auto"/>
        <w:rPr>
          <w:sz w:val="20"/>
          <w:szCs w:val="20"/>
          <w:color w:val="auto"/>
        </w:rPr>
      </w:pPr>
      <w:r>
        <w:rPr>
          <w:rFonts w:ascii="Arial" w:cs="Arial" w:eastAsia="Arial" w:hAnsi="Arial"/>
          <w:sz w:val="17"/>
          <w:szCs w:val="17"/>
          <w:color w:val="auto"/>
        </w:rPr>
        <w:t>We also offer HelloSign, as our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HelloSign customers at the beginning of their respective terms and recognize revenue ratably over the subscription period. We sell HelloSign products globally and sell primarily in U.S. dollars. In October 2022, we announced the rebranding of HelloSign as Dropbox 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20" w:firstLine="469"/>
        <w:spacing w:after="0" w:line="288"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48" w:lineRule="exact"/>
        <w:rPr>
          <w:sz w:val="20"/>
          <w:szCs w:val="20"/>
          <w:color w:val="auto"/>
        </w:rPr>
      </w:pPr>
    </w:p>
    <w:p>
      <w:pPr>
        <w:ind w:right="260" w:firstLine="430"/>
        <w:spacing w:after="0" w:line="271"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48"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48" w:lineRule="exact"/>
        <w:rPr>
          <w:sz w:val="20"/>
          <w:szCs w:val="20"/>
          <w:color w:val="auto"/>
        </w:rPr>
      </w:pPr>
    </w:p>
    <w:p>
      <w:pPr>
        <w:ind w:right="80" w:firstLine="430"/>
        <w:spacing w:after="0" w:line="284"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and DocSend.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Update on COVID-19 and Current Economic Conditions</w:t>
      </w:r>
    </w:p>
    <w:p>
      <w:pPr>
        <w:spacing w:after="0" w:line="248"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Although we did not experience material impacts to our financial condition and results of operations during the nine months ended September 30, 2022 as a result of the continuing effects of the on-going COVID-19 pandemic, we have seen and may continue to see impacts to certain components of results of operations.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 Additionally, other recent macroeconomic events including rising inflation, the U.S. Federal Reserve raising interest rates, supply chain disruptions, fluctuations in currency exchange rates and the Russian invasion of Ukraine have led to further economic uncertainty.</w:t>
      </w:r>
    </w:p>
    <w:p>
      <w:pPr>
        <w:spacing w:after="0" w:line="194"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As a result of Russia’s military action against Ukraine, various nations, including the United States, have instituted economic sanctions against the Russian Federation. We did not experience material impacts to our financial condition and results of operations during the nine months ended September 30, 2022 as a result of the war in Ukraine or the related sanctions.</w:t>
      </w:r>
    </w:p>
    <w:p>
      <w:pPr>
        <w:spacing w:after="0" w:line="198" w:lineRule="exact"/>
        <w:rPr>
          <w:sz w:val="20"/>
          <w:szCs w:val="20"/>
          <w:color w:val="auto"/>
        </w:rPr>
      </w:pPr>
    </w:p>
    <w:p>
      <w:pPr>
        <w:ind w:right="80" w:firstLine="391"/>
        <w:spacing w:after="0" w:line="260"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as well as changes in interest rates. Volatile market conditions related to the COVID-19 pandemic and other macroeconomic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Certain of these cost savings may continue beyond the resolution of the COVID-19 pandemic in connection with our Virtual First work model, as described below. Due to our subscription-based business model, the effect of the COVID-19 pandemic and recent macroeconomic events may not be fully reflected in our results of operations until future periods, if at all. For a further discussion of the potential impacts of COVID-19 and the macroeconomic environment on our business, see “Risk Factors” included in Part II, Item 1A. of this report.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248" w:lineRule="exact"/>
        <w:rPr>
          <w:sz w:val="20"/>
          <w:szCs w:val="20"/>
          <w:color w:val="auto"/>
        </w:rPr>
      </w:pPr>
    </w:p>
    <w:p>
      <w:pPr>
        <w:ind w:right="20" w:firstLine="391"/>
        <w:spacing w:after="0" w:line="276" w:lineRule="auto"/>
        <w:rPr>
          <w:sz w:val="20"/>
          <w:szCs w:val="20"/>
          <w:color w:val="auto"/>
        </w:rPr>
      </w:pPr>
      <w:r>
        <w:rPr>
          <w:rFonts w:ascii="Arial" w:cs="Arial" w:eastAsia="Arial" w:hAnsi="Arial"/>
          <w:sz w:val="16"/>
          <w:szCs w:val="16"/>
          <w:color w:val="auto"/>
        </w:rPr>
        <w:t>The effects of the COVID-19 pandemic have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will be subleased. We recorded an impairment charge of $12.7 million during the nine months ended September 30, 2022 related to the adoption of Virtual First. We recorded an impairment charge of $17.3 million in the nine months ended September 30, 2021 related to the adoption of Virtual First, including impairment related to real estate assets acquired as part of our acquisition of DocSend. See Note 9, "Leases" to our condensed consolidated financial statements included elsewhere in this Quarterly Report on Form 10-Q for additional information. We may incur additional charges depending on the continued recovery of the global real estate market. In addition to generating sublease income, we expect that as a result of our shift to Virtual First we will continue to see certain savings that we experienced as a result of the COVID-19 pandemic in areas, including reductions in facilities related costs and depreciation expense due to the impairment charges related to the adoption of Virtual First.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54"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7" w:lineRule="exact"/>
        <w:rPr>
          <w:sz w:val="20"/>
          <w:szCs w:val="20"/>
          <w:color w:val="auto"/>
        </w:rPr>
      </w:pPr>
    </w:p>
    <w:p>
      <w:pPr>
        <w:ind w:right="140" w:firstLine="391"/>
        <w:spacing w:after="0" w:line="263"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20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3" w:lineRule="exact"/>
        <w:rPr>
          <w:sz w:val="20"/>
          <w:szCs w:val="20"/>
          <w:color w:val="auto"/>
        </w:rPr>
      </w:pPr>
    </w:p>
    <w:p>
      <w:pPr>
        <w:ind w:right="140" w:firstLine="430"/>
        <w:spacing w:after="0" w:line="288" w:lineRule="auto"/>
        <w:rPr>
          <w:sz w:val="20"/>
          <w:szCs w:val="20"/>
          <w:color w:val="auto"/>
        </w:rPr>
      </w:pPr>
      <w:r>
        <w:rPr>
          <w:rFonts w:ascii="Arial" w:cs="Arial" w:eastAsia="Arial" w:hAnsi="Arial"/>
          <w:sz w:val="16"/>
          <w:szCs w:val="16"/>
          <w:color w:val="auto"/>
        </w:rPr>
        <w:t>In the second quarter of 2022, we repackaged our existing Dropbox Standard and Dropbox Advanced plans to include additional features. As a result, we increased the price for new users on these plans. For a majority of existing users, the increase in price is effective on their next renewal date. As a result of the price increase, combined with an increase in paying users across our product portfolio and an increased mix of sales from our higher-priced subscription plans, we experienced an increase in Total ARR for the period ended September 30, 2022, compared to the period ended September 30, 2021.</w:t>
      </w:r>
    </w:p>
    <w:p>
      <w:pPr>
        <w:spacing w:after="0" w:line="186" w:lineRule="exact"/>
        <w:rPr>
          <w:sz w:val="20"/>
          <w:szCs w:val="20"/>
          <w:color w:val="auto"/>
        </w:rPr>
      </w:pPr>
    </w:p>
    <w:p>
      <w:pPr>
        <w:ind w:right="140" w:firstLine="430"/>
        <w:spacing w:after="0" w:line="287"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89"/>
              </w:rPr>
              <w:t>As of</w:t>
            </w:r>
          </w:p>
        </w:tc>
        <w:tc>
          <w:tcPr>
            <w:tcW w:w="19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September 30, 2022</w:t>
            </w:r>
          </w:p>
        </w:tc>
        <w:tc>
          <w:tcPr>
            <w:tcW w:w="20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1"/>
              </w:rPr>
              <w:t>December 31, 2021</w:t>
            </w:r>
          </w:p>
        </w:tc>
        <w:tc>
          <w:tcPr>
            <w:tcW w:w="19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2021</w:t>
            </w:r>
          </w:p>
        </w:tc>
        <w:tc>
          <w:tcPr>
            <w:tcW w:w="4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60" w:type="dxa"/>
            <w:vAlign w:val="bottom"/>
          </w:tcPr>
          <w:p>
            <w:pPr>
              <w:jc w:val="center"/>
              <w:ind w:right="153"/>
              <w:spacing w:after="0"/>
              <w:rPr>
                <w:sz w:val="20"/>
                <w:szCs w:val="20"/>
                <w:color w:val="auto"/>
              </w:rPr>
            </w:pPr>
            <w:r>
              <w:rPr>
                <w:rFonts w:ascii="Arial" w:cs="Arial" w:eastAsia="Arial" w:hAnsi="Arial"/>
                <w:sz w:val="17"/>
                <w:szCs w:val="17"/>
                <w:i w:val="1"/>
                <w:iCs w:val="1"/>
                <w:color w:val="auto"/>
                <w:w w:val="98"/>
              </w:rPr>
              <w:t>(In millions)</w:t>
            </w: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$2,431</w:t>
            </w:r>
          </w:p>
        </w:tc>
        <w:tc>
          <w:tcPr>
            <w:tcW w:w="2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$2,261</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40" w:type="dxa"/>
            <w:vAlign w:val="bottom"/>
          </w:tcPr>
          <w:p>
            <w:pPr>
              <w:spacing w:after="0"/>
              <w:rPr>
                <w:sz w:val="19"/>
                <w:szCs w:val="19"/>
                <w:color w:val="auto"/>
              </w:rPr>
            </w:pPr>
          </w:p>
        </w:tc>
      </w:tr>
      <w:tr>
        <w:trPr>
          <w:trHeight w:val="574"/>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89"/>
              </w:rPr>
              <w:t>As of</w:t>
            </w:r>
          </w:p>
        </w:tc>
        <w:tc>
          <w:tcPr>
            <w:tcW w:w="1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Constant Currency</w:t>
            </w:r>
          </w:p>
        </w:tc>
        <w:tc>
          <w:tcPr>
            <w:tcW w:w="21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September 30, 2022</w:t>
            </w:r>
          </w:p>
        </w:tc>
        <w:tc>
          <w:tcPr>
            <w:tcW w:w="20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1"/>
              </w:rPr>
              <w:t>December 31, 2021</w:t>
            </w:r>
          </w:p>
        </w:tc>
        <w:tc>
          <w:tcPr>
            <w:tcW w:w="19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2021</w:t>
            </w:r>
          </w:p>
        </w:tc>
        <w:tc>
          <w:tcPr>
            <w:tcW w:w="4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60" w:type="dxa"/>
            <w:vAlign w:val="bottom"/>
          </w:tcPr>
          <w:p>
            <w:pPr>
              <w:jc w:val="center"/>
              <w:ind w:right="153"/>
              <w:spacing w:after="0"/>
              <w:rPr>
                <w:sz w:val="20"/>
                <w:szCs w:val="20"/>
                <w:color w:val="auto"/>
              </w:rPr>
            </w:pPr>
            <w:r>
              <w:rPr>
                <w:rFonts w:ascii="Arial" w:cs="Arial" w:eastAsia="Arial" w:hAnsi="Arial"/>
                <w:sz w:val="17"/>
                <w:szCs w:val="17"/>
                <w:i w:val="1"/>
                <w:iCs w:val="1"/>
                <w:color w:val="auto"/>
                <w:w w:val="98"/>
              </w:rPr>
              <w:t>(In millions)</w:t>
            </w: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$2,431</w:t>
            </w:r>
          </w:p>
        </w:tc>
        <w:tc>
          <w:tcPr>
            <w:tcW w:w="2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$2,250</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w:t>
            </w:r>
          </w:p>
        </w:tc>
        <w:tc>
          <w:tcPr>
            <w:tcW w:w="40" w:type="dxa"/>
            <w:vAlign w:val="bottom"/>
          </w:tcPr>
          <w:p>
            <w:pPr>
              <w:spacing w:after="0"/>
              <w:rPr>
                <w:sz w:val="19"/>
                <w:szCs w:val="19"/>
                <w:color w:val="auto"/>
              </w:rPr>
            </w:pPr>
          </w:p>
        </w:tc>
      </w:tr>
      <w:tr>
        <w:trPr>
          <w:trHeight w:val="847"/>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140" w:type="dxa"/>
            <w:vAlign w:val="bottom"/>
          </w:tcPr>
          <w:p>
            <w:pPr>
              <w:jc w:val="right"/>
              <w:ind w:right="1433"/>
              <w:spacing w:after="0"/>
              <w:rPr>
                <w:sz w:val="20"/>
                <w:szCs w:val="20"/>
                <w:color w:val="auto"/>
              </w:rPr>
            </w:pPr>
            <w:r>
              <w:rPr>
                <w:rFonts w:ascii="Arial" w:cs="Arial" w:eastAsia="Arial" w:hAnsi="Arial"/>
                <w:sz w:val="17"/>
                <w:szCs w:val="17"/>
                <w:color w:val="auto"/>
              </w:rPr>
              <w:t>43</w:t>
            </w: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Paying users</w:t>
      </w:r>
    </w:p>
    <w:p>
      <w:pPr>
        <w:spacing w:after="0" w:line="11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3"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71" w:lineRule="exact"/>
        <w:rPr>
          <w:sz w:val="20"/>
          <w:szCs w:val="20"/>
          <w:color w:val="auto"/>
        </w:rPr>
      </w:pPr>
    </w:p>
    <w:p>
      <w:pPr>
        <w:ind w:right="380" w:firstLine="430"/>
        <w:spacing w:after="0" w:line="271" w:lineRule="auto"/>
        <w:rPr>
          <w:sz w:val="20"/>
          <w:szCs w:val="20"/>
          <w:color w:val="auto"/>
        </w:rPr>
      </w:pPr>
      <w:r>
        <w:rPr>
          <w:rFonts w:ascii="Arial" w:cs="Arial" w:eastAsia="Arial" w:hAnsi="Arial"/>
          <w:sz w:val="17"/>
          <w:szCs w:val="17"/>
          <w:color w:val="auto"/>
        </w:rPr>
        <w:t>We define DocSend paying users as the number of users who have active paid licenses for access to our platform as of the end of the period. DocSend users have been included as paying users since our acquisition of DocSend in the first quarter of 2021.</w:t>
      </w:r>
    </w:p>
    <w:p>
      <w:pPr>
        <w:spacing w:after="0" w:line="19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September 30, 2022, December 31, 2021, and September 30,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89"/>
              </w:rPr>
              <w:t>As of</w:t>
            </w:r>
          </w:p>
        </w:tc>
        <w:tc>
          <w:tcPr>
            <w:tcW w:w="192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September 30, 2022</w:t>
            </w:r>
          </w:p>
        </w:tc>
        <w:tc>
          <w:tcPr>
            <w:tcW w:w="206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91"/>
              </w:rPr>
              <w:t>December 31, 2021</w:t>
            </w:r>
          </w:p>
        </w:tc>
        <w:tc>
          <w:tcPr>
            <w:tcW w:w="19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September 30, 2021</w:t>
            </w:r>
          </w:p>
        </w:tc>
      </w:tr>
      <w:tr>
        <w:trPr>
          <w:trHeight w:val="215"/>
        </w:trPr>
        <w:tc>
          <w:tcPr>
            <w:tcW w:w="5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60" w:type="dxa"/>
            <w:vAlign w:val="bottom"/>
          </w:tcPr>
          <w:p>
            <w:pPr>
              <w:jc w:val="center"/>
              <w:ind w:right="113"/>
              <w:spacing w:after="0"/>
              <w:rPr>
                <w:sz w:val="20"/>
                <w:szCs w:val="20"/>
                <w:color w:val="auto"/>
              </w:rPr>
            </w:pPr>
            <w:r>
              <w:rPr>
                <w:rFonts w:ascii="Arial" w:cs="Arial" w:eastAsia="Arial" w:hAnsi="Arial"/>
                <w:sz w:val="17"/>
                <w:szCs w:val="17"/>
                <w:i w:val="1"/>
                <w:iCs w:val="1"/>
                <w:color w:val="auto"/>
                <w:w w:val="98"/>
              </w:rPr>
              <w:t>(In millions)</w:t>
            </w:r>
          </w:p>
        </w:tc>
        <w:tc>
          <w:tcPr>
            <w:tcW w:w="192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21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17.55</w:t>
            </w:r>
          </w:p>
        </w:tc>
        <w:tc>
          <w:tcPr>
            <w:tcW w:w="2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16.79</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r>
    </w:tbl>
    <w:p>
      <w:pPr>
        <w:spacing w:after="0" w:line="3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7" w:lineRule="exact"/>
        <w:rPr>
          <w:sz w:val="20"/>
          <w:szCs w:val="20"/>
          <w:color w:val="auto"/>
        </w:rPr>
      </w:pPr>
    </w:p>
    <w:p>
      <w:pPr>
        <w:ind w:right="60" w:firstLine="430"/>
        <w:spacing w:after="0" w:line="266"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3" w:lineRule="exact"/>
        <w:rPr>
          <w:sz w:val="20"/>
          <w:szCs w:val="20"/>
          <w:color w:val="auto"/>
        </w:rPr>
      </w:pPr>
    </w:p>
    <w:p>
      <w:pPr>
        <w:ind w:right="360" w:firstLine="430"/>
        <w:spacing w:after="0" w:line="266" w:lineRule="auto"/>
        <w:rPr>
          <w:sz w:val="20"/>
          <w:szCs w:val="20"/>
          <w:color w:val="auto"/>
        </w:rPr>
      </w:pPr>
      <w:r>
        <w:rPr>
          <w:rFonts w:ascii="Arial" w:cs="Arial" w:eastAsia="Arial" w:hAnsi="Arial"/>
          <w:sz w:val="17"/>
          <w:szCs w:val="17"/>
          <w:color w:val="auto"/>
        </w:rPr>
        <w:t>As a result of the repackaging and repricing of our existing Dropbox Standard and Dropbox Advanced plans, combined with an increased mix of sales towards our higher-priced subscription plans, and offset by the impact of unfavorable foreign exchange rates across multiple currencies, we experienced an increase in our average revenue per paying user for the three and nine months ended September 30, 2022, compared to the three and nine months ended September 30, 2021.</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our ARPU for the three and nine months ended September 30,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93"/>
              </w:rPr>
              <w:t>Three Months Ended</w:t>
            </w:r>
          </w:p>
        </w:tc>
        <w:tc>
          <w:tcPr>
            <w:tcW w:w="400" w:type="dxa"/>
            <w:vAlign w:val="bottom"/>
          </w:tcPr>
          <w:p>
            <w:pPr>
              <w:spacing w:after="0"/>
              <w:rPr>
                <w:sz w:val="16"/>
                <w:szCs w:val="16"/>
                <w:color w:val="auto"/>
              </w:rPr>
            </w:pPr>
          </w:p>
        </w:tc>
        <w:tc>
          <w:tcPr>
            <w:tcW w:w="2140" w:type="dxa"/>
            <w:vAlign w:val="bottom"/>
            <w:gridSpan w:val="3"/>
          </w:tcPr>
          <w:p>
            <w:pPr>
              <w:jc w:val="center"/>
              <w:ind w:left="573"/>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31"/>
        </w:trPr>
        <w:tc>
          <w:tcPr>
            <w:tcW w:w="3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7"/>
                <w:szCs w:val="17"/>
                <w:b w:val="1"/>
                <w:bCs w:val="1"/>
                <w:color w:val="auto"/>
                <w:w w:val="91"/>
              </w:rPr>
              <w:t>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7"/>
                <w:szCs w:val="17"/>
                <w:b w:val="1"/>
                <w:bCs w:val="1"/>
                <w:color w:val="auto"/>
                <w:w w:val="91"/>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133.19</w:t>
            </w:r>
          </w:p>
        </w:tc>
      </w:tr>
      <w:tr>
        <w:trPr>
          <w:trHeight w:val="821"/>
        </w:trPr>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39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54"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7" w:lineRule="exact"/>
        <w:rPr>
          <w:sz w:val="20"/>
          <w:szCs w:val="20"/>
          <w:color w:val="auto"/>
        </w:rPr>
      </w:pPr>
    </w:p>
    <w:p>
      <w:pPr>
        <w:ind w:right="160" w:firstLine="430"/>
        <w:spacing w:after="0" w:line="271" w:lineRule="auto"/>
        <w:rPr>
          <w:sz w:val="20"/>
          <w:szCs w:val="20"/>
          <w:color w:val="auto"/>
        </w:rPr>
      </w:pPr>
      <w:r>
        <w:rPr>
          <w:rFonts w:ascii="Arial" w:cs="Arial" w:eastAsia="Arial" w:hAnsi="Arial"/>
          <w:sz w:val="17"/>
          <w:szCs w:val="17"/>
          <w:color w:val="auto"/>
        </w:rPr>
        <w:t>Our FCF increased for the nine months ended September 30, 2022, compared to the nine months ended September 30, 2021, primarily due to an increase in cash provided by operating activities, which was driven by increased subscription sales, as a majority of our paying users are invoiced in advance, and operating efficiencies.</w:t>
      </w:r>
    </w:p>
    <w:p>
      <w:pPr>
        <w:spacing w:after="0" w:line="198"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remain approximately consistent in future periods as we operate in a Virtual First environment. The timing of our operating expenses as described below, may result in FCF to vary from period to period as a percentage of revenue.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366"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Nine Months Ended</w:t>
      </w:r>
    </w:p>
    <w:p>
      <w:pPr>
        <w:jc w:val="center"/>
        <w:ind w:left="740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602.7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567.1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8"/>
              </w:rPr>
              <w:t>(20.9)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4"/>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500" w:type="dxa"/>
            <w:vAlign w:val="bottom"/>
            <w:gridSpan w:val="2"/>
            <w:shd w:val="clear" w:color="auto" w:fill="CCEEFF"/>
          </w:tcPr>
          <w:p>
            <w:pPr>
              <w:jc w:val="right"/>
              <w:ind w:right="9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581.8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546.3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713"/>
              <w:spacing w:after="0"/>
              <w:rPr>
                <w:sz w:val="20"/>
                <w:szCs w:val="20"/>
                <w:color w:val="auto"/>
              </w:rPr>
            </w:pPr>
            <w:r>
              <w:rPr>
                <w:rFonts w:ascii="Arial" w:cs="Arial" w:eastAsia="Arial" w:hAnsi="Arial"/>
                <w:sz w:val="17"/>
                <w:szCs w:val="17"/>
                <w:color w:val="auto"/>
              </w:rPr>
              <w:t>45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48"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3"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7" w:lineRule="exact"/>
        <w:rPr>
          <w:sz w:val="20"/>
          <w:szCs w:val="20"/>
          <w:color w:val="auto"/>
        </w:rPr>
      </w:pPr>
    </w:p>
    <w:p>
      <w:pPr>
        <w:ind w:right="20" w:firstLine="430"/>
        <w:spacing w:after="0" w:line="27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right="140" w:firstLine="430"/>
        <w:spacing w:after="0" w:line="287"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4"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89" w:lineRule="exact"/>
        <w:rPr>
          <w:sz w:val="20"/>
          <w:szCs w:val="20"/>
          <w:color w:val="auto"/>
        </w:rPr>
      </w:pPr>
    </w:p>
    <w:p>
      <w:pPr>
        <w:ind w:right="320" w:firstLine="430"/>
        <w:spacing w:after="0" w:line="320"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61" w:lineRule="exact"/>
        <w:rPr>
          <w:sz w:val="20"/>
          <w:szCs w:val="20"/>
          <w:color w:val="auto"/>
        </w:rPr>
      </w:pPr>
    </w:p>
    <w:p>
      <w:pPr>
        <w:ind w:right="80" w:firstLine="430"/>
        <w:spacing w:after="0" w:line="30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60" w:firstLine="430"/>
        <w:spacing w:after="0" w:line="323" w:lineRule="auto"/>
        <w:rPr>
          <w:sz w:val="20"/>
          <w:szCs w:val="20"/>
          <w:color w:val="auto"/>
        </w:rPr>
      </w:pPr>
      <w:r>
        <w:rPr>
          <w:rFonts w:ascii="Arial" w:cs="Arial" w:eastAsia="Arial" w:hAnsi="Arial"/>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generally increase in absolute dollars in future periods and fluctuate from period to period as a percentage of revenue. The trend and timing of sales and marketing expenses will depend in part on the timing of marketing campaigns.</w:t>
      </w:r>
    </w:p>
    <w:p>
      <w:pPr>
        <w:spacing w:after="0" w:line="164"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 income-based taxes.</w:t>
      </w:r>
    </w:p>
    <w:p>
      <w:pPr>
        <w:spacing w:after="0" w:line="198" w:lineRule="exact"/>
        <w:rPr>
          <w:sz w:val="20"/>
          <w:szCs w:val="20"/>
          <w:color w:val="auto"/>
        </w:rPr>
      </w:pPr>
    </w:p>
    <w:p>
      <w:pPr>
        <w:ind w:firstLine="430"/>
        <w:spacing w:after="0" w:line="323"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7" w:lineRule="exact"/>
        <w:rPr>
          <w:sz w:val="20"/>
          <w:szCs w:val="20"/>
          <w:color w:val="auto"/>
        </w:rPr>
      </w:pPr>
    </w:p>
    <w:p>
      <w:pPr>
        <w:ind w:right="320" w:firstLine="430"/>
        <w:spacing w:after="0" w:line="320" w:lineRule="auto"/>
        <w:rPr>
          <w:sz w:val="20"/>
          <w:szCs w:val="20"/>
          <w:color w:val="auto"/>
        </w:rPr>
      </w:pPr>
      <w:r>
        <w:rPr>
          <w:rFonts w:ascii="Arial" w:cs="Arial" w:eastAsia="Arial" w:hAnsi="Arial"/>
          <w:sz w:val="16"/>
          <w:szCs w:val="16"/>
          <w:color w:val="auto"/>
        </w:rPr>
        <w:t>Interest income (expense), net consists primarily of interest expense related to our finance lease obligations for infrastructure and amortization of debt issuance costs as well as interest income earned on our money market funds classified as cash and cash equivalents and short-term investments.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ind w:right="120" w:firstLine="430"/>
        <w:spacing w:after="0" w:line="320" w:lineRule="auto"/>
        <w:rPr>
          <w:sz w:val="20"/>
          <w:szCs w:val="20"/>
          <w:color w:val="auto"/>
        </w:rPr>
      </w:pPr>
      <w:r>
        <w:rPr>
          <w:rFonts w:ascii="Arial" w:cs="Arial" w:eastAsia="Arial" w:hAnsi="Arial"/>
          <w:sz w:val="16"/>
          <w:szCs w:val="16"/>
          <w:color w:val="auto"/>
        </w:rPr>
        <w:t>Other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7" w:lineRule="exact"/>
        <w:rPr>
          <w:sz w:val="20"/>
          <w:szCs w:val="20"/>
          <w:color w:val="auto"/>
        </w:rPr>
      </w:pPr>
    </w:p>
    <w:p>
      <w:pPr>
        <w:ind w:right="40" w:firstLine="430"/>
        <w:spacing w:after="0" w:line="281" w:lineRule="auto"/>
        <w:rPr>
          <w:sz w:val="20"/>
          <w:szCs w:val="20"/>
          <w:color w:val="auto"/>
        </w:rPr>
      </w:pPr>
      <w:r>
        <w:rPr>
          <w:rFonts w:ascii="Arial" w:cs="Arial" w:eastAsia="Arial" w:hAnsi="Arial"/>
          <w:sz w:val="16"/>
          <w:szCs w:val="16"/>
          <w:color w:val="auto"/>
        </w:rPr>
        <w:t>Provision for income taxes consists primarily of U.S. federal and state income taxes and income taxes in certain foreign jurisdictions in which we conduct business. For 2022, the difference between the U.S. statutory rate and our effective tax rate is primarily due to the impact of capitalization of research and experimental expenditures and the valuation allowance on deferred tax assets. For 2021,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and state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set forth our results of operations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0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060" w:type="dxa"/>
            <w:vAlign w:val="bottom"/>
          </w:tcPr>
          <w:p>
            <w:pPr>
              <w:spacing w:after="0"/>
              <w:rPr>
                <w:sz w:val="16"/>
                <w:szCs w:val="16"/>
                <w:color w:val="auto"/>
              </w:rPr>
            </w:pPr>
          </w:p>
        </w:tc>
      </w:tr>
      <w:tr>
        <w:trPr>
          <w:trHeight w:val="231"/>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7"/>
                <w:szCs w:val="17"/>
                <w:b w:val="1"/>
                <w:bCs w:val="1"/>
                <w:color w:val="auto"/>
                <w:w w:val="99"/>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6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215"/>
        </w:trPr>
        <w:tc>
          <w:tcPr>
            <w:tcW w:w="3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gridSpan w:val="3"/>
          </w:tcPr>
          <w:p>
            <w:pPr>
              <w:jc w:val="right"/>
              <w:ind w:right="53"/>
              <w:spacing w:after="0"/>
              <w:rPr>
                <w:sz w:val="20"/>
                <w:szCs w:val="20"/>
                <w:color w:val="auto"/>
              </w:rPr>
            </w:pPr>
            <w:r>
              <w:rPr>
                <w:rFonts w:ascii="Arial" w:cs="Arial" w:eastAsia="Arial" w:hAnsi="Arial"/>
                <w:sz w:val="17"/>
                <w:szCs w:val="17"/>
                <w:i w:val="1"/>
                <w:iCs w:val="1"/>
                <w:color w:val="auto"/>
              </w:rPr>
              <w:t>(In millions)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1,592.4</w:t>
            </w:r>
          </w:p>
        </w:tc>
      </w:tr>
      <w:tr>
        <w:trPr>
          <w:trHeight w:val="222"/>
        </w:trPr>
        <w:tc>
          <w:tcPr>
            <w:tcW w:w="396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328.4</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1,264.0</w:t>
            </w:r>
          </w:p>
        </w:tc>
      </w:tr>
      <w:tr>
        <w:trPr>
          <w:trHeight w:val="222"/>
        </w:trPr>
        <w:tc>
          <w:tcPr>
            <w:tcW w:w="396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w:t>
            </w:r>
          </w:p>
        </w:tc>
      </w:tr>
      <w:tr>
        <w:trPr>
          <w:trHeight w:val="222"/>
        </w:trPr>
        <w:tc>
          <w:tcPr>
            <w:tcW w:w="39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304.3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319.2</w:t>
            </w: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r>
      <w:tr>
        <w:trPr>
          <w:trHeight w:val="222"/>
        </w:trPr>
        <w:tc>
          <w:tcPr>
            <w:tcW w:w="3960" w:type="dxa"/>
            <w:vAlign w:val="bottom"/>
          </w:tcPr>
          <w:p>
            <w:pPr>
              <w:ind w:left="340"/>
              <w:spacing w:after="0" w:line="222"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215"/>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r>
      <w:tr>
        <w:trPr>
          <w:trHeight w:val="222"/>
        </w:trPr>
        <w:tc>
          <w:tcPr>
            <w:tcW w:w="39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261.7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204.2</w:t>
            </w: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r>
      <w:tr>
        <w:trPr>
          <w:trHeight w:val="22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3040" w:type="dxa"/>
            <w:vAlign w:val="bottom"/>
            <w:gridSpan w:val="4"/>
          </w:tcPr>
          <w:p>
            <w:pPr>
              <w:jc w:val="right"/>
              <w:ind w:right="373"/>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b w:val="1"/>
                <w:bCs w:val="1"/>
                <w:color w:val="auto"/>
                <w:w w:val="93"/>
              </w:rPr>
              <w:t>Nine Months Ended</w:t>
            </w:r>
          </w:p>
        </w:tc>
        <w:tc>
          <w:tcPr>
            <w:tcW w:w="1060" w:type="dxa"/>
            <w:vAlign w:val="bottom"/>
          </w:tcPr>
          <w:p>
            <w:pPr>
              <w:spacing w:after="0"/>
              <w:rPr>
                <w:sz w:val="16"/>
                <w:szCs w:val="16"/>
                <w:color w:val="auto"/>
              </w:rPr>
            </w:pPr>
          </w:p>
        </w:tc>
      </w:tr>
      <w:tr>
        <w:trPr>
          <w:trHeight w:val="231"/>
        </w:trPr>
        <w:tc>
          <w:tcPr>
            <w:tcW w:w="39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7"/>
                <w:szCs w:val="17"/>
                <w:b w:val="1"/>
                <w:bCs w:val="1"/>
                <w:color w:val="auto"/>
                <w:w w:val="99"/>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19"/>
        </w:trPr>
        <w:tc>
          <w:tcPr>
            <w:tcW w:w="396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w w:val="89"/>
              </w:rPr>
              <w:t>2021</w:t>
            </w:r>
          </w:p>
        </w:tc>
      </w:tr>
      <w:tr>
        <w:trPr>
          <w:trHeight w:val="215"/>
        </w:trPr>
        <w:tc>
          <w:tcPr>
            <w:tcW w:w="3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gridSpan w:val="3"/>
          </w:tcPr>
          <w:p>
            <w:pPr>
              <w:jc w:val="right"/>
              <w:ind w:right="553"/>
              <w:spacing w:after="0"/>
              <w:rPr>
                <w:sz w:val="20"/>
                <w:szCs w:val="20"/>
                <w:color w:val="auto"/>
              </w:rPr>
            </w:pPr>
            <w:r>
              <w:rPr>
                <w:rFonts w:ascii="Arial" w:cs="Arial" w:eastAsia="Arial" w:hAnsi="Arial"/>
                <w:sz w:val="17"/>
                <w:szCs w:val="17"/>
                <w:i w:val="1"/>
                <w:iCs w:val="1"/>
                <w:color w:val="auto"/>
              </w:rPr>
              <w:t>(In millions)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2"/>
        </w:trPr>
        <w:tc>
          <w:tcPr>
            <w:tcW w:w="396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141.7</w:t>
            </w:r>
          </w:p>
        </w:tc>
      </w:tr>
      <w:tr>
        <w:trPr>
          <w:trHeight w:val="222"/>
        </w:trPr>
        <w:tc>
          <w:tcPr>
            <w:tcW w:w="3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22"/>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r>
      <w:tr>
        <w:trPr>
          <w:trHeight w:val="24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160" w:hanging="156"/>
        <w:spacing w:after="0"/>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 See Note 9 "Leases" for further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0"/>
              </w:rPr>
              <w:t>Table of Contents</w:t>
            </w:r>
          </w:p>
        </w:tc>
        <w:tc>
          <w:tcPr>
            <w:tcW w:w="364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62"/>
        </w:trPr>
        <w:tc>
          <w:tcPr>
            <w:tcW w:w="8640" w:type="dxa"/>
            <w:vAlign w:val="bottom"/>
            <w:gridSpan w:val="11"/>
          </w:tcPr>
          <w:p>
            <w:pPr>
              <w:ind w:left="400"/>
              <w:spacing w:after="0"/>
              <w:rPr>
                <w:sz w:val="20"/>
                <w:szCs w:val="20"/>
                <w:color w:val="auto"/>
              </w:rPr>
            </w:pPr>
            <w:r>
              <w:rPr>
                <w:rFonts w:ascii="Arial" w:cs="Arial" w:eastAsia="Arial" w:hAnsi="Arial"/>
                <w:sz w:val="17"/>
                <w:szCs w:val="17"/>
                <w:color w:val="auto"/>
                <w:w w:val="94"/>
              </w:rPr>
              <w:t>The following table sets forth our results of operations for each of the periods presented as a percentage of revenue: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5"/>
          </w:tcPr>
          <w:p>
            <w:pPr>
              <w:jc w:val="center"/>
              <w:ind w:left="593"/>
              <w:spacing w:after="0"/>
              <w:rPr>
                <w:sz w:val="20"/>
                <w:szCs w:val="20"/>
                <w:color w:val="auto"/>
              </w:rPr>
            </w:pPr>
            <w:r>
              <w:rPr>
                <w:rFonts w:ascii="Arial" w:cs="Arial" w:eastAsia="Arial" w:hAnsi="Arial"/>
                <w:sz w:val="17"/>
                <w:szCs w:val="17"/>
                <w:b w:val="1"/>
                <w:bCs w:val="1"/>
                <w:color w:val="auto"/>
                <w:w w:val="93"/>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Nine Months Ended</w:t>
            </w:r>
          </w:p>
        </w:tc>
        <w:tc>
          <w:tcPr>
            <w:tcW w:w="1100" w:type="dxa"/>
            <w:vAlign w:val="bottom"/>
          </w:tcPr>
          <w:p>
            <w:pPr>
              <w:spacing w:after="0"/>
              <w:rPr>
                <w:sz w:val="24"/>
                <w:szCs w:val="24"/>
                <w:color w:val="auto"/>
              </w:rPr>
            </w:pPr>
          </w:p>
        </w:tc>
      </w:tr>
      <w:tr>
        <w:trPr>
          <w:trHeight w:val="231"/>
        </w:trPr>
        <w:tc>
          <w:tcPr>
            <w:tcW w:w="1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7"/>
                <w:szCs w:val="17"/>
                <w:b w:val="1"/>
                <w:bCs w:val="1"/>
                <w:color w:val="auto"/>
                <w:w w:val="91"/>
              </w:rPr>
              <w:t>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100" w:type="dxa"/>
            <w:vAlign w:val="bottom"/>
            <w:tcBorders>
              <w:bottom w:val="single" w:sz="8" w:color="auto"/>
            </w:tcBorders>
          </w:tcPr>
          <w:p>
            <w:pPr>
              <w:spacing w:after="0"/>
              <w:rPr>
                <w:sz w:val="20"/>
                <w:szCs w:val="20"/>
                <w:color w:val="auto"/>
              </w:rPr>
            </w:pPr>
          </w:p>
        </w:tc>
      </w:tr>
      <w:tr>
        <w:trPr>
          <w:trHeight w:val="219"/>
        </w:trPr>
        <w:tc>
          <w:tcPr>
            <w:tcW w:w="3740" w:type="dxa"/>
            <w:vAlign w:val="bottom"/>
            <w:gridSpan w:val="2"/>
          </w:tcPr>
          <w:p>
            <w:pPr>
              <w:spacing w:after="0"/>
              <w:rPr>
                <w:sz w:val="19"/>
                <w:szCs w:val="19"/>
                <w:color w:val="auto"/>
              </w:rPr>
            </w:pPr>
          </w:p>
        </w:tc>
        <w:tc>
          <w:tcPr>
            <w:tcW w:w="12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gridSpan w:val="3"/>
          </w:tcPr>
          <w:p>
            <w:pPr>
              <w:jc w:val="right"/>
              <w:ind w:right="333"/>
              <w:spacing w:after="0"/>
              <w:rPr>
                <w:sz w:val="20"/>
                <w:szCs w:val="20"/>
                <w:color w:val="auto"/>
              </w:rPr>
            </w:pPr>
            <w:r>
              <w:rPr>
                <w:rFonts w:ascii="Arial" w:cs="Arial" w:eastAsia="Arial" w:hAnsi="Arial"/>
                <w:sz w:val="17"/>
                <w:szCs w:val="17"/>
                <w:i w:val="1"/>
                <w:iCs w:val="1"/>
                <w:color w:val="auto"/>
                <w:w w:val="93"/>
              </w:rPr>
              <w:t>(As a % of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2"/>
        </w:trPr>
        <w:tc>
          <w:tcPr>
            <w:tcW w:w="4960" w:type="dxa"/>
            <w:vAlign w:val="bottom"/>
            <w:gridSpan w:val="4"/>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21</w:t>
            </w:r>
          </w:p>
        </w:tc>
      </w:tr>
      <w:tr>
        <w:trPr>
          <w:trHeight w:val="215"/>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79</w:t>
            </w:r>
          </w:p>
        </w:tc>
      </w:tr>
      <w:tr>
        <w:trPr>
          <w:trHeight w:val="222"/>
        </w:trPr>
        <w:tc>
          <w:tcPr>
            <w:tcW w:w="4960" w:type="dxa"/>
            <w:vAlign w:val="bottom"/>
            <w:gridSpan w:val="4"/>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35</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Sales and marketing</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20</w:t>
            </w: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11</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00" w:type="dxa"/>
            <w:vAlign w:val="bottom"/>
            <w:gridSpan w:val="3"/>
          </w:tcPr>
          <w:p>
            <w:pPr>
              <w:jc w:val="right"/>
              <w:ind w:right="131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1</w:t>
            </w:r>
          </w:p>
        </w:tc>
      </w:tr>
      <w:tr>
        <w:trPr>
          <w:trHeight w:val="215"/>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67</w:t>
            </w:r>
          </w:p>
        </w:tc>
      </w:tr>
      <w:tr>
        <w:trPr>
          <w:trHeight w:val="222"/>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Income from operations</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13</w:t>
            </w:r>
          </w:p>
        </w:tc>
      </w:tr>
      <w:tr>
        <w:trPr>
          <w:trHeight w:val="222"/>
        </w:trPr>
        <w:tc>
          <w:tcPr>
            <w:tcW w:w="4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780" w:type="dxa"/>
            <w:vAlign w:val="bottom"/>
            <w:gridSpan w:val="4"/>
            <w:shd w:val="clear" w:color="auto" w:fill="CCEEFF"/>
          </w:tcPr>
          <w:p>
            <w:pPr>
              <w:jc w:val="right"/>
              <w:ind w:right="1400"/>
              <w:spacing w:after="0"/>
              <w:rPr>
                <w:sz w:val="20"/>
                <w:szCs w:val="20"/>
                <w:color w:val="auto"/>
              </w:rPr>
            </w:pPr>
            <w:r>
              <w:rPr>
                <w:rFonts w:ascii="Arial" w:cs="Arial" w:eastAsia="Arial" w:hAnsi="Arial"/>
                <w:sz w:val="17"/>
                <w:szCs w:val="17"/>
                <w:color w:val="auto"/>
              </w:rPr>
              <w:t>—</w:t>
            </w:r>
          </w:p>
        </w:tc>
        <w:tc>
          <w:tcPr>
            <w:tcW w:w="1900" w:type="dxa"/>
            <w:vAlign w:val="bottom"/>
            <w:gridSpan w:val="3"/>
            <w:shd w:val="clear" w:color="auto" w:fill="CCEEFF"/>
          </w:tcPr>
          <w:p>
            <w:pPr>
              <w:jc w:val="right"/>
              <w:ind w:right="1313"/>
              <w:spacing w:after="0"/>
              <w:rPr>
                <w:sz w:val="20"/>
                <w:szCs w:val="20"/>
                <w:color w:val="auto"/>
              </w:rPr>
            </w:pPr>
            <w:r>
              <w:rPr>
                <w:rFonts w:ascii="Arial" w:cs="Arial" w:eastAsia="Arial" w:hAnsi="Arial"/>
                <w:sz w:val="17"/>
                <w:szCs w:val="17"/>
                <w:color w:val="auto"/>
              </w:rPr>
              <w:t>—</w:t>
            </w:r>
          </w:p>
        </w:tc>
        <w:tc>
          <w:tcPr>
            <w:tcW w:w="1500" w:type="dxa"/>
            <w:vAlign w:val="bottom"/>
            <w:gridSpan w:val="3"/>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r>
        <w:trPr>
          <w:trHeight w:val="222"/>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Other income, net</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00" w:type="dxa"/>
            <w:vAlign w:val="bottom"/>
            <w:gridSpan w:val="3"/>
          </w:tcPr>
          <w:p>
            <w:pPr>
              <w:jc w:val="right"/>
              <w:ind w:right="131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1</w:t>
            </w:r>
          </w:p>
        </w:tc>
      </w:tr>
      <w:tr>
        <w:trPr>
          <w:trHeight w:val="215"/>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13</w:t>
            </w:r>
          </w:p>
        </w:tc>
      </w:tr>
      <w:tr>
        <w:trPr>
          <w:trHeight w:val="222"/>
        </w:trPr>
        <w:tc>
          <w:tcPr>
            <w:tcW w:w="4960" w:type="dxa"/>
            <w:vAlign w:val="bottom"/>
            <w:gridSpan w:val="4"/>
          </w:tcPr>
          <w:p>
            <w:pPr>
              <w:ind w:left="20"/>
              <w:spacing w:after="0"/>
              <w:rPr>
                <w:sz w:val="20"/>
                <w:szCs w:val="20"/>
                <w:color w:val="auto"/>
              </w:rPr>
            </w:pPr>
            <w:r>
              <w:rPr>
                <w:rFonts w:ascii="Arial" w:cs="Arial" w:eastAsia="Arial" w:hAnsi="Arial"/>
                <w:sz w:val="17"/>
                <w:szCs w:val="17"/>
                <w:color w:val="auto"/>
              </w:rPr>
              <w:t>Provision for from income taxes</w:t>
            </w:r>
          </w:p>
        </w:tc>
        <w:tc>
          <w:tcPr>
            <w:tcW w:w="580" w:type="dxa"/>
            <w:vAlign w:val="bottom"/>
          </w:tcPr>
          <w:p>
            <w:pPr>
              <w:jc w:val="right"/>
              <w:ind w:right="73"/>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00" w:type="dxa"/>
            <w:vAlign w:val="bottom"/>
            <w:gridSpan w:val="3"/>
          </w:tcPr>
          <w:p>
            <w:pPr>
              <w:jc w:val="right"/>
              <w:ind w:right="131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w:t>
            </w:r>
          </w:p>
        </w:tc>
      </w:tr>
      <w:tr>
        <w:trPr>
          <w:trHeight w:val="240"/>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0"/>
        </w:trPr>
        <w:tc>
          <w:tcPr>
            <w:tcW w:w="37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42"/>
        </w:trPr>
        <w:tc>
          <w:tcPr>
            <w:tcW w:w="4960" w:type="dxa"/>
            <w:vAlign w:val="bottom"/>
            <w:gridSpan w:val="4"/>
          </w:tcPr>
          <w:p>
            <w:pPr>
              <w:spacing w:after="0"/>
              <w:rPr>
                <w:sz w:val="20"/>
                <w:szCs w:val="20"/>
                <w:color w:val="auto"/>
              </w:rPr>
            </w:pPr>
            <w:r>
              <w:rPr>
                <w:rFonts w:ascii="Arial" w:cs="Arial" w:eastAsia="Arial" w:hAnsi="Arial"/>
                <w:sz w:val="20"/>
                <w:szCs w:val="20"/>
                <w:color w:val="auto"/>
                <w:w w:val="89"/>
                <w:vertAlign w:val="superscript"/>
              </w:rPr>
              <w:t>(1)</w:t>
            </w:r>
            <w:r>
              <w:rPr>
                <w:rFonts w:ascii="Arial" w:cs="Arial" w:eastAsia="Arial" w:hAnsi="Arial"/>
                <w:sz w:val="16"/>
                <w:szCs w:val="16"/>
                <w:color w:val="auto"/>
                <w:w w:val="89"/>
              </w:rPr>
              <w:t xml:space="preserve"> Includes stock-based compensation as a percentage of revenue as follows: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5"/>
          </w:tcPr>
          <w:p>
            <w:pPr>
              <w:jc w:val="center"/>
              <w:ind w:left="633"/>
              <w:spacing w:after="0"/>
              <w:rPr>
                <w:sz w:val="20"/>
                <w:szCs w:val="20"/>
                <w:color w:val="auto"/>
              </w:rPr>
            </w:pPr>
            <w:r>
              <w:rPr>
                <w:rFonts w:ascii="Arial" w:cs="Arial" w:eastAsia="Arial" w:hAnsi="Arial"/>
                <w:sz w:val="17"/>
                <w:szCs w:val="17"/>
                <w:b w:val="1"/>
                <w:bCs w:val="1"/>
                <w:color w:val="auto"/>
                <w:w w:val="93"/>
              </w:rPr>
              <w:t>Three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Nine Months Ended</w:t>
            </w:r>
          </w:p>
        </w:tc>
        <w:tc>
          <w:tcPr>
            <w:tcW w:w="1100" w:type="dxa"/>
            <w:vAlign w:val="bottom"/>
          </w:tcPr>
          <w:p>
            <w:pPr>
              <w:spacing w:after="0"/>
              <w:rPr>
                <w:sz w:val="24"/>
                <w:szCs w:val="24"/>
                <w:color w:val="auto"/>
              </w:rPr>
            </w:pPr>
          </w:p>
        </w:tc>
      </w:tr>
      <w:tr>
        <w:trPr>
          <w:trHeight w:val="231"/>
        </w:trPr>
        <w:tc>
          <w:tcPr>
            <w:tcW w:w="1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7"/>
                <w:szCs w:val="17"/>
                <w:b w:val="1"/>
                <w:bCs w:val="1"/>
                <w:color w:val="auto"/>
                <w:w w:val="91"/>
              </w:rPr>
              <w:t>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September 30,</w:t>
            </w:r>
          </w:p>
        </w:tc>
        <w:tc>
          <w:tcPr>
            <w:tcW w:w="1100" w:type="dxa"/>
            <w:vAlign w:val="bottom"/>
            <w:tcBorders>
              <w:bottom w:val="single" w:sz="8" w:color="auto"/>
            </w:tcBorders>
          </w:tcPr>
          <w:p>
            <w:pPr>
              <w:spacing w:after="0"/>
              <w:rPr>
                <w:sz w:val="20"/>
                <w:szCs w:val="20"/>
                <w:color w:val="auto"/>
              </w:rPr>
            </w:pPr>
          </w:p>
        </w:tc>
      </w:tr>
      <w:tr>
        <w:trPr>
          <w:trHeight w:val="219"/>
        </w:trPr>
        <w:tc>
          <w:tcPr>
            <w:tcW w:w="3760" w:type="dxa"/>
            <w:vAlign w:val="bottom"/>
            <w:gridSpan w:val="3"/>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2022</w:t>
            </w: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w w:val="95"/>
              </w:rPr>
              <w:t>2021</w:t>
            </w:r>
          </w:p>
        </w:tc>
      </w:tr>
      <w:tr>
        <w:trPr>
          <w:trHeight w:val="215"/>
        </w:trPr>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gridSpan w:val="3"/>
          </w:tcPr>
          <w:p>
            <w:pPr>
              <w:jc w:val="right"/>
              <w:ind w:right="313"/>
              <w:spacing w:after="0"/>
              <w:rPr>
                <w:sz w:val="20"/>
                <w:szCs w:val="20"/>
                <w:color w:val="auto"/>
              </w:rPr>
            </w:pPr>
            <w:r>
              <w:rPr>
                <w:rFonts w:ascii="Arial" w:cs="Arial" w:eastAsia="Arial" w:hAnsi="Arial"/>
                <w:sz w:val="17"/>
                <w:szCs w:val="17"/>
                <w:i w:val="1"/>
                <w:iCs w:val="1"/>
                <w:color w:val="auto"/>
                <w:w w:val="94"/>
              </w:rPr>
              <w:t>(As a % of revenue)*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Research and development</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9</w:t>
            </w:r>
          </w:p>
        </w:tc>
      </w:tr>
      <w:tr>
        <w:trPr>
          <w:trHeight w:val="222"/>
        </w:trPr>
        <w:tc>
          <w:tcPr>
            <w:tcW w:w="496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r>
      <w:tr>
        <w:trPr>
          <w:trHeight w:val="222"/>
        </w:trPr>
        <w:tc>
          <w:tcPr>
            <w:tcW w:w="4960" w:type="dxa"/>
            <w:vAlign w:val="bottom"/>
            <w:gridSpan w:val="4"/>
          </w:tcPr>
          <w:p>
            <w:pPr>
              <w:ind w:left="340"/>
              <w:spacing w:after="0"/>
              <w:rPr>
                <w:sz w:val="20"/>
                <w:szCs w:val="20"/>
                <w:color w:val="auto"/>
              </w:rPr>
            </w:pPr>
            <w:r>
              <w:rPr>
                <w:rFonts w:ascii="Arial" w:cs="Arial" w:eastAsia="Arial" w:hAnsi="Arial"/>
                <w:sz w:val="17"/>
                <w:szCs w:val="17"/>
                <w:color w:val="auto"/>
              </w:rPr>
              <w:t>General and administrative</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2</w:t>
            </w:r>
          </w:p>
        </w:tc>
      </w:tr>
      <w:tr>
        <w:trPr>
          <w:trHeight w:val="240"/>
        </w:trPr>
        <w:tc>
          <w:tcPr>
            <w:tcW w:w="3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 Percentages may not foot due to rounding.</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0"/>
              </w:rPr>
              <w:t>Table of Contents</w:t>
            </w:r>
          </w:p>
        </w:tc>
        <w:tc>
          <w:tcPr>
            <w:tcW w:w="3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762"/>
        </w:trPr>
        <w:tc>
          <w:tcPr>
            <w:tcW w:w="6000" w:type="dxa"/>
            <w:vAlign w:val="bottom"/>
            <w:gridSpan w:val="3"/>
          </w:tcPr>
          <w:p>
            <w:pPr>
              <w:ind w:left="400"/>
              <w:spacing w:after="0"/>
              <w:rPr>
                <w:sz w:val="20"/>
                <w:szCs w:val="20"/>
                <w:color w:val="auto"/>
              </w:rPr>
            </w:pPr>
            <w:r>
              <w:rPr>
                <w:rFonts w:ascii="Arial" w:cs="Arial" w:eastAsia="Arial" w:hAnsi="Arial"/>
                <w:sz w:val="17"/>
                <w:szCs w:val="17"/>
                <w:b w:val="1"/>
                <w:bCs w:val="1"/>
                <w:i w:val="1"/>
                <w:iCs w:val="1"/>
                <w:color w:val="auto"/>
                <w:w w:val="99"/>
              </w:rPr>
              <w:t>Comparison of the three months ended September 30, 2022 and 2021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3"/>
        </w:trPr>
        <w:tc>
          <w:tcPr>
            <w:tcW w:w="1320" w:type="dxa"/>
            <w:vAlign w:val="bottom"/>
          </w:tcPr>
          <w:p>
            <w:pPr>
              <w:ind w:left="400"/>
              <w:spacing w:after="0"/>
              <w:rPr>
                <w:sz w:val="20"/>
                <w:szCs w:val="20"/>
                <w:color w:val="auto"/>
              </w:rPr>
            </w:pPr>
            <w:r>
              <w:rPr>
                <w:rFonts w:ascii="Arial" w:cs="Arial" w:eastAsia="Arial" w:hAnsi="Arial"/>
                <w:sz w:val="17"/>
                <w:szCs w:val="17"/>
                <w:i w:val="1"/>
                <w:iCs w:val="1"/>
                <w:color w:val="auto"/>
              </w:rPr>
              <w:t>Revenue</w:t>
            </w:r>
          </w:p>
        </w:tc>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20" w:type="dxa"/>
            <w:vAlign w:val="bottom"/>
            <w:gridSpan w:val="3"/>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680" w:type="dxa"/>
            <w:vAlign w:val="bottom"/>
            <w:gridSpan w:val="2"/>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8"/>
              </w:rPr>
              <w:t>591.0</w:t>
            </w:r>
          </w:p>
        </w:tc>
        <w:tc>
          <w:tcPr>
            <w:tcW w:w="98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7.4 %</w:t>
            </w:r>
          </w:p>
        </w:tc>
      </w:tr>
    </w:tbl>
    <w:p>
      <w:pPr>
        <w:spacing w:after="0" w:line="301"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Revenue increased $40.8 million or 7.4% during the three months ended September 30, 2022, as compared to the three months ended September 30, 2021. The increase in revenue was driven primarily by an increase in paying users, an increased mix of sales towards our higher-priced subscription plans and the repricing and repackaging of the Dropbox Standard and Dropbox Advanced plans in the second quarter of 2022, offset by the impact of unfavorable foreign exchange rates across multiple currencies.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4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7"/>
                <w:szCs w:val="17"/>
                <w:b w:val="1"/>
                <w:bCs w:val="1"/>
                <w:color w:val="auto"/>
                <w:w w:val="91"/>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60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4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109.7</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Arial" w:cs="Arial" w:eastAsia="Arial" w:hAnsi="Arial"/>
                <w:sz w:val="17"/>
                <w:szCs w:val="17"/>
                <w:color w:val="auto"/>
              </w:rPr>
              <w:t>481.3</w:t>
            </w:r>
          </w:p>
        </w:tc>
        <w:tc>
          <w:tcPr>
            <w:tcW w:w="6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7"/>
                <w:szCs w:val="17"/>
                <w:color w:val="auto"/>
              </w:rPr>
              <w:t>438.2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9.8 %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Cost of revenue decreased $2.3 million or 2.1% during the three months ended September 30, 2022, as compared to the three months ended September 30, 2021, primarily due to decreases of $5.1 million in infrastructure cost due to lower facilities costs and depreciation, offset by an increase of $1.6 million in employee-related costs and other immaterial changes.</w:t>
      </w:r>
    </w:p>
    <w:p>
      <w:pPr>
        <w:spacing w:after="0" w:line="198" w:lineRule="exact"/>
        <w:rPr>
          <w:sz w:val="20"/>
          <w:szCs w:val="20"/>
          <w:color w:val="auto"/>
        </w:rPr>
      </w:pPr>
    </w:p>
    <w:p>
      <w:pPr>
        <w:ind w:firstLine="391"/>
        <w:spacing w:after="0" w:line="287" w:lineRule="auto"/>
        <w:rPr>
          <w:sz w:val="20"/>
          <w:szCs w:val="20"/>
          <w:color w:val="auto"/>
        </w:rPr>
      </w:pPr>
      <w:r>
        <w:rPr>
          <w:rFonts w:ascii="Arial" w:cs="Arial" w:eastAsia="Arial" w:hAnsi="Arial"/>
          <w:sz w:val="17"/>
          <w:szCs w:val="17"/>
          <w:color w:val="auto"/>
        </w:rPr>
        <w:t>Our gross margin increased during the three months ended September 30, 2022 compared to the three months ended September 30, 2021, primarily due to a 7.4% increase in revenue during the period and a decrease in our cost of revenue as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2"/>
        </w:trPr>
        <w:tc>
          <w:tcPr>
            <w:tcW w:w="5100" w:type="dxa"/>
            <w:vAlign w:val="bottom"/>
          </w:tcPr>
          <w:p>
            <w:pPr>
              <w:spacing w:after="0"/>
              <w:rPr>
                <w:sz w:val="24"/>
                <w:szCs w:val="24"/>
                <w:color w:val="auto"/>
              </w:rPr>
            </w:pPr>
          </w:p>
        </w:tc>
        <w:tc>
          <w:tcPr>
            <w:tcW w:w="2420" w:type="dxa"/>
            <w:vAlign w:val="bottom"/>
            <w:gridSpan w:val="3"/>
          </w:tcPr>
          <w:p>
            <w:pPr>
              <w:jc w:val="center"/>
              <w:ind w:left="433"/>
              <w:spacing w:after="0"/>
              <w:rPr>
                <w:sz w:val="20"/>
                <w:szCs w:val="20"/>
                <w:color w:val="auto"/>
              </w:rPr>
            </w:pPr>
            <w:r>
              <w:rPr>
                <w:rFonts w:ascii="Arial" w:cs="Arial" w:eastAsia="Arial" w:hAnsi="Arial"/>
                <w:sz w:val="17"/>
                <w:szCs w:val="17"/>
                <w:b w:val="1"/>
                <w:bCs w:val="1"/>
                <w:color w:val="auto"/>
                <w:w w:val="93"/>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7"/>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8"/>
              </w:rPr>
              <w:t>227.6</w:t>
            </w:r>
          </w:p>
        </w:tc>
        <w:tc>
          <w:tcPr>
            <w:tcW w:w="98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21.5 %</w:t>
            </w:r>
          </w:p>
        </w:tc>
      </w:tr>
    </w:tbl>
    <w:p>
      <w:pPr>
        <w:spacing w:after="0" w:line="31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Research and development expenses increased $40.3 million or 21.5% during the three months ended September 30, 2022, as compared to the three months ended September 30, 2021, primarily due to increases of $32.0 million in employee-related costs driven by an increase in headcount partially due to high levels of attrition in 2021 and $6.3 million in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0"/>
              </w:rPr>
              <w:t>Table of Contents</w:t>
            </w:r>
          </w:p>
        </w:tc>
        <w:tc>
          <w:tcPr>
            <w:tcW w:w="3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762"/>
        </w:trPr>
        <w:tc>
          <w:tcPr>
            <w:tcW w:w="5100" w:type="dxa"/>
            <w:vAlign w:val="bottom"/>
            <w:gridSpan w:val="2"/>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7"/>
        </w:trPr>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40" w:type="dxa"/>
            <w:vAlign w:val="bottom"/>
            <w:gridSpan w:val="3"/>
          </w:tcPr>
          <w:p>
            <w:pPr>
              <w:jc w:val="center"/>
              <w:ind w:left="413"/>
              <w:spacing w:after="0"/>
              <w:rPr>
                <w:sz w:val="20"/>
                <w:szCs w:val="20"/>
                <w:color w:val="auto"/>
              </w:rPr>
            </w:pPr>
            <w:r>
              <w:rPr>
                <w:rFonts w:ascii="Arial" w:cs="Arial" w:eastAsia="Arial" w:hAnsi="Arial"/>
                <w:sz w:val="17"/>
                <w:szCs w:val="17"/>
                <w:b w:val="1"/>
                <w:bCs w:val="1"/>
                <w:color w:val="auto"/>
                <w:w w:val="93"/>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13"/>
              <w:spacing w:after="0"/>
              <w:rPr>
                <w:sz w:val="20"/>
                <w:szCs w:val="20"/>
                <w:color w:val="auto"/>
              </w:rPr>
            </w:pPr>
            <w:r>
              <w:rPr>
                <w:rFonts w:ascii="Arial" w:cs="Arial" w:eastAsia="Arial" w:hAnsi="Arial"/>
                <w:sz w:val="17"/>
                <w:szCs w:val="17"/>
                <w:b w:val="1"/>
                <w:bCs w:val="1"/>
                <w:color w:val="auto"/>
                <w:w w:val="91"/>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right="313"/>
              <w:spacing w:after="0"/>
              <w:rPr>
                <w:sz w:val="20"/>
                <w:szCs w:val="20"/>
                <w:color w:val="auto"/>
              </w:rPr>
            </w:pPr>
            <w:r>
              <w:rPr>
                <w:rFonts w:ascii="Arial" w:cs="Arial" w:eastAsia="Arial" w:hAnsi="Arial"/>
                <w:sz w:val="17"/>
                <w:szCs w:val="17"/>
                <w:i w:val="1"/>
                <w:iCs w:val="1"/>
                <w:color w:val="auto"/>
                <w:w w:val="98"/>
              </w:rPr>
              <w:t>(In millions)</w:t>
            </w: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8"/>
              </w:rPr>
              <w:t>103.6</w:t>
            </w:r>
          </w:p>
        </w:tc>
        <w:tc>
          <w:tcPr>
            <w:tcW w:w="100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bl>
    <w:p>
      <w:pPr>
        <w:spacing w:after="0" w:line="301" w:lineRule="exact"/>
        <w:rPr>
          <w:sz w:val="20"/>
          <w:szCs w:val="20"/>
          <w:color w:val="auto"/>
        </w:rPr>
      </w:pPr>
    </w:p>
    <w:p>
      <w:pPr>
        <w:ind w:right="420" w:firstLine="391"/>
        <w:spacing w:after="0" w:line="287" w:lineRule="auto"/>
        <w:rPr>
          <w:sz w:val="20"/>
          <w:szCs w:val="20"/>
          <w:color w:val="auto"/>
        </w:rPr>
      </w:pPr>
      <w:r>
        <w:rPr>
          <w:rFonts w:ascii="Arial" w:cs="Arial" w:eastAsia="Arial" w:hAnsi="Arial"/>
          <w:sz w:val="17"/>
          <w:szCs w:val="17"/>
          <w:color w:val="auto"/>
        </w:rPr>
        <w:t>Sales and marketing expenses decreased $12.1 million or 10.5% during the three months ended September 30, 2022, as compared to the three months ended September 30, 2021, primarily due to a decrease of $10.9 million related to brand and other marketing campaigns.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3"/>
          </w:tcPr>
          <w:p>
            <w:pPr>
              <w:jc w:val="center"/>
              <w:ind w:left="37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353"/>
              <w:spacing w:after="0"/>
              <w:rPr>
                <w:sz w:val="20"/>
                <w:szCs w:val="20"/>
                <w:color w:val="auto"/>
              </w:rPr>
            </w:pPr>
            <w:r>
              <w:rPr>
                <w:rFonts w:ascii="Arial" w:cs="Arial" w:eastAsia="Arial" w:hAnsi="Arial"/>
                <w:sz w:val="17"/>
                <w:szCs w:val="17"/>
                <w:b w:val="1"/>
                <w:bCs w:val="1"/>
                <w:color w:val="auto"/>
                <w:w w:val="91"/>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5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353"/>
              <w:spacing w:after="0"/>
              <w:rPr>
                <w:sz w:val="20"/>
                <w:szCs w:val="20"/>
                <w:color w:val="auto"/>
              </w:rPr>
            </w:pPr>
            <w:r>
              <w:rPr>
                <w:rFonts w:ascii="Arial" w:cs="Arial" w:eastAsia="Arial" w:hAnsi="Arial"/>
                <w:sz w:val="17"/>
                <w:szCs w:val="17"/>
                <w:i w:val="1"/>
                <w:iCs w:val="1"/>
                <w:color w:val="auto"/>
                <w:w w:val="98"/>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56.8</w:t>
            </w:r>
          </w:p>
        </w:tc>
        <w:tc>
          <w:tcPr>
            <w:tcW w:w="104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bl>
    <w:p>
      <w:pPr>
        <w:spacing w:after="0" w:line="200" w:lineRule="exact"/>
        <w:rPr>
          <w:sz w:val="20"/>
          <w:szCs w:val="20"/>
          <w:color w:val="auto"/>
        </w:rPr>
      </w:pPr>
    </w:p>
    <w:p>
      <w:pPr>
        <w:spacing w:after="0" w:line="244" w:lineRule="exact"/>
        <w:rPr>
          <w:sz w:val="20"/>
          <w:szCs w:val="20"/>
          <w:color w:val="auto"/>
        </w:rPr>
      </w:pPr>
    </w:p>
    <w:p>
      <w:pPr>
        <w:jc w:val="both"/>
        <w:ind w:right="120" w:firstLine="391"/>
        <w:spacing w:after="0" w:line="271" w:lineRule="auto"/>
        <w:rPr>
          <w:sz w:val="20"/>
          <w:szCs w:val="20"/>
          <w:color w:val="auto"/>
        </w:rPr>
      </w:pPr>
      <w:r>
        <w:rPr>
          <w:rFonts w:ascii="Arial" w:cs="Arial" w:eastAsia="Arial" w:hAnsi="Arial"/>
          <w:sz w:val="17"/>
          <w:szCs w:val="17"/>
          <w:color w:val="auto"/>
        </w:rPr>
        <w:t>General and administrative expenses decreased $1.1 million or 1.9% during the three months ended September 30, 2022, as compared to the three months ended September 30, 2021, primarily due to a decrease of $4.6 million in non-income based taxes, offset by increases of $2.7 million in employee-related costs and $1.7 million in outside services.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81"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Three Months Ended</w:t>
      </w:r>
    </w:p>
    <w:p>
      <w:pPr>
        <w:spacing w:after="0" w:line="7"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553"/>
              <w:spacing w:after="0"/>
              <w:rPr>
                <w:sz w:val="20"/>
                <w:szCs w:val="20"/>
                <w:color w:val="auto"/>
              </w:rPr>
            </w:pPr>
            <w:r>
              <w:rPr>
                <w:rFonts w:ascii="Arial" w:cs="Arial" w:eastAsia="Arial" w:hAnsi="Arial"/>
                <w:sz w:val="17"/>
                <w:szCs w:val="17"/>
                <w:i w:val="1"/>
                <w:iCs w:val="1"/>
                <w:color w:val="auto"/>
              </w:rPr>
              <w:t>(In millions)</w:t>
            </w: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related to real estate assets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4.0</w:t>
            </w:r>
          </w:p>
        </w:tc>
        <w:tc>
          <w:tcPr>
            <w:tcW w:w="110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bl>
    <w:p>
      <w:pPr>
        <w:spacing w:after="0" w:line="314" w:lineRule="exact"/>
        <w:rPr>
          <w:sz w:val="20"/>
          <w:szCs w:val="20"/>
          <w:color w:val="auto"/>
        </w:rPr>
      </w:pPr>
    </w:p>
    <w:p>
      <w:pPr>
        <w:ind w:right="260" w:firstLine="391"/>
        <w:spacing w:after="0" w:line="266" w:lineRule="auto"/>
        <w:rPr>
          <w:sz w:val="20"/>
          <w:szCs w:val="20"/>
          <w:color w:val="auto"/>
        </w:rPr>
      </w:pPr>
      <w:r>
        <w:rPr>
          <w:rFonts w:ascii="Arial" w:cs="Arial" w:eastAsia="Arial" w:hAnsi="Arial"/>
          <w:sz w:val="17"/>
          <w:szCs w:val="17"/>
          <w:color w:val="auto"/>
        </w:rPr>
        <w:t>Impairment related to real estate assets was $4.0 million during the three months ended September 30, 2022, due to an impairment charge related to real estate assets as a result of the adoption of our Virtual First strategy and an increase in common area fees for our San Francisco headquarters, where we have space available for sublease, as well as the impact of updated assumptions as we continue to monitor the global real estate market. We did not incur any impairment related to real estate assets during the three months ended September 30, 2021.</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8" w:lineRule="exact"/>
        <w:rPr>
          <w:sz w:val="20"/>
          <w:szCs w:val="20"/>
          <w:color w:val="auto"/>
        </w:rPr>
      </w:pPr>
    </w:p>
    <w:p>
      <w:pPr>
        <w:ind w:right="200" w:firstLine="391"/>
        <w:spacing w:after="0" w:line="287" w:lineRule="auto"/>
        <w:rPr>
          <w:sz w:val="20"/>
          <w:szCs w:val="20"/>
          <w:color w:val="auto"/>
        </w:rPr>
      </w:pPr>
      <w:r>
        <w:rPr>
          <w:rFonts w:ascii="Arial" w:cs="Arial" w:eastAsia="Arial" w:hAnsi="Arial"/>
          <w:sz w:val="17"/>
          <w:szCs w:val="17"/>
          <w:color w:val="auto"/>
        </w:rPr>
        <w:t>Interest income, net increased by $3.4 million during the three months ended September 30, 2022, as compared to the three months ended September 30, 2021, primarily due to higher interest income as a result of interest rate increases.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8" w:lineRule="exact"/>
        <w:rPr>
          <w:sz w:val="20"/>
          <w:szCs w:val="20"/>
          <w:color w:val="auto"/>
        </w:rPr>
      </w:pPr>
    </w:p>
    <w:p>
      <w:pPr>
        <w:ind w:right="100" w:firstLine="391"/>
        <w:spacing w:after="0" w:line="287" w:lineRule="auto"/>
        <w:rPr>
          <w:sz w:val="20"/>
          <w:szCs w:val="20"/>
          <w:color w:val="auto"/>
        </w:rPr>
      </w:pPr>
      <w:r>
        <w:rPr>
          <w:rFonts w:ascii="Arial" w:cs="Arial" w:eastAsia="Arial" w:hAnsi="Arial"/>
          <w:sz w:val="17"/>
          <w:szCs w:val="17"/>
          <w:color w:val="auto"/>
        </w:rPr>
        <w:t>Other income, net increased $6.7 million during the three months ended September 30, 2022, as compared to the three months ended September 30, 2021, primarily due to an increase of $6.5 million in foreign currency transaction gains.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8" w:lineRule="exact"/>
        <w:rPr>
          <w:sz w:val="20"/>
          <w:szCs w:val="20"/>
          <w:color w:val="auto"/>
        </w:rPr>
      </w:pPr>
    </w:p>
    <w:p>
      <w:pPr>
        <w:ind w:right="100" w:firstLine="391"/>
        <w:spacing w:after="0" w:line="271" w:lineRule="auto"/>
        <w:rPr>
          <w:sz w:val="20"/>
          <w:szCs w:val="20"/>
          <w:color w:val="auto"/>
        </w:rPr>
      </w:pPr>
      <w:r>
        <w:rPr>
          <w:rFonts w:ascii="Arial" w:cs="Arial" w:eastAsia="Arial" w:hAnsi="Arial"/>
          <w:sz w:val="17"/>
          <w:szCs w:val="17"/>
          <w:color w:val="auto"/>
        </w:rPr>
        <w:t>Provision for income taxes increased $14.5 million during the three months ended September 30, 2022, as compared to the three months ended September 30, 2021, primarily due to the impact of capitalization of research and experimental expenditures, and tax expense for our Irish subsidiary, which no longer maintains a valuation allowance on deferred tax assets.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0"/>
              </w:rPr>
              <w:t>Table of Contents</w:t>
            </w: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762"/>
        </w:trPr>
        <w:tc>
          <w:tcPr>
            <w:tcW w:w="5460" w:type="dxa"/>
            <w:vAlign w:val="bottom"/>
            <w:gridSpan w:val="3"/>
          </w:tcPr>
          <w:p>
            <w:pPr>
              <w:ind w:left="400"/>
              <w:spacing w:after="0"/>
              <w:rPr>
                <w:sz w:val="20"/>
                <w:szCs w:val="20"/>
                <w:color w:val="auto"/>
              </w:rPr>
            </w:pPr>
            <w:r>
              <w:rPr>
                <w:rFonts w:ascii="Arial" w:cs="Arial" w:eastAsia="Arial" w:hAnsi="Arial"/>
                <w:sz w:val="17"/>
                <w:szCs w:val="17"/>
                <w:b w:val="1"/>
                <w:bCs w:val="1"/>
                <w:i w:val="1"/>
                <w:iCs w:val="1"/>
                <w:color w:val="auto"/>
                <w:w w:val="91"/>
              </w:rPr>
              <w:t>Comparison of the nine months ended September 30, 2022 and 2021</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3"/>
        </w:trPr>
        <w:tc>
          <w:tcPr>
            <w:tcW w:w="1320" w:type="dxa"/>
            <w:vAlign w:val="bottom"/>
          </w:tcPr>
          <w:p>
            <w:pPr>
              <w:ind w:left="400"/>
              <w:spacing w:after="0"/>
              <w:rPr>
                <w:sz w:val="20"/>
                <w:szCs w:val="20"/>
                <w:color w:val="auto"/>
              </w:rPr>
            </w:pPr>
            <w:r>
              <w:rPr>
                <w:rFonts w:ascii="Arial" w:cs="Arial" w:eastAsia="Arial" w:hAnsi="Arial"/>
                <w:sz w:val="17"/>
                <w:szCs w:val="17"/>
                <w:i w:val="1"/>
                <w:iCs w:val="1"/>
                <w:color w:val="auto"/>
              </w:rPr>
              <w:t>Revenue</w:t>
            </w:r>
          </w:p>
        </w:tc>
        <w:tc>
          <w:tcPr>
            <w:tcW w:w="3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9"/>
        </w:trPr>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4"/>
          </w:tcPr>
          <w:p>
            <w:pPr>
              <w:jc w:val="center"/>
              <w:ind w:right="460"/>
              <w:spacing w:after="0"/>
              <w:rPr>
                <w:sz w:val="20"/>
                <w:szCs w:val="20"/>
                <w:color w:val="auto"/>
              </w:rPr>
            </w:pPr>
            <w:r>
              <w:rPr>
                <w:rFonts w:ascii="Arial" w:cs="Arial" w:eastAsia="Arial" w:hAnsi="Arial"/>
                <w:sz w:val="17"/>
                <w:szCs w:val="17"/>
                <w:b w:val="1"/>
                <w:bCs w:val="1"/>
                <w:color w:val="auto"/>
                <w:w w:val="93"/>
              </w:rPr>
              <w:t>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433"/>
              <w:spacing w:after="0"/>
              <w:rPr>
                <w:sz w:val="20"/>
                <w:szCs w:val="20"/>
                <w:color w:val="auto"/>
              </w:rPr>
            </w:pPr>
            <w:r>
              <w:rPr>
                <w:rFonts w:ascii="Arial" w:cs="Arial" w:eastAsia="Arial" w:hAnsi="Arial"/>
                <w:sz w:val="17"/>
                <w:szCs w:val="17"/>
                <w:b w:val="1"/>
                <w:bCs w:val="1"/>
                <w:color w:val="auto"/>
                <w:w w:val="91"/>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Arial" w:cs="Arial" w:eastAsia="Arial" w:hAnsi="Arial"/>
                <w:sz w:val="17"/>
                <w:szCs w:val="17"/>
                <w:b w:val="1"/>
                <w:bCs w:val="1"/>
                <w:color w:val="auto"/>
              </w:rPr>
              <w:t>2022</w:t>
            </w:r>
          </w:p>
        </w:tc>
        <w:tc>
          <w:tcPr>
            <w:tcW w:w="600" w:type="dxa"/>
            <w:vAlign w:val="bottom"/>
          </w:tcPr>
          <w:p>
            <w:pPr>
              <w:spacing w:after="0"/>
              <w:rPr>
                <w:sz w:val="19"/>
                <w:szCs w:val="19"/>
                <w:color w:val="auto"/>
              </w:rPr>
            </w:pPr>
          </w:p>
        </w:tc>
        <w:tc>
          <w:tcPr>
            <w:tcW w:w="900" w:type="dxa"/>
            <w:vAlign w:val="bottom"/>
          </w:tcPr>
          <w:p>
            <w:pPr>
              <w:jc w:val="right"/>
              <w:ind w:right="453"/>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13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433"/>
              <w:spacing w:after="0"/>
              <w:rPr>
                <w:sz w:val="20"/>
                <w:szCs w:val="20"/>
                <w:color w:val="auto"/>
              </w:rPr>
            </w:pPr>
            <w:r>
              <w:rPr>
                <w:rFonts w:ascii="Arial" w:cs="Arial" w:eastAsia="Arial" w:hAnsi="Arial"/>
                <w:sz w:val="17"/>
                <w:szCs w:val="17"/>
                <w:i w:val="1"/>
                <w:iCs w:val="1"/>
                <w:color w:val="auto"/>
                <w:w w:val="98"/>
              </w:rPr>
              <w:t>(In millions)</w:t>
            </w: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1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1,726.1</w:t>
            </w:r>
          </w:p>
        </w:tc>
        <w:tc>
          <w:tcPr>
            <w:tcW w:w="60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8.4 %</w:t>
            </w:r>
          </w:p>
        </w:tc>
      </w:tr>
    </w:tbl>
    <w:p>
      <w:pPr>
        <w:spacing w:after="0" w:line="301"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Revenue increased $133.7 million or 8.4% during the nine months ended September 30, 2022, as compared to the nine months ended September 30, 2021. The increase in revenue was driven primarily by an increase in paying users, an increased mix of sales towards our higher-priced subscription plans and the repricing and repackaging of the Dropbox Standard and Dropbox Advanced plans in the second quarter of 2022, offset by the impact of unfavorable foreign exchange rates across multiple currencies.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7"/>
                <w:szCs w:val="17"/>
                <w:b w:val="1"/>
                <w:bCs w:val="1"/>
                <w:color w:val="auto"/>
                <w:w w:val="93"/>
              </w:rPr>
              <w:t>Nine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7"/>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tcPr>
          <w:p>
            <w:pPr>
              <w:jc w:val="center"/>
              <w:ind w:left="553"/>
              <w:spacing w:after="0"/>
              <w:rPr>
                <w:sz w:val="20"/>
                <w:szCs w:val="20"/>
                <w:color w:val="auto"/>
              </w:rPr>
            </w:pPr>
            <w:r>
              <w:rPr>
                <w:rFonts w:ascii="Arial" w:cs="Arial" w:eastAsia="Arial" w:hAnsi="Arial"/>
                <w:sz w:val="17"/>
                <w:szCs w:val="17"/>
                <w:b w:val="1"/>
                <w:bCs w:val="1"/>
                <w:color w:val="auto"/>
                <w:w w:val="91"/>
              </w:rPr>
              <w:t>September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Arial" w:cs="Arial" w:eastAsia="Arial" w:hAnsi="Arial"/>
                <w:sz w:val="17"/>
                <w:szCs w:val="17"/>
                <w:b w:val="1"/>
                <w:bCs w:val="1"/>
                <w:color w:val="auto"/>
              </w:rPr>
              <w:t>2022</w:t>
            </w:r>
          </w:p>
        </w:tc>
        <w:tc>
          <w:tcPr>
            <w:tcW w:w="60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4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328.4</w:t>
            </w:r>
          </w:p>
        </w:tc>
        <w:tc>
          <w:tcPr>
            <w:tcW w:w="60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Arial" w:cs="Arial" w:eastAsia="Arial" w:hAnsi="Arial"/>
                <w:sz w:val="17"/>
                <w:szCs w:val="17"/>
                <w:color w:val="auto"/>
              </w:rPr>
              <w:t>1,397.7</w:t>
            </w:r>
          </w:p>
        </w:tc>
        <w:tc>
          <w:tcPr>
            <w:tcW w:w="6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7"/>
                <w:szCs w:val="17"/>
                <w:color w:val="auto"/>
              </w:rPr>
              <w:t>1,264.0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133.7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10.6 %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Cost of revenue stayed flat during the nine months ended September 30, 2022, as compared to the nine months ended September 30, 2021, primarily due to decreases of $3.1 million in credit card transaction fees, $1.0 million in outside services, and $0.4 million in employee-related costs. These decreases were offset by increases of $2.7 million in infrastructure costs and $1.9 million in allocated overhead.</w:t>
      </w:r>
    </w:p>
    <w:p>
      <w:pPr>
        <w:spacing w:after="0" w:line="94" w:lineRule="exact"/>
        <w:rPr>
          <w:sz w:val="20"/>
          <w:szCs w:val="20"/>
          <w:color w:val="auto"/>
        </w:rPr>
      </w:pPr>
    </w:p>
    <w:p>
      <w:pPr>
        <w:ind w:right="260" w:firstLine="391"/>
        <w:spacing w:after="0" w:line="287" w:lineRule="auto"/>
        <w:rPr>
          <w:sz w:val="20"/>
          <w:szCs w:val="20"/>
          <w:color w:val="auto"/>
        </w:rPr>
      </w:pPr>
      <w:r>
        <w:rPr>
          <w:rFonts w:ascii="Arial" w:cs="Arial" w:eastAsia="Arial" w:hAnsi="Arial"/>
          <w:sz w:val="17"/>
          <w:szCs w:val="17"/>
          <w:color w:val="auto"/>
        </w:rPr>
        <w:t>Gross margin increased during the nine months ended September 30, 2022 compared to the nine months ended September 30, 2021, primarily due to an 8.4% increase in revenue during the period and our cost of revenue staying flat, as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5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8"/>
              </w:rPr>
              <w:t>653.4</w:t>
            </w:r>
          </w:p>
        </w:tc>
        <w:tc>
          <w:tcPr>
            <w:tcW w:w="98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17.9 %</w:t>
            </w:r>
          </w:p>
        </w:tc>
      </w:tr>
    </w:tbl>
    <w:p>
      <w:pPr>
        <w:spacing w:after="0" w:line="314" w:lineRule="exact"/>
        <w:rPr>
          <w:sz w:val="20"/>
          <w:szCs w:val="20"/>
          <w:color w:val="auto"/>
        </w:rPr>
      </w:pPr>
    </w:p>
    <w:p>
      <w:pPr>
        <w:jc w:val="both"/>
        <w:ind w:right="80" w:firstLine="391"/>
        <w:spacing w:after="0" w:line="271" w:lineRule="auto"/>
        <w:rPr>
          <w:sz w:val="20"/>
          <w:szCs w:val="20"/>
          <w:color w:val="auto"/>
        </w:rPr>
      </w:pPr>
      <w:r>
        <w:rPr>
          <w:rFonts w:ascii="Arial" w:cs="Arial" w:eastAsia="Arial" w:hAnsi="Arial"/>
          <w:sz w:val="17"/>
          <w:szCs w:val="17"/>
          <w:color w:val="auto"/>
        </w:rPr>
        <w:t>Research and development expenses increased $99.4 million or 17.9% during the nine months ended September 30, 2022, as compared to the nine months ended September 30, 2021, primarily due to increases of $83.5 million in employee-related costs driven by an increase in headcount partially due to high levels of attrition in 2021 and $8.6 million in allocated overhead.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2"/>
        </w:trPr>
        <w:tc>
          <w:tcPr>
            <w:tcW w:w="510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7"/>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8"/>
              </w:rPr>
              <w:t>304.3</w:t>
            </w:r>
          </w:p>
        </w:tc>
        <w:tc>
          <w:tcPr>
            <w:tcW w:w="98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ind w:right="140" w:firstLine="391"/>
        <w:spacing w:after="0" w:line="271" w:lineRule="auto"/>
        <w:rPr>
          <w:sz w:val="20"/>
          <w:szCs w:val="20"/>
          <w:color w:val="auto"/>
        </w:rPr>
      </w:pPr>
      <w:r>
        <w:rPr>
          <w:rFonts w:ascii="Arial" w:cs="Arial" w:eastAsia="Arial" w:hAnsi="Arial"/>
          <w:sz w:val="17"/>
          <w:szCs w:val="17"/>
          <w:color w:val="auto"/>
        </w:rPr>
        <w:t>Sales and marketing expenses decreased $14.9 million or 4.7% during the nine months ended September 30, 2022, as compared to the nine months ended September 30, 2021, primarily due to decreases of $10.4 million in employee-related costs due to severance expenses associated with the reduction in force in 2021, $3.0 million in allocated overhead, and $0.7 million related to brand and other marketing campaigns.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3"/>
          </w:tcPr>
          <w:p>
            <w:pPr>
              <w:jc w:val="center"/>
              <w:ind w:left="413"/>
              <w:spacing w:after="0"/>
              <w:rPr>
                <w:sz w:val="20"/>
                <w:szCs w:val="20"/>
                <w:color w:val="auto"/>
              </w:rPr>
            </w:pPr>
            <w:r>
              <w:rPr>
                <w:rFonts w:ascii="Arial" w:cs="Arial" w:eastAsia="Arial" w:hAnsi="Arial"/>
                <w:sz w:val="17"/>
                <w:szCs w:val="17"/>
                <w:b w:val="1"/>
                <w:bCs w:val="1"/>
                <w:color w:val="auto"/>
                <w:w w:val="93"/>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5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93"/>
              <w:spacing w:after="0"/>
              <w:rPr>
                <w:sz w:val="20"/>
                <w:szCs w:val="20"/>
                <w:color w:val="auto"/>
              </w:rPr>
            </w:pPr>
            <w:r>
              <w:rPr>
                <w:rFonts w:ascii="Arial" w:cs="Arial" w:eastAsia="Arial" w:hAnsi="Arial"/>
                <w:sz w:val="17"/>
                <w:szCs w:val="17"/>
                <w:b w:val="1"/>
                <w:bCs w:val="1"/>
                <w:color w:val="auto"/>
                <w:w w:val="91"/>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5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93"/>
              <w:spacing w:after="0"/>
              <w:rPr>
                <w:sz w:val="20"/>
                <w:szCs w:val="20"/>
                <w:color w:val="auto"/>
              </w:rPr>
            </w:pPr>
            <w:r>
              <w:rPr>
                <w:rFonts w:ascii="Arial" w:cs="Arial" w:eastAsia="Arial" w:hAnsi="Arial"/>
                <w:sz w:val="17"/>
                <w:szCs w:val="17"/>
                <w:i w:val="1"/>
                <w:iCs w:val="1"/>
                <w:color w:val="auto"/>
                <w:w w:val="98"/>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8"/>
              </w:rPr>
              <w:t>165.6</w:t>
            </w:r>
          </w:p>
        </w:tc>
        <w:tc>
          <w:tcPr>
            <w:tcW w:w="98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bl>
    <w:p>
      <w:pPr>
        <w:spacing w:after="0" w:line="200" w:lineRule="exact"/>
        <w:rPr>
          <w:sz w:val="20"/>
          <w:szCs w:val="20"/>
          <w:color w:val="auto"/>
        </w:rPr>
      </w:pPr>
    </w:p>
    <w:p>
      <w:pPr>
        <w:spacing w:after="0" w:line="244" w:lineRule="exact"/>
        <w:rPr>
          <w:sz w:val="20"/>
          <w:szCs w:val="20"/>
          <w:color w:val="auto"/>
        </w:rPr>
      </w:pPr>
    </w:p>
    <w:p>
      <w:pPr>
        <w:jc w:val="both"/>
        <w:ind w:right="220" w:firstLine="391"/>
        <w:spacing w:after="0" w:line="296" w:lineRule="auto"/>
        <w:rPr>
          <w:sz w:val="20"/>
          <w:szCs w:val="20"/>
          <w:color w:val="auto"/>
        </w:rPr>
      </w:pPr>
      <w:r>
        <w:rPr>
          <w:rFonts w:ascii="Arial" w:cs="Arial" w:eastAsia="Arial" w:hAnsi="Arial"/>
          <w:sz w:val="16"/>
          <w:szCs w:val="16"/>
          <w:color w:val="auto"/>
        </w:rPr>
        <w:t>General and administrative expenses decreased $3.7 million or 2.2% during the nine months ended September 30, 2022, as compared to the nine months ended September 30, 2021, primarily due to decreases of $4.5 million in non-income based taxes, $3.9 million in allocated overhead, and $1.6 million in legal fees. These decreases were offset by increases of $3.8 million in employee-related costs and $1.7 million in outside services.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75"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Nine Months Ended</w:t>
      </w:r>
    </w:p>
    <w:p>
      <w:pPr>
        <w:jc w:val="center"/>
        <w:ind w:left="186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related to real estate assets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12.7</w:t>
            </w: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r>
    </w:tbl>
    <w:p>
      <w:pPr>
        <w:spacing w:after="0" w:line="314" w:lineRule="exact"/>
        <w:rPr>
          <w:sz w:val="20"/>
          <w:szCs w:val="20"/>
          <w:color w:val="auto"/>
        </w:rPr>
      </w:pPr>
    </w:p>
    <w:p>
      <w:pPr>
        <w:ind w:right="40" w:firstLine="391"/>
        <w:spacing w:after="0" w:line="296" w:lineRule="auto"/>
        <w:rPr>
          <w:sz w:val="20"/>
          <w:szCs w:val="20"/>
          <w:color w:val="auto"/>
        </w:rPr>
      </w:pPr>
      <w:r>
        <w:rPr>
          <w:rFonts w:ascii="Arial" w:cs="Arial" w:eastAsia="Arial" w:hAnsi="Arial"/>
          <w:sz w:val="16"/>
          <w:szCs w:val="16"/>
          <w:color w:val="auto"/>
        </w:rPr>
        <w:t>Impairment related to real estate assets was $12.7 million and $17.3 million during the nine months ended September 30, 2022 and 2021, respectively, related to real estate assets as a result of our Virtual First strategy and the impact of updated assumptions as we continue to monitor the global real estate market, as well as an increase in common area fees for our San Francisco headquarters, where we have space available for sublease.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8" w:lineRule="exact"/>
        <w:rPr>
          <w:sz w:val="20"/>
          <w:szCs w:val="20"/>
          <w:color w:val="auto"/>
        </w:rPr>
      </w:pPr>
    </w:p>
    <w:p>
      <w:pPr>
        <w:ind w:firstLine="391"/>
        <w:spacing w:after="0" w:line="287" w:lineRule="auto"/>
        <w:rPr>
          <w:sz w:val="20"/>
          <w:szCs w:val="20"/>
          <w:color w:val="auto"/>
        </w:rPr>
      </w:pPr>
      <w:r>
        <w:rPr>
          <w:rFonts w:ascii="Arial" w:cs="Arial" w:eastAsia="Arial" w:hAnsi="Arial"/>
          <w:sz w:val="17"/>
          <w:szCs w:val="17"/>
          <w:color w:val="auto"/>
        </w:rPr>
        <w:t>Interest expense, net decreased $3.6 million during the nine months ended September 30, 2022, as compared to the nine months ended September 30, 2021, primarily due to higher interest income as a result of interest rate increases.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8" w:lineRule="exact"/>
        <w:rPr>
          <w:sz w:val="20"/>
          <w:szCs w:val="20"/>
          <w:color w:val="auto"/>
        </w:rPr>
      </w:pPr>
    </w:p>
    <w:p>
      <w:pPr>
        <w:ind w:right="140" w:firstLine="391"/>
        <w:spacing w:after="0" w:line="266" w:lineRule="auto"/>
        <w:rPr>
          <w:sz w:val="20"/>
          <w:szCs w:val="20"/>
          <w:color w:val="auto"/>
        </w:rPr>
      </w:pPr>
      <w:r>
        <w:rPr>
          <w:rFonts w:ascii="Arial" w:cs="Arial" w:eastAsia="Arial" w:hAnsi="Arial"/>
          <w:sz w:val="17"/>
          <w:szCs w:val="17"/>
          <w:color w:val="auto"/>
        </w:rPr>
        <w:t>Other income, net decreased $3.5 million during the nine months ended September 30, 2022, as compared to the nine months ended September 30, 2021, primarily due to decreases of $6.2 million in losses related to the termination of a datacenter lease, $5.8 million in gains on sales of retired infrastructure assets, and $1.7 million in losses related to investments. These decreases were offset by a $5.0 million gain related to the sale of equity investments and increases of $4.8 million in foreign currency transaction gains.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Provision for income taxes</w:t>
      </w:r>
    </w:p>
    <w:p>
      <w:pPr>
        <w:spacing w:after="0" w:line="248" w:lineRule="exact"/>
        <w:rPr>
          <w:sz w:val="20"/>
          <w:szCs w:val="20"/>
          <w:color w:val="auto"/>
        </w:rPr>
      </w:pPr>
    </w:p>
    <w:p>
      <w:pPr>
        <w:ind w:firstLine="391"/>
        <w:spacing w:after="0" w:line="266" w:lineRule="auto"/>
        <w:rPr>
          <w:sz w:val="20"/>
          <w:szCs w:val="20"/>
          <w:color w:val="auto"/>
        </w:rPr>
      </w:pPr>
      <w:r>
        <w:rPr>
          <w:rFonts w:ascii="Arial" w:cs="Arial" w:eastAsia="Arial" w:hAnsi="Arial"/>
          <w:sz w:val="17"/>
          <w:szCs w:val="17"/>
          <w:color w:val="auto"/>
        </w:rPr>
        <w:t>Provision for income taxes increased $43.9 million during the nine months ended September 30, 2022, as compared to the nine months ended September 30, 2021, primarily due to the impact of capitalization of research and experimental expenditures, tax expense for our Irish subsidiary, which no longer maintains a valuation allowance on deferred tax assets, and a $1.9 million benefit recorded during the nine months ended September 30, 2021 as a result of the DocSend acquisition.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4" w:lineRule="exact"/>
        <w:rPr>
          <w:sz w:val="20"/>
          <w:szCs w:val="20"/>
          <w:color w:val="auto"/>
        </w:rPr>
      </w:pPr>
    </w:p>
    <w:p>
      <w:pPr>
        <w:ind w:right="180" w:firstLine="391"/>
        <w:spacing w:after="0" w:line="284" w:lineRule="auto"/>
        <w:rPr>
          <w:sz w:val="20"/>
          <w:szCs w:val="20"/>
          <w:color w:val="auto"/>
        </w:rPr>
      </w:pPr>
      <w:r>
        <w:rPr>
          <w:rFonts w:ascii="Arial" w:cs="Arial" w:eastAsia="Arial" w:hAnsi="Arial"/>
          <w:sz w:val="16"/>
          <w:szCs w:val="16"/>
          <w:color w:val="auto"/>
        </w:rPr>
        <w:t>As of September 30, 2022, we had cash and cash equivalents of $372.0 million and short-term investments of $1,081.4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September 30, 2022, we had $165.3 million of our cash and cash equivalents held by our foreign subsidiaries. We do not expect to incur material taxes in the event we repatriate any of these amounts.</w:t>
      </w:r>
    </w:p>
    <w:p>
      <w:pPr>
        <w:spacing w:after="0" w:line="98" w:lineRule="exact"/>
        <w:rPr>
          <w:sz w:val="20"/>
          <w:szCs w:val="20"/>
          <w:color w:val="auto"/>
        </w:rPr>
      </w:pPr>
    </w:p>
    <w:p>
      <w:pPr>
        <w:ind w:right="20" w:firstLine="391"/>
        <w:spacing w:after="0" w:line="312" w:lineRule="auto"/>
        <w:rPr>
          <w:sz w:val="20"/>
          <w:szCs w:val="20"/>
          <w:color w:val="auto"/>
        </w:rPr>
      </w:pPr>
      <w:r>
        <w:rPr>
          <w:rFonts w:ascii="Arial" w:cs="Arial" w:eastAsia="Arial" w:hAnsi="Arial"/>
          <w:sz w:val="15"/>
          <w:szCs w:val="15"/>
          <w:color w:val="auto"/>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68"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our failure to comply with certain of our reporting obligations. These Notes can be converted or repurchased prior to maturity if certain conditions are met.</w:t>
      </w:r>
    </w:p>
    <w:p>
      <w:pPr>
        <w:spacing w:after="0" w:line="115" w:lineRule="exact"/>
        <w:rPr>
          <w:sz w:val="20"/>
          <w:szCs w:val="20"/>
          <w:color w:val="auto"/>
        </w:rPr>
      </w:pPr>
    </w:p>
    <w:p>
      <w:pPr>
        <w:ind w:right="20" w:firstLine="391"/>
        <w:spacing w:after="0" w:line="296" w:lineRule="auto"/>
        <w:rPr>
          <w:sz w:val="20"/>
          <w:szCs w:val="20"/>
          <w:color w:val="auto"/>
        </w:rPr>
      </w:pPr>
      <w:r>
        <w:rPr>
          <w:rFonts w:ascii="Arial" w:cs="Arial" w:eastAsia="Arial" w:hAnsi="Arial"/>
          <w:sz w:val="15"/>
          <w:szCs w:val="15"/>
          <w:color w:val="auto"/>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We completed the February 2020 stock repurchase program of up to $600 million during the first quarter of 2021. In February 2021, our Board of Directors authorized the repurchase of up to an additional $1 billion of the outstanding shares of our Class A common stock. We completed the February 2021 stock repurchase program of up to $1 billion during the second quarter of 2022. In February 2022, our Board of Directors authorized the repurchase of up to an additional $1.2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2022, we repurchased and subsequently retired 7.7 million and 27.6 million shares, respectively, of our Class A common stock for an aggregate amount of $171.4 million and $621.1 million, respectively. The pace of our share repurchases may vary due to various circumstances, including market conditions and our stock price.</w:t>
      </w:r>
    </w:p>
    <w:p>
      <w:pPr>
        <w:spacing w:after="0" w:line="185" w:lineRule="exact"/>
        <w:rPr>
          <w:sz w:val="20"/>
          <w:szCs w:val="20"/>
          <w:color w:val="auto"/>
        </w:rPr>
      </w:pPr>
    </w:p>
    <w:p>
      <w:pPr>
        <w:ind w:right="40" w:firstLine="391"/>
        <w:spacing w:after="0" w:line="260" w:lineRule="auto"/>
        <w:rPr>
          <w:sz w:val="20"/>
          <w:szCs w:val="20"/>
          <w:color w:val="auto"/>
        </w:rPr>
      </w:pPr>
      <w:r>
        <w:rPr>
          <w:rFonts w:ascii="Arial" w:cs="Arial" w:eastAsia="Arial" w:hAnsi="Arial"/>
          <w:sz w:val="17"/>
          <w:szCs w:val="17"/>
          <w:color w:val="auto"/>
        </w:rPr>
        <w:t>In April 2017, we entered into a $600.0 million credit facility with a syndicate of financial institutions, which we subsequently amended in February 2018 and February 2021.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 The revolving credit facility terminates on February 23, 2026.</w:t>
      </w:r>
    </w:p>
    <w:p>
      <w:pPr>
        <w:spacing w:after="0" w:line="118" w:lineRule="exact"/>
        <w:rPr>
          <w:sz w:val="20"/>
          <w:szCs w:val="20"/>
          <w:color w:val="auto"/>
        </w:rPr>
      </w:pPr>
    </w:p>
    <w:p>
      <w:pPr>
        <w:ind w:right="400" w:firstLine="391"/>
        <w:spacing w:after="0" w:line="298" w:lineRule="auto"/>
        <w:rPr>
          <w:sz w:val="20"/>
          <w:szCs w:val="20"/>
          <w:color w:val="auto"/>
        </w:rPr>
      </w:pPr>
      <w:r>
        <w:rPr>
          <w:rFonts w:ascii="Arial" w:cs="Arial" w:eastAsia="Arial" w:hAnsi="Arial"/>
          <w:sz w:val="15"/>
          <w:szCs w:val="15"/>
          <w:color w:val="auto"/>
        </w:rPr>
        <w:t>Interest on borrowings under the revolving credit facility accrues at a variable rate tied to LIBOR or an alternative base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220" w:firstLine="391"/>
        <w:spacing w:after="0" w:line="288"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September 30, 2022.</w:t>
      </w:r>
    </w:p>
    <w:p>
      <w:pPr>
        <w:spacing w:after="0" w:line="95" w:lineRule="exact"/>
        <w:rPr>
          <w:sz w:val="20"/>
          <w:szCs w:val="20"/>
          <w:color w:val="auto"/>
        </w:rPr>
      </w:pPr>
    </w:p>
    <w:p>
      <w:pPr>
        <w:ind w:right="220" w:firstLine="391"/>
        <w:spacing w:after="0" w:line="357" w:lineRule="auto"/>
        <w:rPr>
          <w:sz w:val="20"/>
          <w:szCs w:val="20"/>
          <w:color w:val="auto"/>
        </w:rPr>
      </w:pPr>
      <w:r>
        <w:rPr>
          <w:rFonts w:ascii="Arial" w:cs="Arial" w:eastAsia="Arial" w:hAnsi="Arial"/>
          <w:sz w:val="15"/>
          <w:szCs w:val="15"/>
          <w:color w:val="auto"/>
        </w:rPr>
        <w:t>As of September 30, 2022, we had no amounts outstanding under the revolving credit facility and an aggregate of $40.4 million in letters of credit issued under the revolving credit facility. Our total available borrowing capacity under the revolving credit facility was $459.6 million as of September 30, 2022.</w:t>
      </w:r>
    </w:p>
    <w:p>
      <w:pPr>
        <w:spacing w:after="0" w:line="34" w:lineRule="exact"/>
        <w:rPr>
          <w:sz w:val="20"/>
          <w:szCs w:val="20"/>
          <w:color w:val="auto"/>
        </w:rPr>
      </w:pPr>
    </w:p>
    <w:p>
      <w:pPr>
        <w:ind w:right="40" w:firstLine="391"/>
        <w:spacing w:after="0" w:line="281" w:lineRule="auto"/>
        <w:rPr>
          <w:sz w:val="20"/>
          <w:szCs w:val="20"/>
          <w:color w:val="auto"/>
        </w:rPr>
      </w:pPr>
      <w:r>
        <w:rPr>
          <w:rFonts w:ascii="Arial" w:cs="Arial" w:eastAsia="Arial" w:hAnsi="Arial"/>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Our principal commitments consist of obligations under the Notes, operating leases for office space and datacenter operations, and finance leases for datacenter and office equipment. For additional information on the Notes, operating leases for office space and datacenter operations, and finance leases for datacenter and office equipment, see Note 8 "Debt" and Note 9 "Leases" to our condensed consolidated financial statements included elsewhere in this Quarterly Report on Form 10-Q for further information. There have been no material changes in our contractual obligations and commitments, as disclosed in our Annual Report on Form 10-K for the year ended December 31, 2021.</w:t>
      </w:r>
    </w:p>
    <w:p>
      <w:pPr>
        <w:spacing w:after="0" w:line="194" w:lineRule="exact"/>
        <w:rPr>
          <w:sz w:val="20"/>
          <w:szCs w:val="20"/>
          <w:color w:val="auto"/>
        </w:rPr>
      </w:pPr>
    </w:p>
    <w:p>
      <w:pPr>
        <w:ind w:right="80" w:firstLine="391"/>
        <w:spacing w:after="0" w:line="260" w:lineRule="auto"/>
        <w:rPr>
          <w:sz w:val="20"/>
          <w:szCs w:val="20"/>
          <w:color w:val="auto"/>
        </w:rPr>
      </w:pPr>
      <w:r>
        <w:rPr>
          <w:rFonts w:ascii="Arial" w:cs="Arial" w:eastAsia="Arial" w:hAnsi="Arial"/>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184"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Nine Months Ended</w:t>
      </w:r>
    </w:p>
    <w:p>
      <w:pPr>
        <w:jc w:val="center"/>
        <w:ind w:left="7400"/>
        <w:spacing w:after="0"/>
        <w:rPr>
          <w:sz w:val="20"/>
          <w:szCs w:val="20"/>
          <w:color w:val="auto"/>
        </w:rPr>
      </w:pPr>
      <w:r>
        <w:rPr>
          <w:rFonts w:ascii="Arial" w:cs="Arial" w:eastAsia="Arial" w:hAnsi="Arial"/>
          <w:sz w:val="17"/>
          <w:szCs w:val="17"/>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r>
      <w:tr>
        <w:trPr>
          <w:trHeight w:val="215"/>
        </w:trPr>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567.1</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(560.1)</w:t>
            </w: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368.5</w:t>
            </w:r>
          </w:p>
        </w:tc>
      </w:tr>
      <w:tr>
        <w:trPr>
          <w:trHeight w:val="222"/>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4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44"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111"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For the nine months ended September 30, 2022, net cash provided by operating activities was $602.7 million, which primarily consisted of our net income of $224.9 million, adjusted for stock-based compensation expense of $243.4 million, depreciation and amortization expenses of $117.5 million, impairment related to real estate assets of $12.7 million, and net cash outflow of $30.3 million from operating assets and liabilities. The outflow from operating assets and liabilities was primarily due to the payment of our corporate bonus and key employee holdback payments related to acquisitions, offset by an increase in deferred revenue from increased subscription sales, as a majority of our paying users are invoiced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7" w:lineRule="exact"/>
        <w:rPr>
          <w:sz w:val="20"/>
          <w:szCs w:val="20"/>
          <w:color w:val="auto"/>
        </w:rPr>
      </w:pPr>
    </w:p>
    <w:p>
      <w:pPr>
        <w:jc w:val="both"/>
        <w:ind w:right="400" w:firstLine="391"/>
        <w:spacing w:after="0" w:line="271" w:lineRule="auto"/>
        <w:rPr>
          <w:sz w:val="20"/>
          <w:szCs w:val="20"/>
          <w:color w:val="auto"/>
        </w:rPr>
      </w:pPr>
      <w:r>
        <w:rPr>
          <w:rFonts w:ascii="Arial" w:cs="Arial" w:eastAsia="Arial" w:hAnsi="Arial"/>
          <w:sz w:val="17"/>
          <w:szCs w:val="17"/>
          <w:color w:val="auto"/>
        </w:rPr>
        <w:t>Net cash provided by (used in) investing activities is primarily impacted by net investment activity, which includes sales, maturities, and purchases of short-term investments, purchases of property and equipment to make improvements or modifications to existing and new office spaces, and for purchasing infrastructure equipment in co-location facilities that we directly lease and operate.</w:t>
      </w:r>
    </w:p>
    <w:p>
      <w:pPr>
        <w:spacing w:after="0" w:line="94" w:lineRule="exact"/>
        <w:rPr>
          <w:sz w:val="20"/>
          <w:szCs w:val="20"/>
          <w:color w:val="auto"/>
        </w:rPr>
      </w:pPr>
    </w:p>
    <w:p>
      <w:pPr>
        <w:ind w:right="40" w:firstLine="391"/>
        <w:spacing w:after="0" w:line="296" w:lineRule="auto"/>
        <w:rPr>
          <w:sz w:val="20"/>
          <w:szCs w:val="20"/>
          <w:color w:val="auto"/>
        </w:rPr>
      </w:pPr>
      <w:r>
        <w:rPr>
          <w:rFonts w:ascii="Arial" w:cs="Arial" w:eastAsia="Arial" w:hAnsi="Arial"/>
          <w:sz w:val="16"/>
          <w:szCs w:val="16"/>
          <w:color w:val="auto"/>
        </w:rPr>
        <w:t>For the nine months ended September 30, 2022, net cash provided by investing activities was $56.6 million, which primarily related to $54.1 million in net investment activity inflows, driven by the sales and maturities of short-term investments, net of purchases. The increase was partially offset by cash paid for capital expenditures of $20.9 million related to our office build-outs, work required to prepare spaces for sublease, and purchases of computer equipment.</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7" w:lineRule="exact"/>
        <w:rPr>
          <w:sz w:val="20"/>
          <w:szCs w:val="20"/>
          <w:color w:val="auto"/>
        </w:rPr>
      </w:pPr>
    </w:p>
    <w:p>
      <w:pPr>
        <w:ind w:firstLine="391"/>
        <w:spacing w:after="0" w:line="287" w:lineRule="auto"/>
        <w:rPr>
          <w:sz w:val="20"/>
          <w:szCs w:val="20"/>
          <w:color w:val="auto"/>
        </w:rPr>
      </w:pPr>
      <w:r>
        <w:rPr>
          <w:rFonts w:ascii="Arial" w:cs="Arial" w:eastAsia="Arial" w:hAnsi="Arial"/>
          <w:sz w:val="17"/>
          <w:szCs w:val="17"/>
          <w:color w:val="auto"/>
        </w:rPr>
        <w:t>Net cash (used in) provided by financing activities is primarily impacted by cash used for repurchases of common stock, tax withholding obligations for the release of RSUs and RSAs, and principal payments on finance lease obligations for our infrastructure equipment.</w:t>
      </w:r>
    </w:p>
    <w:p>
      <w:pPr>
        <w:spacing w:after="0" w:line="80" w:lineRule="exact"/>
        <w:rPr>
          <w:sz w:val="20"/>
          <w:szCs w:val="20"/>
          <w:color w:val="auto"/>
        </w:rPr>
      </w:pPr>
    </w:p>
    <w:p>
      <w:pPr>
        <w:ind w:right="200" w:firstLine="391"/>
        <w:spacing w:after="0" w:line="271" w:lineRule="auto"/>
        <w:rPr>
          <w:sz w:val="20"/>
          <w:szCs w:val="20"/>
          <w:color w:val="auto"/>
        </w:rPr>
      </w:pPr>
      <w:r>
        <w:rPr>
          <w:rFonts w:ascii="Arial" w:cs="Arial" w:eastAsia="Arial" w:hAnsi="Arial"/>
          <w:sz w:val="17"/>
          <w:szCs w:val="17"/>
          <w:color w:val="auto"/>
        </w:rPr>
        <w:t>For the nine months ended September 30, 2022, net cash used in financing activities was $807.7 million, which primarily consisted of $621.1 million for the repurchase of our common stock, $91.0 million for the satisfaction of tax withholding obligations for the release of restricted stock units and awards, and $96.0 million in principal payments on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4" w:lineRule="exact"/>
        <w:rPr>
          <w:sz w:val="20"/>
          <w:szCs w:val="20"/>
          <w:color w:val="auto"/>
        </w:rPr>
      </w:pPr>
    </w:p>
    <w:p>
      <w:pPr>
        <w:ind w:firstLine="313"/>
        <w:spacing w:after="0" w:line="320" w:lineRule="auto"/>
        <w:rPr>
          <w:sz w:val="20"/>
          <w:szCs w:val="20"/>
          <w:color w:val="auto"/>
        </w:rPr>
      </w:pPr>
      <w:r>
        <w:rPr>
          <w:rFonts w:ascii="Arial" w:cs="Arial" w:eastAsia="Arial" w:hAnsi="Arial"/>
          <w:sz w:val="16"/>
          <w:szCs w:val="16"/>
          <w:color w:val="auto"/>
        </w:rPr>
        <w:t>See Part II, Item 7, “Critical Accounting Estimates” in our Annual Report on Form 10-K for the year ended December 31, 2021. There have been no material changes to our critical accounting policies and estimates since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4"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7" w:lineRule="exact"/>
        <w:rPr>
          <w:sz w:val="20"/>
          <w:szCs w:val="20"/>
          <w:color w:val="auto"/>
        </w:rPr>
      </w:pPr>
    </w:p>
    <w:p>
      <w:pPr>
        <w:ind w:right="40" w:firstLine="391"/>
        <w:spacing w:after="0" w:line="281" w:lineRule="auto"/>
        <w:rPr>
          <w:sz w:val="20"/>
          <w:szCs w:val="20"/>
          <w:color w:val="auto"/>
        </w:rPr>
      </w:pPr>
      <w:r>
        <w:rPr>
          <w:rFonts w:ascii="Arial" w:cs="Arial" w:eastAsia="Arial" w:hAnsi="Arial"/>
          <w:sz w:val="16"/>
          <w:szCs w:val="16"/>
          <w:color w:val="auto"/>
        </w:rPr>
        <w:t>We had cash and cash equivalents of $372.0 million and short-term investments of $1,081.4 million as of September 30, 2022.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03" w:lineRule="exact"/>
        <w:rPr>
          <w:sz w:val="20"/>
          <w:szCs w:val="20"/>
          <w:color w:val="auto"/>
        </w:rPr>
      </w:pPr>
    </w:p>
    <w:p>
      <w:pPr>
        <w:ind w:right="160" w:firstLine="391"/>
        <w:spacing w:after="0" w:line="271" w:lineRule="auto"/>
        <w:rPr>
          <w:sz w:val="20"/>
          <w:szCs w:val="20"/>
          <w:color w:val="auto"/>
        </w:rPr>
      </w:pPr>
      <w:r>
        <w:rPr>
          <w:rFonts w:ascii="Arial" w:cs="Arial" w:eastAsia="Arial" w:hAnsi="Arial"/>
          <w:sz w:val="17"/>
          <w:szCs w:val="17"/>
          <w:color w:val="auto"/>
        </w:rPr>
        <w:t>Any borrowings under the revolving credit facility bear interest at a variable rate tied to LIBOR or an alternative base rate. As of September 30, 2022, we had no amounts outstanding under the revolving credit facility. We do not have any other long-term debt or financial liabilities with floating interest rates that would subject us to interest rate fluctuations.</w:t>
      </w:r>
    </w:p>
    <w:p>
      <w:pPr>
        <w:spacing w:after="0" w:line="94" w:lineRule="exact"/>
        <w:rPr>
          <w:sz w:val="20"/>
          <w:szCs w:val="20"/>
          <w:color w:val="auto"/>
        </w:rPr>
      </w:pPr>
    </w:p>
    <w:p>
      <w:pPr>
        <w:ind w:firstLine="391"/>
        <w:spacing w:after="0" w:line="320" w:lineRule="auto"/>
        <w:rPr>
          <w:sz w:val="20"/>
          <w:szCs w:val="20"/>
          <w:color w:val="auto"/>
        </w:rPr>
      </w:pPr>
      <w:r>
        <w:rPr>
          <w:rFonts w:ascii="Arial" w:cs="Arial" w:eastAsia="Arial" w:hAnsi="Arial"/>
          <w:sz w:val="16"/>
          <w:szCs w:val="16"/>
          <w:color w:val="auto"/>
        </w:rPr>
        <w:t>As of September 30, 2022, a hypothetical increase in interest rates by 100 basis points would have resulted in a $16 million reduction in the market value of our investment portfolio. This estimate is based on a sensitivity model that measures market value changes when changes in interest rates occur.</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4" w:lineRule="exact"/>
        <w:rPr>
          <w:sz w:val="20"/>
          <w:szCs w:val="20"/>
          <w:color w:val="auto"/>
        </w:rPr>
      </w:pPr>
    </w:p>
    <w:p>
      <w:pPr>
        <w:ind w:right="80" w:firstLine="391"/>
        <w:spacing w:after="0" w:line="287"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60" w:firstLine="391"/>
        <w:spacing w:after="0" w:line="287"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3"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8" w:lineRule="exact"/>
        <w:rPr>
          <w:sz w:val="20"/>
          <w:szCs w:val="20"/>
          <w:color w:val="auto"/>
        </w:rPr>
      </w:pPr>
    </w:p>
    <w:p>
      <w:pPr>
        <w:ind w:right="40" w:firstLine="391"/>
        <w:spacing w:after="0" w:line="278" w:lineRule="auto"/>
        <w:rPr>
          <w:sz w:val="20"/>
          <w:szCs w:val="20"/>
          <w:color w:val="auto"/>
        </w:rPr>
      </w:pPr>
      <w:r>
        <w:rPr>
          <w:rFonts w:ascii="Arial" w:cs="Arial" w:eastAsia="Arial" w:hAnsi="Arial"/>
          <w:sz w:val="16"/>
          <w:szCs w:val="16"/>
          <w:color w:val="auto"/>
        </w:rPr>
        <w:t>As exchange rates may fluctuate significantly between periods, revenue and operating expenses, when converted into U.S. dollars, may also experience significant fluctuations between periods. Volatile market conditions, including those arising from the COVID-19 pandemic and other macroeconomic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nine months ended September 30, 2022, 28%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103"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We recorded net foreign currency transaction gains of $4.0 million and net foreign currency transaction losses of $0.8 million during the nine months ended September 30, 2022 and 2021, respectively. A hypothetical 10% change in foreign currency rates would not have resulted in material gains or losses for the nine months ended September 30, 2022 and 2021.</w:t>
      </w:r>
    </w:p>
    <w:p>
      <w:pPr>
        <w:spacing w:after="0" w:line="107" w:lineRule="exact"/>
        <w:rPr>
          <w:sz w:val="20"/>
          <w:szCs w:val="20"/>
          <w:color w:val="auto"/>
        </w:rPr>
      </w:pPr>
    </w:p>
    <w:p>
      <w:pPr>
        <w:ind w:right="140" w:firstLine="391"/>
        <w:spacing w:after="0" w:line="287"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4" w:lineRule="exact"/>
        <w:rPr>
          <w:sz w:val="20"/>
          <w:szCs w:val="20"/>
          <w:color w:val="auto"/>
        </w:rPr>
      </w:pPr>
    </w:p>
    <w:p>
      <w:pPr>
        <w:jc w:val="both"/>
        <w:ind w:right="80" w:firstLine="391"/>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4"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54"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0" w:lineRule="exact"/>
        <w:rPr>
          <w:sz w:val="20"/>
          <w:szCs w:val="20"/>
          <w:color w:val="auto"/>
        </w:rPr>
      </w:pPr>
    </w:p>
    <w:p>
      <w:pPr>
        <w:ind w:right="420" w:firstLine="391"/>
        <w:spacing w:after="0" w:line="270" w:lineRule="auto"/>
        <w:rPr>
          <w:sz w:val="20"/>
          <w:szCs w:val="20"/>
          <w:color w:val="auto"/>
        </w:rPr>
      </w:pPr>
      <w:r>
        <w:rPr>
          <w:rFonts w:ascii="Arial" w:cs="Arial" w:eastAsia="Arial" w:hAnsi="Arial"/>
          <w:sz w:val="16"/>
          <w:szCs w:val="16"/>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See Note 10, “Commitments and Contingencies” to our condensed consolidated financial statements included elsewhere in this Quarterly Report on Form 10-Q for further information.</w:t>
      </w:r>
    </w:p>
    <w:p>
      <w:pPr>
        <w:spacing w:after="0" w:line="200"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3" w:lineRule="exact"/>
        <w:rPr>
          <w:sz w:val="20"/>
          <w:szCs w:val="20"/>
          <w:color w:val="auto"/>
        </w:rPr>
      </w:pPr>
    </w:p>
    <w:p>
      <w:pPr>
        <w:ind w:right="100" w:firstLine="391"/>
        <w:spacing w:after="0" w:line="279" w:lineRule="auto"/>
        <w:rPr>
          <w:sz w:val="20"/>
          <w:szCs w:val="20"/>
          <w:color w:val="auto"/>
        </w:rPr>
      </w:pPr>
      <w:r>
        <w:rPr>
          <w:rFonts w:ascii="Arial" w:cs="Arial" w:eastAsia="Arial" w:hAnsi="Arial"/>
          <w:sz w:val="16"/>
          <w:szCs w:val="16"/>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 w:lineRule="exact"/>
        <w:rPr>
          <w:sz w:val="20"/>
          <w:szCs w:val="20"/>
          <w:color w:val="auto"/>
        </w:rPr>
      </w:pPr>
    </w:p>
    <w:p>
      <w:pPr>
        <w:ind w:firstLine="391"/>
        <w:spacing w:after="0" w:line="258"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macroeconomic trends or catastrophic events, such as the ongoing COVID-19 pandemic, on our paying users. In addition, some paying users downgrade or do not renew their subscriptions.</w:t>
      </w:r>
    </w:p>
    <w:p>
      <w:pPr>
        <w:spacing w:after="0" w:line="212" w:lineRule="exact"/>
        <w:rPr>
          <w:sz w:val="20"/>
          <w:szCs w:val="20"/>
          <w:color w:val="auto"/>
        </w:rPr>
      </w:pPr>
    </w:p>
    <w:p>
      <w:pPr>
        <w:ind w:right="60" w:firstLine="391"/>
        <w:spacing w:after="0" w:line="278" w:lineRule="auto"/>
        <w:rPr>
          <w:sz w:val="20"/>
          <w:szCs w:val="20"/>
          <w:color w:val="auto"/>
        </w:rPr>
      </w:pPr>
      <w:r>
        <w:rPr>
          <w:rFonts w:ascii="Arial" w:cs="Arial" w:eastAsia="Arial" w:hAnsi="Arial"/>
          <w:sz w:val="16"/>
          <w:szCs w:val="16"/>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194"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5" w:lineRule="exact"/>
        <w:rPr>
          <w:sz w:val="20"/>
          <w:szCs w:val="20"/>
          <w:color w:val="auto"/>
        </w:rPr>
      </w:pPr>
    </w:p>
    <w:p>
      <w:pPr>
        <w:jc w:val="both"/>
        <w:ind w:right="20" w:firstLine="391"/>
        <w:spacing w:after="0" w:line="264"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203"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2022, we served over 700 million registered users but only 17.55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may cause these users to delay or reduce technology spending, which may impact our ability to convert registered users or otherwise attract new paying users.</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184" w:lineRule="exact"/>
        <w:rPr>
          <w:sz w:val="20"/>
          <w:szCs w:val="20"/>
          <w:color w:val="auto"/>
        </w:rPr>
      </w:pPr>
    </w:p>
    <w:p>
      <w:pPr>
        <w:ind w:right="20" w:firstLine="391"/>
        <w:spacing w:after="0" w:line="275" w:lineRule="auto"/>
        <w:rPr>
          <w:sz w:val="20"/>
          <w:szCs w:val="20"/>
          <w:color w:val="auto"/>
        </w:rPr>
      </w:pPr>
      <w:r>
        <w:rPr>
          <w:rFonts w:ascii="Arial" w:cs="Arial" w:eastAsia="Arial" w:hAnsi="Arial"/>
          <w:sz w:val="16"/>
          <w:szCs w:val="16"/>
          <w:color w:val="auto"/>
        </w:rPr>
        <w:t>Unauthorized parties have in the past gained access, and may in the future gain access, to systems or facilities used in our business through various means, including gaining unauthorized access to our systems or facilities, attempting to fraudulently induce our employees, users, or others into disclosing user names, passwords, or other sensitive information. Any unauthorized or inadvertent access to, or an actual or perceived security breach of or incident impacting, our systems, infrastructure, or networks or of third parties on which we rely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04" w:lineRule="exact"/>
        <w:rPr>
          <w:sz w:val="20"/>
          <w:szCs w:val="20"/>
          <w:color w:val="auto"/>
        </w:rPr>
      </w:pPr>
    </w:p>
    <w:p>
      <w:pPr>
        <w:jc w:val="both"/>
        <w:ind w:right="260" w:firstLine="391"/>
        <w:spacing w:after="0" w:line="280"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spacing w:after="0" w:line="192"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we are actively taking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the conflict between Russia and Ukraine. If our security measures are breached or compromised or we, our systems or networks, or those of third parties on which we rely otherwise are subject to a security breach or incident, or our users’ content or other data is otherwise accessed,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186"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shift to Virtual First.</w:t>
      </w:r>
    </w:p>
    <w:p>
      <w:pPr>
        <w:spacing w:after="0" w:line="198"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spacing w:after="0" w:line="180" w:lineRule="exact"/>
        <w:rPr>
          <w:sz w:val="20"/>
          <w:szCs w:val="20"/>
          <w:color w:val="auto"/>
        </w:rPr>
      </w:pPr>
    </w:p>
    <w:p>
      <w:pPr>
        <w:ind w:right="80" w:firstLine="391"/>
        <w:spacing w:after="0" w:line="284" w:lineRule="auto"/>
        <w:rPr>
          <w:sz w:val="20"/>
          <w:szCs w:val="20"/>
          <w:color w:val="auto"/>
        </w:rPr>
      </w:pPr>
      <w:r>
        <w:rPr>
          <w:rFonts w:ascii="Arial" w:cs="Arial" w:eastAsia="Arial" w:hAnsi="Arial"/>
          <w:sz w:val="16"/>
          <w:szCs w:val="16"/>
          <w:color w:val="auto"/>
        </w:rPr>
        <w:t>Third parties may attempt to compromise our employees and their privileged access into internal systems to gain access to accounts, our information, our networks, or our systems or those of third parties on which we rely. Employee error, malfeasance, or other errors in the storage, use, transmission, or other processing of personal information could result in an actual or perceived breach of user privacy. These risks may be heightened in connection with our transition to Virtual First and an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189" w:lineRule="exact"/>
        <w:rPr>
          <w:sz w:val="20"/>
          <w:szCs w:val="20"/>
          <w:color w:val="auto"/>
        </w:rPr>
      </w:pPr>
    </w:p>
    <w:p>
      <w:pPr>
        <w:ind w:right="700"/>
        <w:spacing w:after="0" w:line="287" w:lineRule="auto"/>
        <w:rPr>
          <w:sz w:val="20"/>
          <w:szCs w:val="20"/>
          <w:color w:val="auto"/>
        </w:rPr>
      </w:pPr>
      <w:r>
        <w:rPr>
          <w:rFonts w:ascii="Arial" w:cs="Arial" w:eastAsia="Arial" w:hAnsi="Arial"/>
          <w:sz w:val="17"/>
          <w:szCs w:val="17"/>
          <w:b w:val="1"/>
          <w:bCs w:val="1"/>
          <w:i w:val="1"/>
          <w:iCs w:val="1"/>
          <w:color w:val="auto"/>
        </w:rPr>
        <w:t>We have a limited history of operating with a Virtual First workforce and the long-term impact on our financial results and business operations are uncertain.</w:t>
      </w:r>
    </w:p>
    <w:p>
      <w:pPr>
        <w:spacing w:after="0" w:line="18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October 2020, we announced a Virtual First work model pursuant to which remote work has become the primary experience for all of our employees and our intention is for our workforce continue being more distributed over time. However, we have a limited history of operating with a Virtual First workforce and, although we anticipate that our shift to a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7" w:lineRule="exact"/>
        <w:rPr>
          <w:sz w:val="20"/>
          <w:szCs w:val="20"/>
          <w:color w:val="auto"/>
        </w:rPr>
      </w:pPr>
    </w:p>
    <w:p>
      <w:pPr>
        <w:ind w:right="20" w:firstLine="391"/>
        <w:spacing w:after="0" w:line="288" w:lineRule="auto"/>
        <w:rPr>
          <w:sz w:val="20"/>
          <w:szCs w:val="20"/>
          <w:color w:val="auto"/>
        </w:rPr>
      </w:pPr>
      <w:r>
        <w:rPr>
          <w:rFonts w:ascii="Arial" w:cs="Arial" w:eastAsia="Arial" w:hAnsi="Arial"/>
          <w:sz w:val="16"/>
          <w:szCs w:val="16"/>
          <w:color w:val="auto"/>
        </w:rPr>
        <w:t>Our continuing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86" w:lineRule="exact"/>
        <w:rPr>
          <w:sz w:val="20"/>
          <w:szCs w:val="20"/>
          <w:color w:val="auto"/>
        </w:rPr>
      </w:pPr>
    </w:p>
    <w:p>
      <w:pPr>
        <w:ind w:right="40" w:firstLine="391"/>
        <w:spacing w:after="0" w:line="279" w:lineRule="auto"/>
        <w:rPr>
          <w:sz w:val="20"/>
          <w:szCs w:val="20"/>
          <w:color w:val="auto"/>
        </w:rPr>
      </w:pPr>
      <w:r>
        <w:rPr>
          <w:rFonts w:ascii="Arial" w:cs="Arial" w:eastAsia="Arial" w:hAnsi="Arial"/>
          <w:sz w:val="16"/>
          <w:szCs w:val="16"/>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GAAP profitability. Furthermore, any prolonged recessionary period and industry shifts towards remote or distributed work, including as a result of the ongoing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5" w:lineRule="exact"/>
        <w:rPr>
          <w:sz w:val="20"/>
          <w:szCs w:val="20"/>
          <w:color w:val="auto"/>
        </w:rPr>
      </w:pPr>
    </w:p>
    <w:p>
      <w:pPr>
        <w:ind w:right="80" w:firstLine="469"/>
        <w:spacing w:after="0" w:line="280" w:lineRule="auto"/>
        <w:rPr>
          <w:sz w:val="20"/>
          <w:szCs w:val="20"/>
          <w:color w:val="auto"/>
        </w:rPr>
      </w:pPr>
      <w:r>
        <w:rPr>
          <w:rFonts w:ascii="Arial" w:cs="Arial" w:eastAsia="Arial" w:hAnsi="Arial"/>
          <w:sz w:val="16"/>
          <w:szCs w:val="16"/>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also compete with smaller private companies that offer point solutions in the cloud storage market or the content collaboration market. We believe the principal competitive factors in our markets include the following: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6"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0"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1" w:lineRule="exact"/>
        <w:rPr>
          <w:sz w:val="20"/>
          <w:szCs w:val="20"/>
          <w:color w:val="auto"/>
        </w:rPr>
      </w:pPr>
    </w:p>
    <w:p>
      <w:pPr>
        <w:ind w:right="180" w:firstLine="391"/>
        <w:spacing w:after="0" w:line="260"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20" w:firstLine="391"/>
        <w:spacing w:after="0" w:line="279"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48" w:lineRule="exact"/>
        <w:rPr>
          <w:sz w:val="20"/>
          <w:szCs w:val="20"/>
          <w:color w:val="auto"/>
        </w:rPr>
      </w:pPr>
    </w:p>
    <w:p>
      <w:pPr>
        <w:ind w:right="160" w:firstLine="391"/>
        <w:spacing w:after="0" w:line="262"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6"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3"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ongoing effects of the COVID-19 pandemic, in addition to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187" w:lineRule="exact"/>
        <w:rPr>
          <w:sz w:val="20"/>
          <w:szCs w:val="20"/>
          <w:color w:val="auto"/>
        </w:rPr>
      </w:pPr>
    </w:p>
    <w:p>
      <w:pPr>
        <w:ind w:firstLine="391"/>
        <w:spacing w:after="0" w:line="303" w:lineRule="auto"/>
        <w:rPr>
          <w:sz w:val="20"/>
          <w:szCs w:val="20"/>
          <w:color w:val="auto"/>
        </w:rPr>
      </w:pPr>
      <w:r>
        <w:rPr>
          <w:rFonts w:ascii="Arial" w:cs="Arial" w:eastAsia="Arial" w:hAnsi="Arial"/>
          <w:sz w:val="15"/>
          <w:szCs w:val="15"/>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80"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 w:lineRule="exact"/>
        <w:rPr>
          <w:sz w:val="20"/>
          <w:szCs w:val="20"/>
          <w:color w:val="auto"/>
        </w:rPr>
      </w:pPr>
    </w:p>
    <w:p>
      <w:pPr>
        <w:ind w:right="420" w:firstLine="391"/>
        <w:spacing w:after="0" w:line="272"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184"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47" w:lineRule="exact"/>
        <w:rPr>
          <w:rFonts w:ascii="Arial" w:cs="Arial" w:eastAsia="Arial" w:hAnsi="Arial"/>
          <w:sz w:val="17"/>
          <w:szCs w:val="17"/>
          <w:color w:val="auto"/>
        </w:rPr>
      </w:pPr>
    </w:p>
    <w:p>
      <w:pPr>
        <w:ind w:left="620" w:hanging="303"/>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 w:lineRule="exact"/>
        <w:rPr>
          <w:sz w:val="20"/>
          <w:szCs w:val="20"/>
          <w:color w:val="auto"/>
        </w:rPr>
      </w:pPr>
    </w:p>
    <w:p>
      <w:pPr>
        <w:ind w:right="40" w:firstLine="391"/>
        <w:spacing w:after="0" w:line="274"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2020, we introduced Dropbox Passwords and Vault to provide additional security features for our users to safely store and access content on our platform. More recently, in 2021 we launched Dropbox Transfer as a way for users to safely and securely send large files, Dropbox Shop which allows creators to easily sell content directly to their customers, Dropbox Replay, which allows users to review, approve and collaborate on video workflows, Dropbox Backup, which allows users to securely back up their computer or external hard drives with an automated cloud backup solution,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0"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have transitioned to a Virtual First work model, which may lead to disruptions and decreased productivity that could result in delays in our product development process. The risk of such disruptions and decreased productivity may persist as we continue to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4" w:lineRule="exact"/>
        <w:rPr>
          <w:sz w:val="20"/>
          <w:szCs w:val="20"/>
          <w:color w:val="auto"/>
        </w:rPr>
      </w:pPr>
    </w:p>
    <w:p>
      <w:pPr>
        <w:ind w:right="40" w:firstLine="391"/>
        <w:spacing w:after="0" w:line="295" w:lineRule="auto"/>
        <w:rPr>
          <w:sz w:val="20"/>
          <w:szCs w:val="20"/>
          <w:color w:val="auto"/>
        </w:rPr>
      </w:pPr>
      <w:r>
        <w:rPr>
          <w:rFonts w:ascii="Arial" w:cs="Arial" w:eastAsia="Arial" w:hAnsi="Arial"/>
          <w:sz w:val="15"/>
          <w:szCs w:val="15"/>
          <w:color w:val="auto"/>
        </w:rPr>
        <w:t>Although we did not experience material impacts to our financial condition and results of operations during the nine months ended September 30, 2022, as a result of the ongoing COVID-19 pandemic, the full extent of the long-term impacts of the COVID-19 pandemic on the economy, our industry, our markets and the geopolitical environment, and therefore,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and (3) fluctuations in foreign currency exchange rates, which have and may in the future negatively impact our results of operations and cash flows.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In addition, ongoing economic effects related to the COVID-19 pandemic, such as supply chain disruptions, a competitive labor market and labor shortages have impacted, and may continue to impact, us and our customers and vendors. Accordingly, the economic effects related to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187" w:lineRule="exact"/>
        <w:rPr>
          <w:sz w:val="20"/>
          <w:szCs w:val="20"/>
          <w:color w:val="auto"/>
        </w:rPr>
      </w:pPr>
    </w:p>
    <w:p>
      <w:pPr>
        <w:ind w:right="100" w:firstLine="391"/>
        <w:spacing w:after="0" w:line="312" w:lineRule="auto"/>
        <w:rPr>
          <w:sz w:val="20"/>
          <w:szCs w:val="20"/>
          <w:color w:val="auto"/>
        </w:rPr>
      </w:pPr>
      <w:r>
        <w:rPr>
          <w:rFonts w:ascii="Arial" w:cs="Arial" w:eastAsia="Arial" w:hAnsi="Arial"/>
          <w:sz w:val="15"/>
          <w:szCs w:val="15"/>
          <w:color w:val="auto"/>
        </w:rPr>
        <w:t>We have seen, and expect to continue to see, cost savings from the shift to remote work for all of our employees as a result of the COVID-19 pandemic in areas that include events, travel, utilities, and other benefits. Although we anticipate that some of these cost savings will continue beyond the resolution of the COVID-19 pandemic as result of our continuing shift to a Virtual First work model, we expect that some expenses in these areas will increase relative to current levels as we become more able to offer our employees opportunities for in-person collaboration, and this may impact our rate of profitability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successfully execute our plan for future growth.</w:t>
      </w:r>
    </w:p>
    <w:p>
      <w:pPr>
        <w:spacing w:after="0" w:line="25" w:lineRule="exact"/>
        <w:rPr>
          <w:sz w:val="20"/>
          <w:szCs w:val="20"/>
          <w:color w:val="auto"/>
        </w:rPr>
      </w:pPr>
    </w:p>
    <w:p>
      <w:pPr>
        <w:ind w:right="60" w:firstLine="391"/>
        <w:spacing w:after="0" w:line="277" w:lineRule="auto"/>
        <w:rPr>
          <w:sz w:val="20"/>
          <w:szCs w:val="20"/>
          <w:color w:val="auto"/>
        </w:rPr>
      </w:pPr>
      <w:r>
        <w:rPr>
          <w:rFonts w:ascii="Arial" w:cs="Arial" w:eastAsia="Arial" w:hAnsi="Arial"/>
          <w:sz w:val="16"/>
          <w:szCs w:val="16"/>
          <w:color w:val="auto"/>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transition to a Virtual First workforce and seek to align our resources in order to create a more nimble and streamlined organization. Certain members of our management do not have prior experience managing a public company, which may affect how they manage our growth. Managing our growth will also require significant expenditures and allocation of valuable management resources.</w:t>
      </w:r>
    </w:p>
    <w:p>
      <w:pPr>
        <w:spacing w:after="0" w:line="196"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 w:lineRule="exact"/>
        <w:rPr>
          <w:sz w:val="20"/>
          <w:szCs w:val="20"/>
          <w:color w:val="auto"/>
        </w:rPr>
      </w:pPr>
    </w:p>
    <w:p>
      <w:pPr>
        <w:ind w:right="80" w:firstLine="391"/>
        <w:spacing w:after="0" w:line="280"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192" w:lineRule="exact"/>
        <w:rPr>
          <w:sz w:val="20"/>
          <w:szCs w:val="20"/>
          <w:color w:val="auto"/>
        </w:rPr>
      </w:pPr>
    </w:p>
    <w:p>
      <w:pPr>
        <w:ind w:right="80" w:firstLine="391"/>
        <w:spacing w:after="0" w:line="280" w:lineRule="auto"/>
        <w:rPr>
          <w:sz w:val="20"/>
          <w:szCs w:val="20"/>
          <w:color w:val="auto"/>
        </w:rPr>
      </w:pPr>
      <w:r>
        <w:rPr>
          <w:rFonts w:ascii="Arial" w:cs="Arial" w:eastAsia="Arial" w:hAnsi="Arial"/>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(including the ongoing COVID-19 pandemic), or our ability to maintain an effective workforce may be impacted.</w:t>
      </w:r>
    </w:p>
    <w:p>
      <w:pPr>
        <w:spacing w:after="0" w:line="192" w:lineRule="exact"/>
        <w:rPr>
          <w:sz w:val="20"/>
          <w:szCs w:val="20"/>
          <w:color w:val="auto"/>
        </w:rPr>
      </w:pPr>
    </w:p>
    <w:p>
      <w:pPr>
        <w:ind w:right="20" w:firstLine="391"/>
        <w:spacing w:after="0" w:line="259"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and has recently intensified as a result of industry trends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211" w:lineRule="exact"/>
        <w:rPr>
          <w:sz w:val="20"/>
          <w:szCs w:val="20"/>
          <w:color w:val="auto"/>
        </w:rPr>
      </w:pPr>
    </w:p>
    <w:p>
      <w:pPr>
        <w:ind w:right="80" w:firstLine="391"/>
        <w:spacing w:after="0" w:line="296" w:lineRule="auto"/>
        <w:rPr>
          <w:sz w:val="20"/>
          <w:szCs w:val="20"/>
          <w:color w:val="auto"/>
        </w:rPr>
      </w:pPr>
      <w:r>
        <w:rPr>
          <w:rFonts w:ascii="Arial" w:cs="Arial" w:eastAsia="Arial" w:hAnsi="Arial"/>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and higher employee turnover could significantly and adversely impact our culture, as could our transition to a Virtual First workforce.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5"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5" w:lineRule="exact"/>
        <w:rPr>
          <w:sz w:val="20"/>
          <w:szCs w:val="20"/>
          <w:color w:val="auto"/>
        </w:rPr>
      </w:pPr>
    </w:p>
    <w:p>
      <w:pPr>
        <w:ind w:right="140" w:firstLine="391"/>
        <w:spacing w:after="0" w:line="258"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4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17.55 million as of September 30, 2022.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6"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84" w:lineRule="exact"/>
        <w:rPr>
          <w:sz w:val="20"/>
          <w:szCs w:val="20"/>
          <w:color w:val="auto"/>
        </w:rPr>
      </w:pPr>
    </w:p>
    <w:p>
      <w:pPr>
        <w:ind w:right="20" w:firstLine="391"/>
        <w:spacing w:after="0" w:line="30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75"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4"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We have paying users across approximately 180 countries and approximately half of our revenue in the year ended December 31, 2021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new regulatory, economic, geographic, social, and political risks and may increase risks that we currently face, including risks associated with:</w:t>
      </w:r>
    </w:p>
    <w:p>
      <w:pPr>
        <w:spacing w:after="0" w:line="194" w:lineRule="exact"/>
        <w:rPr>
          <w:sz w:val="20"/>
          <w:szCs w:val="20"/>
          <w:color w:val="auto"/>
        </w:rPr>
      </w:pPr>
    </w:p>
    <w:p>
      <w:pPr>
        <w:jc w:val="both"/>
        <w:ind w:left="1260" w:right="680" w:hanging="317"/>
        <w:spacing w:after="0" w:line="271" w:lineRule="auto"/>
        <w:tabs>
          <w:tab w:leader="none" w:pos="1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compliance with applicable international laws, regulations, and standards including laws and regulations with respect to privacy, data protection, cybersecurity, consumer protection, and unsolicited email, and the risk of penalties to our users and individual members of management or employees if our practices are deemed to be out of compliance;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1260" w:right="460" w:hanging="317"/>
        <w:spacing w:after="0" w:line="320" w:lineRule="auto"/>
        <w:tabs>
          <w:tab w:leader="none" w:pos="12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recruiting and retaining talented and capable employees outside the United States, and maintaining our company culture across all of our locations, including in light of our shift to the Virtual First work model and an increasingly distributed workforce;</w:t>
      </w:r>
    </w:p>
    <w:p>
      <w:pPr>
        <w:spacing w:after="0" w:line="161" w:lineRule="exact"/>
        <w:rPr>
          <w:rFonts w:ascii="Arial" w:cs="Arial" w:eastAsia="Arial" w:hAnsi="Arial"/>
          <w:sz w:val="16"/>
          <w:szCs w:val="16"/>
          <w:color w:val="auto"/>
        </w:rPr>
      </w:pPr>
    </w:p>
    <w:p>
      <w:pPr>
        <w:ind w:left="1260" w:right="100" w:hanging="317"/>
        <w:spacing w:after="0" w:line="357" w:lineRule="auto"/>
        <w:tabs>
          <w:tab w:leader="none" w:pos="1256"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hanging="317"/>
        <w:spacing w:after="0"/>
        <w:tabs>
          <w:tab w:leader="none" w:pos="12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47" w:lineRule="exact"/>
        <w:rPr>
          <w:rFonts w:ascii="Arial" w:cs="Arial" w:eastAsia="Arial" w:hAnsi="Arial"/>
          <w:sz w:val="17"/>
          <w:szCs w:val="17"/>
          <w:color w:val="auto"/>
        </w:rPr>
      </w:pPr>
    </w:p>
    <w:p>
      <w:pPr>
        <w:ind w:left="1260" w:right="64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4" w:lineRule="exact"/>
        <w:rPr>
          <w:rFonts w:ascii="Arial" w:cs="Arial" w:eastAsia="Arial" w:hAnsi="Arial"/>
          <w:sz w:val="17"/>
          <w:szCs w:val="17"/>
          <w:color w:val="auto"/>
        </w:rPr>
      </w:pPr>
    </w:p>
    <w:p>
      <w:pPr>
        <w:ind w:left="1260" w:right="40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political, social, and economic instability, conflicts, and wars, such as the conflict between Russia and Ukraine and its regional and global ramifications;</w:t>
      </w:r>
    </w:p>
    <w:p>
      <w:pPr>
        <w:spacing w:after="0" w:line="184" w:lineRule="exact"/>
        <w:rPr>
          <w:rFonts w:ascii="Arial" w:cs="Arial" w:eastAsia="Arial" w:hAnsi="Arial"/>
          <w:sz w:val="17"/>
          <w:szCs w:val="17"/>
          <w:color w:val="auto"/>
        </w:rPr>
      </w:pPr>
    </w:p>
    <w:p>
      <w:pPr>
        <w:ind w:left="1260" w:right="22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47" w:lineRule="exact"/>
        <w:rPr>
          <w:rFonts w:ascii="Arial" w:cs="Arial" w:eastAsia="Arial" w:hAnsi="Arial"/>
          <w:sz w:val="17"/>
          <w:szCs w:val="17"/>
          <w:color w:val="auto"/>
        </w:rPr>
      </w:pPr>
    </w:p>
    <w:p>
      <w:pPr>
        <w:ind w:left="1260" w:right="620" w:hanging="317"/>
        <w:spacing w:after="0" w:line="287" w:lineRule="auto"/>
        <w:tabs>
          <w:tab w:leader="none" w:pos="12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4"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spacing w:after="0" w:line="20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4" w:lineRule="exact"/>
        <w:rPr>
          <w:sz w:val="20"/>
          <w:szCs w:val="20"/>
          <w:color w:val="auto"/>
        </w:rPr>
      </w:pPr>
    </w:p>
    <w:p>
      <w:pPr>
        <w:ind w:firstLine="391"/>
        <w:spacing w:after="0" w:line="288"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6" w:lineRule="exact"/>
        <w:rPr>
          <w:sz w:val="20"/>
          <w:szCs w:val="20"/>
          <w:color w:val="auto"/>
        </w:rPr>
      </w:pPr>
    </w:p>
    <w:p>
      <w:pPr>
        <w:jc w:val="both"/>
        <w:ind w:right="100" w:firstLine="391"/>
        <w:spacing w:after="0" w:line="288"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80"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84" w:lineRule="exact"/>
        <w:rPr>
          <w:sz w:val="20"/>
          <w:szCs w:val="20"/>
          <w:color w:val="auto"/>
        </w:rPr>
      </w:pPr>
    </w:p>
    <w:p>
      <w:pPr>
        <w:ind w:right="180" w:firstLine="391"/>
        <w:spacing w:after="0" w:line="262"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6" w:lineRule="exact"/>
        <w:rPr>
          <w:sz w:val="20"/>
          <w:szCs w:val="20"/>
          <w:color w:val="auto"/>
        </w:rPr>
      </w:pPr>
    </w:p>
    <w:p>
      <w:pPr>
        <w:ind w:right="180" w:firstLine="391"/>
        <w:spacing w:after="0" w:line="288"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2021,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6" w:lineRule="exact"/>
        <w:rPr>
          <w:sz w:val="20"/>
          <w:szCs w:val="20"/>
          <w:color w:val="auto"/>
        </w:rPr>
      </w:pPr>
    </w:p>
    <w:p>
      <w:pPr>
        <w:ind w:right="280" w:firstLine="391"/>
        <w:spacing w:after="0" w:line="287"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1"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48" w:lineRule="exact"/>
        <w:rPr>
          <w:sz w:val="20"/>
          <w:szCs w:val="20"/>
          <w:color w:val="auto"/>
        </w:rPr>
      </w:pPr>
    </w:p>
    <w:p>
      <w:pPr>
        <w:ind w:right="240" w:firstLine="391"/>
        <w:spacing w:after="0" w:line="284"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84"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4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4"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 capabilities to include additional business critical workflows. Additionally, in the fourth fiscal quarter of 2021, we acquired Command E, a universal search and productivity company, to enhance our search capability. The pursuit of acquisitions may divert the attention of management and cause us to incur various expenses in identifying, investigating, and pursuing suitable acquisitions, whether or not they are consummated.</w:t>
      </w:r>
    </w:p>
    <w:p>
      <w:pPr>
        <w:spacing w:after="0" w:line="206" w:lineRule="exact"/>
        <w:rPr>
          <w:sz w:val="20"/>
          <w:szCs w:val="20"/>
          <w:color w:val="auto"/>
        </w:rPr>
      </w:pPr>
    </w:p>
    <w:p>
      <w:pPr>
        <w:ind w:right="300" w:firstLine="391"/>
        <w:spacing w:after="0" w:line="312" w:lineRule="auto"/>
        <w:rPr>
          <w:sz w:val="20"/>
          <w:szCs w:val="20"/>
          <w:color w:val="auto"/>
        </w:rPr>
      </w:pPr>
      <w:r>
        <w:rPr>
          <w:rFonts w:ascii="Arial" w:cs="Arial" w:eastAsia="Arial" w:hAnsi="Arial"/>
          <w:sz w:val="15"/>
          <w:szCs w:val="15"/>
          <w:color w:val="auto"/>
        </w:rPr>
        <w:t>We have limited experience making acquisitions. 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spacing w:after="0" w:line="172" w:lineRule="exact"/>
        <w:rPr>
          <w:sz w:val="20"/>
          <w:szCs w:val="20"/>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47" w:lineRule="exact"/>
        <w:rPr>
          <w:rFonts w:ascii="Arial" w:cs="Arial" w:eastAsia="Arial" w:hAnsi="Arial"/>
          <w:sz w:val="17"/>
          <w:szCs w:val="17"/>
          <w:color w:val="auto"/>
        </w:rPr>
      </w:pPr>
    </w:p>
    <w:p>
      <w:pPr>
        <w:ind w:left="1260" w:right="360" w:hanging="317"/>
        <w:spacing w:after="0" w:line="287" w:lineRule="auto"/>
        <w:tabs>
          <w:tab w:leader="none" w:pos="12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ind w:right="120" w:firstLine="313"/>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120" w:firstLine="313"/>
        <w:spacing w:after="0" w:line="31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2" w:lineRule="exact"/>
        <w:rPr>
          <w:sz w:val="20"/>
          <w:szCs w:val="20"/>
          <w:color w:val="auto"/>
        </w:rPr>
      </w:pPr>
    </w:p>
    <w:p>
      <w:pPr>
        <w:ind w:firstLine="313"/>
        <w:spacing w:after="0" w:line="27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financial condition, or the value of our capital stock. In addition, we may not successfully evaluate or utilize acquired technology or accurately forecast the financial impact of an acquisition transaction, including accounting charges.</w:t>
      </w:r>
    </w:p>
    <w:p>
      <w:pPr>
        <w:spacing w:after="0" w:line="198" w:lineRule="exact"/>
        <w:rPr>
          <w:sz w:val="20"/>
          <w:szCs w:val="20"/>
          <w:color w:val="auto"/>
        </w:rPr>
      </w:pPr>
    </w:p>
    <w:p>
      <w:pPr>
        <w:ind w:right="180" w:firstLine="313"/>
        <w:spacing w:after="0" w:line="266"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84"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color w:val="auto"/>
        </w:rPr>
        <w:t>Our business may be affected by general economic, political, and market conditions, including any resulting effect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rising interest rates, geopolitical issues, such as the conflict between Russia and Ukraine, the ongoing COVID-19 pandemic or a widespread economic slowdown (in the United States or internationally) have and could continue to lead to increased market volatility and economic uncertainty,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48"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48" w:lineRule="exact"/>
        <w:rPr>
          <w:sz w:val="20"/>
          <w:szCs w:val="20"/>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47"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1260" w:right="36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indebtedness or are not subject to restrictive covenants;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 or otherwise impact the pace and timing of repurchases under our stock repurchase program; and</w:t>
      </w:r>
    </w:p>
    <w:p>
      <w:pPr>
        <w:spacing w:after="0" w:line="247" w:lineRule="exact"/>
        <w:rPr>
          <w:rFonts w:ascii="Arial" w:cs="Arial" w:eastAsia="Arial" w:hAnsi="Arial"/>
          <w:sz w:val="17"/>
          <w:szCs w:val="17"/>
          <w:color w:val="auto"/>
        </w:rPr>
      </w:pPr>
    </w:p>
    <w:p>
      <w:pPr>
        <w:ind w:left="1260" w:right="80" w:hanging="317"/>
        <w:spacing w:after="0" w:line="287" w:lineRule="auto"/>
        <w:tabs>
          <w:tab w:leader="none" w:pos="12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2021, we had an aggregate of $1,342.0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48"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1"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48" w:lineRule="exact"/>
        <w:rPr>
          <w:sz w:val="20"/>
          <w:szCs w:val="20"/>
          <w:color w:val="auto"/>
        </w:rPr>
      </w:pPr>
    </w:p>
    <w:p>
      <w:pPr>
        <w:ind w:right="120" w:firstLine="391"/>
        <w:spacing w:after="0" w:line="280" w:lineRule="auto"/>
        <w:rPr>
          <w:sz w:val="20"/>
          <w:szCs w:val="20"/>
          <w:color w:val="auto"/>
        </w:rPr>
      </w:pPr>
      <w:r>
        <w:rPr>
          <w:rFonts w:ascii="Arial" w:cs="Arial" w:eastAsia="Arial" w:hAnsi="Arial"/>
          <w:sz w:val="16"/>
          <w:szCs w:val="16"/>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48" w:lineRule="exact"/>
        <w:rPr>
          <w:sz w:val="20"/>
          <w:szCs w:val="20"/>
          <w:color w:val="auto"/>
        </w:rPr>
      </w:pPr>
    </w:p>
    <w:p>
      <w:pPr>
        <w:ind w:firstLine="391"/>
        <w:spacing w:after="0" w:line="274" w:lineRule="auto"/>
        <w:rPr>
          <w:sz w:val="20"/>
          <w:szCs w:val="20"/>
          <w:color w:val="auto"/>
        </w:rPr>
      </w:pPr>
      <w:r>
        <w:rPr>
          <w:rFonts w:ascii="Arial" w:cs="Arial" w:eastAsia="Arial" w:hAnsi="Arial"/>
          <w:sz w:val="16"/>
          <w:szCs w:val="16"/>
          <w:color w:val="auto"/>
        </w:rPr>
        <w:t>While we have been profitable on a GAAP basis in prior fiscal quarters, 2021 was our first profitable full fiscal year. We may, however, not achieve or maintain profitability in future periods. We incurred net losses on an annual basis from our inception until 2020. We incurred net losses of $256.3 million and $52.7 million in the years ended December 31, 2020 and 2019, respectively. We generated net income of $335.8 million in the year ended December 31, 2021 and we had an accumulated deficit of $2,739.4 million as of December 31, 2021.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4" w:lineRule="exact"/>
        <w:rPr>
          <w:sz w:val="20"/>
          <w:szCs w:val="20"/>
          <w:color w:val="auto"/>
        </w:rPr>
      </w:pPr>
    </w:p>
    <w:p>
      <w:pPr>
        <w:ind w:firstLine="391"/>
        <w:spacing w:after="0" w:line="299"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8" w:lineRule="exact"/>
        <w:rPr>
          <w:sz w:val="20"/>
          <w:szCs w:val="20"/>
          <w:color w:val="auto"/>
        </w:rPr>
      </w:pPr>
    </w:p>
    <w:p>
      <w:pPr>
        <w:ind w:right="60" w:firstLine="391"/>
        <w:spacing w:after="0" w:line="261"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07" w:lineRule="exact"/>
        <w:rPr>
          <w:sz w:val="20"/>
          <w:szCs w:val="20"/>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14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66"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21"/>
          <w:szCs w:val="21"/>
          <w:color w:val="auto"/>
        </w:rPr>
      </w:pPr>
      <w:r>
        <w:rPr>
          <w:rFonts w:ascii="Arial" w:cs="Arial" w:eastAsia="Arial" w:hAnsi="Arial"/>
          <w:sz w:val="17"/>
          <w:szCs w:val="17"/>
          <w:color w:val="auto"/>
        </w:rPr>
        <w:t>fluctuations in foreign currency exchange rates;</w:t>
      </w:r>
    </w:p>
    <w:p>
      <w:pPr>
        <w:spacing w:after="0" w:line="222" w:lineRule="exact"/>
        <w:rPr>
          <w:rFonts w:ascii="Arial" w:cs="Arial" w:eastAsia="Arial" w:hAnsi="Arial"/>
          <w:sz w:val="21"/>
          <w:szCs w:val="21"/>
          <w:color w:val="auto"/>
        </w:rPr>
      </w:pPr>
    </w:p>
    <w:p>
      <w:pPr>
        <w:ind w:left="1260" w:right="140" w:hanging="317"/>
        <w:spacing w:after="0" w:line="320" w:lineRule="auto"/>
        <w:tabs>
          <w:tab w:leader="none" w:pos="12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1" w:lineRule="exact"/>
        <w:rPr>
          <w:rFonts w:ascii="Arial" w:cs="Arial" w:eastAsia="Arial" w:hAnsi="Arial"/>
          <w:sz w:val="16"/>
          <w:szCs w:val="16"/>
          <w:color w:val="auto"/>
        </w:rPr>
      </w:pPr>
    </w:p>
    <w:p>
      <w:pPr>
        <w:ind w:left="1260" w:right="580" w:hanging="317"/>
        <w:spacing w:after="0" w:line="320" w:lineRule="auto"/>
        <w:tabs>
          <w:tab w:leader="none" w:pos="12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Virtual First work model and releases of deferred tax asset valuation allowances; and</w:t>
      </w:r>
    </w:p>
    <w:p>
      <w:pPr>
        <w:spacing w:after="0" w:line="161" w:lineRule="exact"/>
        <w:rPr>
          <w:rFonts w:ascii="Arial" w:cs="Arial" w:eastAsia="Arial" w:hAnsi="Arial"/>
          <w:sz w:val="16"/>
          <w:szCs w:val="16"/>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Virtual First work model.</w:t>
      </w:r>
    </w:p>
    <w:p>
      <w:pPr>
        <w:spacing w:after="0" w:line="248"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4"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1"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2021, 30%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40"/>
        <w:spacing w:after="0" w:line="320" w:lineRule="auto"/>
        <w:rPr>
          <w:sz w:val="20"/>
          <w:szCs w:val="20"/>
          <w:color w:val="auto"/>
        </w:rPr>
      </w:pPr>
      <w:r>
        <w:rPr>
          <w:rFonts w:ascii="Arial" w:cs="Arial" w:eastAsia="Arial" w:hAnsi="Arial"/>
          <w:sz w:val="16"/>
          <w:szCs w:val="16"/>
          <w:color w:val="auto"/>
        </w:rPr>
        <w:t>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48" w:lineRule="exact"/>
        <w:rPr>
          <w:sz w:val="20"/>
          <w:szCs w:val="20"/>
          <w:color w:val="auto"/>
        </w:rPr>
      </w:pPr>
    </w:p>
    <w:p>
      <w:pPr>
        <w:ind w:right="80" w:firstLine="391"/>
        <w:spacing w:after="0" w:line="279"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48" w:lineRule="exact"/>
        <w:rPr>
          <w:sz w:val="20"/>
          <w:szCs w:val="20"/>
          <w:color w:val="auto"/>
        </w:rPr>
      </w:pPr>
    </w:p>
    <w:p>
      <w:pPr>
        <w:ind w:right="20" w:firstLine="391"/>
        <w:spacing w:after="0" w:line="276" w:lineRule="auto"/>
        <w:rPr>
          <w:sz w:val="20"/>
          <w:szCs w:val="20"/>
          <w:color w:val="auto"/>
        </w:rPr>
      </w:pPr>
      <w:r>
        <w:rPr>
          <w:rFonts w:ascii="Arial" w:cs="Arial" w:eastAsia="Arial" w:hAnsi="Arial"/>
          <w:sz w:val="16"/>
          <w:szCs w:val="16"/>
          <w:color w:val="auto"/>
        </w:rPr>
        <w:t>As of December 31, 2021, we had $623.8 million of federal, $352.1 million of state, and $310.1 million of foreign net operating loss carryforwards available to reduce future taxable income. Of our federal net operating loss carryforwards, $5.1 million will begin to expire in 2032 and $618.7 million will carryforward indefinitely, while state net operating losses begin to expire in 2029. As of December 31, 2021, we had research credit carryforwards of $246.1 million and $130.0 million for federal and state income tax purposes. The federal credit carryforwards will begin to expire in 2031. The state research credits have no expiration date. We also had $3.6 million of state enterprise zone credit carryforwards as of December 31, 2021, which will begin to expire in 2023 and $0.6 million of foreign tax credit carryforwards as of December 31, 2021,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4" w:lineRule="exact"/>
        <w:rPr>
          <w:sz w:val="20"/>
          <w:szCs w:val="20"/>
          <w:color w:val="auto"/>
        </w:rPr>
      </w:pPr>
    </w:p>
    <w:p>
      <w:pPr>
        <w:ind w:right="300" w:firstLine="391"/>
        <w:spacing w:after="0" w:line="263"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7"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4" w:lineRule="exact"/>
        <w:rPr>
          <w:sz w:val="20"/>
          <w:szCs w:val="20"/>
          <w:color w:val="auto"/>
        </w:rPr>
      </w:pPr>
    </w:p>
    <w:p>
      <w:pPr>
        <w:ind w:firstLine="391"/>
        <w:spacing w:after="0" w:line="266"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 policies, and positions with respect to current law. Any such changes could increase our liabilities for taxes, interest and penalties, lead to higher effective tax rates, and harm our cash flows, results of operations and financial condition.</w:t>
      </w:r>
    </w:p>
    <w:p>
      <w:pPr>
        <w:spacing w:after="0" w:line="203"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For example, many countries and the Organization for Economic Cooperation and Development (“OECD”) have proposed to reallocate some portion of profits of large multinational companies with global revenues exceeding EUR20 billion to markets where sales arise (“Pillar One”), as well as enact a global minimum tax rate of at least 15% for multinationals with</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global revenue exceeding EUR750 million (“Pillar Two”), and many countries are considering or intend to adopt these proposals. On August 16, 2022, President Biden signed into law the “Inflation Reduction Act” (“IRA”) that includes a 15% book-income alternative minimum tax for corporations with financial accounting profits over $1 billion and a 1% excise tax on the value of certain stock repurchases by publicly traded corporations. The alternative minimum tax is not expected to have a material adverse impact on our business, results of operations, financial conditions, and cash flows; however, if we repurchase stock pursuant to our stock repurchase program or otherwise, the 1% excise tax on stock repurchases may increase the costs to us of such repurchases. In March 2022, the Biden Administration proposed a number of federal tax changes, including raising the corporate income tax rate to 28% and, repealing the Base Erosion and Anti-Abuse Tax (“BEAT”) and replacing it with a new undertaxed profits rule (“UTPR”) that is intended to be consistent with the OECD Pillar Two Model Rules. While these provisions were not included in the IRA, if some or all of these changes are enacted, certain proposed changes could have an adverse impact on our business, results of operations, financial condition and cash flow.</w:t>
      </w:r>
    </w:p>
    <w:p>
      <w:pPr>
        <w:spacing w:after="0" w:line="194" w:lineRule="exact"/>
        <w:rPr>
          <w:sz w:val="20"/>
          <w:szCs w:val="20"/>
          <w:color w:val="auto"/>
        </w:rPr>
      </w:pPr>
    </w:p>
    <w:p>
      <w:pPr>
        <w:ind w:right="180"/>
        <w:spacing w:after="0" w:line="357"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9" w:lineRule="exact"/>
        <w:rPr>
          <w:sz w:val="20"/>
          <w:szCs w:val="20"/>
          <w:color w:val="auto"/>
        </w:rPr>
      </w:pPr>
    </w:p>
    <w:p>
      <w:pPr>
        <w:ind w:right="80" w:firstLine="391"/>
        <w:spacing w:after="0" w:line="278"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4"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9" w:lineRule="exact"/>
        <w:rPr>
          <w:sz w:val="20"/>
          <w:szCs w:val="20"/>
          <w:color w:val="auto"/>
        </w:rPr>
      </w:pPr>
    </w:p>
    <w:p>
      <w:pPr>
        <w:ind w:right="140" w:firstLine="391"/>
        <w:spacing w:after="0" w:line="261"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7" w:lineRule="exact"/>
        <w:rPr>
          <w:sz w:val="20"/>
          <w:szCs w:val="20"/>
          <w:color w:val="auto"/>
        </w:rPr>
      </w:pPr>
    </w:p>
    <w:p>
      <w:pPr>
        <w:ind w:right="20" w:firstLine="391"/>
        <w:spacing w:after="0" w:line="261"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7"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40" w:firstLine="391"/>
        <w:spacing w:after="0" w:line="284"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4" w:lineRule="exact"/>
        <w:rPr>
          <w:sz w:val="20"/>
          <w:szCs w:val="20"/>
          <w:color w:val="auto"/>
        </w:rPr>
      </w:pPr>
    </w:p>
    <w:p>
      <w:pPr>
        <w:ind w:firstLine="391"/>
        <w:spacing w:after="0" w:line="278"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194" w:lineRule="exact"/>
        <w:rPr>
          <w:sz w:val="20"/>
          <w:szCs w:val="20"/>
          <w:color w:val="auto"/>
        </w:rPr>
      </w:pPr>
    </w:p>
    <w:p>
      <w:pPr>
        <w:ind w:right="80" w:firstLine="391"/>
        <w:spacing w:after="0" w:line="279"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71"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10" w:lineRule="exact"/>
        <w:rPr>
          <w:sz w:val="20"/>
          <w:szCs w:val="20"/>
          <w:color w:val="auto"/>
        </w:rPr>
      </w:pPr>
    </w:p>
    <w:p>
      <w:pPr>
        <w:jc w:val="both"/>
        <w:ind w:right="240" w:firstLine="391"/>
        <w:spacing w:after="0" w:line="296"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spacing w:after="0" w:line="180"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The CJEU decision may result in European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210"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Additionally, several states in the U.S. have begun enacting new data privacy laws. For example, the California Consumer Privacy Act of 2018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may require us to modify our data processing practices and policies and to incur substantial costs and expenses in an effort to comply. The enactment of the CCPA has prompted similar legislative developments in other states, such as Virginia, which in March 2021 enacted a Consumer Data Protection Act that will go into effect January 1, 2023, Colorado, which in June 2021 enacted a Colorado Privacy Act that will go into effect July 1, 2023, Utah, which in March 2022 enacted a Utah Consumer Privacy Act that will go into effect July 1, 2023, and Connecticut, which in May 2022 enacted a similar law, An Act Concerning Personal Data Privacy and Online Monitoring, that will go into effect July 1, 2023. Similar laws are being considered by other state legislatures. These developments create the potential for a patchwork of overlapping but different state laws. Similarly, a number of legislative proposals in the EEA and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96" w:lineRule="exact"/>
        <w:rPr>
          <w:sz w:val="20"/>
          <w:szCs w:val="20"/>
          <w:color w:val="auto"/>
        </w:rPr>
      </w:pPr>
    </w:p>
    <w:p>
      <w:pPr>
        <w:ind w:right="140" w:firstLine="391"/>
        <w:spacing w:after="0" w:line="261" w:lineRule="auto"/>
        <w:rPr>
          <w:sz w:val="20"/>
          <w:szCs w:val="20"/>
          <w:color w:val="auto"/>
        </w:rPr>
      </w:pPr>
      <w:r>
        <w:rPr>
          <w:rFonts w:ascii="Arial" w:cs="Arial" w:eastAsia="Arial" w:hAnsi="Arial"/>
          <w:sz w:val="17"/>
          <w:szCs w:val="17"/>
          <w:color w:val="auto"/>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spacing w:after="0" w:line="207"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industry-specific regulations and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10"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48"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3" w:lineRule="exact"/>
        <w:rPr>
          <w:sz w:val="20"/>
          <w:szCs w:val="20"/>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 w:lineRule="exact"/>
        <w:rPr>
          <w:sz w:val="20"/>
          <w:szCs w:val="20"/>
          <w:color w:val="auto"/>
        </w:rPr>
      </w:pPr>
    </w:p>
    <w:p>
      <w:pPr>
        <w:ind w:right="100" w:firstLine="391"/>
        <w:spacing w:after="0" w:line="276"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9"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4" w:lineRule="exact"/>
        <w:rPr>
          <w:sz w:val="20"/>
          <w:szCs w:val="20"/>
          <w:color w:val="auto"/>
        </w:rPr>
      </w:pPr>
    </w:p>
    <w:p>
      <w:pPr>
        <w:ind w:right="100" w:firstLine="391"/>
        <w:spacing w:after="0" w:line="276"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48"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1,400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48" w:lineRule="exact"/>
        <w:rPr>
          <w:sz w:val="20"/>
          <w:szCs w:val="20"/>
          <w:color w:val="auto"/>
        </w:rPr>
      </w:pPr>
    </w:p>
    <w:p>
      <w:pPr>
        <w:ind w:right="440" w:firstLine="391"/>
        <w:spacing w:after="0" w:line="287"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4" w:lineRule="exact"/>
        <w:rPr>
          <w:sz w:val="20"/>
          <w:szCs w:val="20"/>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47" w:lineRule="exact"/>
        <w:rPr>
          <w:rFonts w:ascii="Arial" w:cs="Arial" w:eastAsia="Arial" w:hAnsi="Arial"/>
          <w:sz w:val="17"/>
          <w:szCs w:val="17"/>
          <w:color w:val="auto"/>
        </w:rPr>
      </w:pPr>
    </w:p>
    <w:p>
      <w:pPr>
        <w:ind w:left="1260" w:right="160" w:hanging="317"/>
        <w:spacing w:after="0" w:line="287" w:lineRule="auto"/>
        <w:tabs>
          <w:tab w:leader="none" w:pos="12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47" w:lineRule="exact"/>
        <w:rPr>
          <w:rFonts w:ascii="Arial" w:cs="Arial" w:eastAsia="Arial" w:hAnsi="Arial"/>
          <w:sz w:val="17"/>
          <w:szCs w:val="17"/>
          <w:color w:val="auto"/>
        </w:rPr>
      </w:pPr>
    </w:p>
    <w:p>
      <w:pPr>
        <w:ind w:left="1260" w:right="80" w:hanging="317"/>
        <w:spacing w:after="0" w:line="296" w:lineRule="auto"/>
        <w:tabs>
          <w:tab w:leader="none" w:pos="12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 and slow or negative growth of our markets and catastrophic events, including earthquakes, fires, floods, tsunamis, or other weather events, power loss, telecommunications failures, software or hardware malfunctions, cyber-attack, war, such as the conflict between Russia and Ukraine, or terrorist attacks, and pandemics such as the ongoing COVID-19 pandemic.</w:t>
      </w:r>
    </w:p>
    <w:p>
      <w:pPr>
        <w:spacing w:after="0" w:line="180" w:lineRule="exact"/>
        <w:rPr>
          <w:sz w:val="20"/>
          <w:szCs w:val="20"/>
          <w:color w:val="auto"/>
        </w:rPr>
      </w:pPr>
    </w:p>
    <w:p>
      <w:pPr>
        <w:ind w:firstLine="391"/>
        <w:spacing w:after="0" w:line="307"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7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4" w:lineRule="exact"/>
        <w:rPr>
          <w:sz w:val="20"/>
          <w:szCs w:val="20"/>
          <w:color w:val="auto"/>
        </w:rPr>
      </w:pPr>
    </w:p>
    <w:p>
      <w:pPr>
        <w:ind w:firstLine="391"/>
        <w:spacing w:after="0" w:line="297" w:lineRule="auto"/>
        <w:rPr>
          <w:sz w:val="20"/>
          <w:szCs w:val="20"/>
          <w:color w:val="auto"/>
        </w:rPr>
      </w:pPr>
      <w:r>
        <w:rPr>
          <w:rFonts w:ascii="Arial" w:cs="Arial" w:eastAsia="Arial" w:hAnsi="Arial"/>
          <w:sz w:val="15"/>
          <w:szCs w:val="15"/>
          <w:color w:val="auto"/>
        </w:rPr>
        <w:t>Our Class A common stock has one vote per share, our Class B common stock has ten votes per share, and our Class C common stock has no voting rights, except as otherwise required by law. As of September 30, 2022, our directors, executive officers and holders of more than 5% of our common stock, and their respective affiliates, held in the aggregate 79.1% of the voting power of our capital stock, with Mr. Houston holding approximately 74.1%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82" w:lineRule="exact"/>
        <w:rPr>
          <w:sz w:val="20"/>
          <w:szCs w:val="20"/>
          <w:color w:val="auto"/>
        </w:rPr>
      </w:pPr>
    </w:p>
    <w:p>
      <w:pPr>
        <w:ind w:right="120" w:firstLine="391"/>
        <w:spacing w:after="0" w:line="284"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210" w:lineRule="exact"/>
        <w:rPr>
          <w:sz w:val="20"/>
          <w:szCs w:val="20"/>
          <w:color w:val="auto"/>
        </w:rPr>
      </w:pPr>
    </w:p>
    <w:p>
      <w:pPr>
        <w:jc w:val="both"/>
        <w:ind w:right="280" w:firstLine="391"/>
        <w:spacing w:after="0" w:line="32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4"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these policies may depress the trading price of our Class A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48" w:lineRule="exact"/>
        <w:rPr>
          <w:sz w:val="20"/>
          <w:szCs w:val="20"/>
          <w:color w:val="auto"/>
        </w:rPr>
      </w:pPr>
    </w:p>
    <w:p>
      <w:pPr>
        <w:ind w:right="60" w:firstLine="391"/>
        <w:spacing w:after="0" w:line="357" w:lineRule="auto"/>
        <w:rPr>
          <w:sz w:val="20"/>
          <w:szCs w:val="20"/>
          <w:color w:val="auto"/>
        </w:rPr>
      </w:pPr>
      <w:r>
        <w:rPr>
          <w:rFonts w:ascii="Arial" w:cs="Arial" w:eastAsia="Arial" w:hAnsi="Arial"/>
          <w:sz w:val="15"/>
          <w:szCs w:val="15"/>
          <w:color w:val="auto"/>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spacing w:after="0" w:line="139" w:lineRule="exact"/>
        <w:rPr>
          <w:sz w:val="20"/>
          <w:szCs w:val="20"/>
          <w:color w:val="auto"/>
        </w:rPr>
      </w:pPr>
    </w:p>
    <w:p>
      <w:pPr>
        <w:ind w:firstLine="391"/>
        <w:spacing w:after="0" w:line="320"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1"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4" w:lineRule="exact"/>
        <w:rPr>
          <w:sz w:val="20"/>
          <w:szCs w:val="20"/>
          <w:color w:val="auto"/>
        </w:rPr>
      </w:pPr>
    </w:p>
    <w:p>
      <w:pPr>
        <w:ind w:right="160" w:firstLine="391"/>
        <w:spacing w:after="0" w:line="303" w:lineRule="auto"/>
        <w:rPr>
          <w:sz w:val="20"/>
          <w:szCs w:val="20"/>
          <w:color w:val="auto"/>
        </w:rPr>
      </w:pPr>
      <w:r>
        <w:rPr>
          <w:rFonts w:ascii="Arial" w:cs="Arial" w:eastAsia="Arial" w:hAnsi="Arial"/>
          <w:sz w:val="15"/>
          <w:szCs w:val="15"/>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any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conversions of the 2026 Notes or 2028 Notes into shares of our Class A common stock could depress the price of our Class A common stock.</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4" w:lineRule="exact"/>
        <w:rPr>
          <w:sz w:val="20"/>
          <w:szCs w:val="20"/>
          <w:color w:val="auto"/>
        </w:rPr>
      </w:pPr>
    </w:p>
    <w:p>
      <w:pPr>
        <w:ind w:right="120" w:firstLine="391"/>
        <w:spacing w:after="0" w:line="28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hanging="317"/>
        <w:spacing w:after="0" w:line="287"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6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4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hanging="317"/>
        <w:spacing w:after="0" w:line="288" w:lineRule="auto"/>
        <w:tabs>
          <w:tab w:leader="none" w:pos="12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6" w:lineRule="exact"/>
        <w:rPr>
          <w:rFonts w:ascii="Arial" w:cs="Arial" w:eastAsia="Arial" w:hAnsi="Arial"/>
          <w:sz w:val="16"/>
          <w:szCs w:val="16"/>
          <w:color w:val="auto"/>
        </w:rPr>
      </w:pPr>
    </w:p>
    <w:p>
      <w:pPr>
        <w:ind w:left="1260" w:right="28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42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10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47" w:lineRule="exact"/>
        <w:rPr>
          <w:rFonts w:ascii="Arial" w:cs="Arial" w:eastAsia="Arial" w:hAnsi="Arial"/>
          <w:sz w:val="17"/>
          <w:szCs w:val="17"/>
          <w:color w:val="auto"/>
        </w:rPr>
      </w:pPr>
    </w:p>
    <w:p>
      <w:pPr>
        <w:jc w:val="both"/>
        <w:ind w:left="1260" w:right="260" w:hanging="317"/>
        <w:spacing w:after="0" w:line="271"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8"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47" w:lineRule="exact"/>
        <w:rPr>
          <w:rFonts w:ascii="Arial" w:cs="Arial" w:eastAsia="Arial" w:hAnsi="Arial"/>
          <w:sz w:val="17"/>
          <w:szCs w:val="17"/>
          <w:color w:val="auto"/>
        </w:rPr>
      </w:pPr>
    </w:p>
    <w:p>
      <w:pPr>
        <w:ind w:left="1260" w:right="2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4"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3"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03"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4" w:lineRule="exact"/>
        <w:rPr>
          <w:sz w:val="20"/>
          <w:szCs w:val="20"/>
          <w:color w:val="auto"/>
        </w:rPr>
      </w:pPr>
    </w:p>
    <w:p>
      <w:pPr>
        <w:ind w:right="400" w:firstLine="39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540" w:firstLine="391"/>
        <w:spacing w:after="0" w:line="287"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8" w:lineRule="exact"/>
        <w:rPr>
          <w:sz w:val="20"/>
          <w:szCs w:val="20"/>
          <w:color w:val="auto"/>
        </w:rPr>
      </w:pPr>
    </w:p>
    <w:p>
      <w:pPr>
        <w:ind w:right="100" w:firstLine="391"/>
        <w:spacing w:after="0" w:line="297" w:lineRule="auto"/>
        <w:rPr>
          <w:sz w:val="20"/>
          <w:szCs w:val="20"/>
          <w:color w:val="auto"/>
        </w:rPr>
      </w:pPr>
      <w:r>
        <w:rPr>
          <w:rFonts w:ascii="Arial" w:cs="Arial" w:eastAsia="Arial" w:hAnsi="Arial"/>
          <w:sz w:val="15"/>
          <w:szCs w:val="15"/>
          <w:color w:val="auto"/>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and in February 2022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Inflation Reduction Act, the United States implemented a 1% excise tax on the value of certain stock repurchase by publicly traded companies. This tax could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8" w:lineRule="exact"/>
        <w:rPr>
          <w:sz w:val="20"/>
          <w:szCs w:val="20"/>
          <w:color w:val="auto"/>
        </w:rPr>
      </w:pPr>
    </w:p>
    <w:p>
      <w:pPr>
        <w:ind w:right="260" w:firstLine="391"/>
        <w:spacing w:after="0" w:line="259"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General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48"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6" w:lineRule="exact"/>
        <w:rPr>
          <w:sz w:val="20"/>
          <w:szCs w:val="20"/>
          <w:color w:val="auto"/>
        </w:rPr>
      </w:pPr>
    </w:p>
    <w:p>
      <w:pPr>
        <w:ind w:right="20" w:firstLine="391"/>
        <w:spacing w:after="0" w:line="312" w:lineRule="auto"/>
        <w:rPr>
          <w:sz w:val="20"/>
          <w:szCs w:val="20"/>
          <w:color w:val="auto"/>
        </w:rPr>
      </w:pPr>
      <w:r>
        <w:rPr>
          <w:rFonts w:ascii="Arial" w:cs="Arial" w:eastAsia="Arial" w:hAnsi="Arial"/>
          <w:sz w:val="15"/>
          <w:szCs w:val="15"/>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48" w:lineRule="exact"/>
        <w:rPr>
          <w:sz w:val="20"/>
          <w:szCs w:val="20"/>
          <w:color w:val="auto"/>
        </w:rPr>
      </w:pPr>
    </w:p>
    <w:p>
      <w:pPr>
        <w:ind w:right="120" w:firstLine="391"/>
        <w:spacing w:after="0" w:line="278" w:lineRule="auto"/>
        <w:rPr>
          <w:sz w:val="20"/>
          <w:szCs w:val="20"/>
          <w:color w:val="auto"/>
        </w:rPr>
      </w:pPr>
      <w:r>
        <w:rPr>
          <w:rFonts w:ascii="Arial" w:cs="Arial" w:eastAsia="Arial" w:hAnsi="Arial"/>
          <w:sz w:val="16"/>
          <w:szCs w:val="16"/>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In addition to introducing a new minimum corporate income tax on certain large corporations, and an excise tax of 1% on certain share repurchases by corporations, the recently enacted IRA increased funding for the Internal Revenue Service (“IRS”). Although we do not anticipate the new corporate minimum income tax will currently apply, changes in the business and pending regulations on the interpretation and application of the new corporate minimum tax may have adverse tax consequences for us. The excise tax on share repurchases may apply to any repurchase of stock (including transactions deemed to be repurchases for U.S. income tax purposes) we undertake, which may increase the costs to us of any share repurchases.</w:t>
      </w:r>
    </w:p>
    <w:p>
      <w:pPr>
        <w:spacing w:after="0" w:line="194"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spacing w:after="0" w:line="206"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4"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3"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6"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48"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48" w:lineRule="exact"/>
        <w:rPr>
          <w:sz w:val="20"/>
          <w:szCs w:val="20"/>
          <w:color w:val="auto"/>
        </w:rPr>
      </w:pPr>
    </w:p>
    <w:p>
      <w:pPr>
        <w:ind w:right="40" w:firstLine="391"/>
        <w:spacing w:after="0" w:line="301"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4"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ind w:right="2440" w:firstLine="626"/>
        <w:spacing w:after="0" w:line="281" w:lineRule="auto"/>
        <w:rPr>
          <w:sz w:val="20"/>
          <w:szCs w:val="20"/>
          <w:color w:val="auto"/>
        </w:rPr>
      </w:pPr>
      <w:r>
        <w:rPr>
          <w:rFonts w:ascii="Arial" w:cs="Arial" w:eastAsia="Arial" w:hAnsi="Arial"/>
          <w:sz w:val="17"/>
          <w:szCs w:val="17"/>
          <w:color w:val="auto"/>
        </w:rPr>
        <w:t>The following table presents information with respect to Dropbox's repurchases of Class A common stock during the quarter ended September 30, 2022.</w:t>
      </w:r>
    </w:p>
    <w:tbl>
      <w:tblPr>
        <w:tblLayout w:type="fixed"/>
        <w:tblInd w:w="60" w:type="dxa"/>
        <w:tblCellMar>
          <w:top w:w="0" w:type="dxa"/>
          <w:left w:w="0" w:type="dxa"/>
          <w:bottom w:w="0" w:type="dxa"/>
          <w:right w:w="0" w:type="dxa"/>
        </w:tblCellMar>
      </w:tblPr>
      <w:tr>
        <w:trPr>
          <w:trHeight w:val="158"/>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8" w:lineRule="exact"/>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right"/>
              <w:ind w:right="25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line="157" w:lineRule="exact"/>
              <w:rPr>
                <w:sz w:val="20"/>
                <w:szCs w:val="20"/>
                <w:color w:val="auto"/>
              </w:rPr>
            </w:pPr>
            <w:r>
              <w:rPr>
                <w:rFonts w:ascii="Arial" w:cs="Arial" w:eastAsia="Arial" w:hAnsi="Arial"/>
                <w:sz w:val="16"/>
                <w:szCs w:val="16"/>
                <w:color w:val="auto"/>
                <w:w w:val="88"/>
              </w:rPr>
              <w:t>Purchased as Part of Publicly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6"/>
        </w:trPr>
        <w:tc>
          <w:tcPr>
            <w:tcW w:w="2140" w:type="dxa"/>
            <w:vAlign w:val="bottom"/>
            <w:vMerge w:val="restart"/>
          </w:tcPr>
          <w:p>
            <w:pPr>
              <w:ind w:left="860"/>
              <w:spacing w:after="0"/>
              <w:rPr>
                <w:sz w:val="20"/>
                <w:szCs w:val="20"/>
                <w:color w:val="auto"/>
              </w:rPr>
            </w:pPr>
            <w:r>
              <w:rPr>
                <w:rFonts w:ascii="Arial" w:cs="Arial" w:eastAsia="Arial" w:hAnsi="Arial"/>
                <w:sz w:val="16"/>
                <w:szCs w:val="16"/>
                <w:color w:val="auto"/>
              </w:rPr>
              <w:t>Period</w:t>
            </w:r>
          </w:p>
        </w:tc>
        <w:tc>
          <w:tcPr>
            <w:tcW w:w="100" w:type="dxa"/>
            <w:vAlign w:val="bottom"/>
            <w:vMerge w:val="restart"/>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vMerge w:val="restart"/>
          </w:tcPr>
          <w:p>
            <w:pPr>
              <w:spacing w:after="0"/>
              <w:rPr>
                <w:sz w:val="13"/>
                <w:szCs w:val="13"/>
                <w:color w:val="auto"/>
              </w:rPr>
            </w:pPr>
          </w:p>
        </w:tc>
        <w:tc>
          <w:tcPr>
            <w:tcW w:w="2140" w:type="dxa"/>
            <w:vAlign w:val="bottom"/>
          </w:tcPr>
          <w:p>
            <w:pPr>
              <w:jc w:val="center"/>
              <w:spacing w:after="0" w:line="157" w:lineRule="exact"/>
              <w:rPr>
                <w:sz w:val="20"/>
                <w:szCs w:val="20"/>
                <w:color w:val="auto"/>
              </w:rPr>
            </w:pPr>
            <w:r>
              <w:rPr>
                <w:rFonts w:ascii="Arial" w:cs="Arial" w:eastAsia="Arial" w:hAnsi="Arial"/>
                <w:sz w:val="16"/>
                <w:szCs w:val="16"/>
                <w:color w:val="auto"/>
                <w:w w:val="87"/>
              </w:rPr>
              <w:t>Announced Programs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6"/>
        </w:trPr>
        <w:tc>
          <w:tcPr>
            <w:tcW w:w="2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160" w:type="dxa"/>
            <w:vAlign w:val="bottom"/>
            <w:tcBorders>
              <w:bottom w:val="single" w:sz="8" w:color="auto"/>
            </w:tcBorders>
          </w:tcPr>
          <w:p>
            <w:pPr>
              <w:jc w:val="right"/>
              <w:ind w:right="216"/>
              <w:spacing w:after="0" w:line="206"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14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39"/>
              <w:spacing w:after="0" w:line="206"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15"/>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1 - 31</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980" w:type="dxa"/>
            <w:vAlign w:val="bottom"/>
            <w:gridSpan w:val="2"/>
            <w:shd w:val="clear" w:color="auto" w:fill="CCEEFF"/>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1,041.05</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Arial" w:cs="Arial" w:eastAsia="Arial" w:hAnsi="Arial"/>
                <w:sz w:val="17"/>
                <w:szCs w:val="17"/>
                <w:color w:val="auto"/>
              </w:rPr>
              <w:t>August 1 - 31</w:t>
            </w:r>
          </w:p>
        </w:tc>
        <w:tc>
          <w:tcPr>
            <w:tcW w:w="2160" w:type="dxa"/>
            <w:vAlign w:val="bottom"/>
          </w:tcPr>
          <w:p>
            <w:pPr>
              <w:jc w:val="right"/>
              <w:spacing w:after="0" w:line="222" w:lineRule="exact"/>
              <w:rPr>
                <w:sz w:val="20"/>
                <w:szCs w:val="20"/>
                <w:color w:val="auto"/>
              </w:rPr>
            </w:pPr>
            <w:r>
              <w:rPr>
                <w:rFonts w:ascii="Arial" w:cs="Arial" w:eastAsia="Arial" w:hAnsi="Arial"/>
                <w:sz w:val="17"/>
                <w:szCs w:val="17"/>
                <w:color w:val="auto"/>
              </w:rPr>
              <w:t>2.59</w:t>
            </w:r>
            <w:r>
              <w:rPr>
                <w:rFonts w:ascii="Arial" w:cs="Arial" w:eastAsia="Arial" w:hAnsi="Arial"/>
                <w:sz w:val="22"/>
                <w:szCs w:val="22"/>
                <w:color w:val="auto"/>
                <w:vertAlign w:val="superscript"/>
              </w:rPr>
              <w:t>(3)</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23.34</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2.51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982.58</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1 - 30</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980" w:type="dxa"/>
            <w:vAlign w:val="bottom"/>
            <w:gridSpan w:val="2"/>
            <w:shd w:val="clear" w:color="auto" w:fill="CCEEFF"/>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922.13</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Arial" w:cs="Arial" w:eastAsia="Arial" w:hAnsi="Arial"/>
                <w:sz w:val="17"/>
                <w:szCs w:val="17"/>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right="60" w:firstLine="4"/>
        <w:spacing w:after="0" w:line="267" w:lineRule="auto"/>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On February 17, 2022, we announced that our Board of Directors authorized the repurchase of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spacing w:after="0" w:line="194" w:lineRule="exact"/>
        <w:rPr>
          <w:rFonts w:ascii="Arial" w:cs="Arial" w:eastAsia="Arial" w:hAnsi="Arial"/>
          <w:sz w:val="19"/>
          <w:szCs w:val="19"/>
          <w:color w:val="auto"/>
          <w:vertAlign w:val="superscript"/>
        </w:rPr>
      </w:pPr>
    </w:p>
    <w:p>
      <w:pPr>
        <w:ind w:left="160" w:hanging="156"/>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Average price paid per share includes costs associated with the repurchases.</w:t>
      </w:r>
    </w:p>
    <w:p>
      <w:pPr>
        <w:spacing w:after="0" w:line="198" w:lineRule="exact"/>
        <w:rPr>
          <w:rFonts w:ascii="Arial" w:cs="Arial" w:eastAsia="Arial" w:hAnsi="Arial"/>
          <w:sz w:val="19"/>
          <w:szCs w:val="19"/>
          <w:color w:val="auto"/>
          <w:vertAlign w:val="superscript"/>
        </w:rPr>
      </w:pPr>
    </w:p>
    <w:p>
      <w:pPr>
        <w:ind w:left="160" w:hanging="156"/>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Includes 82,205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EXHIBIT INDEX</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740" w:type="dxa"/>
            <w:vAlign w:val="bottom"/>
            <w:gridSpan w:val="5"/>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Reference from</w:t>
            </w: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2"/>
              </w:rPr>
              <w:t>Filed with SEC</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4740" w:type="dxa"/>
            <w:vAlign w:val="bottom"/>
            <w:gridSpan w:val="5"/>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504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0"/>
              </w:rPr>
              <w:t>Certification of Principal Executive Officer pursuant to Exchange Act Rules 13a-14(a) and</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bottom w:val="single" w:sz="8" w:color="0000FF"/>
            </w:tcBorders>
            <w:gridSpan w:val="2"/>
          </w:tcPr>
          <w:p>
            <w:pPr>
              <w:spacing w:after="0" w:line="110" w:lineRule="exact"/>
              <w:rPr>
                <w:sz w:val="20"/>
                <w:szCs w:val="20"/>
                <w:color w:val="auto"/>
              </w:rPr>
            </w:pPr>
            <w:r>
              <w:rPr>
                <w:rFonts w:ascii="Arial" w:cs="Arial" w:eastAsia="Arial" w:hAnsi="Arial"/>
                <w:sz w:val="12"/>
                <w:szCs w:val="12"/>
                <w:color w:val="0000FF"/>
              </w:rPr>
              <w:t>15d-14(a), as adopted pursuant to Section 302 of the Sarbanes-Oxley Act of 2002.</w:t>
            </w:r>
          </w:p>
        </w:tc>
        <w:tc>
          <w:tcPr>
            <w:tcW w:w="480" w:type="dxa"/>
            <w:vAlign w:val="bottom"/>
            <w:gridSpan w:val="4"/>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6"/>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5040" w:type="dxa"/>
            <w:vAlign w:val="bottom"/>
            <w:gridSpan w:val="6"/>
          </w:tcPr>
          <w:p>
            <w:pPr>
              <w:spacing w:after="0"/>
              <w:rPr>
                <w:sz w:val="20"/>
                <w:szCs w:val="20"/>
                <w:color w:val="auto"/>
              </w:rPr>
            </w:pPr>
            <w:r>
              <w:rPr>
                <w:rFonts w:ascii="Arial" w:cs="Arial" w:eastAsia="Arial" w:hAnsi="Arial"/>
                <w:sz w:val="14"/>
                <w:szCs w:val="14"/>
                <w:color w:val="0000FF"/>
                <w:w w:val="91"/>
              </w:rPr>
              <w:t>Certification of Principal Financial Officer pursuant to Exchange Act Rules 13a-14(a) and</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top w:val="single" w:sz="8" w:color="0000FF"/>
              <w:bottom w:val="single" w:sz="8" w:color="0000FF"/>
            </w:tcBorders>
            <w:gridSpan w:val="2"/>
          </w:tcPr>
          <w:p>
            <w:pPr>
              <w:spacing w:after="0" w:line="110" w:lineRule="exact"/>
              <w:rPr>
                <w:sz w:val="20"/>
                <w:szCs w:val="20"/>
                <w:color w:val="auto"/>
              </w:rPr>
            </w:pPr>
            <w:r>
              <w:rPr>
                <w:rFonts w:ascii="Arial" w:cs="Arial" w:eastAsia="Arial" w:hAnsi="Arial"/>
                <w:sz w:val="12"/>
                <w:szCs w:val="12"/>
                <w:color w:val="0000FF"/>
              </w:rPr>
              <w:t>15d-14(a), as adopted pursuant to Section 302 of the Sarbanes-Oxley Act of 2002.</w:t>
            </w:r>
          </w:p>
        </w:tc>
        <w:tc>
          <w:tcPr>
            <w:tcW w:w="440" w:type="dxa"/>
            <w:vAlign w:val="bottom"/>
            <w:tcBorders>
              <w:top w:val="single" w:sz="8" w:color="0000FF"/>
            </w:tcBorders>
            <w:gridSpan w:val="3"/>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6"/>
        </w:trPr>
        <w:tc>
          <w:tcPr>
            <w:tcW w:w="1080" w:type="dxa"/>
            <w:vAlign w:val="bottom"/>
          </w:tcPr>
          <w:p>
            <w:pPr>
              <w:spacing w:after="0"/>
              <w:rPr>
                <w:sz w:val="20"/>
                <w:szCs w:val="20"/>
                <w:color w:val="auto"/>
              </w:rPr>
            </w:pPr>
            <w:r>
              <w:rPr>
                <w:rFonts w:ascii="Arial" w:cs="Arial" w:eastAsia="Arial" w:hAnsi="Arial"/>
                <w:sz w:val="14"/>
                <w:szCs w:val="14"/>
                <w:color w:val="auto"/>
              </w:rPr>
              <w:t>32.1†</w:t>
            </w:r>
          </w:p>
        </w:tc>
        <w:tc>
          <w:tcPr>
            <w:tcW w:w="488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2"/>
              </w:rPr>
              <w:t>Certifications of Principal Executive Officer and Principal Financial Officer pursuant to</w:t>
            </w:r>
          </w:p>
        </w:tc>
        <w:tc>
          <w:tcPr>
            <w:tcW w:w="1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6"/>
          </w:tcPr>
          <w:p>
            <w:pPr>
              <w:spacing w:after="0" w:line="110" w:lineRule="exact"/>
              <w:rPr>
                <w:sz w:val="20"/>
                <w:szCs w:val="20"/>
                <w:color w:val="auto"/>
              </w:rPr>
            </w:pPr>
            <w:r>
              <w:rPr>
                <w:rFonts w:ascii="Arial" w:cs="Arial" w:eastAsia="Arial" w:hAnsi="Arial"/>
                <w:sz w:val="12"/>
                <w:szCs w:val="12"/>
                <w:color w:val="0000FF"/>
              </w:rPr>
              <w:t>18 U.S.C. Section 1350 as adopted pursuant to Section 906 of the Sarbanes-Oxley Act of</w:t>
            </w: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300" w:type="dxa"/>
            <w:vAlign w:val="bottom"/>
            <w:tcBorders>
              <w:top w:val="single" w:sz="8" w:color="0000FF"/>
              <w:bottom w:val="single" w:sz="8" w:color="0000FF"/>
            </w:tcBorders>
          </w:tcPr>
          <w:p>
            <w:pPr>
              <w:spacing w:after="0" w:line="123" w:lineRule="exact"/>
              <w:rPr>
                <w:sz w:val="20"/>
                <w:szCs w:val="20"/>
                <w:color w:val="auto"/>
              </w:rPr>
            </w:pPr>
            <w:r>
              <w:rPr>
                <w:rFonts w:ascii="Arial" w:cs="Arial" w:eastAsia="Arial" w:hAnsi="Arial"/>
                <w:sz w:val="14"/>
                <w:szCs w:val="14"/>
                <w:color w:val="0000FF"/>
                <w:w w:val="79"/>
              </w:rPr>
              <w:t>2002.</w:t>
            </w:r>
          </w:p>
        </w:tc>
        <w:tc>
          <w:tcPr>
            <w:tcW w:w="42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100" w:right="5040" w:hanging="1078"/>
        <w:spacing w:after="0" w:line="261" w:lineRule="auto"/>
        <w:tabs>
          <w:tab w:leader="none" w:pos="11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Quarterly Report on Form 10-Q for the quarter ended September 30, 2022,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83" w:lineRule="exact"/>
        <w:rPr>
          <w:sz w:val="20"/>
          <w:szCs w:val="20"/>
          <w:color w:val="auto"/>
        </w:rPr>
      </w:pPr>
    </w:p>
    <w:p>
      <w:pPr>
        <w:ind w:left="1100" w:right="5220" w:hanging="1078"/>
        <w:spacing w:after="0" w:line="228" w:lineRule="auto"/>
        <w:tabs>
          <w:tab w:leader="none" w:pos="11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19" w:lineRule="exact"/>
        <w:rPr>
          <w:rFonts w:ascii="Arial" w:cs="Arial" w:eastAsia="Arial" w:hAnsi="Arial"/>
          <w:sz w:val="14"/>
          <w:szCs w:val="14"/>
          <w:color w:val="auto"/>
        </w:rPr>
      </w:pPr>
    </w:p>
    <w:p>
      <w:pPr>
        <w:ind w:firstLine="4"/>
        <w:spacing w:after="0" w:line="263" w:lineRule="auto"/>
        <w:tabs>
          <w:tab w:leader="none" w:pos="1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4" w:lineRule="exact"/>
        <w:rPr>
          <w:sz w:val="20"/>
          <w:szCs w:val="20"/>
          <w:color w:val="auto"/>
        </w:rPr>
      </w:pPr>
    </w:p>
    <w:p>
      <w:pPr>
        <w:ind w:right="240" w:firstLine="174"/>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900" w:type="dxa"/>
            <w:vAlign w:val="bottom"/>
            <w:gridSpan w:val="3"/>
          </w:tcPr>
          <w:p>
            <w:pPr>
              <w:ind w:left="320"/>
              <w:spacing w:after="0"/>
              <w:rPr>
                <w:sz w:val="20"/>
                <w:szCs w:val="20"/>
                <w:color w:val="auto"/>
              </w:rPr>
            </w:pPr>
            <w:r>
              <w:rPr>
                <w:rFonts w:ascii="Arial" w:cs="Arial" w:eastAsia="Arial" w:hAnsi="Arial"/>
                <w:sz w:val="17"/>
                <w:szCs w:val="17"/>
                <w:b w:val="1"/>
                <w:bCs w:val="1"/>
                <w:color w:val="auto"/>
              </w:rPr>
              <w:t>DROPBOX, INC.</w:t>
            </w:r>
          </w:p>
        </w:tc>
        <w:tc>
          <w:tcPr>
            <w:tcW w:w="40" w:type="dxa"/>
            <w:vAlign w:val="bottom"/>
          </w:tcPr>
          <w:p>
            <w:pPr>
              <w:spacing w:after="0"/>
              <w:rPr>
                <w:sz w:val="19"/>
                <w:szCs w:val="19"/>
                <w:color w:val="auto"/>
              </w:rPr>
            </w:pPr>
          </w:p>
        </w:tc>
      </w:tr>
      <w:tr>
        <w:trPr>
          <w:trHeight w:val="48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1760" w:type="dxa"/>
            <w:vAlign w:val="bottom"/>
          </w:tcPr>
          <w:p>
            <w:pPr>
              <w:ind w:left="100"/>
              <w:spacing w:after="0"/>
              <w:rPr>
                <w:sz w:val="20"/>
                <w:szCs w:val="20"/>
                <w:color w:val="auto"/>
              </w:rPr>
            </w:pPr>
            <w:r>
              <w:rPr>
                <w:rFonts w:ascii="Arial" w:cs="Arial" w:eastAsia="Arial" w:hAnsi="Arial"/>
                <w:sz w:val="17"/>
                <w:szCs w:val="17"/>
                <w:color w:val="auto"/>
              </w:rPr>
              <w:t>November 4, 2022</w:t>
            </w:r>
          </w:p>
        </w:tc>
        <w:tc>
          <w:tcPr>
            <w:tcW w:w="1360" w:type="dxa"/>
            <w:vAlign w:val="bottom"/>
          </w:tcPr>
          <w:p>
            <w:pPr>
              <w:ind w:left="320"/>
              <w:spacing w:after="0"/>
              <w:rPr>
                <w:sz w:val="20"/>
                <w:szCs w:val="20"/>
                <w:color w:val="auto"/>
              </w:rPr>
            </w:pPr>
            <w:r>
              <w:rPr>
                <w:rFonts w:ascii="Arial" w:cs="Arial" w:eastAsia="Arial" w:hAnsi="Arial"/>
                <w:sz w:val="17"/>
                <w:szCs w:val="17"/>
                <w:color w:val="auto"/>
              </w:rPr>
              <w:t>By:</w:t>
            </w:r>
          </w:p>
        </w:tc>
        <w:tc>
          <w:tcPr>
            <w:tcW w:w="7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Andrew W. Houston</w:t>
            </w:r>
          </w:p>
        </w:tc>
        <w:tc>
          <w:tcPr>
            <w:tcW w:w="40" w:type="dxa"/>
            <w:vAlign w:val="bottom"/>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Andrew W. Houston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i w:val="1"/>
                <w:iCs w:val="1"/>
                <w:color w:val="auto"/>
              </w:rPr>
              <w:t>(Principal Executive Officer)</w:t>
            </w:r>
          </w:p>
        </w:tc>
        <w:tc>
          <w:tcPr>
            <w:tcW w:w="40" w:type="dxa"/>
            <w:vAlign w:val="bottom"/>
          </w:tcPr>
          <w:p>
            <w:pPr>
              <w:spacing w:after="0"/>
              <w:rPr>
                <w:sz w:val="19"/>
                <w:szCs w:val="19"/>
                <w:color w:val="auto"/>
              </w:rPr>
            </w:pPr>
          </w:p>
        </w:tc>
      </w:tr>
      <w:tr>
        <w:trPr>
          <w:trHeight w:val="691"/>
        </w:trPr>
        <w:tc>
          <w:tcPr>
            <w:tcW w:w="520" w:type="dxa"/>
            <w:vAlign w:val="bottom"/>
          </w:tcPr>
          <w:p>
            <w:pPr>
              <w:ind w:left="20"/>
              <w:spacing w:after="0"/>
              <w:rPr>
                <w:sz w:val="20"/>
                <w:szCs w:val="20"/>
                <w:color w:val="auto"/>
              </w:rPr>
            </w:pPr>
            <w:r>
              <w:rPr>
                <w:rFonts w:ascii="Arial" w:cs="Arial" w:eastAsia="Arial" w:hAnsi="Arial"/>
                <w:sz w:val="17"/>
                <w:szCs w:val="17"/>
                <w:color w:val="auto"/>
              </w:rPr>
              <w:t>Date:</w:t>
            </w:r>
          </w:p>
        </w:tc>
        <w:tc>
          <w:tcPr>
            <w:tcW w:w="1760" w:type="dxa"/>
            <w:vAlign w:val="bottom"/>
          </w:tcPr>
          <w:p>
            <w:pPr>
              <w:ind w:left="120"/>
              <w:spacing w:after="0"/>
              <w:rPr>
                <w:sz w:val="20"/>
                <w:szCs w:val="20"/>
                <w:color w:val="auto"/>
              </w:rPr>
            </w:pPr>
            <w:r>
              <w:rPr>
                <w:rFonts w:ascii="Arial" w:cs="Arial" w:eastAsia="Arial" w:hAnsi="Arial"/>
                <w:sz w:val="17"/>
                <w:szCs w:val="17"/>
                <w:color w:val="auto"/>
              </w:rPr>
              <w:t>November 4, 2022</w:t>
            </w:r>
          </w:p>
        </w:tc>
        <w:tc>
          <w:tcPr>
            <w:tcW w:w="1360" w:type="dxa"/>
            <w:vAlign w:val="bottom"/>
          </w:tcPr>
          <w:p>
            <w:pPr>
              <w:ind w:left="34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Timothy J. Regan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2" w:lineRule="exact"/>
        <w:rPr>
          <w:sz w:val="20"/>
          <w:szCs w:val="20"/>
          <w:color w:val="auto"/>
        </w:rPr>
      </w:pPr>
    </w:p>
    <w:p>
      <w:pPr>
        <w:ind w:left="320" w:hanging="316"/>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144"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5"/>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6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2" w:lineRule="exact"/>
        <w:rPr>
          <w:sz w:val="20"/>
          <w:szCs w:val="20"/>
          <w:color w:val="auto"/>
        </w:rPr>
      </w:pPr>
    </w:p>
    <w:p>
      <w:pPr>
        <w:ind w:left="320" w:hanging="316"/>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6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DROPBOX, INC.</w:t>
      </w:r>
    </w:p>
    <w:p>
      <w:pPr>
        <w:spacing w:after="0" w:line="222"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16510</wp:posOffset>
            </wp:positionV>
            <wp:extent cx="1424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Name: Timothy J. Regan</w:t>
      </w:r>
    </w:p>
    <w:p>
      <w:pPr>
        <w:spacing w:after="0" w:line="26"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8" w:lineRule="exact"/>
        <w:rPr>
          <w:sz w:val="20"/>
          <w:szCs w:val="20"/>
          <w:color w:val="auto"/>
        </w:rPr>
      </w:pPr>
    </w:p>
    <w:p>
      <w:pPr>
        <w:ind w:left="5420"/>
        <w:spacing w:after="0"/>
        <w:tabs>
          <w:tab w:leader="none" w:pos="6320" w:val="left"/>
          <w:tab w:leader="none" w:pos="734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5"/>
          <w:szCs w:val="15"/>
          <w:color w:val="auto"/>
        </w:rPr>
        <w:t>and</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6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9"/>
          <w:szCs w:val="19"/>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November 4, 2022</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44"/>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74"/>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3"/>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November 4, 2022</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J. Regan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44"/>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57"/>
        </w:trPr>
        <w:tc>
          <w:tcPr>
            <w:tcW w:w="1120" w:type="dxa"/>
            <w:vAlign w:val="bottom"/>
            <w:shd w:val="clear" w:color="auto" w:fill="FEFEFE"/>
          </w:tcPr>
          <w:p>
            <w:pPr>
              <w:spacing w:after="0"/>
              <w:rPr>
                <w:sz w:val="22"/>
                <w:szCs w:val="22"/>
                <w:color w:val="auto"/>
              </w:rPr>
            </w:pPr>
          </w:p>
        </w:tc>
        <w:tc>
          <w:tcPr>
            <w:tcW w:w="4880" w:type="dxa"/>
            <w:vAlign w:val="bottom"/>
            <w:shd w:val="clear" w:color="auto" w:fill="FEFEFE"/>
          </w:tcPr>
          <w:p>
            <w:pPr>
              <w:spacing w:after="0"/>
              <w:rPr>
                <w:sz w:val="22"/>
                <w:szCs w:val="22"/>
                <w:color w:val="auto"/>
              </w:rPr>
            </w:pPr>
          </w:p>
        </w:tc>
        <w:tc>
          <w:tcPr>
            <w:tcW w:w="840" w:type="dxa"/>
            <w:vAlign w:val="bottom"/>
            <w:shd w:val="clear" w:color="auto" w:fill="FEFEFE"/>
          </w:tcPr>
          <w:p>
            <w:pPr>
              <w:spacing w:after="0"/>
              <w:rPr>
                <w:sz w:val="22"/>
                <w:szCs w:val="22"/>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
      <w:numFmt w:val="bullet"/>
      <w:start w:val="1"/>
    </w:lvl>
    <w:lvl w:ilvl="1">
      <w:lvlJc w:val="left"/>
      <w:lvlText w:val="%2"/>
      <w:numFmt w:val="decimal"/>
      <w:start w:val="10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2022-11-04T15:50:08Z</dcterms:created>
  <dcterms:modified xsi:type="dcterms:W3CDTF">2022-11-04T15:50:08Z</dcterms:modified>
</cp:coreProperties>
</file>