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2700020</wp:posOffset>
            </wp:positionH>
            <wp:positionV relativeFrom="paragraph">
              <wp:posOffset>115570</wp:posOffset>
            </wp:positionV>
            <wp:extent cx="1750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2700020</wp:posOffset>
            </wp:positionH>
            <wp:positionV relativeFrom="paragraph">
              <wp:posOffset>132715</wp:posOffset>
            </wp:positionV>
            <wp:extent cx="1750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27" w:lineRule="exact"/>
        <w:rPr>
          <w:sz w:val="24"/>
          <w:szCs w:val="24"/>
          <w:color w:val="auto"/>
        </w:rPr>
      </w:pPr>
    </w:p>
    <w:p>
      <w:pPr>
        <w:ind w:left="3840" w:right="2020" w:hanging="3835"/>
        <w:spacing w:after="0" w:line="279" w:lineRule="auto"/>
        <w:tabs>
          <w:tab w:leader="none" w:pos="332"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QUARTERLY REPORT PURSUANT TO SECTION 13 OR 15(d) OF THE SECURITIES EXCHANGE ACT OF 1934 </w:t>
      </w:r>
      <w:r>
        <w:rPr>
          <w:rFonts w:ascii="Times New Roman" w:cs="Times New Roman" w:eastAsia="Times New Roman" w:hAnsi="Times New Roman"/>
          <w:sz w:val="17"/>
          <w:szCs w:val="17"/>
          <w:color w:val="auto"/>
        </w:rPr>
        <w:t>For the quarterly period ended September 30, 2026</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9" w:lineRule="exact"/>
        <w:rPr>
          <w:sz w:val="24"/>
          <w:szCs w:val="24"/>
          <w:color w:val="auto"/>
        </w:rPr>
      </w:pPr>
    </w:p>
    <w:p>
      <w:pPr>
        <w:ind w:left="3720" w:right="2000" w:hanging="3715"/>
        <w:spacing w:after="0" w:line="279" w:lineRule="auto"/>
        <w:tabs>
          <w:tab w:leader="none" w:pos="32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from________to________</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71120</wp:posOffset>
            </wp:positionV>
            <wp:extent cx="2962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117475</wp:posOffset>
            </wp:positionV>
            <wp:extent cx="2962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71" w:lineRule="exact"/>
        <w:rPr>
          <w:sz w:val="24"/>
          <w:szCs w:val="24"/>
          <w:color w:val="auto"/>
        </w:rPr>
      </w:pPr>
    </w:p>
    <w:p>
      <w:pPr>
        <w:ind w:left="2100"/>
        <w:spacing w:after="0"/>
        <w:tabs>
          <w:tab w:leader="none" w:pos="9260" w:val="left"/>
        </w:tabs>
        <w:rPr>
          <w:sz w:val="20"/>
          <w:szCs w:val="20"/>
          <w:color w:val="auto"/>
        </w:rPr>
      </w:pPr>
      <w:r>
        <w:rPr>
          <w:rFonts w:ascii="Times New Roman" w:cs="Times New Roman" w:eastAsia="Times New Roman" w:hAnsi="Times New Roman"/>
          <w:sz w:val="14"/>
          <w:szCs w:val="14"/>
          <w:b w:val="1"/>
          <w:bCs w:val="1"/>
          <w:color w:val="auto"/>
        </w:rPr>
        <w:t>Nevada</w:t>
      </w:r>
      <w:r>
        <w:rPr>
          <w:sz w:val="20"/>
          <w:szCs w:val="20"/>
          <w:color w:val="auto"/>
        </w:rPr>
        <w:tab/>
      </w:r>
      <w:r>
        <w:rPr>
          <w:rFonts w:ascii="Times New Roman" w:cs="Times New Roman" w:eastAsia="Times New Roman" w:hAnsi="Times New Roman"/>
          <w:sz w:val="14"/>
          <w:szCs w:val="14"/>
          <w:b w:val="1"/>
          <w:bCs w:val="1"/>
          <w:color w:val="auto"/>
        </w:rPr>
        <w:t>26-0138832</w:t>
      </w:r>
    </w:p>
    <w:p>
      <w:pPr>
        <w:spacing w:after="0" w:line="35" w:lineRule="exact"/>
        <w:rPr>
          <w:sz w:val="24"/>
          <w:szCs w:val="24"/>
          <w:color w:val="auto"/>
        </w:rPr>
      </w:pPr>
    </w:p>
    <w:p>
      <w:pPr>
        <w:ind w:left="520"/>
        <w:spacing w:after="0"/>
        <w:tabs>
          <w:tab w:leader="none" w:pos="838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137160</wp:posOffset>
            </wp:positionV>
            <wp:extent cx="296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50 Hawthorne Street</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San Francisco, California 94105</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(415) 930-7766</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116840</wp:posOffset>
            </wp:positionV>
            <wp:extent cx="2962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36830</wp:posOffset>
            </wp:positionV>
            <wp:extent cx="6257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7290" cy="8255"/>
                    </a:xfrm>
                    <a:prstGeom prst="rect">
                      <a:avLst/>
                    </a:prstGeom>
                    <a:noFill/>
                  </pic:spPr>
                </pic:pic>
              </a:graphicData>
            </a:graphic>
          </wp:anchor>
        </w:drawing>
      </w:r>
    </w:p>
    <w:p>
      <w:pPr>
        <w:spacing w:after="0" w:line="73"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64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080" w:type="dxa"/>
            <w:vAlign w:val="bottom"/>
            <w:gridSpan w:val="2"/>
          </w:tcPr>
          <w:p>
            <w:pPr>
              <w:jc w:val="center"/>
              <w:ind w:left="730"/>
              <w:spacing w:after="0"/>
              <w:rPr>
                <w:sz w:val="20"/>
                <w:szCs w:val="20"/>
                <w:color w:val="auto"/>
              </w:rPr>
            </w:pPr>
            <w:r>
              <w:rPr>
                <w:rFonts w:ascii="Times New Roman" w:cs="Times New Roman" w:eastAsia="Times New Roman" w:hAnsi="Times New Roman"/>
                <w:sz w:val="14"/>
                <w:szCs w:val="14"/>
                <w:b w:val="1"/>
                <w:bCs w:val="1"/>
                <w:color w:val="auto"/>
                <w:w w:val="99"/>
              </w:rPr>
              <w:t>Name of exchange on which registered</w:t>
            </w:r>
          </w:p>
        </w:tc>
      </w:tr>
      <w:tr>
        <w:trPr>
          <w:trHeight w:val="20"/>
        </w:trPr>
        <w:tc>
          <w:tcPr>
            <w:tcW w:w="1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205"/>
        </w:trPr>
        <w:tc>
          <w:tcPr>
            <w:tcW w:w="3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w w:val="99"/>
              </w:rPr>
              <w:t>Class A Common Stock, par value $0.00001 per share</w:t>
            </w:r>
          </w:p>
        </w:tc>
        <w:tc>
          <w:tcPr>
            <w:tcW w:w="620" w:type="dxa"/>
            <w:vAlign w:val="bottom"/>
          </w:tcPr>
          <w:p>
            <w:pPr>
              <w:spacing w:after="0"/>
              <w:rPr>
                <w:sz w:val="17"/>
                <w:szCs w:val="17"/>
                <w:color w:val="auto"/>
              </w:rPr>
            </w:pPr>
          </w:p>
        </w:tc>
        <w:tc>
          <w:tcPr>
            <w:tcW w:w="18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DBX</w:t>
            </w:r>
          </w:p>
        </w:tc>
        <w:tc>
          <w:tcPr>
            <w:tcW w:w="8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196"/>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(Nasdaq Global Select Market)</w:t>
            </w:r>
          </w:p>
        </w:tc>
      </w:tr>
    </w:tbl>
    <w:p>
      <w:pPr>
        <w:spacing w:after="0" w:line="367" w:lineRule="exact"/>
        <w:rPr>
          <w:sz w:val="24"/>
          <w:szCs w:val="24"/>
          <w:color w:val="auto"/>
        </w:rPr>
      </w:pPr>
    </w:p>
    <w:p>
      <w:pPr>
        <w:ind w:right="220" w:firstLine="314"/>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ind w:right="100" w:firstLine="314"/>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969" w:right="379" w:bottom="1440" w:gutter="0" w:footer="0" w:header="0"/>
        </w:sectPr>
      </w:pPr>
    </w:p>
    <w:p>
      <w:pPr>
        <w:spacing w:after="0" w:line="189" w:lineRule="exact"/>
        <w:rPr>
          <w:sz w:val="24"/>
          <w:szCs w:val="24"/>
          <w:color w:val="auto"/>
        </w:rPr>
      </w:pPr>
    </w:p>
    <w:p>
      <w:pPr>
        <w:ind w:firstLine="314"/>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1"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153"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158" w:lineRule="exact"/>
        <w:rPr>
          <w:sz w:val="24"/>
          <w:szCs w:val="24"/>
          <w:color w:val="auto"/>
        </w:rPr>
      </w:pPr>
    </w:p>
    <w:p>
      <w:pPr>
        <w:ind w:left="56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9" w:lineRule="exact"/>
        <w:rPr>
          <w:sz w:val="24"/>
          <w:szCs w:val="24"/>
          <w:color w:val="auto"/>
        </w:rPr>
      </w:pPr>
    </w:p>
    <w:p>
      <w:pPr>
        <w:sectPr>
          <w:pgSz w:w="11900" w:h="16838" w:orient="portrait"/>
          <w:cols w:equalWidth="0" w:num="2">
            <w:col w:w="10760" w:space="300"/>
            <w:col w:w="140"/>
          </w:cols>
          <w:pgMar w:left="320" w:top="969" w:right="379" w:bottom="1440" w:gutter="0" w:footer="0" w:header="0"/>
          <w:type w:val="continuous"/>
        </w:sectPr>
      </w:pPr>
    </w:p>
    <w:p>
      <w:pPr>
        <w:spacing w:after="0" w:line="136" w:lineRule="exact"/>
        <w:rPr>
          <w:sz w:val="24"/>
          <w:szCs w:val="24"/>
          <w:color w:val="auto"/>
        </w:rPr>
      </w:pPr>
    </w:p>
    <w:p>
      <w:pPr>
        <w:ind w:right="320"/>
        <w:spacing w:after="0" w:line="19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9" w:lineRule="exact"/>
        <w:rPr>
          <w:sz w:val="24"/>
          <w:szCs w:val="24"/>
          <w:color w:val="auto"/>
        </w:rPr>
      </w:pPr>
    </w:p>
    <w:p>
      <w:pPr>
        <w:spacing w:after="0" w:line="161" w:lineRule="exact"/>
        <w:tabs>
          <w:tab w:leader="none" w:pos="68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75" w:lineRule="exact"/>
        <w:rPr>
          <w:sz w:val="24"/>
          <w:szCs w:val="24"/>
          <w:color w:val="auto"/>
        </w:rPr>
      </w:pPr>
    </w:p>
    <w:p>
      <w:pPr>
        <w:jc w:val="both"/>
        <w:ind w:right="220"/>
        <w:spacing w:after="0" w:line="259" w:lineRule="auto"/>
        <w:rPr>
          <w:sz w:val="20"/>
          <w:szCs w:val="20"/>
          <w:color w:val="auto"/>
        </w:rPr>
      </w:pPr>
      <w:r>
        <w:rPr>
          <w:rFonts w:ascii="Times New Roman" w:cs="Times New Roman" w:eastAsia="Times New Roman" w:hAnsi="Times New Roman"/>
          <w:sz w:val="14"/>
          <w:szCs w:val="14"/>
          <w:color w:val="auto"/>
        </w:rPr>
        <w:t>As of November 2, 2026, there were 149,273,511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74,283,472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824230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6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242"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99" w:lineRule="exact"/>
        <w:rPr>
          <w:sz w:val="20"/>
          <w:szCs w:val="20"/>
          <w:color w:val="auto"/>
        </w:rPr>
      </w:pPr>
    </w:p>
    <w:p>
      <w:pPr>
        <w:ind w:left="720" w:right="6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users and convert users to paying users;</w:t>
      </w:r>
    </w:p>
    <w:p>
      <w:pPr>
        <w:spacing w:after="0" w:line="248" w:lineRule="exact"/>
        <w:rPr>
          <w:rFonts w:ascii="Times New Roman" w:cs="Times New Roman" w:eastAsia="Times New Roman" w:hAnsi="Times New Roman"/>
          <w:sz w:val="17"/>
          <w:szCs w:val="17"/>
          <w:color w:val="auto"/>
        </w:rPr>
      </w:pPr>
    </w:p>
    <w:p>
      <w:pPr>
        <w:ind w:left="720" w:right="16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prevent security breaches and our liability or other potential legal, regulatory, or reputational consequences of any unauthorized access to our data or our customer data;</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prevent any significant disruption of service on our platform or loss of content;</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successfully in competitive markets;</w:t>
      </w:r>
    </w:p>
    <w:p>
      <w:pPr>
        <w:spacing w:after="0" w:line="235" w:lineRule="exact"/>
        <w:rPr>
          <w:rFonts w:ascii="Times New Roman" w:cs="Times New Roman" w:eastAsia="Times New Roman" w:hAnsi="Times New Roman"/>
          <w:sz w:val="17"/>
          <w:szCs w:val="17"/>
          <w:color w:val="auto"/>
        </w:rPr>
      </w:pPr>
    </w:p>
    <w:p>
      <w:pPr>
        <w:ind w:left="720" w:right="400" w:hanging="323"/>
        <w:spacing w:after="0" w:line="279"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potential impacts of permanent global remote or distributed work, on our business, the business of our customers, suppliers and partners, and the economy;</w:t>
      </w:r>
    </w:p>
    <w:p>
      <w:pPr>
        <w:spacing w:after="0" w:line="185"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platform or for content collaboration solutions in general;</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integrate our platform with others;</w:t>
      </w:r>
    </w:p>
    <w:p>
      <w:pPr>
        <w:spacing w:after="0" w:line="235" w:lineRule="exact"/>
        <w:rPr>
          <w:rFonts w:ascii="Times New Roman" w:cs="Times New Roman" w:eastAsia="Times New Roman" w:hAnsi="Times New Roman"/>
          <w:sz w:val="17"/>
          <w:szCs w:val="17"/>
          <w:color w:val="auto"/>
        </w:rPr>
      </w:pPr>
    </w:p>
    <w:p>
      <w:pPr>
        <w:ind w:left="720" w:right="180" w:hanging="323"/>
        <w:spacing w:after="0" w:line="279"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respond to rapid technological changes, including our ability to take advantage of potential market opportunities arising from what we believe to be a more permanent shift towards remote or distributed work;</w:t>
      </w:r>
    </w:p>
    <w:p>
      <w:pPr>
        <w:spacing w:after="0" w:line="185"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or maintain profitability;</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around future growth;</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introduce new products and features;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invest in the development of new products and technologies;</w:t>
      </w:r>
    </w:p>
    <w:p>
      <w:pPr>
        <w:spacing w:after="0" w:line="248" w:lineRule="exact"/>
        <w:rPr>
          <w:rFonts w:ascii="Times New Roman" w:cs="Times New Roman" w:eastAsia="Times New Roman" w:hAnsi="Times New Roman"/>
          <w:sz w:val="17"/>
          <w:szCs w:val="17"/>
          <w:color w:val="auto"/>
        </w:rPr>
      </w:pPr>
    </w:p>
    <w:p>
      <w:pPr>
        <w:ind w:left="720" w:right="6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retain, integrate, and manage key and other highly qualified personnel, including as a result of our Virtual First work model with an increasingly distributed workforce;</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capital allocation plans, including expected allocations of cash and timing for our share repurchases and other investments;</w:t>
      </w:r>
    </w:p>
    <w:p>
      <w:pPr>
        <w:spacing w:after="0" w:line="248" w:lineRule="exact"/>
        <w:rPr>
          <w:rFonts w:ascii="Times New Roman" w:cs="Times New Roman" w:eastAsia="Times New Roman" w:hAnsi="Times New Roman"/>
          <w:sz w:val="17"/>
          <w:szCs w:val="17"/>
          <w:color w:val="auto"/>
        </w:rPr>
      </w:pPr>
    </w:p>
    <w:p>
      <w:pPr>
        <w:ind w:left="720" w:right="42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challenges and anticipated benefits to our business from our Virtual First work model as well as the impact to our financial results and business operations as a result of this model;</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impact of any reduction in force;</w:t>
      </w:r>
    </w:p>
    <w:p>
      <w:pPr>
        <w:spacing w:after="0" w:line="235"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general economic, political, and market trends and their respective impacts on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new or modified laws, policies, taxes, and regulations on our business;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700" w:hanging="303"/>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cash and cash equivalents to meet our liquidity needs; and</w:t>
      </w:r>
    </w:p>
    <w:p>
      <w:pPr>
        <w:spacing w:after="0" w:line="248" w:lineRule="exact"/>
        <w:rPr>
          <w:rFonts w:ascii="Times New Roman" w:cs="Times New Roman" w:eastAsia="Times New Roman" w:hAnsi="Times New Roman"/>
          <w:sz w:val="17"/>
          <w:szCs w:val="17"/>
          <w:color w:val="auto"/>
        </w:rPr>
      </w:pPr>
    </w:p>
    <w:p>
      <w:pPr>
        <w:ind w:left="440" w:right="760" w:hanging="43"/>
        <w:spacing w:after="0" w:line="513" w:lineRule="auto"/>
        <w:tabs>
          <w:tab w:leader="none" w:pos="71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of companies and assets, including our ability to successfully integrate and realize the anticipated benefits of such acquisitions. We caution you that the foregoing list may not contain all of the forward-looking statements made in this Quarterly Report on Form 10-Q.</w:t>
      </w:r>
    </w:p>
    <w:p>
      <w:pPr>
        <w:spacing w:after="0" w:line="1" w:lineRule="exact"/>
        <w:rPr>
          <w:sz w:val="20"/>
          <w:szCs w:val="20"/>
          <w:color w:val="auto"/>
        </w:rPr>
      </w:pPr>
    </w:p>
    <w:p>
      <w:pPr>
        <w:ind w:right="80" w:firstLine="431"/>
        <w:spacing w:after="0" w:line="262"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time-to-time,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5" w:lineRule="exact"/>
        <w:rPr>
          <w:sz w:val="20"/>
          <w:szCs w:val="20"/>
          <w:color w:val="auto"/>
        </w:rPr>
      </w:pPr>
    </w:p>
    <w:p>
      <w:pPr>
        <w:ind w:firstLine="431"/>
        <w:spacing w:after="0" w:line="265"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51" w:lineRule="exact"/>
        <w:rPr>
          <w:sz w:val="20"/>
          <w:szCs w:val="20"/>
          <w:color w:val="auto"/>
        </w:rPr>
      </w:pPr>
    </w:p>
    <w:p>
      <w:pPr>
        <w:ind w:right="180" w:firstLine="392"/>
        <w:spacing w:after="0" w:line="266" w:lineRule="auto"/>
        <w:rPr>
          <w:sz w:val="20"/>
          <w:szCs w:val="20"/>
          <w:color w:val="auto"/>
        </w:rPr>
      </w:pPr>
      <w:r>
        <w:rPr>
          <w:rFonts w:ascii="Times New Roman" w:cs="Times New Roman" w:eastAsia="Times New Roman" w:hAnsi="Times New Roman"/>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spacing w:after="0" w:line="197" w:lineRule="exact"/>
        <w:rPr>
          <w:sz w:val="20"/>
          <w:szCs w:val="20"/>
          <w:color w:val="auto"/>
        </w:rPr>
      </w:pPr>
    </w:p>
    <w:p>
      <w:pPr>
        <w:ind w:left="720" w:right="52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rate of growth has declined and we have experienced negative growth in past periods. If we do not successfully execute our plan for future growth, our growth rate may continue to decline and we may continue to experience negative growth in future periods.</w:t>
      </w:r>
    </w:p>
    <w:p>
      <w:pPr>
        <w:spacing w:after="0" w:line="172" w:lineRule="exact"/>
        <w:rPr>
          <w:rFonts w:ascii="Times New Roman" w:cs="Times New Roman" w:eastAsia="Times New Roman" w:hAnsi="Times New Roman"/>
          <w:sz w:val="17"/>
          <w:szCs w:val="17"/>
          <w:color w:val="auto"/>
        </w:rPr>
      </w:pPr>
    </w:p>
    <w:p>
      <w:pPr>
        <w:ind w:left="72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our ability to attract and retain users, convert users to paying users and upgrade paying users, and any decline in acquisitions, renewals or upgrades could adversely affect our future results of operations.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 the past and may continue to experience privacy and data security breaches or incidents.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harmed by any significant disruption of service on our platform or loss of content.</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competitive markets, and we must continue to compete effectively.</w:t>
      </w:r>
    </w:p>
    <w:p>
      <w:pPr>
        <w:spacing w:after="0" w:line="248" w:lineRule="exact"/>
        <w:rPr>
          <w:rFonts w:ascii="Times New Roman" w:cs="Times New Roman" w:eastAsia="Times New Roman" w:hAnsi="Times New Roman"/>
          <w:sz w:val="17"/>
          <w:szCs w:val="17"/>
          <w:color w:val="auto"/>
        </w:rPr>
      </w:pPr>
    </w:p>
    <w:p>
      <w:pPr>
        <w:ind w:left="720" w:right="22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respond to rapid technological changes, including with respect to AI, extend our platform, or develop new features or products may harm our ability to compete effectively, which would adversely affect our business.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upon the interoperability of our platform across devices, operating systems, and third-party applications that we do not control.</w:t>
      </w:r>
    </w:p>
    <w:p>
      <w:pPr>
        <w:spacing w:after="0" w:line="248" w:lineRule="exact"/>
        <w:rPr>
          <w:rFonts w:ascii="Times New Roman" w:cs="Times New Roman" w:eastAsia="Times New Roman" w:hAnsi="Times New Roman"/>
          <w:sz w:val="17"/>
          <w:szCs w:val="17"/>
          <w:color w:val="auto"/>
        </w:rPr>
      </w:pPr>
    </w:p>
    <w:p>
      <w:pPr>
        <w:ind w:left="720" w:right="28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generate revenue from sales of subscriptions to our platform, and declines in demand for our platform, or for content collaboration solutions in general, could negatively impact our business.</w:t>
      </w:r>
    </w:p>
    <w:p>
      <w:pPr>
        <w:spacing w:after="0" w:line="172" w:lineRule="exact"/>
        <w:rPr>
          <w:rFonts w:ascii="Times New Roman" w:cs="Times New Roman" w:eastAsia="Times New Roman" w:hAnsi="Times New Roman"/>
          <w:sz w:val="17"/>
          <w:szCs w:val="17"/>
          <w:color w:val="auto"/>
        </w:rPr>
      </w:pPr>
    </w:p>
    <w:p>
      <w:pPr>
        <w:ind w:left="720" w:right="24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with a Virtual First work model and the long-term impact of this model on our financial results and business operations remains uncertain.</w:t>
      </w:r>
    </w:p>
    <w:p>
      <w:pPr>
        <w:spacing w:after="0" w:line="248" w:lineRule="exact"/>
        <w:rPr>
          <w:rFonts w:ascii="Times New Roman" w:cs="Times New Roman" w:eastAsia="Times New Roman" w:hAnsi="Times New Roman"/>
          <w:sz w:val="17"/>
          <w:szCs w:val="17"/>
          <w:color w:val="auto"/>
        </w:rPr>
      </w:pPr>
    </w:p>
    <w:p>
      <w:pPr>
        <w:ind w:left="720" w:right="48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significantly impacted by a change in general economic, political, and market conditions, including any resulting effect on consumer or business spending.</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a significant outbound sales force may limit the potential growth of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increase expenses in the future, and we may not be able to achieve or maintain profitability in future periods.</w:t>
      </w:r>
    </w:p>
    <w:p>
      <w:pPr>
        <w:spacing w:after="0" w:line="248" w:lineRule="exact"/>
        <w:rPr>
          <w:rFonts w:ascii="Times New Roman" w:cs="Times New Roman" w:eastAsia="Times New Roman" w:hAnsi="Times New Roman"/>
          <w:sz w:val="17"/>
          <w:szCs w:val="17"/>
          <w:color w:val="auto"/>
        </w:rPr>
      </w:pPr>
    </w:p>
    <w:p>
      <w:pPr>
        <w:ind w:left="720" w:right="1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our indebtedness under our term loan facility and 2028 Notes (as defined below) may require a significant amount of cash, and we may not have sufficient cash flow or the ability to raise the funds necessary to satisfy our obligations under the term loan facility or 2028 Notes.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9"/>
        </w:trPr>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60" w:type="dxa"/>
            <w:vAlign w:val="bottom"/>
            <w:gridSpan w:val="12"/>
          </w:tcPr>
          <w:p>
            <w:pPr>
              <w:jc w:val="center"/>
              <w:ind w:right="3160"/>
              <w:spacing w:after="0"/>
              <w:rPr>
                <w:sz w:val="20"/>
                <w:szCs w:val="20"/>
                <w:color w:val="auto"/>
              </w:rPr>
            </w:pPr>
            <w:r>
              <w:rPr>
                <w:rFonts w:ascii="Times New Roman" w:cs="Times New Roman" w:eastAsia="Times New Roman" w:hAnsi="Times New Roman"/>
                <w:sz w:val="16"/>
                <w:szCs w:val="16"/>
                <w:color w:val="0000FF"/>
                <w:w w:val="95"/>
              </w:rPr>
              <w:t>PART I. FINANCIAL INFORMATION</w:t>
            </w:r>
          </w:p>
        </w:tc>
        <w:tc>
          <w:tcPr>
            <w:tcW w:w="8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Financial Statements (Unaudited)</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September 30, 2026 and December 31, 2025</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 for the Three and Nine Months Ended September 30, 2026 and 2025</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7</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83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w w:val="97"/>
              </w:rPr>
              <w:t>Condensed Consolidated Statements of Comprehensive Income for the Three and Nine Months Ended September 30, 2026 and 2025</w:t>
            </w:r>
          </w:p>
        </w:tc>
        <w:tc>
          <w:tcPr>
            <w:tcW w:w="840" w:type="dxa"/>
            <w:vAlign w:val="bottom"/>
          </w:tcPr>
          <w:p>
            <w:pPr>
              <w:spacing w:after="0"/>
              <w:rPr>
                <w:sz w:val="16"/>
                <w:szCs w:val="16"/>
                <w:color w:val="auto"/>
              </w:rPr>
            </w:pPr>
          </w:p>
        </w:tc>
        <w:tc>
          <w:tcPr>
            <w:tcW w:w="110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r>
      <w:tr>
        <w:trPr>
          <w:trHeight w:val="189"/>
        </w:trPr>
        <w:tc>
          <w:tcPr>
            <w:tcW w:w="840" w:type="dxa"/>
            <w:vAlign w:val="bottom"/>
          </w:tcPr>
          <w:p>
            <w:pPr>
              <w:spacing w:after="0"/>
              <w:rPr>
                <w:sz w:val="16"/>
                <w:szCs w:val="16"/>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Deficit for the Three and Nine Months Ended September 30, 2026 and 2025</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Nine Months Ended September 30, 2026 and 2025</w:t>
            </w:r>
          </w:p>
        </w:tc>
        <w:tc>
          <w:tcPr>
            <w:tcW w:w="1020" w:type="dxa"/>
            <w:vAlign w:val="bottom"/>
            <w:gridSpan w:val="2"/>
          </w:tcPr>
          <w:p>
            <w:pPr>
              <w:spacing w:after="0"/>
              <w:rPr>
                <w:sz w:val="16"/>
                <w:szCs w:val="16"/>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w:t>
            </w:r>
          </w:p>
        </w:tc>
      </w:tr>
      <w:tr>
        <w:trPr>
          <w:trHeight w:val="189"/>
        </w:trPr>
        <w:tc>
          <w:tcPr>
            <w:tcW w:w="840" w:type="dxa"/>
            <w:vAlign w:val="bottom"/>
          </w:tcPr>
          <w:p>
            <w:pPr>
              <w:spacing w:after="0"/>
              <w:rPr>
                <w:sz w:val="16"/>
                <w:szCs w:val="16"/>
                <w:color w:val="auto"/>
              </w:rPr>
            </w:pPr>
          </w:p>
        </w:tc>
        <w:tc>
          <w:tcPr>
            <w:tcW w:w="34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7"/>
              </w:rPr>
              <w:t>Notes to Condensed Consolidated Financial Statements</w:t>
            </w:r>
          </w:p>
        </w:tc>
        <w:tc>
          <w:tcPr>
            <w:tcW w:w="3420" w:type="dxa"/>
            <w:vAlign w:val="bottom"/>
            <w:tcBorders>
              <w:top w:val="single" w:sz="8" w:color="0000FF"/>
            </w:tcBorders>
            <w:gridSpan w:val="9"/>
          </w:tcPr>
          <w:p>
            <w:pPr>
              <w:spacing w:after="0"/>
              <w:rPr>
                <w:sz w:val="16"/>
                <w:szCs w:val="16"/>
                <w:color w:val="auto"/>
              </w:rPr>
            </w:pPr>
          </w:p>
        </w:tc>
        <w:tc>
          <w:tcPr>
            <w:tcW w:w="2280" w:type="dxa"/>
            <w:vAlign w:val="bottom"/>
            <w:gridSpan w:val="4"/>
          </w:tcPr>
          <w:p>
            <w:pPr>
              <w:spacing w:after="0"/>
              <w:rPr>
                <w:sz w:val="16"/>
                <w:szCs w:val="16"/>
                <w:color w:val="auto"/>
              </w:rPr>
            </w:pPr>
          </w:p>
        </w:tc>
        <w:tc>
          <w:tcPr>
            <w:tcW w:w="1020" w:type="dxa"/>
            <w:vAlign w:val="bottom"/>
            <w:gridSpan w:val="2"/>
          </w:tcPr>
          <w:p>
            <w:pPr>
              <w:spacing w:after="0"/>
              <w:rPr>
                <w:sz w:val="16"/>
                <w:szCs w:val="16"/>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12</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56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7"/>
              </w:rPr>
              <w:t>Management's Discussion and Analysis of Financial Condition and Results of Operations</w:t>
            </w:r>
          </w:p>
        </w:tc>
        <w:tc>
          <w:tcPr>
            <w:tcW w:w="3560" w:type="dxa"/>
            <w:vAlign w:val="bottom"/>
            <w:gridSpan w:val="8"/>
          </w:tcPr>
          <w:p>
            <w:pPr>
              <w:spacing w:after="0"/>
              <w:rPr>
                <w:sz w:val="16"/>
                <w:szCs w:val="16"/>
                <w:color w:val="auto"/>
              </w:rPr>
            </w:pPr>
          </w:p>
        </w:tc>
        <w:tc>
          <w:tcPr>
            <w:tcW w:w="102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7"/>
              </w:rPr>
              <w:t>Quantitative and Qualitative Disclosures About Market Risk</w:t>
            </w:r>
          </w:p>
        </w:tc>
        <w:tc>
          <w:tcPr>
            <w:tcW w:w="5380" w:type="dxa"/>
            <w:vAlign w:val="bottom"/>
            <w:gridSpan w:val="9"/>
          </w:tcPr>
          <w:p>
            <w:pPr>
              <w:spacing w:after="0"/>
              <w:rPr>
                <w:sz w:val="16"/>
                <w:szCs w:val="16"/>
                <w:color w:val="auto"/>
              </w:rPr>
            </w:pPr>
          </w:p>
        </w:tc>
        <w:tc>
          <w:tcPr>
            <w:tcW w:w="102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58</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60</w:t>
            </w:r>
          </w:p>
        </w:tc>
      </w:tr>
      <w:tr>
        <w:trPr>
          <w:trHeight w:val="437"/>
        </w:trPr>
        <w:tc>
          <w:tcPr>
            <w:tcW w:w="8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4"/>
              </w:rPr>
              <w:t>PART II. OTHER INFORMATION</w:t>
            </w:r>
          </w:p>
        </w:tc>
        <w:tc>
          <w:tcPr>
            <w:tcW w:w="328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61</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11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8020" w:type="dxa"/>
            <w:vAlign w:val="bottom"/>
            <w:gridSpan w:val="15"/>
          </w:tcPr>
          <w:p>
            <w:pPr>
              <w:spacing w:after="0"/>
              <w:rPr>
                <w:sz w:val="16"/>
                <w:szCs w:val="16"/>
                <w:color w:val="auto"/>
              </w:rPr>
            </w:pPr>
          </w:p>
        </w:tc>
        <w:tc>
          <w:tcPr>
            <w:tcW w:w="1020" w:type="dxa"/>
            <w:vAlign w:val="bottom"/>
            <w:gridSpan w:val="2"/>
          </w:tcPr>
          <w:p>
            <w:pPr>
              <w:spacing w:after="0"/>
              <w:rPr>
                <w:sz w:val="16"/>
                <w:szCs w:val="16"/>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62</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5400" w:type="dxa"/>
            <w:vAlign w:val="bottom"/>
            <w:gridSpan w:val="1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92</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37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5400" w:type="dxa"/>
            <w:vAlign w:val="bottom"/>
            <w:gridSpan w:val="10"/>
          </w:tcPr>
          <w:p>
            <w:pPr>
              <w:spacing w:after="0"/>
              <w:rPr>
                <w:sz w:val="16"/>
                <w:szCs w:val="16"/>
                <w:color w:val="auto"/>
              </w:rPr>
            </w:pPr>
          </w:p>
        </w:tc>
        <w:tc>
          <w:tcPr>
            <w:tcW w:w="1020" w:type="dxa"/>
            <w:vAlign w:val="bottom"/>
            <w:gridSpan w:val="2"/>
          </w:tcPr>
          <w:p>
            <w:pPr>
              <w:spacing w:after="0"/>
              <w:rPr>
                <w:sz w:val="16"/>
                <w:szCs w:val="16"/>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92</w:t>
            </w:r>
          </w:p>
        </w:tc>
      </w:tr>
      <w:tr>
        <w:trPr>
          <w:trHeight w:val="189"/>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11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Exhibits</w:t>
            </w:r>
          </w:p>
        </w:tc>
        <w:tc>
          <w:tcPr>
            <w:tcW w:w="8040" w:type="dxa"/>
            <w:vAlign w:val="bottom"/>
            <w:gridSpan w:val="16"/>
          </w:tcPr>
          <w:p>
            <w:pPr>
              <w:spacing w:after="0"/>
              <w:rPr>
                <w:sz w:val="16"/>
                <w:szCs w:val="16"/>
                <w:color w:val="auto"/>
              </w:rPr>
            </w:pPr>
          </w:p>
        </w:tc>
        <w:tc>
          <w:tcPr>
            <w:tcW w:w="1020" w:type="dxa"/>
            <w:vAlign w:val="bottom"/>
            <w:gridSpan w:val="2"/>
          </w:tcPr>
          <w:p>
            <w:pPr>
              <w:spacing w:after="0"/>
              <w:rPr>
                <w:sz w:val="16"/>
                <w:szCs w:val="16"/>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92</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320" w:type="dxa"/>
            <w:vAlign w:val="bottom"/>
            <w:gridSpan w:val="17"/>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5"/>
              </w:rPr>
              <w:t>Exhibit Index</w:t>
            </w:r>
          </w:p>
        </w:tc>
        <w:tc>
          <w:tcPr>
            <w:tcW w:w="8320" w:type="dxa"/>
            <w:vAlign w:val="bottom"/>
            <w:gridSpan w:val="17"/>
          </w:tcPr>
          <w:p>
            <w:pPr>
              <w:spacing w:after="0"/>
              <w:rPr>
                <w:sz w:val="16"/>
                <w:szCs w:val="16"/>
                <w:color w:val="auto"/>
              </w:rPr>
            </w:pPr>
          </w:p>
        </w:tc>
        <w:tc>
          <w:tcPr>
            <w:tcW w:w="102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93</w:t>
            </w:r>
          </w:p>
        </w:tc>
      </w:tr>
      <w:tr>
        <w:trPr>
          <w:trHeight w:val="189"/>
        </w:trPr>
        <w:tc>
          <w:tcPr>
            <w:tcW w:w="840" w:type="dxa"/>
            <w:vAlign w:val="bottom"/>
          </w:tcPr>
          <w:p>
            <w:pPr>
              <w:spacing w:after="0"/>
              <w:rPr>
                <w:sz w:val="16"/>
                <w:szCs w:val="16"/>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94</w:t>
            </w: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FINANCIAL STATEMENTS</w:t>
      </w:r>
    </w:p>
    <w:p>
      <w:pPr>
        <w:spacing w:after="0" w:line="2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00" w:type="dxa"/>
            <w:vAlign w:val="bottom"/>
            <w:tcBorders>
              <w:bottom w:val="single" w:sz="8" w:color="auto"/>
            </w:tcBorders>
          </w:tcPr>
          <w:p>
            <w:pPr>
              <w:spacing w:after="0"/>
              <w:rPr>
                <w:sz w:val="19"/>
                <w:szCs w:val="19"/>
                <w:color w:val="auto"/>
              </w:rPr>
            </w:pPr>
          </w:p>
        </w:tc>
      </w:tr>
      <w:tr>
        <w:trPr>
          <w:trHeight w:val="215"/>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240" w:type="dxa"/>
            <w:vAlign w:val="bottom"/>
          </w:tcPr>
          <w:p>
            <w:pPr>
              <w:spacing w:after="0"/>
              <w:rPr>
                <w:sz w:val="18"/>
                <w:szCs w:val="18"/>
                <w:color w:val="auto"/>
              </w:rPr>
            </w:pPr>
          </w:p>
        </w:tc>
        <w:tc>
          <w:tcPr>
            <w:tcW w:w="18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02"/>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891.3</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and other receivables, net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73.2</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1,190.5</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378.4</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454.9</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415.7</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w:t>
            </w:r>
          </w:p>
        </w:tc>
      </w:t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2,834.4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2,844.9</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88"/>
        </w:trPr>
        <w:tc>
          <w:tcPr>
            <w:tcW w:w="6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 obligation</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Convertible senior notes, net, current</w:t>
            </w:r>
          </w:p>
        </w:tc>
        <w:tc>
          <w:tcPr>
            <w:tcW w:w="20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695.4</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Term loan, net, current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729.7</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1,893.5</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355.9</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 non-current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senior notes, net, non-current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689.9</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net, non-current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1,433.7</w:t>
            </w:r>
          </w:p>
        </w:tc>
      </w:tr>
      <w:tr>
        <w:trPr>
          <w:trHeight w:val="222"/>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4,642.1</w:t>
            </w:r>
          </w:p>
        </w:tc>
      </w:tr>
      <w:tr>
        <w:trPr>
          <w:trHeight w:val="20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2,012.2</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(3,815.1)</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(1,797.2)</w:t>
            </w:r>
          </w:p>
        </w:tc>
      </w:t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2,834.4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2,844.9</w:t>
            </w: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ectPr>
          <w:pgSz w:w="11900" w:h="16838" w:orient="portrait"/>
          <w:cols w:equalWidth="0" w:num="1">
            <w:col w:w="10940"/>
          </w:cols>
          <w:pgMar w:left="320" w:top="119" w:right="6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40"/>
          </w:cols>
          <w:pgMar w:left="320" w:top="119" w:right="6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millions, except per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7"/>
                <w:szCs w:val="17"/>
                <w:color w:val="auto"/>
              </w:rPr>
            </w:pPr>
          </w:p>
        </w:tc>
        <w:tc>
          <w:tcPr>
            <w:tcW w:w="2980" w:type="dxa"/>
            <w:vAlign w:val="bottom"/>
            <w:gridSpan w:val="4"/>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9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9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1,884.8</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CCEEFF"/>
            </w:tcBorders>
          </w:tcPr>
          <w:p>
            <w:pPr>
              <w:ind w:left="26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(1)(2)</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368.7</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1,516.1</w:t>
            </w:r>
          </w:p>
        </w:tc>
        <w:tc>
          <w:tcPr>
            <w:tcW w:w="0" w:type="dxa"/>
            <w:vAlign w:val="bottom"/>
          </w:tcPr>
          <w:p>
            <w:pPr>
              <w:spacing w:after="0"/>
              <w:rPr>
                <w:sz w:val="1"/>
                <w:szCs w:val="1"/>
                <w:color w:val="auto"/>
              </w:rPr>
            </w:pPr>
          </w:p>
        </w:tc>
      </w:tr>
      <w:tr>
        <w:trPr>
          <w:trHeight w:val="22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(1)(2)</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545.1</w:t>
            </w:r>
          </w:p>
        </w:tc>
        <w:tc>
          <w:tcPr>
            <w:tcW w:w="0" w:type="dxa"/>
            <w:vAlign w:val="bottom"/>
          </w:tcPr>
          <w:p>
            <w:pPr>
              <w:spacing w:after="0"/>
              <w:rPr>
                <w:sz w:val="1"/>
                <w:szCs w:val="1"/>
                <w:color w:val="auto"/>
              </w:rPr>
            </w:pPr>
          </w:p>
        </w:tc>
      </w:tr>
      <w:tr>
        <w:trPr>
          <w:trHeight w:val="222"/>
        </w:trPr>
        <w:tc>
          <w:tcPr>
            <w:tcW w:w="396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(1)(2)</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271.3</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(1)(2)</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0" w:type="dxa"/>
            <w:vAlign w:val="bottom"/>
          </w:tcPr>
          <w:p>
            <w:pPr>
              <w:spacing w:after="0"/>
              <w:rPr>
                <w:sz w:val="1"/>
                <w:szCs w:val="1"/>
                <w:color w:val="auto"/>
              </w:rPr>
            </w:pPr>
          </w:p>
        </w:tc>
      </w:tr>
      <w:tr>
        <w:trPr>
          <w:trHeight w:val="222"/>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 on real estate assets</w:t>
            </w:r>
          </w:p>
        </w:tc>
        <w:tc>
          <w:tcPr>
            <w:tcW w:w="1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5"/>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1,008.8</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989.2</w:t>
            </w:r>
          </w:p>
        </w:tc>
        <w:tc>
          <w:tcPr>
            <w:tcW w:w="0" w:type="dxa"/>
            <w:vAlign w:val="bottom"/>
          </w:tcPr>
          <w:p>
            <w:pPr>
              <w:spacing w:after="0"/>
              <w:rPr>
                <w:sz w:val="1"/>
                <w:szCs w:val="1"/>
                <w:color w:val="auto"/>
              </w:rPr>
            </w:pPr>
          </w:p>
        </w:tc>
      </w:tr>
      <w:tr>
        <w:trPr>
          <w:trHeight w:val="22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526.9</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474.5</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0" w:type="dxa"/>
            <w:vAlign w:val="bottom"/>
          </w:tcPr>
          <w:p>
            <w:pPr>
              <w:spacing w:after="0"/>
              <w:rPr>
                <w:sz w:val="1"/>
                <w:szCs w:val="1"/>
                <w:color w:val="auto"/>
              </w:rPr>
            </w:pP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326.4</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share-basic and diluted:</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9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Diluted net income per share</w:t>
            </w:r>
          </w:p>
        </w:tc>
        <w:tc>
          <w:tcPr>
            <w:tcW w:w="1140" w:type="dxa"/>
            <w:vAlign w:val="bottom"/>
            <w:tcBorders>
              <w:bottom w:val="single" w:sz="8" w:color="auto"/>
            </w:tcBorders>
          </w:tcPr>
          <w:p>
            <w:pPr>
              <w:jc w:val="right"/>
              <w:ind w:right="95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9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0.47</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ind w:right="51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Weighted-average shares used in computing net income</w:t>
            </w:r>
          </w:p>
        </w:tc>
        <w:tc>
          <w:tcPr>
            <w:tcW w:w="1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261.1</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per share attributable to common stockholders, basic</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line="156" w:lineRule="exact"/>
              <w:rPr>
                <w:sz w:val="20"/>
                <w:szCs w:val="20"/>
                <w:color w:val="auto"/>
              </w:rPr>
            </w:pPr>
            <w:r>
              <w:rPr>
                <w:rFonts w:ascii="Times New Roman" w:cs="Times New Roman" w:eastAsia="Times New Roman" w:hAnsi="Times New Roman"/>
                <w:sz w:val="17"/>
                <w:szCs w:val="17"/>
                <w:color w:val="auto"/>
              </w:rPr>
              <w:t>Weighted-average shares used in computing net income</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80"/>
              <w:spacing w:after="0" w:line="170" w:lineRule="exact"/>
              <w:rPr>
                <w:sz w:val="20"/>
                <w:szCs w:val="20"/>
                <w:color w:val="auto"/>
              </w:rPr>
            </w:pPr>
            <w:r>
              <w:rPr>
                <w:rFonts w:ascii="Times New Roman" w:cs="Times New Roman" w:eastAsia="Times New Roman" w:hAnsi="Times New Roman"/>
                <w:sz w:val="17"/>
                <w:szCs w:val="17"/>
                <w:color w:val="auto"/>
              </w:rPr>
              <w:t>per share attributable to common stockholders,</w:t>
            </w:r>
          </w:p>
        </w:tc>
        <w:tc>
          <w:tcPr>
            <w:tcW w:w="1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225.1</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265.1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229.5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279.1</w:t>
            </w:r>
          </w:p>
        </w:tc>
        <w:tc>
          <w:tcPr>
            <w:tcW w:w="0" w:type="dxa"/>
            <w:vAlign w:val="bottom"/>
          </w:tcPr>
          <w:p>
            <w:pPr>
              <w:spacing w:after="0"/>
              <w:rPr>
                <w:sz w:val="1"/>
                <w:szCs w:val="1"/>
                <w:color w:val="auto"/>
              </w:rPr>
            </w:pPr>
          </w:p>
        </w:tc>
      </w:tr>
      <w:tr>
        <w:trPr>
          <w:trHeight w:val="209"/>
        </w:trPr>
        <w:tc>
          <w:tcPr>
            <w:tcW w:w="3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ind w:left="140" w:hanging="135"/>
        <w:spacing w:after="0"/>
        <w:tabs>
          <w:tab w:leader="none" w:pos="14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40" w:type="dxa"/>
            <w:vAlign w:val="bottom"/>
          </w:tcPr>
          <w:p>
            <w:pPr>
              <w:spacing w:after="0"/>
              <w:rPr>
                <w:sz w:val="16"/>
                <w:szCs w:val="16"/>
                <w:color w:val="auto"/>
              </w:rPr>
            </w:pPr>
          </w:p>
        </w:tc>
      </w:tr>
      <w:tr>
        <w:trPr>
          <w:trHeight w:val="232"/>
        </w:trPr>
        <w:tc>
          <w:tcPr>
            <w:tcW w:w="39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40" w:type="dxa"/>
            <w:vAlign w:val="bottom"/>
            <w:tcBorders>
              <w:bottom w:val="single" w:sz="8" w:color="auto"/>
            </w:tcBorders>
          </w:tcPr>
          <w:p>
            <w:pPr>
              <w:spacing w:after="0"/>
              <w:rPr>
                <w:sz w:val="20"/>
                <w:szCs w:val="20"/>
                <w:color w:val="auto"/>
              </w:rPr>
            </w:pPr>
          </w:p>
        </w:tc>
      </w:tr>
      <w:tr>
        <w:trPr>
          <w:trHeight w:val="218"/>
        </w:trPr>
        <w:tc>
          <w:tcPr>
            <w:tcW w:w="39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w w:val="93"/>
              </w:rPr>
              <w:t>2025</w:t>
            </w:r>
          </w:p>
        </w:tc>
      </w:tr>
      <w:tr>
        <w:trPr>
          <w:trHeight w:val="215"/>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22"/>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w:t>
            </w:r>
          </w:p>
        </w:tc>
      </w:tr>
      <w:tr>
        <w:trPr>
          <w:trHeight w:val="222"/>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22"/>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w:t>
            </w: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223.4</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600" w:firstLine="5"/>
        <w:spacing w:after="0" w:line="358" w:lineRule="auto"/>
        <w:tabs>
          <w:tab w:leader="none" w:pos="144"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Includes expenses related to the Company's various reductions in workforce such as severance, benefits and other related items during the three and nine months ended September 30, 2026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3"/>
          <w:szCs w:val="13"/>
          <w:color w:val="auto"/>
        </w:rPr>
        <w:t xml:space="preserve"> September 30, 2025.</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7"/>
                <w:szCs w:val="17"/>
                <w:color w:val="auto"/>
              </w:rPr>
            </w:pPr>
          </w:p>
        </w:tc>
        <w:tc>
          <w:tcPr>
            <w:tcW w:w="2980" w:type="dxa"/>
            <w:vAlign w:val="bottom"/>
            <w:gridSpan w:val="4"/>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60" w:type="dxa"/>
            <w:vAlign w:val="bottom"/>
            <w:gridSpan w:val="4"/>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2"/>
        </w:trPr>
        <w:tc>
          <w:tcPr>
            <w:tcW w:w="39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60" w:type="dxa"/>
            <w:vAlign w:val="bottom"/>
            <w:tcBorders>
              <w:bottom w:val="single" w:sz="8" w:color="auto"/>
            </w:tcBorders>
          </w:tcPr>
          <w:p>
            <w:pPr>
              <w:spacing w:after="0"/>
              <w:rPr>
                <w:sz w:val="20"/>
                <w:szCs w:val="20"/>
                <w:color w:val="auto"/>
              </w:rPr>
            </w:pPr>
          </w:p>
        </w:tc>
      </w:tr>
      <w:tr>
        <w:trPr>
          <w:trHeight w:val="218"/>
        </w:trPr>
        <w:tc>
          <w:tcPr>
            <w:tcW w:w="39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399.7</w:t>
            </w:r>
          </w:p>
        </w:tc>
      </w:tr>
      <w:tr>
        <w:trPr>
          <w:trHeight w:val="22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2"/>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foreign currency translation adjustments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170"/>
        </w:trPr>
        <w:tc>
          <w:tcPr>
            <w:tcW w:w="396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Change in net unrealized gains and losses on short-</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5"/>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term investments</w:t>
            </w:r>
          </w:p>
        </w:tc>
        <w:tc>
          <w:tcPr>
            <w:tcW w:w="1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5"/>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comprehensive (loss) income</w:t>
            </w:r>
          </w:p>
        </w:tc>
        <w:tc>
          <w:tcPr>
            <w:tcW w:w="1140" w:type="dxa"/>
            <w:vAlign w:val="bottom"/>
            <w:tcBorders>
              <w:top w:val="single" w:sz="8" w:color="auto"/>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5"/>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411.9</w:t>
            </w:r>
          </w:p>
        </w:tc>
      </w:tr>
      <w:tr>
        <w:trPr>
          <w:trHeight w:val="20"/>
        </w:trPr>
        <w:tc>
          <w:tcPr>
            <w:tcW w:w="3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DEFICIT</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1160" w:type="dxa"/>
            <w:vAlign w:val="bottom"/>
            <w:gridSpan w:val="4"/>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880" w:type="dxa"/>
            <w:vAlign w:val="bottom"/>
            <w:gridSpan w:val="3"/>
            <w:vMerge w:val="restart"/>
          </w:tcPr>
          <w:p>
            <w:pPr>
              <w:jc w:val="center"/>
              <w:ind w:left="182"/>
              <w:spacing w:after="0" w:line="157" w:lineRule="exact"/>
              <w:rPr>
                <w:sz w:val="20"/>
                <w:szCs w:val="20"/>
                <w:color w:val="auto"/>
              </w:rPr>
            </w:pPr>
            <w:r>
              <w:rPr>
                <w:rFonts w:ascii="Times New Roman" w:cs="Times New Roman" w:eastAsia="Times New Roman" w:hAnsi="Times New Roman"/>
                <w:sz w:val="16"/>
                <w:szCs w:val="16"/>
                <w:b w:val="1"/>
                <w:bCs w:val="1"/>
                <w:color w:val="auto"/>
                <w:w w:val="97"/>
              </w:rPr>
              <w:t>Class B</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4"/>
            <w:vMerge w:val="restart"/>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Class B common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4"/>
                <w:szCs w:val="4"/>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1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4"/>
                <w:szCs w:val="4"/>
                <w:color w:val="auto"/>
              </w:rPr>
            </w:pPr>
          </w:p>
        </w:tc>
        <w:tc>
          <w:tcPr>
            <w:tcW w:w="74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116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40" w:type="dxa"/>
            <w:vAlign w:val="bottom"/>
            <w:gridSpan w:val="3"/>
          </w:tcPr>
          <w:p>
            <w:pPr>
              <w:jc w:val="center"/>
              <w:ind w:left="222"/>
              <w:spacing w:after="0" w:line="157" w:lineRule="exact"/>
              <w:rPr>
                <w:sz w:val="20"/>
                <w:szCs w:val="20"/>
                <w:color w:val="auto"/>
              </w:rPr>
            </w:pPr>
            <w:r>
              <w:rPr>
                <w:rFonts w:ascii="Times New Roman" w:cs="Times New Roman" w:eastAsia="Times New Roman" w:hAnsi="Times New Roman"/>
                <w:sz w:val="16"/>
                <w:szCs w:val="16"/>
                <w:b w:val="1"/>
                <w:bCs w:val="1"/>
                <w:color w:val="auto"/>
                <w:w w:val="95"/>
              </w:rPr>
              <w:t>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100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gridSpan w:val="3"/>
            <w:vMerge w:val="restart"/>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2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2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gridSpan w:val="3"/>
            <w:vMerge w:val="restart"/>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8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5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8"/>
                <w:szCs w:val="18"/>
                <w:color w:val="auto"/>
              </w:rPr>
            </w:pPr>
          </w:p>
        </w:tc>
        <w:tc>
          <w:tcPr>
            <w:tcW w:w="74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39"/>
        </w:trPr>
        <w:tc>
          <w:tcPr>
            <w:tcW w:w="100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219.7</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1,823.8</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(4,018.9)</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(2,188.3)</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2,181.0</w:t>
            </w:r>
          </w:p>
        </w:tc>
        <w:tc>
          <w:tcPr>
            <w:tcW w:w="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(3,487.6)</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(1,305.5)</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Release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Shares</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withheld</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related to net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share</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settlement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Repurchases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of common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77.0</w:t>
            </w:r>
          </w:p>
        </w:tc>
        <w:tc>
          <w:tcPr>
            <w:tcW w:w="8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78.6</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5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Other</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w w:val="99"/>
              </w:rPr>
              <w:t>comprehensive</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116.1</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137"/>
        </w:trPr>
        <w:tc>
          <w:tcPr>
            <w:tcW w:w="1000" w:type="dxa"/>
            <w:vAlign w:val="bottom"/>
          </w:tcPr>
          <w:p>
            <w:pPr>
              <w:ind w:left="20"/>
              <w:spacing w:after="0" w:line="137" w:lineRule="exact"/>
              <w:rPr>
                <w:sz w:val="20"/>
                <w:szCs w:val="20"/>
                <w:color w:val="auto"/>
              </w:rPr>
            </w:pPr>
            <w:r>
              <w:rPr>
                <w:rFonts w:ascii="Times New Roman" w:cs="Times New Roman" w:eastAsia="Times New Roman" w:hAnsi="Times New Roman"/>
                <w:sz w:val="15"/>
                <w:szCs w:val="15"/>
                <w:b w:val="1"/>
                <w:bCs w:val="1"/>
                <w:color w:val="auto"/>
              </w:rPr>
              <w:t>Balances at</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216.8</w:t>
            </w:r>
          </w:p>
        </w:tc>
        <w:tc>
          <w:tcPr>
            <w:tcW w:w="80" w:type="dxa"/>
            <w:vAlign w:val="bottom"/>
          </w:tcPr>
          <w:p>
            <w:pPr>
              <w:spacing w:after="0"/>
              <w:rPr>
                <w:sz w:val="11"/>
                <w:szCs w:val="11"/>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1,833.5</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(4,026.9)</w:t>
            </w:r>
          </w:p>
        </w:tc>
        <w:tc>
          <w:tcPr>
            <w:tcW w:w="80" w:type="dxa"/>
            <w:vAlign w:val="bottom"/>
          </w:tcPr>
          <w:p>
            <w:pPr>
              <w:spacing w:after="0"/>
              <w:rPr>
                <w:sz w:val="11"/>
                <w:szCs w:val="11"/>
                <w:color w:val="auto"/>
              </w:rPr>
            </w:pPr>
          </w:p>
        </w:tc>
        <w:tc>
          <w:tcPr>
            <w:tcW w:w="20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(2,187.3)</w:t>
            </w: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80" w:type="dxa"/>
            <w:vAlign w:val="bottom"/>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2,100.3</w:t>
            </w:r>
          </w:p>
        </w:tc>
        <w:tc>
          <w:tcPr>
            <w:tcW w:w="6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(3,633.6)</w:t>
            </w:r>
          </w:p>
        </w:tc>
        <w:tc>
          <w:tcPr>
            <w:tcW w:w="80" w:type="dxa"/>
            <w:vAlign w:val="bottom"/>
          </w:tcPr>
          <w:p>
            <w:pPr>
              <w:spacing w:after="0"/>
              <w:rPr>
                <w:sz w:val="11"/>
                <w:szCs w:val="11"/>
                <w:color w:val="auto"/>
              </w:rPr>
            </w:pPr>
          </w:p>
        </w:tc>
        <w:tc>
          <w:tcPr>
            <w:tcW w:w="220" w:type="dxa"/>
            <w:vAlign w:val="bottom"/>
            <w:vMerge w:val="restart"/>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(1,531.2)</w:t>
            </w: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1160" w:type="dxa"/>
            <w:vAlign w:val="bottom"/>
            <w:gridSpan w:val="4"/>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880" w:type="dxa"/>
            <w:vAlign w:val="bottom"/>
            <w:gridSpan w:val="3"/>
            <w:vMerge w:val="restart"/>
          </w:tcPr>
          <w:p>
            <w:pPr>
              <w:jc w:val="center"/>
              <w:ind w:left="182"/>
              <w:spacing w:after="0" w:line="157" w:lineRule="exact"/>
              <w:rPr>
                <w:sz w:val="20"/>
                <w:szCs w:val="20"/>
                <w:color w:val="auto"/>
              </w:rPr>
            </w:pPr>
            <w:r>
              <w:rPr>
                <w:rFonts w:ascii="Times New Roman" w:cs="Times New Roman" w:eastAsia="Times New Roman" w:hAnsi="Times New Roman"/>
                <w:sz w:val="16"/>
                <w:szCs w:val="16"/>
                <w:b w:val="1"/>
                <w:bCs w:val="1"/>
                <w:color w:val="auto"/>
                <w:w w:val="97"/>
              </w:rPr>
              <w:t>Class B</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4"/>
            <w:vMerge w:val="restart"/>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Class B common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4"/>
                <w:szCs w:val="4"/>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1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4"/>
                <w:szCs w:val="4"/>
                <w:color w:val="auto"/>
              </w:rPr>
            </w:pPr>
          </w:p>
        </w:tc>
        <w:tc>
          <w:tcPr>
            <w:tcW w:w="74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116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40" w:type="dxa"/>
            <w:vAlign w:val="bottom"/>
            <w:gridSpan w:val="3"/>
          </w:tcPr>
          <w:p>
            <w:pPr>
              <w:jc w:val="center"/>
              <w:ind w:left="222"/>
              <w:spacing w:after="0" w:line="157" w:lineRule="exact"/>
              <w:rPr>
                <w:sz w:val="20"/>
                <w:szCs w:val="20"/>
                <w:color w:val="auto"/>
              </w:rPr>
            </w:pPr>
            <w:r>
              <w:rPr>
                <w:rFonts w:ascii="Times New Roman" w:cs="Times New Roman" w:eastAsia="Times New Roman" w:hAnsi="Times New Roman"/>
                <w:sz w:val="16"/>
                <w:szCs w:val="16"/>
                <w:b w:val="1"/>
                <w:bCs w:val="1"/>
                <w:color w:val="auto"/>
                <w:w w:val="95"/>
              </w:rPr>
              <w:t>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100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gridSpan w:val="3"/>
            <w:vMerge w:val="restart"/>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2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20" w:type="dxa"/>
            <w:vAlign w:val="bottom"/>
            <w:gridSpan w:val="3"/>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gridSpan w:val="3"/>
            <w:vMerge w:val="restart"/>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gridSpan w:val="2"/>
            <w:vMerge w:val="restart"/>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8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5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8"/>
                <w:szCs w:val="18"/>
                <w:color w:val="auto"/>
              </w:rPr>
            </w:pPr>
          </w:p>
        </w:tc>
        <w:tc>
          <w:tcPr>
            <w:tcW w:w="74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39"/>
        </w:trPr>
        <w:tc>
          <w:tcPr>
            <w:tcW w:w="100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242.9</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2,012.2</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(3,815.1)</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(1,797.2)</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2,404.2</w:t>
            </w:r>
          </w:p>
        </w:tc>
        <w:tc>
          <w:tcPr>
            <w:tcW w:w="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(3,146.5)</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Release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Shares</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withheld</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related to net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share</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settlement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Repurchases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of common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(839.0)</w:t>
            </w:r>
          </w:p>
        </w:tc>
        <w:tc>
          <w:tcPr>
            <w:tcW w:w="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(487.1)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(1,300.3)</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Exercise of</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stock options</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awards</w:t>
            </w:r>
          </w:p>
        </w:tc>
        <w:tc>
          <w:tcPr>
            <w:tcW w:w="5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225.4</w:t>
            </w:r>
          </w:p>
        </w:tc>
        <w:tc>
          <w:tcPr>
            <w:tcW w:w="8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223.4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Other</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w w:val="99"/>
              </w:rPr>
              <w:t>comprehensive</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5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326.4</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216.8</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1,833.5</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(4,026.9)</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(2,187.3)</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2,100.3</w:t>
            </w:r>
          </w:p>
        </w:tc>
        <w:tc>
          <w:tcPr>
            <w:tcW w:w="6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(3,633.6)</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(1,531.2)</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end of period</w:t>
            </w: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w:t>
      </w:r>
    </w:p>
    <w:p>
      <w:pPr>
        <w:sectPr>
          <w:pgSz w:w="11900" w:h="16838" w:orient="portrait"/>
          <w:cols w:equalWidth="0" w:num="1">
            <w:col w:w="11340"/>
          </w:cols>
          <w:pgMar w:left="320" w:top="119" w:right="239" w:bottom="744"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744"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200" w:lineRule="exact"/>
        <w:rPr>
          <w:sz w:val="20"/>
          <w:szCs w:val="20"/>
          <w:color w:val="auto"/>
        </w:rPr>
      </w:pPr>
    </w:p>
    <w:p>
      <w:pPr>
        <w:spacing w:after="0" w:line="2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9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326.4</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on real estate assets</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gain on equity investments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lease termination</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19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702.2</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716.4</w:t>
            </w:r>
          </w:p>
        </w:tc>
      </w:tr>
      <w:tr>
        <w:trPr>
          <w:trHeight w:val="19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receipts from equipment rebates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0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term loan facility</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 and loan commitment fees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against term loan facility</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convertible senior notes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net of taxes withheld</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(1,298.9)</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acquisition-related indemnification holdback</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(1,389.9)</w:t>
            </w: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905.9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1,360.5</w:t>
            </w:r>
          </w:p>
        </w:tc>
      </w:tr>
      <w:tr>
        <w:trPr>
          <w:trHeight w:val="19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end of period</w:t>
            </w: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1,112.5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764.2</w:t>
            </w:r>
          </w:p>
        </w:tc>
      </w:tr>
      <w:tr>
        <w:trPr>
          <w:trHeight w:val="46"/>
        </w:trPr>
        <w:tc>
          <w:tcPr>
            <w:tcW w:w="80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57"/>
        </w:trPr>
        <w:tc>
          <w:tcPr>
            <w:tcW w:w="8000" w:type="dxa"/>
            <w:vAlign w:val="bottom"/>
            <w:tcBorders>
              <w:top w:val="single" w:sz="8" w:color="CCEEFF"/>
            </w:tcBorders>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w w:val="98"/>
              </w:rPr>
              <w:t>Reconciliation of cash, cash equivalents, and restricted cash to amounts on condensed consolidated balance sheets - end</w:t>
            </w:r>
          </w:p>
        </w:tc>
        <w:tc>
          <w:tcPr>
            <w:tcW w:w="98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r>
      <w:tr>
        <w:trPr>
          <w:trHeight w:val="20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1"/>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 current, included in prepaid expenses and other current assets</w:t>
            </w:r>
          </w:p>
        </w:tc>
        <w:tc>
          <w:tcPr>
            <w:tcW w:w="9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 non-current, included in other assets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19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1,112.5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764.2</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8"/>
        </w:trPr>
        <w:tc>
          <w:tcPr>
            <w:tcW w:w="80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r>
      <w:tr>
        <w:trPr>
          <w:trHeight w:val="199"/>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w:t>
            </w:r>
          </w:p>
        </w:tc>
      </w:tr>
      <w:tr>
        <w:trPr>
          <w:trHeight w:val="22"/>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the Business and Summary of Significant Accounting Policies</w:t>
      </w: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Business</w:t>
      </w:r>
    </w:p>
    <w:p>
      <w:pPr>
        <w:spacing w:after="0" w:line="122"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Dropbox, Inc. (the “Company” or “Dropbox”) helps keep life organized and work moving. The Company was incorporated in May 2007 as Evenflow, Inc., a Delaware corporation, and changed its name to Dropbox, Inc. in October 2009. In March 2025, the Company reincorporated in the state of Nevada. The Company is headquartered in San Francisco, California.</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122"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95"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The condensed consolidated balance sheet as of December 31, 2025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2026 or any future period.</w:t>
      </w:r>
    </w:p>
    <w:p>
      <w:pPr>
        <w:spacing w:after="0" w:line="195"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The unaudited condensed consolidated financial statements should be read in conjunction with the audited consolidated financial statements and the related notes thereto as of and for the year ended December 31, 2025, included in the Company's Annual Report on Form 10-K on file with the SEC (“Annual Report”).</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2" w:lineRule="exact"/>
        <w:rPr>
          <w:sz w:val="20"/>
          <w:szCs w:val="20"/>
          <w:color w:val="auto"/>
        </w:rPr>
      </w:pPr>
    </w:p>
    <w:p>
      <w:pPr>
        <w:ind w:right="240" w:firstLine="392"/>
        <w:spacing w:after="0" w:line="26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most significant estimates and judgments are related to the accounting for income taxes.</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Financial information about segments and geographic areas</w:t>
      </w:r>
    </w:p>
    <w:p>
      <w:pPr>
        <w:spacing w:after="0" w:line="122" w:lineRule="exact"/>
        <w:rPr>
          <w:sz w:val="20"/>
          <w:szCs w:val="20"/>
          <w:color w:val="auto"/>
        </w:rPr>
      </w:pPr>
    </w:p>
    <w:p>
      <w:pPr>
        <w:ind w:right="380" w:firstLine="431"/>
        <w:spacing w:after="0" w:line="295" w:lineRule="auto"/>
        <w:rPr>
          <w:sz w:val="20"/>
          <w:szCs w:val="20"/>
          <w:color w:val="auto"/>
        </w:rPr>
      </w:pPr>
      <w:r>
        <w:rPr>
          <w:rFonts w:ascii="Times New Roman" w:cs="Times New Roman" w:eastAsia="Times New Roman" w:hAnsi="Times New Roman"/>
          <w:sz w:val="17"/>
          <w:szCs w:val="17"/>
          <w:color w:val="auto"/>
        </w:rPr>
        <w:t>The Company manages its operations and allocates resources as a single operating segment. Further, the Company manages, monitors, and reports its financial information as a single reportable segment. See Note 14 "Segment Information and Geographic Areas" for additional information.</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transactions</w:t>
      </w:r>
    </w:p>
    <w:p>
      <w:pPr>
        <w:spacing w:after="0" w:line="122"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net of tax.</w:t>
      </w:r>
    </w:p>
    <w:p>
      <w:pPr>
        <w:spacing w:after="0" w:line="188" w:lineRule="exact"/>
        <w:rPr>
          <w:sz w:val="20"/>
          <w:szCs w:val="20"/>
          <w:color w:val="auto"/>
        </w:rPr>
      </w:pPr>
    </w:p>
    <w:p>
      <w:pPr>
        <w:jc w:val="both"/>
        <w:ind w:right="140" w:firstLine="392"/>
        <w:spacing w:after="0" w:line="269" w:lineRule="auto"/>
        <w:rPr>
          <w:sz w:val="20"/>
          <w:szCs w:val="20"/>
          <w:color w:val="auto"/>
        </w:rPr>
      </w:pPr>
      <w:r>
        <w:rPr>
          <w:rFonts w:ascii="Times New Roman" w:cs="Times New Roman" w:eastAsia="Times New Roman" w:hAnsi="Times New Roman"/>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Foreign currency transaction gains or losses were immaterial during the three and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2" w:lineRule="exact"/>
        <w:rPr>
          <w:sz w:val="20"/>
          <w:szCs w:val="20"/>
          <w:color w:val="auto"/>
        </w:rPr>
      </w:pPr>
    </w:p>
    <w:p>
      <w:pPr>
        <w:ind w:right="160" w:firstLine="392"/>
        <w:spacing w:after="0" w:line="288" w:lineRule="auto"/>
        <w:rPr>
          <w:sz w:val="20"/>
          <w:szCs w:val="20"/>
          <w:color w:val="auto"/>
        </w:rPr>
      </w:pPr>
      <w:r>
        <w:rPr>
          <w:rFonts w:ascii="Times New Roman" w:cs="Times New Roman" w:eastAsia="Times New Roman" w:hAnsi="Times New Roman"/>
          <w:sz w:val="17"/>
          <w:szCs w:val="17"/>
          <w:color w:val="auto"/>
        </w:rPr>
        <w:t>The Company derives its revenue from the sale of subscriptions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263" w:lineRule="exact"/>
        <w:rPr>
          <w:sz w:val="20"/>
          <w:szCs w:val="20"/>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24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w:t>
      </w:r>
    </w:p>
    <w:p>
      <w:pPr>
        <w:spacing w:after="0" w:line="197" w:lineRule="exact"/>
        <w:rPr>
          <w:sz w:val="20"/>
          <w:szCs w:val="20"/>
          <w:color w:val="auto"/>
        </w:rPr>
      </w:pPr>
    </w:p>
    <w:p>
      <w:pPr>
        <w:jc w:val="both"/>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spacing w:after="0" w:line="188" w:lineRule="exact"/>
        <w:rPr>
          <w:sz w:val="20"/>
          <w:szCs w:val="20"/>
          <w:color w:val="auto"/>
        </w:rPr>
      </w:pPr>
    </w:p>
    <w:p>
      <w:pPr>
        <w:ind w:right="500" w:firstLine="392"/>
        <w:spacing w:after="0" w:line="295" w:lineRule="auto"/>
        <w:rPr>
          <w:sz w:val="20"/>
          <w:szCs w:val="20"/>
          <w:color w:val="auto"/>
        </w:rPr>
      </w:pPr>
      <w:r>
        <w:rPr>
          <w:rFonts w:ascii="Times New Roman" w:cs="Times New Roman" w:eastAsia="Times New Roman" w:hAnsi="Times New Roman"/>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3"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8"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The Company recognized $348.0 million and $686.1 million of revenue during the three and nine months ended September 30, 2026 and $353.2 million and $683.8 million during three and nine months ended September 30, 2025, respectively, that was included in the deferred revenue balances at the beginning of their respective periods.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September 30, 2026, future estimated revenue related to performance obligations that were unsatisfied or partially unsatisfied was $807.5 million.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substantial majority of the unsatisfied performance obligations will be satisfied over the next twelve months.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2"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The Company grants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RSUs are subject to a service-based vesting condition over a four-year period, with vesting occurring quarterly, and have been the Company’s primary form of stock-based compensation for employees, with the exception of certain awards granted to the Company’s co-founder and certain executives. Compensation expense related to RSUs is recognized on a straight-line basis over the requisite service period, with forfeitures accounted for in the period in which they occur.</w:t>
      </w:r>
    </w:p>
    <w:p>
      <w:pPr>
        <w:spacing w:after="0" w:line="69"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60" w:firstLine="392"/>
        <w:spacing w:after="0" w:line="263" w:lineRule="auto"/>
        <w:rPr>
          <w:sz w:val="20"/>
          <w:szCs w:val="20"/>
          <w:color w:val="auto"/>
        </w:rPr>
      </w:pPr>
      <w:r>
        <w:rPr>
          <w:rFonts w:ascii="Times New Roman" w:cs="Times New Roman" w:eastAsia="Times New Roman" w:hAnsi="Times New Roman"/>
          <w:sz w:val="17"/>
          <w:szCs w:val="17"/>
          <w:color w:val="auto"/>
        </w:rPr>
        <w:t>In December 2017, the Board of Directors approved a Co-Founder Grant of 10.3 million shares of Class A common stock in the form of restricted stock awards (“RSAs”) to Drew Houston, the Company's co-founder and Co-Chief Executive Officer (the “Co-Founder Grant”). The grant is subject to service-based, market-based, and performance-based vesting conditions and is excluded from issued and outstanding Class A common stock until vesting. The Company estimated the grant date fair value using a Monte Carlo simulation model that incorporated the probability of not meeting stock price targets. The first tranche vested in the fourth quarter of 2021. Stock-based compensation expense for the Co-Founder Grant was recognized using the accelerated attribution method over the derived service period and will not be reversed if market conditions are unmet. As of December 31, 2024, the Company had fully recognized all related stock-based compensation expense. See Note 11, "Stockholders' Deficit," for additional information.</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2"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datacenter equipment.</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22" w:lineRule="exact"/>
        <w:rPr>
          <w:sz w:val="20"/>
          <w:szCs w:val="20"/>
          <w:color w:val="auto"/>
        </w:rPr>
      </w:pPr>
    </w:p>
    <w:p>
      <w:pPr>
        <w:ind w:right="180" w:firstLine="431"/>
        <w:spacing w:after="0" w:line="276" w:lineRule="auto"/>
        <w:rPr>
          <w:sz w:val="20"/>
          <w:szCs w:val="20"/>
          <w:color w:val="auto"/>
        </w:rPr>
      </w:pPr>
      <w:r>
        <w:rPr>
          <w:rFonts w:ascii="Times New Roman" w:cs="Times New Roman" w:eastAsia="Times New Roman" w:hAnsi="Times New Roman"/>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88" w:lineRule="exact"/>
        <w:rPr>
          <w:sz w:val="20"/>
          <w:szCs w:val="20"/>
          <w:color w:val="auto"/>
        </w:rPr>
      </w:pPr>
    </w:p>
    <w:p>
      <w:pPr>
        <w:ind w:right="260" w:firstLine="431"/>
        <w:spacing w:after="0" w:line="295" w:lineRule="auto"/>
        <w:rPr>
          <w:sz w:val="20"/>
          <w:szCs w:val="20"/>
          <w:color w:val="auto"/>
        </w:rPr>
      </w:pPr>
      <w:r>
        <w:rPr>
          <w:rFonts w:ascii="Times New Roman" w:cs="Times New Roman" w:eastAsia="Times New Roman" w:hAnsi="Times New Roman"/>
          <w:sz w:val="17"/>
          <w:szCs w:val="17"/>
          <w:color w:val="auto"/>
        </w:rPr>
        <w:t>Restricted cash relates to cash collateral used to secure outstanding letters of credit primarily for the Company’s office lease agreements. The Company had restricted cash of $7.7 million and $14.6 million as of September 30, 2026 and December 31, 2025, respectively.</w:t>
      </w:r>
    </w:p>
    <w:p>
      <w:pPr>
        <w:spacing w:after="0" w:line="173" w:lineRule="exact"/>
        <w:rPr>
          <w:sz w:val="20"/>
          <w:szCs w:val="20"/>
          <w:color w:val="auto"/>
        </w:rPr>
      </w:pPr>
    </w:p>
    <w:p>
      <w:pPr>
        <w:ind w:right="80" w:firstLine="431"/>
        <w:spacing w:after="0" w:line="295" w:lineRule="auto"/>
        <w:rPr>
          <w:sz w:val="20"/>
          <w:szCs w:val="20"/>
          <w:color w:val="auto"/>
        </w:rPr>
      </w:pPr>
      <w:r>
        <w:rPr>
          <w:rFonts w:ascii="Times New Roman" w:cs="Times New Roman" w:eastAsia="Times New Roman" w:hAnsi="Times New Roman"/>
          <w:sz w:val="17"/>
          <w:szCs w:val="17"/>
          <w:color w:val="auto"/>
        </w:rPr>
        <w:t>The Company monitors its credit risk by considering factors such as historical experience, credit ratings, current economic conditions, and reasonable and supportable forecasts.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w:t>
      </w:r>
    </w:p>
    <w:p>
      <w:pPr>
        <w:spacing w:after="0" w:line="122"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The Company’s short-term investments are primarily comprised of corporate notes and obligations, U.S. Treasury securities, asset-backed securities, U.S. agency obligations,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200"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The Company's short-term investments are recorded at fair value each reporting period. Unrealized gains and losses on these short-term investments are reported as a separate component of accumulated other comprehensive income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nine months ended September 30, 2026. As of September 30, 2026 and December 31, 2025, no allowance for credit losses in short-term investments was recorded.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22"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spacing w:after="0" w:line="195" w:lineRule="exact"/>
        <w:rPr>
          <w:sz w:val="20"/>
          <w:szCs w:val="20"/>
          <w:color w:val="auto"/>
        </w:rPr>
      </w:pPr>
    </w:p>
    <w:p>
      <w:pPr>
        <w:jc w:val="both"/>
        <w:ind w:right="60" w:firstLine="392"/>
        <w:spacing w:after="0" w:line="276" w:lineRule="auto"/>
        <w:rPr>
          <w:sz w:val="20"/>
          <w:szCs w:val="20"/>
          <w:color w:val="auto"/>
        </w:rPr>
      </w:pPr>
      <w:r>
        <w:rPr>
          <w:rFonts w:ascii="Times New Roman" w:cs="Times New Roman" w:eastAsia="Times New Roman" w:hAnsi="Times New Roman"/>
          <w:sz w:val="17"/>
          <w:szCs w:val="17"/>
          <w:color w:val="auto"/>
        </w:rPr>
        <w:t>Trade accounts receivable are typically unsecured and are derived from revenue earned from customers located around the world. One distribution partner accounted for 53% and 47% of total trade and other receivables, net as of September 30, 2026 and December 31, 2025, respectively. No customer accounted for more than 10% of the Company’s revenue in the periods presented.</w:t>
      </w:r>
    </w:p>
    <w:p>
      <w:pPr>
        <w:spacing w:after="0" w:line="188" w:lineRule="exact"/>
        <w:rPr>
          <w:sz w:val="20"/>
          <w:szCs w:val="20"/>
          <w:color w:val="auto"/>
        </w:rPr>
      </w:pPr>
    </w:p>
    <w:p>
      <w:pPr>
        <w:ind w:right="160" w:firstLine="431"/>
        <w:spacing w:after="0" w:line="269" w:lineRule="auto"/>
        <w:rPr>
          <w:sz w:val="20"/>
          <w:szCs w:val="20"/>
          <w:color w:val="auto"/>
        </w:rPr>
      </w:pPr>
      <w:r>
        <w:rPr>
          <w:rFonts w:ascii="Times New Roman" w:cs="Times New Roman" w:eastAsia="Times New Roman" w:hAnsi="Times New Roman"/>
          <w:sz w:val="17"/>
          <w:szCs w:val="17"/>
          <w:color w:val="auto"/>
        </w:rPr>
        <w:t>The Company hosts its services and serves all of its users using a combination of its own custom-built infrastructure that it leases and operates in co-location facilities and third-party datacenter services such as Amazon Web Services ("AWS"). The Company's technology infrastructure, combined with select use of AWS resources, provides a distributed and scalable architecture on a global scale. The Company has designed its platform with multiple layers of redundancy to guard against data loss and deliver high availability.</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Deferred commissions, net</w:t>
      </w:r>
    </w:p>
    <w:p>
      <w:pPr>
        <w:spacing w:after="0" w:line="122" w:lineRule="exact"/>
        <w:rPr>
          <w:sz w:val="20"/>
          <w:szCs w:val="20"/>
          <w:color w:val="auto"/>
        </w:rPr>
      </w:pPr>
    </w:p>
    <w:p>
      <w:pPr>
        <w:ind w:firstLine="392"/>
        <w:spacing w:after="0" w:line="265" w:lineRule="auto"/>
        <w:rPr>
          <w:sz w:val="20"/>
          <w:szCs w:val="20"/>
          <w:color w:val="auto"/>
        </w:rPr>
      </w:pPr>
      <w:r>
        <w:rPr>
          <w:rFonts w:ascii="Times New Roman" w:cs="Times New Roman" w:eastAsia="Times New Roman" w:hAnsi="Times New Roman"/>
          <w:sz w:val="17"/>
          <w:szCs w:val="17"/>
          <w:color w:val="auto"/>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condensed consolidated balance sheets. The Company deferred incremental costs of obtaining a contract of $3.6 million and $10.9 million during the three and nine months ended September 30, 2026 and $4.9 million and $13.5 million during the three and nine months ended September 30, 2025, respectively.</w:t>
      </w:r>
    </w:p>
    <w:p>
      <w:pPr>
        <w:spacing w:after="0" w:line="200" w:lineRule="exact"/>
        <w:rPr>
          <w:sz w:val="20"/>
          <w:szCs w:val="20"/>
          <w:color w:val="auto"/>
        </w:rPr>
      </w:pPr>
    </w:p>
    <w:p>
      <w:pPr>
        <w:spacing w:after="0" w:line="211" w:lineRule="exact"/>
        <w:rPr>
          <w:sz w:val="20"/>
          <w:szCs w:val="20"/>
          <w:color w:val="auto"/>
        </w:rPr>
      </w:pPr>
    </w:p>
    <w:p>
      <w:pPr>
        <w:jc w:val="both"/>
        <w:ind w:right="100" w:firstLine="392"/>
        <w:spacing w:after="0" w:line="276" w:lineRule="auto"/>
        <w:rPr>
          <w:sz w:val="20"/>
          <w:szCs w:val="20"/>
          <w:color w:val="auto"/>
        </w:rPr>
      </w:pPr>
      <w:r>
        <w:rPr>
          <w:rFonts w:ascii="Times New Roman" w:cs="Times New Roman" w:eastAsia="Times New Roman" w:hAnsi="Times New Roman"/>
          <w:sz w:val="17"/>
          <w:szCs w:val="17"/>
          <w:color w:val="auto"/>
        </w:rPr>
        <w:t>Deferred commissions, net included in prepaid and other current assets were $15.4 million and $17.1 million as of September 30, 2026 and December 31, 2025, respectively. Deferred commissions, net included in other assets were $15.1 million and $18.4 million as of September 30, 2026 and December 31, 2025, respectively.</w:t>
      </w:r>
    </w:p>
    <w:p>
      <w:pPr>
        <w:spacing w:after="0" w:line="188"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$5.2 million and $15.9 million for the three and nine months ended September 30, 2026 and $6.2 million and $20.2 million during the three and nine months ended September 30, 2025, respectively. Amortization of deferred commissions costs are included in sales and marketing expense in the accompanying condensed consolidated statements of operations. There was no impairment loss in relation to the deferred costs for any period presented.</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2" w:lineRule="exact"/>
        <w:rPr>
          <w:sz w:val="20"/>
          <w:szCs w:val="20"/>
          <w:color w:val="auto"/>
        </w:rPr>
      </w:pPr>
    </w:p>
    <w:p>
      <w:pPr>
        <w:jc w:val="both"/>
        <w:ind w:right="260" w:firstLine="392"/>
        <w:spacing w:after="0" w:line="276" w:lineRule="auto"/>
        <w:rPr>
          <w:sz w:val="20"/>
          <w:szCs w:val="20"/>
          <w:color w:val="auto"/>
        </w:rPr>
      </w:pPr>
      <w:r>
        <w:rPr>
          <w:rFonts w:ascii="Times New Roman" w:cs="Times New Roman" w:eastAsia="Times New Roman" w:hAnsi="Times New Roman"/>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The following table presents the estimated useful lives of property and equipment:</w:t>
            </w:r>
          </w:p>
        </w:tc>
        <w:tc>
          <w:tcPr>
            <w:tcW w:w="4900" w:type="dxa"/>
            <w:vAlign w:val="bottom"/>
          </w:tcPr>
          <w:p>
            <w:pPr>
              <w:spacing w:after="0"/>
              <w:rPr>
                <w:sz w:val="19"/>
                <w:szCs w:val="19"/>
                <w:color w:val="auto"/>
              </w:rPr>
            </w:pPr>
          </w:p>
        </w:tc>
      </w:tr>
      <w:tr>
        <w:trPr>
          <w:trHeight w:val="484"/>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4900" w:type="dxa"/>
            <w:vAlign w:val="bottom"/>
          </w:tcPr>
          <w:p>
            <w:pPr>
              <w:jc w:val="center"/>
              <w:ind w:right="633"/>
              <w:spacing w:after="0"/>
              <w:rPr>
                <w:sz w:val="20"/>
                <w:szCs w:val="20"/>
                <w:color w:val="auto"/>
              </w:rPr>
            </w:pPr>
            <w:r>
              <w:rPr>
                <w:rFonts w:ascii="Times New Roman" w:cs="Times New Roman" w:eastAsia="Times New Roman" w:hAnsi="Times New Roman"/>
                <w:sz w:val="17"/>
                <w:szCs w:val="17"/>
                <w:b w:val="1"/>
                <w:bCs w:val="1"/>
                <w:color w:val="auto"/>
              </w:rPr>
              <w:t>Useful life</w:t>
            </w:r>
          </w:p>
        </w:tc>
      </w:tr>
      <w:tr>
        <w:trPr>
          <w:trHeight w:val="215"/>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Datacenter and other computer equipment</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jc w:val="center"/>
              <w:ind w:right="633"/>
              <w:spacing w:after="0"/>
              <w:rPr>
                <w:sz w:val="20"/>
                <w:szCs w:val="20"/>
                <w:color w:val="auto"/>
              </w:rPr>
            </w:pPr>
            <w:r>
              <w:rPr>
                <w:rFonts w:ascii="Times New Roman" w:cs="Times New Roman" w:eastAsia="Times New Roman" w:hAnsi="Times New Roman"/>
                <w:sz w:val="17"/>
                <w:szCs w:val="17"/>
                <w:color w:val="auto"/>
              </w:rPr>
              <w:t>3 to 5 years</w:t>
            </w:r>
          </w:p>
        </w:tc>
      </w:tr>
      <w:tr>
        <w:trPr>
          <w:trHeight w:val="222"/>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4900" w:type="dxa"/>
            <w:vAlign w:val="bottom"/>
          </w:tcPr>
          <w:p>
            <w:pPr>
              <w:jc w:val="center"/>
              <w:ind w:right="633"/>
              <w:spacing w:after="0"/>
              <w:rPr>
                <w:sz w:val="20"/>
                <w:szCs w:val="20"/>
                <w:color w:val="auto"/>
              </w:rPr>
            </w:pPr>
            <w:r>
              <w:rPr>
                <w:rFonts w:ascii="Times New Roman" w:cs="Times New Roman" w:eastAsia="Times New Roman" w:hAnsi="Times New Roman"/>
                <w:sz w:val="17"/>
                <w:szCs w:val="17"/>
                <w:color w:val="auto"/>
              </w:rPr>
              <w:t>7 years</w:t>
            </w:r>
          </w:p>
        </w:tc>
      </w:tr>
      <w:tr>
        <w:trPr>
          <w:trHeight w:val="222"/>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4900" w:type="dxa"/>
            <w:vAlign w:val="bottom"/>
            <w:shd w:val="clear" w:color="auto" w:fill="CCEEFF"/>
          </w:tcPr>
          <w:p>
            <w:pPr>
              <w:jc w:val="center"/>
              <w:ind w:right="633"/>
              <w:spacing w:after="0"/>
              <w:rPr>
                <w:sz w:val="20"/>
                <w:szCs w:val="20"/>
                <w:color w:val="auto"/>
              </w:rPr>
            </w:pPr>
            <w:r>
              <w:rPr>
                <w:rFonts w:ascii="Times New Roman" w:cs="Times New Roman" w:eastAsia="Times New Roman" w:hAnsi="Times New Roman"/>
                <w:sz w:val="17"/>
                <w:szCs w:val="17"/>
                <w:color w:val="auto"/>
              </w:rPr>
              <w:t>Lesser of estimated useful life or remaining lease term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Lease obligations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leases office space, datacenters, and equipment under non-cancelable finance and operating leases with various expiration dates through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2036. The Company determines if an arrangement contains a lease at inception.</w:t>
      </w:r>
    </w:p>
    <w:p>
      <w:pPr>
        <w:spacing w:after="0" w:line="231" w:lineRule="exact"/>
        <w:rPr>
          <w:sz w:val="20"/>
          <w:szCs w:val="20"/>
          <w:color w:val="auto"/>
        </w:rPr>
      </w:pPr>
    </w:p>
    <w:p>
      <w:pPr>
        <w:ind w:right="260" w:firstLine="431"/>
        <w:spacing w:after="0" w:line="269" w:lineRule="auto"/>
        <w:rPr>
          <w:sz w:val="20"/>
          <w:szCs w:val="20"/>
          <w:color w:val="auto"/>
        </w:rPr>
      </w:pPr>
      <w:r>
        <w:rPr>
          <w:rFonts w:ascii="Times New Roman" w:cs="Times New Roman" w:eastAsia="Times New Roman" w:hAnsi="Times New Roman"/>
          <w:sz w:val="17"/>
          <w:szCs w:val="17"/>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95" w:lineRule="exact"/>
        <w:rPr>
          <w:sz w:val="20"/>
          <w:szCs w:val="20"/>
          <w:color w:val="auto"/>
        </w:rPr>
      </w:pPr>
    </w:p>
    <w:p>
      <w:pPr>
        <w:ind w:right="80" w:firstLine="431"/>
        <w:spacing w:after="0" w:line="266" w:lineRule="auto"/>
        <w:rPr>
          <w:sz w:val="20"/>
          <w:szCs w:val="20"/>
          <w:color w:val="auto"/>
        </w:rPr>
      </w:pPr>
      <w:r>
        <w:rPr>
          <w:rFonts w:ascii="Times New Roman" w:cs="Times New Roman" w:eastAsia="Times New Roman" w:hAnsi="Times New Roman"/>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197" w:lineRule="exact"/>
        <w:rPr>
          <w:sz w:val="20"/>
          <w:szCs w:val="20"/>
          <w:color w:val="auto"/>
        </w:rPr>
      </w:pPr>
    </w:p>
    <w:p>
      <w:pPr>
        <w:ind w:right="280" w:firstLine="431"/>
        <w:spacing w:after="0" w:line="295" w:lineRule="auto"/>
        <w:rPr>
          <w:sz w:val="20"/>
          <w:szCs w:val="20"/>
          <w:color w:val="auto"/>
        </w:rPr>
      </w:pPr>
      <w:r>
        <w:rPr>
          <w:rFonts w:ascii="Times New Roman" w:cs="Times New Roman" w:eastAsia="Times New Roman" w:hAnsi="Times New Roman"/>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73" w:lineRule="exact"/>
        <w:rPr>
          <w:sz w:val="20"/>
          <w:szCs w:val="20"/>
          <w:color w:val="auto"/>
        </w:rPr>
      </w:pPr>
    </w:p>
    <w:p>
      <w:pPr>
        <w:ind w:right="140" w:firstLine="431"/>
        <w:spacing w:after="0" w:line="276" w:lineRule="auto"/>
        <w:rPr>
          <w:sz w:val="20"/>
          <w:szCs w:val="20"/>
          <w:color w:val="auto"/>
        </w:rPr>
      </w:pPr>
      <w:r>
        <w:rPr>
          <w:rFonts w:ascii="Times New Roman" w:cs="Times New Roman" w:eastAsia="Times New Roman" w:hAnsi="Times New Roman"/>
          <w:sz w:val="17"/>
          <w:szCs w:val="17"/>
          <w:color w:val="auto"/>
        </w:rPr>
        <w:t>As part of the Company's Virtual First strategy, Dropbox has retained a portion of its office space for in-person collaboration while the remainder will be subleased. The Company did not recognize any impairment charges during the three and nine months ended September 30, 2026 and recognized impairment charges of zero and $2.6 million during the three and nine months ended September 30, 2025. See Note 8 "Leases" for additional information.</w:t>
      </w:r>
    </w:p>
    <w:p>
      <w:pPr>
        <w:spacing w:after="0" w:line="188" w:lineRule="exact"/>
        <w:rPr>
          <w:sz w:val="20"/>
          <w:szCs w:val="20"/>
          <w:color w:val="auto"/>
        </w:rPr>
      </w:pPr>
    </w:p>
    <w:p>
      <w:pPr>
        <w:ind w:right="80" w:firstLine="431"/>
        <w:spacing w:after="0" w:line="266" w:lineRule="auto"/>
        <w:rPr>
          <w:sz w:val="20"/>
          <w:szCs w:val="20"/>
          <w:color w:val="auto"/>
        </w:rPr>
      </w:pPr>
      <w:r>
        <w:rPr>
          <w:rFonts w:ascii="Times New Roman" w:cs="Times New Roman" w:eastAsia="Times New Roman" w:hAnsi="Times New Roman"/>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spacing w:after="0" w:line="197" w:lineRule="exact"/>
        <w:rPr>
          <w:sz w:val="20"/>
          <w:szCs w:val="20"/>
          <w:color w:val="auto"/>
        </w:rPr>
      </w:pPr>
    </w:p>
    <w:p>
      <w:pPr>
        <w:ind w:firstLine="431"/>
        <w:spacing w:after="0" w:line="295" w:lineRule="auto"/>
        <w:rPr>
          <w:sz w:val="20"/>
          <w:szCs w:val="20"/>
          <w:color w:val="auto"/>
        </w:rPr>
      </w:pPr>
      <w:r>
        <w:rPr>
          <w:rFonts w:ascii="Times New Roman" w:cs="Times New Roman" w:eastAsia="Times New Roman" w:hAnsi="Times New Roman"/>
          <w:sz w:val="17"/>
          <w:szCs w:val="17"/>
          <w:color w:val="auto"/>
        </w:rPr>
        <w:t>The Company's finance lease agreements may contain lease and non-lease components. The non-lease components include payments for support related to infrastructure equipment obtained via finance leases, which are combined with the lease components and accounted for together as a single lease component.</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2"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 including goodwill and other acquired intangible assets, net</w:t>
      </w:r>
    </w:p>
    <w:p>
      <w:pPr>
        <w:spacing w:after="0" w:line="122"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3" w:lineRule="exact"/>
        <w:rPr>
          <w:sz w:val="20"/>
          <w:szCs w:val="20"/>
          <w:color w:val="auto"/>
        </w:rPr>
      </w:pPr>
    </w:p>
    <w:p>
      <w:pPr>
        <w:ind w:right="640" w:firstLine="392"/>
        <w:spacing w:after="0" w:line="295" w:lineRule="auto"/>
        <w:rPr>
          <w:sz w:val="20"/>
          <w:szCs w:val="20"/>
          <w:color w:val="auto"/>
        </w:rPr>
      </w:pPr>
      <w:r>
        <w:rPr>
          <w:rFonts w:ascii="Times New Roman" w:cs="Times New Roman" w:eastAsia="Times New Roman" w:hAnsi="Times New Roman"/>
          <w:sz w:val="17"/>
          <w:szCs w:val="17"/>
          <w:color w:val="auto"/>
        </w:rPr>
        <w:t>The Company did not record any material impairment charges related to goodwill or intangible assets for the periods presented in these condensed consolidated financial statements.</w:t>
      </w:r>
    </w:p>
    <w:p>
      <w:pPr>
        <w:spacing w:after="0" w:line="173" w:lineRule="exact"/>
        <w:rPr>
          <w:sz w:val="20"/>
          <w:szCs w:val="20"/>
          <w:color w:val="auto"/>
        </w:rPr>
      </w:pPr>
    </w:p>
    <w:p>
      <w:pPr>
        <w:ind w:right="100" w:firstLine="431"/>
        <w:spacing w:after="0" w:line="269" w:lineRule="auto"/>
        <w:rPr>
          <w:sz w:val="20"/>
          <w:szCs w:val="20"/>
          <w:color w:val="auto"/>
        </w:rPr>
      </w:pPr>
      <w:r>
        <w:rPr>
          <w:rFonts w:ascii="Times New Roman" w:cs="Times New Roman" w:eastAsia="Times New Roman" w:hAnsi="Times New Roman"/>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depreciation or amortization. If the Company revises the estimated useful life assumption for any asset, the remaining unamortized balance is amortized or depreciated over the revised estimated useful life on a prospective basis.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2"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88"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88"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95" w:lineRule="exact"/>
        <w:rPr>
          <w:sz w:val="20"/>
          <w:szCs w:val="20"/>
          <w:color w:val="auto"/>
        </w:rPr>
      </w:pPr>
    </w:p>
    <w:p>
      <w:pPr>
        <w:ind w:right="380" w:firstLine="431"/>
        <w:spacing w:after="0" w:line="295" w:lineRule="auto"/>
        <w:rPr>
          <w:sz w:val="20"/>
          <w:szCs w:val="20"/>
          <w:color w:val="auto"/>
        </w:rPr>
      </w:pPr>
      <w:r>
        <w:rPr>
          <w:rFonts w:ascii="Times New Roman" w:cs="Times New Roman" w:eastAsia="Times New Roman" w:hAnsi="Times New Roman"/>
          <w:sz w:val="17"/>
          <w:szCs w:val="17"/>
          <w:color w:val="auto"/>
        </w:rPr>
        <w:t>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173" w:lineRule="exact"/>
        <w:rPr>
          <w:sz w:val="20"/>
          <w:szCs w:val="20"/>
          <w:color w:val="auto"/>
        </w:rPr>
      </w:pPr>
    </w:p>
    <w:p>
      <w:pPr>
        <w:ind w:right="80" w:firstLine="431"/>
        <w:spacing w:after="0" w:line="295" w:lineRule="auto"/>
        <w:rPr>
          <w:sz w:val="20"/>
          <w:szCs w:val="20"/>
          <w:color w:val="auto"/>
        </w:rPr>
      </w:pPr>
      <w:r>
        <w:rPr>
          <w:rFonts w:ascii="Times New Roman" w:cs="Times New Roman" w:eastAsia="Times New Roman" w:hAnsi="Times New Roman"/>
          <w:sz w:val="17"/>
          <w:szCs w:val="17"/>
          <w:color w:val="auto"/>
        </w:rPr>
        <w:t>U.S. tax law, as amended by the One Big Beautiful Bill Act, subjects a U.S. shareholder to current tax on net controlled foreign corporation tested income ("NCTI") earned by foreign subsidiaries. The Company accounts for NCTI as a period cost as incurred.</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22"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—Quoted prices in active markets for identical assets or liabilities.</w:t>
      </w:r>
    </w:p>
    <w:p>
      <w:pPr>
        <w:spacing w:after="0" w:line="118" w:lineRule="exact"/>
        <w:rPr>
          <w:sz w:val="20"/>
          <w:szCs w:val="20"/>
          <w:color w:val="auto"/>
        </w:rPr>
      </w:pPr>
    </w:p>
    <w:p>
      <w:pPr>
        <w:jc w:val="both"/>
        <w:ind w:left="480" w:right="280"/>
        <w:spacing w:after="0" w:line="277"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—Observable inputs other than quoted prices in active markets for identical assets and liabilities, quoted prices for identical or similar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in inactive markets, or other inputs that are observable or can be corroborated by observable market data for substantially the full term of the assets or liabilities.</w:t>
      </w:r>
    </w:p>
    <w:p>
      <w:pPr>
        <w:spacing w:after="0" w:line="55" w:lineRule="exact"/>
        <w:rPr>
          <w:sz w:val="20"/>
          <w:szCs w:val="20"/>
          <w:color w:val="auto"/>
        </w:rPr>
      </w:pPr>
    </w:p>
    <w:p>
      <w:pPr>
        <w:ind w:left="480" w:right="60"/>
        <w:spacing w:after="0" w:line="298"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—Inputs that are generally unobservable and typically reflect management’s estimate of assumptions that market participants would use in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72" w:lineRule="exact"/>
        <w:rPr>
          <w:sz w:val="20"/>
          <w:szCs w:val="20"/>
          <w:color w:val="auto"/>
        </w:rPr>
      </w:pPr>
    </w:p>
    <w:p>
      <w:pPr>
        <w:ind w:firstLine="470"/>
        <w:spacing w:after="0" w:line="263" w:lineRule="auto"/>
        <w:rPr>
          <w:sz w:val="20"/>
          <w:szCs w:val="20"/>
          <w:color w:val="auto"/>
        </w:rPr>
      </w:pPr>
      <w:r>
        <w:rPr>
          <w:rFonts w:ascii="Times New Roman" w:cs="Times New Roman" w:eastAsia="Times New Roman" w:hAnsi="Times New Roman"/>
          <w:sz w:val="17"/>
          <w:szCs w:val="17"/>
          <w:color w:val="auto"/>
        </w:rPr>
        <w:t xml:space="preserve">In November 2024, the Financial Accounting Standards Board ("FASB") issued Accounting Standards Update ("ASU") 2024-03, </w:t>
      </w:r>
      <w:r>
        <w:rPr>
          <w:rFonts w:ascii="Times New Roman" w:cs="Times New Roman" w:eastAsia="Times New Roman" w:hAnsi="Times New Roman"/>
          <w:sz w:val="17"/>
          <w:szCs w:val="17"/>
          <w:i w:val="1"/>
          <w:iCs w:val="1"/>
          <w:color w:val="auto"/>
        </w:rPr>
        <w:t>Income Statement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7"/>
          <w:szCs w:val="17"/>
          <w:color w:val="auto"/>
        </w:rPr>
        <w:t>, which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of disaggregated information about the types of expenses (including employee compensation, depreciation, and amortization) in commonly presented expense captions in the statement of operations, as well as the total amount of selling expenses and, in annual periods, an entity’s definition of selling expenses. The amendments in ASU 2024-03 are effective for annual periods beginning after December 15, 2026, and interim periods within annual periods beginning after December 15, 2027, with early adoption permitted. The Company is currently evaluating the impact of this standard on the Company's consolidated financial statement disclosures.</w:t>
      </w:r>
    </w:p>
    <w:p>
      <w:pPr>
        <w:spacing w:after="0" w:line="199" w:lineRule="exact"/>
        <w:rPr>
          <w:sz w:val="20"/>
          <w:szCs w:val="20"/>
          <w:color w:val="auto"/>
        </w:rPr>
      </w:pPr>
    </w:p>
    <w:p>
      <w:pPr>
        <w:ind w:firstLine="470"/>
        <w:spacing w:after="0" w:line="267"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(Subtopic 350-40): Targeted Improvements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the Accounting for Internal-Use Software</w:t>
      </w:r>
      <w:r>
        <w:rPr>
          <w:rFonts w:ascii="Times New Roman" w:cs="Times New Roman" w:eastAsia="Times New Roman" w:hAnsi="Times New Roman"/>
          <w:sz w:val="17"/>
          <w:szCs w:val="17"/>
          <w:color w:val="auto"/>
        </w:rPr>
        <w:t>, which modernizes the accounting for internal-use software to current development practices, clarifies when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begin capitalizing costs, and enhances disclosure requirements. The amendments in ASU 2025-06 are effective for annual periods beginning after December 15, 2027, and interim periods within those annual reporting periods. Early adoption is permitted. The Company is currently evaluating the impact of this standard on the Company's consolidated financial statements.</w:t>
      </w:r>
    </w:p>
    <w:p>
      <w:pPr>
        <w:spacing w:after="0" w:line="193" w:lineRule="exact"/>
        <w:rPr>
          <w:sz w:val="20"/>
          <w:szCs w:val="20"/>
          <w:color w:val="auto"/>
        </w:rPr>
      </w:pPr>
    </w:p>
    <w:p>
      <w:pPr>
        <w:ind w:right="280" w:firstLine="470"/>
        <w:spacing w:after="0" w:line="267"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which clarifies existing interim reporting disclosure requirements, including the form and content of interim financial statements, and establishes a principle requiring disclosure of material events and changes since the most recent annual reporting period. The amendments in ASU 2025-11 are effective for interim reporting periods within annual periods beginning after December 15, 2027. Early adoption is permitted. The Company is currently evaluating the impact of this standard on the Company’s consolidated financial statements and related disclosures.</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72" w:lineRule="exact"/>
        <w:rPr>
          <w:sz w:val="20"/>
          <w:szCs w:val="20"/>
          <w:color w:val="auto"/>
        </w:rPr>
      </w:pPr>
    </w:p>
    <w:p>
      <w:pPr>
        <w:ind w:right="60" w:firstLine="470"/>
        <w:spacing w:after="0" w:line="267"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2024-04, </w:t>
      </w:r>
      <w:r>
        <w:rPr>
          <w:rFonts w:ascii="Times New Roman" w:cs="Times New Roman" w:eastAsia="Times New Roman" w:hAnsi="Times New Roman"/>
          <w:sz w:val="17"/>
          <w:szCs w:val="17"/>
          <w:i w:val="1"/>
          <w:iCs w:val="1"/>
          <w:color w:val="auto"/>
        </w:rPr>
        <w:t>Debt - Debt with Conversion and Other Options (Subtopic 470-20): Induced Conversions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Convertible Debt Instruments</w:t>
      </w:r>
      <w:r>
        <w:rPr>
          <w:rFonts w:ascii="Times New Roman" w:cs="Times New Roman" w:eastAsia="Times New Roman" w:hAnsi="Times New Roman"/>
          <w:sz w:val="17"/>
          <w:szCs w:val="17"/>
          <w:color w:val="auto"/>
        </w:rPr>
        <w:t>, which clarifies the requirements for determining whether certain settlements of convertible debt instruments should be accounted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as an induced conversion. The Company adopted ASU 2024-04 on January 1, 2026. The adoption of the standard did not have an impact on the Company’s condensed consolidated financial statements as there were no induced conversions or modifications of the Company’s convertible debt instruments during the period.</w:t>
      </w:r>
    </w:p>
    <w:p>
      <w:pPr>
        <w:spacing w:after="0" w:line="193" w:lineRule="exact"/>
        <w:rPr>
          <w:sz w:val="20"/>
          <w:szCs w:val="20"/>
          <w:color w:val="auto"/>
        </w:rPr>
      </w:pPr>
    </w:p>
    <w:p>
      <w:pPr>
        <w:ind w:right="40" w:firstLine="470"/>
        <w:spacing w:after="0" w:line="267" w:lineRule="auto"/>
        <w:rPr>
          <w:sz w:val="20"/>
          <w:szCs w:val="20"/>
          <w:color w:val="auto"/>
        </w:rPr>
      </w:pPr>
      <w:r>
        <w:rPr>
          <w:rFonts w:ascii="Times New Roman" w:cs="Times New Roman" w:eastAsia="Times New Roman" w:hAnsi="Times New Roman"/>
          <w:sz w:val="17"/>
          <w:szCs w:val="17"/>
          <w:color w:val="auto"/>
        </w:rPr>
        <w:t xml:space="preserve">In July 2025, the FASB issued ASU 2025-05, </w:t>
      </w:r>
      <w:r>
        <w:rPr>
          <w:rFonts w:ascii="Times New Roman" w:cs="Times New Roman" w:eastAsia="Times New Roman" w:hAnsi="Times New Roman"/>
          <w:sz w:val="17"/>
          <w:szCs w:val="17"/>
          <w:i w:val="1"/>
          <w:iCs w:val="1"/>
          <w:color w:val="auto"/>
        </w:rPr>
        <w:t>Financial Instruments - Credit Losses (Topic 326): Measurement of Credit Losses for Accounts Receivable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Contract Assets</w:t>
      </w:r>
      <w:r>
        <w:rPr>
          <w:rFonts w:ascii="Times New Roman" w:cs="Times New Roman" w:eastAsia="Times New Roman" w:hAnsi="Times New Roman"/>
          <w:sz w:val="17"/>
          <w:szCs w:val="17"/>
          <w:color w:val="auto"/>
        </w:rPr>
        <w:t>, which provides a practical expedient when estimating expected credit losses for current accounts receivable and current contract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arising from transactions accounted for under Topic 606. The practical expedient allows companies to assume the current conditions as of the balance sheet date do not change for the remaining life of the asset when measuring credit losses. The Company adopted ASU 2025-05 on January 1, 2026 and elected to apply the practical expedient. The adoption of the standard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Cash, Cash Equivalents and Short-Term Investments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amortized cost, unrealized gains and losses and estimated fair value of the Company's cash, cash equivalents and short-term investments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2026 and December 31, 2025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7"/>
                <w:szCs w:val="17"/>
                <w:b w:val="1"/>
                <w:bCs w:val="1"/>
                <w:color w:val="auto"/>
              </w:rPr>
              <w:t>As of September 30, 2026</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Loss</w:t>
            </w:r>
          </w:p>
        </w:tc>
        <w:tc>
          <w:tcPr>
            <w:tcW w:w="120" w:type="dxa"/>
            <w:vAlign w:val="bottom"/>
          </w:tcPr>
          <w:p>
            <w:pPr>
              <w:spacing w:after="0"/>
              <w:rPr>
                <w:sz w:val="18"/>
                <w:szCs w:val="18"/>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2"/>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891.5</w:t>
            </w:r>
          </w:p>
        </w:tc>
      </w:t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&amp; cash equivalents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1,104.8</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8"/>
        </w:trPr>
        <w:tc>
          <w:tcPr>
            <w:tcW w:w="3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2"/>
        </w:trPr>
        <w:tc>
          <w:tcPr>
            <w:tcW w:w="3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22"/>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22"/>
        </w:trPr>
        <w:tc>
          <w:tcPr>
            <w:tcW w:w="3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2"/>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w:t>
            </w:r>
          </w:p>
        </w:tc>
      </w:tr>
      <w:tr>
        <w:trPr>
          <w:trHeight w:val="24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Loss</w:t>
            </w:r>
          </w:p>
        </w:tc>
        <w:tc>
          <w:tcPr>
            <w:tcW w:w="120" w:type="dxa"/>
            <w:vAlign w:val="bottom"/>
          </w:tcPr>
          <w:p>
            <w:pPr>
              <w:spacing w:after="0"/>
              <w:rPr>
                <w:sz w:val="18"/>
                <w:szCs w:val="18"/>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2"/>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w:t>
            </w:r>
          </w:p>
        </w:tc>
      </w:t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&amp; cash equivalents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891.3</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8"/>
        </w:trPr>
        <w:tc>
          <w:tcPr>
            <w:tcW w:w="3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2"/>
        </w:trPr>
        <w:tc>
          <w:tcPr>
            <w:tcW w:w="3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w:t>
            </w:r>
          </w:p>
        </w:tc>
      </w:tr>
      <w:tr>
        <w:trPr>
          <w:trHeight w:val="222"/>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22"/>
        </w:trPr>
        <w:tc>
          <w:tcPr>
            <w:tcW w:w="3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2"/>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2"/>
        </w:trPr>
        <w:tc>
          <w:tcPr>
            <w:tcW w:w="3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2"/>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147.7</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146.9</w:t>
            </w:r>
          </w:p>
        </w:tc>
      </w:tr>
      <w:tr>
        <w:trPr>
          <w:trHeight w:val="24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Included in cash and cash equivalents is cash in transit from payment processors for credit and debit card transactions of $10.7 million and $8.1 million as of September 30, 2026 and December 31, 2025, respectively.</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All short-term investments were designated as available-for-sale securities as of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the contractual maturities of the Company’s short-term investments as of September 30, 2026: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4540" w:type="dxa"/>
            <w:vAlign w:val="bottom"/>
            <w:tcBorders>
              <w:bottom w:val="single" w:sz="8" w:color="auto"/>
            </w:tcBorders>
            <w:gridSpan w:val="5"/>
          </w:tcPr>
          <w:p>
            <w:pPr>
              <w:jc w:val="right"/>
              <w:ind w:right="1233"/>
              <w:spacing w:after="0"/>
              <w:rPr>
                <w:sz w:val="20"/>
                <w:szCs w:val="20"/>
                <w:color w:val="auto"/>
              </w:rPr>
            </w:pPr>
            <w:r>
              <w:rPr>
                <w:rFonts w:ascii="Times New Roman" w:cs="Times New Roman" w:eastAsia="Times New Roman" w:hAnsi="Times New Roman"/>
                <w:sz w:val="17"/>
                <w:szCs w:val="17"/>
                <w:b w:val="1"/>
                <w:bCs w:val="1"/>
                <w:color w:val="auto"/>
              </w:rPr>
              <w:t>As of September 30, 2026</w:t>
            </w:r>
          </w:p>
        </w:tc>
      </w:tr>
      <w:tr>
        <w:trPr>
          <w:trHeight w:val="215"/>
        </w:trPr>
        <w:tc>
          <w:tcPr>
            <w:tcW w:w="67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within one year</w:t>
            </w:r>
          </w:p>
        </w:tc>
        <w:tc>
          <w:tcPr>
            <w:tcW w:w="1760" w:type="dxa"/>
            <w:vAlign w:val="bottom"/>
            <w:shd w:val="clear" w:color="auto" w:fill="CCEEFF"/>
          </w:tcPr>
          <w:p>
            <w:pPr>
              <w:jc w:val="right"/>
              <w:ind w:right="157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222"/>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between one to three years</w:t>
            </w:r>
          </w:p>
        </w:tc>
        <w:tc>
          <w:tcPr>
            <w:tcW w:w="1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three years</w:t>
            </w:r>
          </w:p>
        </w:tc>
        <w:tc>
          <w:tcPr>
            <w:tcW w:w="17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bottom w:val="single" w:sz="8" w:color="auto"/>
            </w:tcBorders>
          </w:tcPr>
          <w:p>
            <w:pPr>
              <w:jc w:val="right"/>
              <w:ind w:right="157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w:t>
            </w:r>
          </w:p>
        </w:tc>
      </w:tr>
      <w:tr>
        <w:trPr>
          <w:trHeight w:val="20"/>
        </w:trPr>
        <w:tc>
          <w:tcPr>
            <w:tcW w:w="67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right="20" w:firstLine="392"/>
        <w:spacing w:after="0" w:line="295" w:lineRule="auto"/>
        <w:rPr>
          <w:sz w:val="20"/>
          <w:szCs w:val="20"/>
          <w:color w:val="auto"/>
        </w:rPr>
      </w:pPr>
      <w:r>
        <w:rPr>
          <w:rFonts w:ascii="Times New Roman" w:cs="Times New Roman" w:eastAsia="Times New Roman" w:hAnsi="Times New Roman"/>
          <w:sz w:val="17"/>
          <w:szCs w:val="17"/>
          <w:color w:val="auto"/>
        </w:rPr>
        <w:t>The Company had 32 short-term investments in unrealized loss positions as of September 30, 2026. There were no material gains or losses from short-term investments that were reclassified out of accumulated other comprehensive income for the three and nine months ended September 30, 2026 and 2025.</w:t>
      </w:r>
    </w:p>
    <w:p>
      <w:pPr>
        <w:spacing w:after="0" w:line="173"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As of September 30, 2026, the Company’s short-term investments portfolio consisted of four security types, two of which were in an unrealized loss position. The Company’s short-term investments had unrealized losses of approximately $0.2 million as of September 30, 2026. The following tables present the breakdown of the short-term investments that have been in a continuous unrealized loss position aggregated by investment category, as of September 30, 2026 and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As of September 30, 2026</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3"/>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4"/>
                <w:szCs w:val="14"/>
                <w:color w:val="auto"/>
              </w:rPr>
            </w:pPr>
          </w:p>
        </w:tc>
        <w:tc>
          <w:tcPr>
            <w:tcW w:w="1080" w:type="dxa"/>
            <w:vAlign w:val="bottom"/>
          </w:tcPr>
          <w:p>
            <w:pPr>
              <w:jc w:val="center"/>
              <w:ind w:right="113"/>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center"/>
              <w:ind w:left="27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0" w:type="dxa"/>
            <w:vAlign w:val="bottom"/>
          </w:tcPr>
          <w:p>
            <w:pPr>
              <w:spacing w:after="0"/>
              <w:rPr>
                <w:sz w:val="1"/>
                <w:szCs w:val="1"/>
                <w:color w:val="auto"/>
              </w:rPr>
            </w:pPr>
          </w:p>
        </w:tc>
      </w:tr>
      <w:tr>
        <w:trPr>
          <w:trHeight w:val="21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40"/>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center"/>
              <w:ind w:left="293"/>
              <w:spacing w:after="0" w:line="169"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3"/>
              <w:spacing w:after="0" w:line="169" w:lineRule="exact"/>
              <w:rPr>
                <w:sz w:val="20"/>
                <w:szCs w:val="20"/>
                <w:color w:val="auto"/>
              </w:rPr>
            </w:pPr>
            <w:r>
              <w:rPr>
                <w:rFonts w:ascii="Times New Roman" w:cs="Times New Roman" w:eastAsia="Times New Roman" w:hAnsi="Times New Roman"/>
                <w:sz w:val="17"/>
                <w:szCs w:val="17"/>
                <w:b w:val="1"/>
                <w:bCs w:val="1"/>
                <w:color w:val="auto"/>
              </w:rPr>
              <w:t>Gross</w:t>
            </w:r>
          </w:p>
        </w:tc>
        <w:tc>
          <w:tcPr>
            <w:tcW w:w="0" w:type="dxa"/>
            <w:vAlign w:val="bottom"/>
          </w:tcPr>
          <w:p>
            <w:pPr>
              <w:spacing w:after="0"/>
              <w:rPr>
                <w:sz w:val="1"/>
                <w:szCs w:val="1"/>
                <w:color w:val="auto"/>
              </w:rPr>
            </w:pPr>
          </w:p>
        </w:tc>
      </w:tr>
      <w:tr>
        <w:trPr>
          <w:trHeight w:val="177"/>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0" w:type="dxa"/>
            <w:vAlign w:val="bottom"/>
          </w:tcPr>
          <w:p>
            <w:pPr>
              <w:spacing w:after="0"/>
              <w:rPr>
                <w:sz w:val="15"/>
                <w:szCs w:val="15"/>
                <w:color w:val="auto"/>
              </w:rPr>
            </w:pPr>
          </w:p>
        </w:tc>
        <w:tc>
          <w:tcPr>
            <w:tcW w:w="1400" w:type="dxa"/>
            <w:vAlign w:val="bottom"/>
            <w:gridSpan w:val="3"/>
          </w:tcPr>
          <w:p>
            <w:pPr>
              <w:jc w:val="center"/>
              <w:ind w:right="100"/>
              <w:spacing w:after="0" w:line="17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0" w:type="dxa"/>
            <w:vAlign w:val="bottom"/>
          </w:tcPr>
          <w:p>
            <w:pPr>
              <w:spacing w:after="0"/>
              <w:rPr>
                <w:sz w:val="15"/>
                <w:szCs w:val="15"/>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5"/>
                <w:szCs w:val="15"/>
                <w:color w:val="auto"/>
              </w:rPr>
            </w:pPr>
          </w:p>
        </w:tc>
        <w:tc>
          <w:tcPr>
            <w:tcW w:w="1080" w:type="dxa"/>
            <w:vAlign w:val="bottom"/>
          </w:tcPr>
          <w:p>
            <w:pPr>
              <w:jc w:val="center"/>
              <w:ind w:right="113"/>
              <w:spacing w:after="0" w:line="17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center"/>
              <w:ind w:left="29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0" w:type="dxa"/>
            <w:vAlign w:val="bottom"/>
          </w:tcPr>
          <w:p>
            <w:pPr>
              <w:spacing w:after="0"/>
              <w:rPr>
                <w:sz w:val="1"/>
                <w:szCs w:val="1"/>
                <w:color w:val="auto"/>
              </w:rPr>
            </w:pPr>
          </w:p>
        </w:tc>
      </w:tr>
      <w:tr>
        <w:trPr>
          <w:trHeight w:val="21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backed securities</w:t>
            </w:r>
          </w:p>
        </w:tc>
        <w:tc>
          <w:tcPr>
            <w:tcW w:w="16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40"/>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right="100" w:firstLine="392"/>
        <w:spacing w:after="0" w:line="276" w:lineRule="auto"/>
        <w:rPr>
          <w:sz w:val="20"/>
          <w:szCs w:val="20"/>
          <w:color w:val="auto"/>
        </w:rPr>
      </w:pPr>
      <w:r>
        <w:rPr>
          <w:rFonts w:ascii="Times New Roman" w:cs="Times New Roman" w:eastAsia="Times New Roman" w:hAnsi="Times New Roman"/>
          <w:sz w:val="17"/>
          <w:szCs w:val="17"/>
          <w:color w:val="auto"/>
        </w:rPr>
        <w:t>Unrealized losses on short-term investments have not been recorded into income because management does not intend to sell nor will it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188"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The Company recorded interest income from its cash, cash equivalents, and short-term investments of $9.3 million and $26.5 million during the three and nine months ended September 30, 2026, and $7.8 million and $29.1 million during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Fair Value Measurements</w:t>
      </w:r>
    </w:p>
    <w:p>
      <w:pPr>
        <w:spacing w:after="0" w:line="251" w:lineRule="exact"/>
        <w:rPr>
          <w:sz w:val="20"/>
          <w:szCs w:val="20"/>
          <w:color w:val="auto"/>
        </w:rPr>
      </w:pPr>
    </w:p>
    <w:p>
      <w:pPr>
        <w:ind w:right="40" w:firstLine="392"/>
        <w:spacing w:after="0" w:line="276" w:lineRule="auto"/>
        <w:rPr>
          <w:sz w:val="20"/>
          <w:szCs w:val="20"/>
          <w:color w:val="auto"/>
        </w:rPr>
      </w:pPr>
      <w:r>
        <w:rPr>
          <w:rFonts w:ascii="Times New Roman" w:cs="Times New Roman" w:eastAsia="Times New Roman" w:hAnsi="Times New Roman"/>
          <w:sz w:val="17"/>
          <w:szCs w:val="17"/>
          <w:color w:val="auto"/>
        </w:rPr>
        <w:t>The Company measures its financial instruments at fair value each reporting period using a fair value hierarchy that prioritizes the use of observable inputs and minimizes the use of unobservable inputs. A financial instrument’s classification within the fair value hierarchy is based upon the lowest level of input that is significant to the fair value measurement.</w:t>
      </w:r>
    </w:p>
    <w:p>
      <w:pPr>
        <w:spacing w:after="0" w:line="188"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financial instruments that are measured at fair value on a recurring basis using the input categories discussed in Note 1:</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As of September 30, 2026</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32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891.5</w:t>
            </w:r>
          </w:p>
        </w:tc>
        <w:tc>
          <w:tcPr>
            <w:tcW w:w="100" w:type="dxa"/>
            <w:vAlign w:val="bottom"/>
          </w:tcPr>
          <w:p>
            <w:pPr>
              <w:spacing w:after="0"/>
              <w:rPr>
                <w:sz w:val="19"/>
                <w:szCs w:val="19"/>
                <w:color w:val="auto"/>
              </w:rPr>
            </w:pPr>
          </w:p>
        </w:tc>
        <w:tc>
          <w:tcPr>
            <w:tcW w:w="1360" w:type="dxa"/>
            <w:vAlign w:val="bottom"/>
          </w:tcPr>
          <w:p>
            <w:pPr>
              <w:jc w:val="right"/>
              <w:ind w:right="11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891.5</w:t>
            </w:r>
          </w:p>
        </w:tc>
        <w:tc>
          <w:tcPr>
            <w:tcW w:w="0" w:type="dxa"/>
            <w:vAlign w:val="bottom"/>
          </w:tcPr>
          <w:p>
            <w:pPr>
              <w:spacing w:after="0"/>
              <w:rPr>
                <w:sz w:val="1"/>
                <w:szCs w:val="1"/>
                <w:color w:val="auto"/>
              </w:rPr>
            </w:pPr>
          </w:p>
        </w:tc>
      </w:tr>
      <w:tr>
        <w:trPr>
          <w:trHeight w:val="24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equivalents</w:t>
            </w:r>
          </w:p>
        </w:tc>
        <w:tc>
          <w:tcPr>
            <w:tcW w:w="132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891.5</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17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32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764.8</w:t>
            </w:r>
          </w:p>
        </w:tc>
        <w:tc>
          <w:tcPr>
            <w:tcW w:w="100" w:type="dxa"/>
            <w:vAlign w:val="bottom"/>
          </w:tcPr>
          <w:p>
            <w:pPr>
              <w:spacing w:after="0"/>
              <w:rPr>
                <w:sz w:val="19"/>
                <w:szCs w:val="19"/>
                <w:color w:val="auto"/>
              </w:rPr>
            </w:pPr>
          </w:p>
        </w:tc>
        <w:tc>
          <w:tcPr>
            <w:tcW w:w="1320" w:type="dxa"/>
            <w:vAlign w:val="bottom"/>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764.8</w:t>
            </w:r>
          </w:p>
        </w:tc>
        <w:tc>
          <w:tcPr>
            <w:tcW w:w="0" w:type="dxa"/>
            <w:vAlign w:val="bottom"/>
          </w:tcPr>
          <w:p>
            <w:pPr>
              <w:spacing w:after="0"/>
              <w:rPr>
                <w:sz w:val="1"/>
                <w:szCs w:val="1"/>
                <w:color w:val="auto"/>
              </w:rPr>
            </w:pPr>
          </w:p>
        </w:tc>
      </w:tr>
      <w:tr>
        <w:trPr>
          <w:trHeight w:val="24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equivalents</w:t>
            </w:r>
          </w:p>
        </w:tc>
        <w:tc>
          <w:tcPr>
            <w:tcW w:w="132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146.9</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911.7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had no transfers between levels of the fair value hierarchy during the periods presented.</w:t>
      </w:r>
    </w:p>
    <w:p>
      <w:pPr>
        <w:spacing w:after="0" w:line="249" w:lineRule="exact"/>
        <w:rPr>
          <w:sz w:val="20"/>
          <w:szCs w:val="20"/>
          <w:color w:val="auto"/>
        </w:rPr>
      </w:pPr>
    </w:p>
    <w:p>
      <w:pPr>
        <w:ind w:right="720" w:firstLine="392"/>
        <w:spacing w:after="0" w:line="295" w:lineRule="auto"/>
        <w:rPr>
          <w:sz w:val="20"/>
          <w:szCs w:val="20"/>
          <w:color w:val="auto"/>
        </w:rPr>
      </w:pPr>
      <w:r>
        <w:rPr>
          <w:rFonts w:ascii="Times New Roman" w:cs="Times New Roman" w:eastAsia="Times New Roman" w:hAnsi="Times New Roman"/>
          <w:sz w:val="17"/>
          <w:szCs w:val="17"/>
          <w:color w:val="auto"/>
        </w:rPr>
        <w:t>The carrying amounts of certain financial instruments, including cash and restricted cash held at banks, accounts receivable and accounts payable approximate fair value due to their short-term maturities and are excluded from the fair value tables above.</w:t>
      </w:r>
    </w:p>
    <w:p>
      <w:pPr>
        <w:spacing w:after="0" w:line="173" w:lineRule="exact"/>
        <w:rPr>
          <w:sz w:val="20"/>
          <w:szCs w:val="20"/>
          <w:color w:val="auto"/>
        </w:rPr>
      </w:pPr>
    </w:p>
    <w:p>
      <w:pPr>
        <w:ind w:right="680" w:firstLine="392"/>
        <w:spacing w:after="0" w:line="295" w:lineRule="auto"/>
        <w:rPr>
          <w:sz w:val="20"/>
          <w:szCs w:val="20"/>
          <w:color w:val="auto"/>
        </w:rPr>
      </w:pPr>
      <w:r>
        <w:rPr>
          <w:rFonts w:ascii="Times New Roman" w:cs="Times New Roman" w:eastAsia="Times New Roman" w:hAnsi="Times New Roman"/>
          <w:sz w:val="17"/>
          <w:szCs w:val="17"/>
          <w:color w:val="auto"/>
        </w:rPr>
        <w:t>The Company had $693.3 million in aggregate principal amount of 0% convertible senior notes due in 2028 (the "2028 Notes"), outstanding as of September 30, 2026. Refer to Note 7 "Debt"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The estimated fair value of the 2028 Notes, based on a market approach as of September 30, 2026 was approximately $742.2 million. The 2028 Notes were categorized as Level 2 instruments and the estimated fair value was determined based on the trading activity of the 2028 Notes in an over-the-counter market on the last business day of the period.</w:t>
      </w:r>
    </w:p>
    <w:p>
      <w:pPr>
        <w:spacing w:after="0" w:line="188" w:lineRule="exact"/>
        <w:rPr>
          <w:sz w:val="20"/>
          <w:szCs w:val="20"/>
          <w:color w:val="auto"/>
        </w:rPr>
      </w:pPr>
    </w:p>
    <w:p>
      <w:pPr>
        <w:ind w:right="80" w:firstLine="431"/>
        <w:spacing w:after="0" w:line="269" w:lineRule="auto"/>
        <w:rPr>
          <w:sz w:val="20"/>
          <w:szCs w:val="20"/>
          <w:color w:val="auto"/>
        </w:rPr>
      </w:pPr>
      <w:r>
        <w:rPr>
          <w:rFonts w:ascii="Times New Roman" w:cs="Times New Roman" w:eastAsia="Times New Roman" w:hAnsi="Times New Roman"/>
          <w:sz w:val="17"/>
          <w:szCs w:val="17"/>
          <w:color w:val="auto"/>
        </w:rPr>
        <w:t>The Company had $2,668.1 million of term loans outstanding with a carrying value of $2,607.3 million as of September 30, 2026. Refer to Note 7 "Debt" for additional information. As of September 30, 2026, the fair value of the term loans approximated the carrying value, excluding the impact of unamortized debt issuance costs, as of such date. The term loans are categorized as Level 2 instruments as the estimated fair value was determined based on the borrowing rates currently available to the Company for bank loans with similar terms and maturities.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4. Property and Equipment, Net</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44"/>
        </w:trPr>
        <w:tc>
          <w:tcPr>
            <w:tcW w:w="40" w:type="dxa"/>
            <w:vAlign w:val="bottom"/>
          </w:tcPr>
          <w:p>
            <w:pPr>
              <w:spacing w:after="0"/>
              <w:rPr>
                <w:sz w:val="24"/>
                <w:szCs w:val="24"/>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4"/>
        </w:trPr>
        <w:tc>
          <w:tcPr>
            <w:tcW w:w="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260" w:type="dxa"/>
            <w:vAlign w:val="bottom"/>
          </w:tcPr>
          <w:p>
            <w:pPr>
              <w:spacing w:after="0"/>
              <w:rPr>
                <w:sz w:val="18"/>
                <w:szCs w:val="18"/>
                <w:color w:val="auto"/>
              </w:rPr>
            </w:pPr>
          </w:p>
        </w:tc>
        <w:tc>
          <w:tcPr>
            <w:tcW w:w="19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5"/>
        </w:trPr>
        <w:tc>
          <w:tcPr>
            <w:tcW w:w="4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Datacenter and other computer equipment</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823.5</w:t>
            </w:r>
          </w:p>
        </w:tc>
      </w:tr>
      <w:tr>
        <w:trPr>
          <w:trHeight w:val="222"/>
        </w:trPr>
        <w:tc>
          <w:tcPr>
            <w:tcW w:w="4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22"/>
        </w:trPr>
        <w:tc>
          <w:tcPr>
            <w:tcW w:w="4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w:t>
            </w:r>
          </w:p>
        </w:tc>
      </w:tr>
      <w:tr>
        <w:trPr>
          <w:trHeight w:val="222"/>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5"/>
        </w:trPr>
        <w:tc>
          <w:tcPr>
            <w:tcW w:w="4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937.6</w:t>
            </w:r>
          </w:p>
        </w:tc>
      </w:tr>
      <w:tr>
        <w:trPr>
          <w:trHeight w:val="222"/>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(559.2)</w:t>
            </w:r>
          </w:p>
        </w:tc>
      </w:tr>
      <w:tr>
        <w:trPr>
          <w:trHeight w:val="240"/>
        </w:trPr>
        <w:tc>
          <w:tcPr>
            <w:tcW w:w="4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w:t>
            </w:r>
          </w:p>
        </w:tc>
      </w:tr>
      <w:tr>
        <w:trPr>
          <w:trHeight w:val="20"/>
        </w:trPr>
        <w:tc>
          <w:tcPr>
            <w:tcW w:w="40" w:type="dxa"/>
            <w:vAlign w:val="bottom"/>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260" w:firstLine="392"/>
        <w:spacing w:after="0" w:line="266" w:lineRule="auto"/>
        <w:rPr>
          <w:sz w:val="20"/>
          <w:szCs w:val="20"/>
          <w:color w:val="auto"/>
        </w:rPr>
      </w:pPr>
      <w:r>
        <w:rPr>
          <w:rFonts w:ascii="Times New Roman" w:cs="Times New Roman" w:eastAsia="Times New Roman" w:hAnsi="Times New Roman"/>
          <w:sz w:val="17"/>
          <w:szCs w:val="17"/>
          <w:color w:val="auto"/>
        </w:rPr>
        <w:t>The Company leases certain infrastructure equipment from various third parties, through finance leases. Datacenter and other computer equipment as of September 30, 2026 and December 31, 2025 included a total of $478.0 million and $485.5 million, respectively, of infrastructure equipment acquired under finance lease agreements. These leases are capitalized in property and equipment, and the related depreciation of assets under finance leases is included in depreciation expense. The accumulated depreciation of the infrastructure equipment under finance leases totaled $206.2 million and $183.8 million as of September 30, 2026 and December 31, 2025, respectively.</w:t>
      </w:r>
    </w:p>
    <w:p>
      <w:pPr>
        <w:spacing w:after="0" w:line="197"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Depreciation expense related to property and equipment was $32.3 million and $96.5 million for the three and nine months ended September 30, 2026, respectively and $33.1 million and $97.4 million for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40" w:type="dxa"/>
            <w:vAlign w:val="bottom"/>
          </w:tcPr>
          <w:p>
            <w:pPr>
              <w:spacing w:after="0"/>
              <w:rPr>
                <w:sz w:val="24"/>
                <w:szCs w:val="24"/>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Intangible assets consisted of the following:</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average</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useful life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As of September 30,</w:t>
            </w:r>
          </w:p>
        </w:tc>
        <w:tc>
          <w:tcPr>
            <w:tcW w:w="180" w:type="dxa"/>
            <w:vAlign w:val="bottom"/>
          </w:tcPr>
          <w:p>
            <w:pPr>
              <w:spacing w:after="0"/>
              <w:rPr>
                <w:sz w:val="15"/>
                <w:szCs w:val="15"/>
                <w:color w:val="auto"/>
              </w:rPr>
            </w:pPr>
          </w:p>
        </w:tc>
        <w:tc>
          <w:tcPr>
            <w:tcW w:w="1780" w:type="dxa"/>
            <w:vAlign w:val="bottom"/>
            <w:vMerge w:val="restart"/>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(In years)</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 September 30,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Software</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 and trade names</w:t>
            </w: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Licenses</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Assembled workforce in asset acquisitions</w:t>
            </w: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1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intangibles</w:t>
            </w: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amortization</w:t>
            </w: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Amortization expense was $2.9 million and $14.3 million for the three and nine months ended September 30, 2026 and $6.5 million and $19.2 million for the three and nine months ended September 30, 2025, respectively.</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9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Expected future amortization expense for intangible assets as of September 30, 2026 is as follows: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84"/>
        </w:trPr>
        <w:tc>
          <w:tcPr>
            <w:tcW w:w="90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Intangible assets</w:t>
            </w:r>
          </w:p>
        </w:tc>
      </w:tr>
      <w:tr>
        <w:trPr>
          <w:trHeight w:val="21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2026</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2"/>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40"/>
        </w:trPr>
        <w:tc>
          <w:tcPr>
            <w:tcW w:w="9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Goodwill</w:t>
      </w:r>
    </w:p>
    <w:p>
      <w:pPr>
        <w:spacing w:after="0" w:line="251" w:lineRule="exact"/>
        <w:rPr>
          <w:sz w:val="20"/>
          <w:szCs w:val="20"/>
          <w:color w:val="auto"/>
        </w:rPr>
      </w:pPr>
    </w:p>
    <w:p>
      <w:pPr>
        <w:ind w:right="480" w:firstLine="392"/>
        <w:spacing w:after="0" w:line="295" w:lineRule="auto"/>
        <w:rPr>
          <w:sz w:val="20"/>
          <w:szCs w:val="20"/>
          <w:color w:val="auto"/>
        </w:rPr>
      </w:pPr>
      <w:r>
        <w:rPr>
          <w:rFonts w:ascii="Times New Roman" w:cs="Times New Roman" w:eastAsia="Times New Roman" w:hAnsi="Times New Roman"/>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146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454.9</w:t>
            </w:r>
          </w:p>
        </w:tc>
      </w:tr>
      <w:tr>
        <w:trPr>
          <w:trHeight w:val="222"/>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foreign currency translation</w:t>
            </w:r>
          </w:p>
        </w:tc>
        <w:tc>
          <w:tcPr>
            <w:tcW w:w="14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4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 2026</w:t>
            </w:r>
          </w:p>
        </w:tc>
        <w:tc>
          <w:tcPr>
            <w:tcW w:w="146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620" w:firstLine="392"/>
        <w:spacing w:after="0" w:line="295" w:lineRule="auto"/>
        <w:rPr>
          <w:sz w:val="20"/>
          <w:szCs w:val="20"/>
          <w:color w:val="auto"/>
        </w:rPr>
      </w:pPr>
      <w:r>
        <w:rPr>
          <w:rFonts w:ascii="Times New Roman" w:cs="Times New Roman" w:eastAsia="Times New Roman" w:hAnsi="Times New Roman"/>
          <w:sz w:val="17"/>
          <w:szCs w:val="17"/>
          <w:color w:val="auto"/>
        </w:rPr>
        <w:t>Goodwill amounts are not amortized, but tested for impairment on an annual basis. There was no impairment of goodwill during the periods ended September 30, 2026 and December 31, 2025.</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Debt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w:t>
      </w:r>
    </w:p>
    <w:p>
      <w:pPr>
        <w:spacing w:after="0" w:line="253" w:lineRule="exact"/>
        <w:rPr>
          <w:sz w:val="20"/>
          <w:szCs w:val="20"/>
          <w:color w:val="auto"/>
        </w:rPr>
      </w:pPr>
    </w:p>
    <w:p>
      <w:pPr>
        <w:jc w:val="both"/>
        <w:ind w:firstLine="392"/>
        <w:spacing w:after="0" w:line="250" w:lineRule="auto"/>
        <w:rPr>
          <w:sz w:val="20"/>
          <w:szCs w:val="20"/>
          <w:color w:val="auto"/>
        </w:rPr>
      </w:pPr>
      <w:r>
        <w:rPr>
          <w:rFonts w:ascii="Times New Roman" w:cs="Times New Roman" w:eastAsia="Times New Roman" w:hAnsi="Times New Roman"/>
          <w:sz w:val="17"/>
          <w:szCs w:val="17"/>
          <w:color w:val="auto"/>
        </w:rPr>
        <w:t>On June 1, 2026, the Company entered into a revolving credit agreement (the “2026 Revolving Credit Agreement”), by and among the Company, the lenders party thereto, and JPMorgan Chase Bank, N.A. as administrative agent (“Agent”), that provides for a $400.0 million revolving credit facility, of which $65.0 million is available for use as letters of credit. Under the terms of the 2026 Revolving Credit Agreement, the Company is required to pay a quarterly commitment fee that accrues at a rate of 0.25% per annum on the unused portion of the revolving commitments. The Company accounts for fees incurred in connection with the 2026 Revolving Credit Agreement as a deferred asset which are amortized over the term of the 2026 Revolving Credit Agreement on a straight-line basis. As of September 30, 2026, the Company has incurred fees of $5.2 million in connection with entering into the 2026 Revolving Credit Agreement. The 2026 Revolving Credit Agreement matures on December 11, 2029, unless earlier terminated. The 2026 Revolving Credit Agreement also contains certain standard affirmative and negative covenants with which the Company was in compliance as of September 30, 2026.</w:t>
      </w:r>
    </w:p>
    <w:p>
      <w:pPr>
        <w:spacing w:after="0" w:line="201" w:lineRule="exact"/>
        <w:rPr>
          <w:sz w:val="20"/>
          <w:szCs w:val="20"/>
          <w:color w:val="auto"/>
        </w:rPr>
      </w:pPr>
    </w:p>
    <w:p>
      <w:pPr>
        <w:ind w:right="180" w:firstLine="392"/>
        <w:spacing w:after="0" w:line="246" w:lineRule="auto"/>
        <w:rPr>
          <w:sz w:val="20"/>
          <w:szCs w:val="20"/>
          <w:color w:val="auto"/>
        </w:rPr>
      </w:pPr>
      <w:r>
        <w:rPr>
          <w:rFonts w:ascii="Times New Roman" w:cs="Times New Roman" w:eastAsia="Times New Roman" w:hAnsi="Times New Roman"/>
          <w:sz w:val="17"/>
          <w:szCs w:val="17"/>
          <w:color w:val="auto"/>
        </w:rPr>
        <w:t>The borrowings under the 2026 Revolving Credit Agreement will bear interest, at the Company's option, at either (a) an alternate base rate, which is defined as a fluctuating rate per annum equal to the greatest of (i) the prime rate then in effect, (ii) the greater of the federal funds effective rate or overnight bank funding rate then in effect, plus 0.50% per annum, and (iii) a term SOFR rate determined on the basis of a one-month interest period plus 1.00% per annum, in each case, plus a margin ranging from 2.00% to 2.50% based on the Company’s consolidated secured leverage ratio, or (b) a term SOFR rate (based on one, three or six month interest periods), plus a margin ranging from 3.00% to 3.50% based on the Company’s consolidated secured leverage ratio.</w:t>
      </w:r>
    </w:p>
    <w:p>
      <w:pPr>
        <w:spacing w:after="0" w:line="214" w:lineRule="exact"/>
        <w:rPr>
          <w:sz w:val="20"/>
          <w:szCs w:val="20"/>
          <w:color w:val="auto"/>
        </w:rPr>
      </w:pPr>
    </w:p>
    <w:p>
      <w:pPr>
        <w:jc w:val="both"/>
        <w:ind w:firstLine="392"/>
        <w:spacing w:after="0" w:line="268" w:lineRule="auto"/>
        <w:rPr>
          <w:sz w:val="20"/>
          <w:szCs w:val="20"/>
          <w:color w:val="auto"/>
        </w:rPr>
      </w:pPr>
      <w:r>
        <w:rPr>
          <w:rFonts w:ascii="Times New Roman" w:cs="Times New Roman" w:eastAsia="Times New Roman" w:hAnsi="Times New Roman"/>
          <w:sz w:val="17"/>
          <w:szCs w:val="17"/>
          <w:color w:val="auto"/>
        </w:rPr>
        <w:t>The capacity of the 2026 Revolving Credit Agreement is reduced by borrowings under the revolving credit facility and the aggregate value of all outstanding letters of credit under the 2026 Revolving Credit Agreement. The unused capacity of the 2026 Revolving Credit Agreement was $400.0 million as of September 30, 2026.</w:t>
      </w:r>
    </w:p>
    <w:p>
      <w:pPr>
        <w:spacing w:after="0" w:line="182"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During the three and nine months ended September 30, 2026, the Company recognized $0.4 million and $0.5 million, respectively, in interest expense related to the 2026 Revolving Credit Agreement, with such interest expense consisting of the amortization of issuance costs and commitment fees.</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Term loan facility</w:t>
      </w:r>
    </w:p>
    <w:p>
      <w:pPr>
        <w:spacing w:after="0" w:line="253" w:lineRule="exact"/>
        <w:rPr>
          <w:sz w:val="20"/>
          <w:szCs w:val="20"/>
          <w:color w:val="auto"/>
        </w:rPr>
      </w:pPr>
    </w:p>
    <w:p>
      <w:pPr>
        <w:jc w:val="both"/>
        <w:ind w:right="320" w:firstLine="392"/>
        <w:spacing w:after="0" w:line="269" w:lineRule="auto"/>
        <w:rPr>
          <w:sz w:val="20"/>
          <w:szCs w:val="20"/>
          <w:color w:val="auto"/>
        </w:rPr>
      </w:pPr>
      <w:r>
        <w:rPr>
          <w:rFonts w:ascii="Times New Roman" w:cs="Times New Roman" w:eastAsia="Times New Roman" w:hAnsi="Times New Roman"/>
          <w:sz w:val="17"/>
          <w:szCs w:val="17"/>
          <w:color w:val="auto"/>
        </w:rPr>
        <w:t>During the fourth quarter of 2024, the Company entered into a secured five-year term loan facility under a Credit and Guaranty Agreement (the “initial Term Loan Credit Agreement”), providing up to $2.0 billion in aggregate principal amount of term loans, consisting of $1.0 billion of initial term loans (the "initial term loans"), which were fully drawn at closing, and $1.0 billion of initial delayed draw term loan commitments (the "initial delayed draw term loan commitments"). The initial Term Loan Credit Agreement also provides for a secured letter of credit facility in an aggregate amount of up to $35.0 million.</w:t>
      </w:r>
    </w:p>
    <w:p>
      <w:pPr>
        <w:spacing w:after="0" w:line="182" w:lineRule="exact"/>
        <w:rPr>
          <w:sz w:val="20"/>
          <w:szCs w:val="20"/>
          <w:color w:val="auto"/>
        </w:rPr>
      </w:pPr>
    </w:p>
    <w:p>
      <w:pPr>
        <w:jc w:val="both"/>
        <w:ind w:firstLine="392"/>
        <w:spacing w:after="0" w:line="236" w:lineRule="auto"/>
        <w:rPr>
          <w:sz w:val="20"/>
          <w:szCs w:val="20"/>
          <w:color w:val="auto"/>
        </w:rPr>
      </w:pPr>
      <w:r>
        <w:rPr>
          <w:rFonts w:ascii="Times New Roman" w:cs="Times New Roman" w:eastAsia="Times New Roman" w:hAnsi="Times New Roman"/>
          <w:sz w:val="17"/>
          <w:szCs w:val="17"/>
          <w:color w:val="auto"/>
        </w:rPr>
        <w:t>In the third quarter of 2025, the Company entered into Amendment No. 1 (the “First Amendment”) to its initial Term Loan Credit Agreement (collectively, the “Amended Term Loan Credit Agreement”) to add $700.0 million in delayed draw term loan commitments (the “2025 delayed draw term loans”). The Amended Term Loan Credit Agreement now provides a secured term loan facility of $2.7 billion (collectively, the “term loan facility”). On June 1, 2026, the Company entered into Amendment No. 2 to the Amended Term Loan Credit Agreement, which further amended the Amended Term Loan Credit Agreement to, among other things, permit the 2026 Revolving Credit Agreement and the revolving credit facility contemplated thereby. The term loan facility is guaranteed by certain material subsidiaries and secured by substantially all assets of the Company and such subsidiary guarantors.</w:t>
      </w:r>
    </w:p>
    <w:p>
      <w:pPr>
        <w:spacing w:after="0" w:line="206"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The term loans are measured at amortized cost on the condensed consolidated balance sheets. Issuance costs of $27.6 million were deducted from the carrying value and are amortized and recognized as a component of interest expense over the five-year term using the effective interest method. Additional deferred issuance costs of $27.6 million and $11.9 million related to the initial delayed draw term loan commitments and 2025 delayed draw term loans, respectively, were recognized initially as deferred assets and were reclassified and presented as a reduction of the carrying value of the related debt upon draw, and are amortized over the remaining term on an effective interest method basis from the time of draw. Issuance costs of $0.2 million related to the secured letter of credit facility were recognized as a prepaid asset and are amortized over the five-year access period on a straight-line basis.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20" w:firstLine="431"/>
        <w:spacing w:after="0" w:line="266" w:lineRule="auto"/>
        <w:rPr>
          <w:sz w:val="20"/>
          <w:szCs w:val="20"/>
          <w:color w:val="auto"/>
        </w:rPr>
      </w:pPr>
      <w:r>
        <w:rPr>
          <w:rFonts w:ascii="Times New Roman" w:cs="Times New Roman" w:eastAsia="Times New Roman" w:hAnsi="Times New Roman"/>
          <w:sz w:val="17"/>
          <w:szCs w:val="17"/>
          <w:color w:val="auto"/>
        </w:rPr>
        <w:t>The initial term loans and the initial delayed draw term loans have the same terms and are treated as a single fungible class of term loans for all purposes under the Amended Term Loan Credit Agreement, except that interest on the initial delayed draw term loans commenced from the applicable date of draw. As of September 30, 2026, $1.0 billion was drawn on the initial delayed draw term loan commitments and no commitment remained available. As of September 30, 2026, $22.2 million of letters of credit were issued and $12.8 million remains available under the letter of credit facility. As of September 30, 2026, no amounts were drawn on the letter of credit facility.</w:t>
      </w:r>
    </w:p>
    <w:p>
      <w:pPr>
        <w:spacing w:after="0" w:line="197" w:lineRule="exact"/>
        <w:rPr>
          <w:sz w:val="20"/>
          <w:szCs w:val="20"/>
          <w:color w:val="auto"/>
        </w:rPr>
      </w:pPr>
    </w:p>
    <w:p>
      <w:pPr>
        <w:jc w:val="both"/>
        <w:ind w:firstLine="431"/>
        <w:spacing w:after="0" w:line="276" w:lineRule="auto"/>
        <w:rPr>
          <w:sz w:val="20"/>
          <w:szCs w:val="20"/>
          <w:color w:val="auto"/>
        </w:rPr>
      </w:pPr>
      <w:r>
        <w:rPr>
          <w:rFonts w:ascii="Times New Roman" w:cs="Times New Roman" w:eastAsia="Times New Roman" w:hAnsi="Times New Roman"/>
          <w:sz w:val="17"/>
          <w:szCs w:val="17"/>
          <w:color w:val="auto"/>
        </w:rPr>
        <w:t>In the first quarter of 2026, the Company drew $700.0 million on the 2025 delayed draw term loan commitments and the proceeds were used primarily to repay the 2026 Notes (as defined below) at maturity, with the remaining proceeds available for general corporate purposes. As of September 30, 2026, no commitment remained available.</w:t>
      </w:r>
    </w:p>
    <w:p>
      <w:pPr>
        <w:spacing w:after="0" w:line="188" w:lineRule="exact"/>
        <w:rPr>
          <w:sz w:val="20"/>
          <w:szCs w:val="20"/>
          <w:color w:val="auto"/>
        </w:rPr>
      </w:pPr>
    </w:p>
    <w:p>
      <w:pPr>
        <w:ind w:right="20" w:firstLine="431"/>
        <w:spacing w:after="0" w:line="254" w:lineRule="auto"/>
        <w:rPr>
          <w:sz w:val="20"/>
          <w:szCs w:val="20"/>
          <w:color w:val="auto"/>
        </w:rPr>
      </w:pPr>
      <w:r>
        <w:rPr>
          <w:rFonts w:ascii="Times New Roman" w:cs="Times New Roman" w:eastAsia="Times New Roman" w:hAnsi="Times New Roman"/>
          <w:sz w:val="17"/>
          <w:szCs w:val="17"/>
          <w:color w:val="auto"/>
        </w:rPr>
        <w:t>Pursuant to the terms of the Amended Term Loan Credit Agreement, the Company was required to pay quarterly commitment fees of 1.00% per annum on the unused portions of both delayed draw term loan commitments. These fees were capitalized as the draws were probable of occurring and were reclassified against the carrying value of the respective debt upon draw. As of September 30, 2026, $12.4 million of deferred issuance costs related to the commitment fees has been fully reclassified and presented as a reduction of the carrying value of the related debt, as the commitments have been fully drawn and no amounts remain available. These fees are amortized over the respective debt terms using the effective interest method from the time of draw.</w:t>
      </w:r>
    </w:p>
    <w:p>
      <w:pPr>
        <w:spacing w:after="0" w:line="207" w:lineRule="exact"/>
        <w:rPr>
          <w:sz w:val="20"/>
          <w:szCs w:val="20"/>
          <w:color w:val="auto"/>
        </w:rPr>
      </w:pPr>
    </w:p>
    <w:p>
      <w:pPr>
        <w:ind w:right="40" w:firstLine="431"/>
        <w:spacing w:after="0" w:line="260" w:lineRule="auto"/>
        <w:rPr>
          <w:sz w:val="20"/>
          <w:szCs w:val="20"/>
          <w:color w:val="auto"/>
        </w:rPr>
      </w:pPr>
      <w:r>
        <w:rPr>
          <w:rFonts w:ascii="Times New Roman" w:cs="Times New Roman" w:eastAsia="Times New Roman" w:hAnsi="Times New Roman"/>
          <w:sz w:val="17"/>
          <w:szCs w:val="17"/>
          <w:color w:val="auto"/>
        </w:rPr>
        <w:t>The initial term loans and initial delayed draw term loans mature on December 11, 2029, with quarterly principal payments of 0.25% of the original principal amount or such greater percentage as may be required to make the initial delayed draw term loans fungible with any then-outstanding initial term loans and initial delayed draw term loans. Quarterly principal payments for the initial term loans and initial delayed draw term loans began on March 31, 2025 and will continue on the last business day of each quarter thereafter. The 2025 delayed draw term loans mature on September 9, 2030, with quarterly repayments of 0.25% of the original principal amount. Quarterly principal payments on the 2025 delayed draw term loans began on March 31, 2026 and will continue on the last business day of each quarter thereafter. Prepayments are permitted at any time, in whole or in part, subject to premiums of 2.00% of the aggregate principal amount prepaid on or within one year of the closing date for the initial Term Loan Credit Agreement (or the effective date of the First Amendment in the case of the 2025 delayed draw term loans) and 1.00% of such amount prepaid after one year but on or prior to two years from the closing date for the initial Term Loan Credit Agreement (or the effective date of the First Amendment in the case of the 2025 delayed draw term loans). Any amounts repaid or prepaid may not be reborrowed. Mandatory prepayments on the term loan facility may be required upon the occurrence of certain events as defined in the Amended Term Loan Credit Agreement, which the Company considers remote as of September 30,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following is a summary of the term loan facility as of September 30, 2026 and December 31, 2025.</w:t>
            </w:r>
          </w:p>
        </w:tc>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84"/>
        </w:trPr>
        <w:tc>
          <w:tcPr>
            <w:tcW w:w="796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7"/>
                <w:szCs w:val="17"/>
                <w:b w:val="1"/>
                <w:bCs w:val="1"/>
                <w:color w:val="auto"/>
              </w:rPr>
              <w:t>Term Loan</w:t>
            </w:r>
          </w:p>
        </w:tc>
      </w:tr>
      <w:tr>
        <w:trPr>
          <w:trHeight w:val="20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6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r>
      <w:tr>
        <w:trPr>
          <w:trHeight w:val="22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66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2,668.1</w:t>
            </w: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66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r>
      <w:tr>
        <w:trPr>
          <w:trHeight w:val="21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6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2,607.3</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228"/>
        </w:trPr>
        <w:tc>
          <w:tcPr>
            <w:tcW w:w="7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2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1,488.3</w:t>
            </w:r>
          </w:p>
        </w:tc>
      </w:tr>
      <w:tr>
        <w:trPr>
          <w:trHeight w:val="222"/>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6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40" w:firstLine="431"/>
        <w:spacing w:after="0" w:line="269" w:lineRule="auto"/>
        <w:rPr>
          <w:sz w:val="20"/>
          <w:szCs w:val="20"/>
          <w:color w:val="auto"/>
        </w:rPr>
      </w:pPr>
      <w:r>
        <w:rPr>
          <w:rFonts w:ascii="Times New Roman" w:cs="Times New Roman" w:eastAsia="Times New Roman" w:hAnsi="Times New Roman"/>
          <w:sz w:val="17"/>
          <w:szCs w:val="17"/>
          <w:color w:val="auto"/>
        </w:rPr>
        <w:t>Borrowings under the term loan facility bear interest, at the Company’s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margin of 2.75%, or (b) an overnight or term SOFR rate (based on one, three or six month interest periods), plus a margin of 3.75%. Interest is payable quarterly in arrears with respect to borrowings bearing interest at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color w:val="auto"/>
        </w:rPr>
        <w:t>the alternate base rate on the last business day of an interest period, but at most monthly and at least quarterly, with respect to overnight and term SOFR rate borrowings.</w:t>
      </w:r>
    </w:p>
    <w:p>
      <w:pPr>
        <w:spacing w:after="0" w:line="173" w:lineRule="exact"/>
        <w:rPr>
          <w:sz w:val="20"/>
          <w:szCs w:val="20"/>
          <w:color w:val="auto"/>
        </w:rPr>
      </w:pPr>
    </w:p>
    <w:p>
      <w:pPr>
        <w:ind w:right="40" w:firstLine="431"/>
        <w:spacing w:after="0" w:line="276" w:lineRule="auto"/>
        <w:rPr>
          <w:sz w:val="20"/>
          <w:szCs w:val="20"/>
          <w:color w:val="auto"/>
        </w:rPr>
      </w:pPr>
      <w:r>
        <w:rPr>
          <w:rFonts w:ascii="Times New Roman" w:cs="Times New Roman" w:eastAsia="Times New Roman" w:hAnsi="Times New Roman"/>
          <w:sz w:val="17"/>
          <w:szCs w:val="17"/>
          <w:color w:val="auto"/>
        </w:rPr>
        <w:t>Interest expense associated with the term loan facility was $55.9 million and $148.3 million for the three and nine months ended September 30, 2026, respectively, and $22.5 million and $65.8 million for the three and nine months ended September 30, 2025, respectively, with such interest expense consisting of interest expense on the outstanding principal of the term loan facility and amortization of issuance costs.</w:t>
      </w:r>
    </w:p>
    <w:p>
      <w:pPr>
        <w:spacing w:after="0" w:line="188" w:lineRule="exact"/>
        <w:rPr>
          <w:sz w:val="20"/>
          <w:szCs w:val="20"/>
          <w:color w:val="auto"/>
        </w:rPr>
      </w:pPr>
    </w:p>
    <w:p>
      <w:pPr>
        <w:ind w:right="20" w:firstLine="431"/>
        <w:spacing w:after="0" w:line="269" w:lineRule="auto"/>
        <w:rPr>
          <w:sz w:val="20"/>
          <w:szCs w:val="20"/>
          <w:color w:val="auto"/>
        </w:rPr>
      </w:pPr>
      <w:r>
        <w:rPr>
          <w:rFonts w:ascii="Times New Roman" w:cs="Times New Roman" w:eastAsia="Times New Roman" w:hAnsi="Times New Roman"/>
          <w:sz w:val="17"/>
          <w:szCs w:val="17"/>
          <w:color w:val="auto"/>
        </w:rPr>
        <w:t>The Amended Term Loan Credit Agreement allows for additional term loan facilities or increased commitments, subject to certain conditions and limits. It includes customary representations and warranties, customary affirmative and negative covenants, and customary events of default. Failure to comply with these covenants may result in a portion of the outstanding term loan debt becoming due immediately. The Company was in compliance with all covenants under the term loan facility as of September 30, 2026.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Maturities on the Company's term loan facility are as follows:</w:t>
            </w: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Term Loan</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1,935.1</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672.0</w:t>
            </w:r>
          </w:p>
        </w:tc>
      </w:tr>
      <w:tr>
        <w:trPr>
          <w:trHeight w:val="222"/>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2,668.1</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w:t>
      </w:r>
    </w:p>
    <w:p>
      <w:pPr>
        <w:spacing w:after="0" w:line="253"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7"/>
          <w:szCs w:val="17"/>
          <w:color w:val="auto"/>
        </w:rPr>
        <w:t>During the first quarter of 2021, the Company issued $695.8 million aggregate principal amount of 0% convertible senior notes due in 2026 (the "2026 Notes"). Additionally, during the first quarter of 2021, the Company issued $693.3 million aggregate principal amount of 0% convertible senior notes due in 2028 (the "2028 Notes," and together with the 2026 Notes, the "Notes"). The Notes were issued in a private placement to qualified institutional buyers pursuant to Rule 144A under the Securities Act of 1933. The net proceeds from the sale of the 2026 Notes and 2028 Notes were approximately $1.4 billion after deducting offering and issuance costs related to the respective Notes.</w:t>
      </w:r>
    </w:p>
    <w:p>
      <w:pPr>
        <w:spacing w:after="0" w:line="197"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As of the maturity date on March 1, 2026, no holder of the 2026 Notes had converted their principal amount. The Company used a total of $695.8 million in cash to repay the aggregate principal amount at their maturity.</w:t>
      </w:r>
    </w:p>
    <w:p>
      <w:pPr>
        <w:spacing w:after="0" w:line="173" w:lineRule="exact"/>
        <w:rPr>
          <w:sz w:val="20"/>
          <w:szCs w:val="20"/>
          <w:color w:val="auto"/>
        </w:rPr>
      </w:pPr>
    </w:p>
    <w:p>
      <w:pPr>
        <w:ind w:right="180" w:firstLine="392"/>
        <w:spacing w:after="0" w:line="276" w:lineRule="auto"/>
        <w:rPr>
          <w:sz w:val="20"/>
          <w:szCs w:val="20"/>
          <w:color w:val="auto"/>
        </w:rPr>
      </w:pPr>
      <w:r>
        <w:rPr>
          <w:rFonts w:ascii="Times New Roman" w:cs="Times New Roman" w:eastAsia="Times New Roman" w:hAnsi="Times New Roman"/>
          <w:sz w:val="17"/>
          <w:szCs w:val="17"/>
          <w:color w:val="auto"/>
        </w:rPr>
        <w:t>The 2028 Notes do not bear regular interest. The 2028 Notes may bear special interest as the remedy relating to the Company’s failure to comply with certain of its reporting obligations. The Company has complied with these reporting obligations from the issuance date through September 30, 2026. The 2028 Notes will mature on March 1, 2028, unless earlier converted, redeemed or repurchased.</w:t>
      </w:r>
    </w:p>
    <w:p>
      <w:pPr>
        <w:spacing w:after="0" w:line="188"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The initial conversion rate for the 2028 Notes is 28.2889 shares of Class A common stock per $1,000 principal amount of such 2028 Notes, which is equivalent to an initial conversion price of approximately $35.35 per share. The conversion rate for the 2028 Notes will be subject to adjustment upon the occurrence of certain specified events but will not be adjusted for accrued and unpaid special interest. In addition, upon the occurrence of a make-whole fundamental change (as defined in the relevant indenture governing the 2028 Notes) or a notice of redemption, the Company will, in certain circumstances, increase the conversion rate of the 2028 Notes by a number of additional shares for a holder that elects to convert all or a portion of its 2028 Notes in connection with such make-whole fundamental change or who elects to convert such 2028 Notes that are subject to such notice of redemption. The conversion rate for the 2028 Notes shall not exceed 43.1406 shares per $1,000 principal amount of such Notes, subject to certain customary anti-dilution adjustments (as defined in the indenture governing the 2028 Notes). There have been no changes to the initial conversion price of the 2028 Notes since issuance as of September 30, 2026.</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160" w:firstLine="392"/>
        <w:spacing w:after="0" w:line="269" w:lineRule="auto"/>
        <w:rPr>
          <w:sz w:val="20"/>
          <w:szCs w:val="20"/>
          <w:color w:val="auto"/>
        </w:rPr>
      </w:pPr>
      <w:r>
        <w:rPr>
          <w:rFonts w:ascii="Times New Roman" w:cs="Times New Roman" w:eastAsia="Times New Roman" w:hAnsi="Times New Roman"/>
          <w:sz w:val="17"/>
          <w:szCs w:val="17"/>
          <w:color w:val="auto"/>
        </w:rPr>
        <w:t>Upon conversion, the principal portion of the 2028 Notes being converted will be settled in cash, and any amount in excess of the principal portion of the 2028 Notes will be settled in cash or shares of the Company’s Class A common stock or any combination thereof at the Company’s option. The if-converted value of the 2028 Notes was below the principal value of the 2028 Notes as of September 30, 2026. As of September 30, 2026, the conditions allowing holders of the 2028 Notes to convert during the following fiscal quarter were not met.</w:t>
      </w:r>
    </w:p>
    <w:p>
      <w:pPr>
        <w:spacing w:after="0" w:line="195"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7"/>
          <w:szCs w:val="17"/>
          <w:color w:val="auto"/>
        </w:rPr>
        <w:t>Prior to the close of business on the business day immediately preceding December 1, 2027, the 2028 Notes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2028 Notes on each applicable trading day; (2) during the five business day period after any five consecutive trading day period in which, for each trading day of that period, the trading price per $1,000 principal amount of 2028 Notes, for such trading day was less than 98% of the product of the last reported sale price of the Class A common stock and the conversion rate for the 2028 Notes on each such trading day; (3) if the Company calls any or all of the 2028 Notes for redemption, the 2028 Notes may be converted at any time prior to the close of business on the second scheduled trading day immediately preceding the redemption date; or (4) upon the occurrence of specified corporate transactions.</w:t>
      </w:r>
    </w:p>
    <w:p>
      <w:pPr>
        <w:spacing w:after="0" w:line="200" w:lineRule="exact"/>
        <w:rPr>
          <w:sz w:val="20"/>
          <w:szCs w:val="20"/>
          <w:color w:val="auto"/>
        </w:rPr>
      </w:pPr>
    </w:p>
    <w:p>
      <w:pPr>
        <w:spacing w:after="0" w:line="216"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On or after December 1, 2027, until the close of business on the second scheduled trading day immediately preceding the maturity date, holders of the 2028 Notes may convert all or a portion of their 2028 Notes regardless of the foregoing conditions.</w:t>
      </w:r>
    </w:p>
    <w:p>
      <w:pPr>
        <w:spacing w:after="0" w:line="173" w:lineRule="exact"/>
        <w:rPr>
          <w:sz w:val="20"/>
          <w:szCs w:val="20"/>
          <w:color w:val="auto"/>
        </w:rPr>
      </w:pPr>
    </w:p>
    <w:p>
      <w:pPr>
        <w:jc w:val="both"/>
        <w:ind w:right="160" w:firstLine="392"/>
        <w:spacing w:after="0" w:line="266" w:lineRule="auto"/>
        <w:rPr>
          <w:sz w:val="20"/>
          <w:szCs w:val="20"/>
          <w:color w:val="auto"/>
        </w:rPr>
      </w:pPr>
      <w:r>
        <w:rPr>
          <w:rFonts w:ascii="Times New Roman" w:cs="Times New Roman" w:eastAsia="Times New Roman" w:hAnsi="Times New Roman"/>
          <w:sz w:val="17"/>
          <w:szCs w:val="17"/>
          <w:color w:val="auto"/>
        </w:rPr>
        <w:t>The Company may redeem for cash all or any part of the 2028 Notes, at its option, on or after March 6, 2025, if the last reported sale price of its Class A common stock has been at least 130% of the conversion price for the 2028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2028 Notes to be redeemed, plus any accrued and unpaid special interest to, but excluding, the redemption date. No sinking fund is provided for the 2028 Notes.</w:t>
      </w:r>
    </w:p>
    <w:p>
      <w:pPr>
        <w:spacing w:after="0" w:line="197"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Upon the occurrence of a fundamental change (as defined in the indenture governing the 2028 Notes) prior to the maturity date, holders of the 2028 Notes may require the Company to repurchase all or a portion of the 2028 Notes for cash at a price equal to 100% of the principal amount of the 2028 Notes to be repurchased, plus any accrued and unpaid special interest to, but excluding, the fundamental change repurchase date. Additionally, and upon events of default (as defined in the indenture governing the 2028 Notes), the maturity of the 2028 Notes may be accelerated.</w:t>
      </w:r>
    </w:p>
    <w:p>
      <w:pPr>
        <w:spacing w:after="0" w:line="195"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The 2028 Notes are the Company’s general unsecured obligations and will rank senior in right of payment to any existing and future indebtedness that is contractually subordinated to the 2028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95"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In accounting for the 2028 Notes, issuance costs of $11.0 million were deducted from the carrying value of the 2028 Notes in the condensed consolidated balance sheet. Issuance costs will be recognized as interest expense over the seven-year term for the 2028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is a summary of the Notes outstanding as of September 30, 2026 and 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8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693.3</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15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5"/>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1500" w:type="dxa"/>
            <w:vAlign w:val="bottom"/>
            <w:tcBorders>
              <w:top w:val="single" w:sz="8" w:color="auto"/>
              <w:bottom w:val="single" w:sz="8" w:color="auto"/>
            </w:tcBorders>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691.1</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691.1</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8"/>
        </w:trPr>
        <w:tc>
          <w:tcPr>
            <w:tcW w:w="49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150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22"/>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4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695.4</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During the three months ended September 30, 2026 and 2025, the Company recognized $0.4 million in interest expense for the 2028 Notes, with such interest expense consisting solely of amortization of issuance costs. During the three months ended September 30, 2025, the Company recognized $0.6 million in interest expense for the 2026 Notes. No interest expense related to the 2026 Notes was recognized during the three months ended September 30, 2026 because the 2026 Notes matured on March 1, 2026. During the nine months ended September 30, 2026 and 2025, the Company recognized $0.4 million and $1.7 million in interest expense for the 2026 Notes, respectively, and $1.2 million and $1.1 million in interest expense for the 2028 Notes, respectively, with such interest expense consisting solely of amortization of issuance costs. The effective interest rate for the 2028 Notes was 0.22% as of September 30, 2026.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Maturities on the Company's convertible debt are as follows:</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Convertible Debt</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693.3</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 and thereafter</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693.3</w:t>
            </w:r>
          </w:p>
        </w:tc>
      </w:tr>
      <w:tr>
        <w:trPr>
          <w:trHeight w:val="20"/>
        </w:trPr>
        <w:tc>
          <w:tcPr>
            <w:tcW w:w="9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 Hedges and Warrants</w:t>
      </w:r>
    </w:p>
    <w:p>
      <w:pPr>
        <w:spacing w:after="0" w:line="253"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Class A common stock at a price of approximately $38.25 and $35.35 per share, respectively. The aggregate cost of the Note Hedges was $265.3 million.</w:t>
      </w:r>
    </w:p>
    <w:p>
      <w:pPr>
        <w:spacing w:after="0" w:line="195"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The Company used a total of $695.8 million in cash to repay the aggregate principal amount of the 2026 Notes at their maturity. Additionally, there were no 2026 Note Hedges exercised, and no shares were received as of September 30, 2026. The 2026 Note Hedges expired upon maturity of the 2026 Notes.</w:t>
      </w:r>
    </w:p>
    <w:p>
      <w:pPr>
        <w:spacing w:after="0" w:line="173"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7"/>
          <w:szCs w:val="17"/>
          <w:color w:val="auto"/>
        </w:rPr>
        <w:t>The 2028 Note Hedges, or a portion thereof, are exercisable upon conversion of the 2028 Notes and the satisfaction of certain conditions set forth in the 2028 Note Hedges. Additionally, the 2028 Note Hedges may be terminated and early settled upon the occurrence of certain events, including certain merger events, events of default, and upon a fundamental change (as defined in the indenture for the 2028 Notes). The 2028 Note Hedges are settleable in cash, shares or a combination of cash and shares, at the option of the Company, and the settlement alternative will be the same as the settlement alternative of the conversion spread for the 2028 Notes.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The 2028 Note Hedges are expected generally to offset the potential dilution to the Class A common stock upon conversion of the 2028 Notes and/or reduce any cash payments the Company is required to make in excess of the principal amount of such converted 2028 Notes, as the case may be, in the event that the market price per share of the Class A common stock, as measured under the terms of the 2028 Note Hedges, is greater than the applicable strike price of those convertible note hedge transactions. As of September 30, 2026, the Company’s stock price was below the exercise price of the 2028 Note Hedges.</w:t>
      </w:r>
    </w:p>
    <w:p>
      <w:pPr>
        <w:spacing w:after="0" w:line="195"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In addition, the Company sold warrants to certain counterparties whereby the holders of the warrants had the option to purchase a total of approximately 18.1 million shares of Class A common stock underlying such warrants expiring in 2026 (the “2026 Warrants”) and 20.1 million shares of Class A common stock underlying such warrants expiring in 2028 (the “2028 Warrants”, together with the 2026 Warrants, the “Warrants”), respectively, at an initial strike price of $46.36 and $46.36 per share, respectively. The Company received aggregate cash proceeds of $202.9 million from the sale of these Warrants. The 2026 Warrants expired unexercised on August 10, 2026, and no shares were issued or cash paid in connection with their expiration.</w:t>
      </w:r>
    </w:p>
    <w:p>
      <w:pPr>
        <w:spacing w:after="0" w:line="197"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7"/>
          <w:szCs w:val="17"/>
          <w:color w:val="auto"/>
        </w:rPr>
        <w:t>If the market price per share of the Company’s Class A common stock, as measured under the terms of the 2028 Warrants, exceeds the strike price of the 2028 Warrants, the 2028 Warrants could have a dilutive effect, unless the Company elects, subject to certain conditions, to settle the 2028 Warrants in cash. The 2028 Warrants are only exercisable on the applicable expiration dates in accordance with their terms. Subject to the other terms of the 2028 Warrants, the 2028 Warrants will first become exercisable on June 1, 2028 and have a final expiration date of August 10, 2028. As of September 30, 2026, the Company’s Class A common stock price was below the exercise price of the 2028 Warrants.</w:t>
      </w:r>
    </w:p>
    <w:p>
      <w:pPr>
        <w:spacing w:after="0" w:line="197" w:lineRule="exact"/>
        <w:rPr>
          <w:sz w:val="20"/>
          <w:szCs w:val="20"/>
          <w:color w:val="auto"/>
        </w:rPr>
      </w:pPr>
    </w:p>
    <w:p>
      <w:pPr>
        <w:ind w:right="300" w:firstLine="392"/>
        <w:spacing w:after="0" w:line="276" w:lineRule="auto"/>
        <w:rPr>
          <w:sz w:val="20"/>
          <w:szCs w:val="20"/>
          <w:color w:val="auto"/>
        </w:rPr>
      </w:pPr>
      <w:r>
        <w:rPr>
          <w:rFonts w:ascii="Times New Roman" w:cs="Times New Roman" w:eastAsia="Times New Roman" w:hAnsi="Times New Roman"/>
          <w:sz w:val="17"/>
          <w:szCs w:val="17"/>
          <w:color w:val="auto"/>
        </w:rPr>
        <w:t>Taken together, the purchase of the Note Hedges and the sale of the Warrants are intended to reduce potential dilution from the conversion of the Notes and/or reduce any cash payments the Company is required to make in excess of the principal amount of such converted Notes, as the case may be, and to effectively increase the overall conversion price from $35.35 per share to $46.36 for the 2028 Notes.</w:t>
      </w:r>
    </w:p>
    <w:p>
      <w:pPr>
        <w:spacing w:after="0" w:line="188"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Leases</w:t>
      </w:r>
    </w:p>
    <w:p>
      <w:pPr>
        <w:spacing w:after="0" w:line="251"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The Company has operating leases for corporate offices, datacenters and finance leases for infrastructure and computer equipment. The Company’s leases have remaining lease terms of under 1 year to 10 years, some of which include options to extend the leases for up to 5 years.</w:t>
      </w:r>
    </w:p>
    <w:p>
      <w:pPr>
        <w:spacing w:after="0" w:line="160" w:lineRule="exact"/>
        <w:rPr>
          <w:sz w:val="20"/>
          <w:szCs w:val="20"/>
          <w:color w:val="auto"/>
        </w:rPr>
      </w:pPr>
    </w:p>
    <w:p>
      <w:pPr>
        <w:jc w:val="both"/>
        <w:ind w:right="60" w:firstLine="392"/>
        <w:spacing w:after="0" w:line="253" w:lineRule="auto"/>
        <w:rPr>
          <w:sz w:val="20"/>
          <w:szCs w:val="20"/>
          <w:color w:val="auto"/>
        </w:rPr>
      </w:pPr>
      <w:r>
        <w:rPr>
          <w:rFonts w:ascii="Times New Roman" w:cs="Times New Roman" w:eastAsia="Times New Roman" w:hAnsi="Times New Roman"/>
          <w:sz w:val="17"/>
          <w:szCs w:val="17"/>
          <w:color w:val="auto"/>
        </w:rPr>
        <w:t>The Company also has subleases for a vast majority of its corporate offices. The Company classifies its subleases as operating leases. The subleases have remaining lease terms of under 1 year to 7 years, some of which include tenant options to extend the sublease for up to approximately 4 years. Sublease income, which is recorded as a reduction of rental expense was $5.6 million and $14.0 million during the three and nine months ended September 30, 2026, respectively and $2.8 million and $8.4 million during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Future minimum lease payments under non-cancellable leases as of September 30, 2026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Operating leases</w:t>
            </w:r>
            <w:r>
              <w:rPr>
                <w:rFonts w:ascii="Times New Roman" w:cs="Times New Roman" w:eastAsia="Times New Roman" w:hAnsi="Times New Roman"/>
                <w:sz w:val="22"/>
                <w:szCs w:val="22"/>
                <w:b w:val="1"/>
                <w:bCs w:val="1"/>
                <w:color w:val="auto"/>
                <w:vertAlign w:val="superscript"/>
              </w:rPr>
              <w:t>(1)</w:t>
            </w:r>
          </w:p>
        </w:tc>
        <w:tc>
          <w:tcPr>
            <w:tcW w:w="300" w:type="dxa"/>
            <w:vAlign w:val="bottom"/>
          </w:tcPr>
          <w:p>
            <w:pPr>
              <w:spacing w:after="0"/>
              <w:rPr>
                <w:sz w:val="22"/>
                <w:szCs w:val="22"/>
                <w:color w:val="auto"/>
              </w:rPr>
            </w:pPr>
          </w:p>
        </w:tc>
        <w:tc>
          <w:tcPr>
            <w:tcW w:w="174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5"/>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441.7</w:t>
            </w:r>
          </w:p>
        </w:tc>
        <w:tc>
          <w:tcPr>
            <w:tcW w:w="10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22"/>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tenant improvement receivables</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liability</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260" w:firstLine="5"/>
        <w:spacing w:after="0" w:line="306" w:lineRule="auto"/>
        <w:tabs>
          <w:tab w:leader="none" w:pos="144"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Future non-cancelable rent payments from the Company's subtenants as of September 30, 2026 were as follows: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Operating leases</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5"/>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future sublease rent payments, net</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130.2</w:t>
            </w:r>
          </w:p>
        </w:tc>
      </w:tr>
      <w:tr>
        <w:trPr>
          <w:trHeight w:val="20"/>
        </w:trPr>
        <w:tc>
          <w:tcPr>
            <w:tcW w:w="9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380" w:firstLine="392"/>
        <w:spacing w:after="0" w:line="260" w:lineRule="auto"/>
        <w:rPr>
          <w:sz w:val="20"/>
          <w:szCs w:val="20"/>
          <w:color w:val="auto"/>
        </w:rPr>
      </w:pPr>
      <w:r>
        <w:rPr>
          <w:rFonts w:ascii="Times New Roman" w:cs="Times New Roman" w:eastAsia="Times New Roman" w:hAnsi="Times New Roman"/>
          <w:sz w:val="17"/>
          <w:szCs w:val="17"/>
          <w:color w:val="auto"/>
        </w:rPr>
        <w:t>In 2017, the Company signed a 15 year lease agreement for office space in San Francisco, California, to serve as its corporate headquarters which commenced in 2018. The Company's obligations under the lease are supported by a $17.5 million letter of credit. As of September 30, 2026, the Company's remaining minimum obligation under the lease for its headquarters was $126.7 million.</w:t>
      </w:r>
    </w:p>
    <w:p>
      <w:pPr>
        <w:spacing w:after="0" w:line="201"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In the fourth quarter of 2020, the Company moved to a Virtual First work model pursuant to which remote work has become the primary experience for all of its employees. As part of the Virtual First work model, the Company retained a portion of its office space to be used for the Company’s team collaboration use and a portion was marketed for sublease. Subsequently, every quarter, the Company has evaluated its real estate portfolio for impairment under ASC 360. As part of this analysis, the Company reassesses its real estate asset groups and estimates the fair value of the office space to be subleased using current market conditions. Where the carrying value of the individual asset groups exceeds their fair value, an impairment charge will be recognized for the difference.</w:t>
      </w:r>
    </w:p>
    <w:p>
      <w:pPr>
        <w:spacing w:after="0" w:line="197"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The Company did not record any impairment charges during the three and nine months ended September 30, 2026, and recorded total impairment charges of zero and $2.6 million during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Note 9.</w:t>
        <w:tab/>
        <w:t>Commitments and Contingencies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Legal matters</w:t>
      </w:r>
    </w:p>
    <w:p>
      <w:pPr>
        <w:spacing w:after="0" w:line="122"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122"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122" w:lineRule="exact"/>
        <w:rPr>
          <w:sz w:val="20"/>
          <w:szCs w:val="20"/>
          <w:color w:val="auto"/>
        </w:rPr>
      </w:pPr>
    </w:p>
    <w:p>
      <w:pPr>
        <w:jc w:val="both"/>
        <w:ind w:right="300" w:firstLine="392"/>
        <w:spacing w:after="0" w:line="276" w:lineRule="auto"/>
        <w:rPr>
          <w:sz w:val="20"/>
          <w:szCs w:val="20"/>
          <w:color w:val="auto"/>
        </w:rPr>
      </w:pPr>
      <w:r>
        <w:rPr>
          <w:rFonts w:ascii="Times New Roman" w:cs="Times New Roman" w:eastAsia="Times New Roman" w:hAnsi="Times New Roman"/>
          <w:sz w:val="17"/>
          <w:szCs w:val="17"/>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10. Accrued and Other Current Liabilities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68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and other current liabilities consisted of the following:</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49"/>
        </w:trPr>
        <w:tc>
          <w:tcPr>
            <w:tcW w:w="6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15"/>
        </w:trPr>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260" w:type="dxa"/>
            <w:vAlign w:val="bottom"/>
          </w:tcPr>
          <w:p>
            <w:pPr>
              <w:spacing w:after="0"/>
              <w:rPr>
                <w:sz w:val="18"/>
                <w:szCs w:val="18"/>
                <w:color w:val="auto"/>
              </w:rPr>
            </w:pPr>
          </w:p>
        </w:tc>
        <w:tc>
          <w:tcPr>
            <w:tcW w:w="19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5"/>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Non-income taxes payable</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legal and other external fees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indemnification holdbacks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 payable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and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r>
      <w:tr>
        <w:trPr>
          <w:trHeight w:val="215"/>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accrued and other current liabilities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w:t>
            </w: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11.Stockholders’ Deficit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22"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The Company’s articles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195" w:lineRule="exact"/>
        <w:rPr>
          <w:sz w:val="20"/>
          <w:szCs w:val="20"/>
          <w:color w:val="auto"/>
        </w:rPr>
      </w:pPr>
    </w:p>
    <w:p>
      <w:pPr>
        <w:jc w:val="both"/>
        <w:ind w:right="80" w:firstLine="392"/>
        <w:spacing w:after="0" w:line="269" w:lineRule="auto"/>
        <w:rPr>
          <w:sz w:val="20"/>
          <w:szCs w:val="20"/>
          <w:color w:val="auto"/>
        </w:rPr>
      </w:pPr>
      <w:r>
        <w:rPr>
          <w:rFonts w:ascii="Times New Roman" w:cs="Times New Roman" w:eastAsia="Times New Roman" w:hAnsi="Times New Roman"/>
          <w:sz w:val="17"/>
          <w:szCs w:val="17"/>
          <w:color w:val="auto"/>
        </w:rPr>
        <w:t>As of September 30, 2026, the Company had authorized 2,400.0 million shares of Class A common stock, 475.0 million shares of Class B common stock, and 800.0 million shares of Class C common stock, each at par value of $0.00001. Holders of Class B common stock voluntarily converted 0.5 million and 1.1 million shares into an equivalent number of shares of Class A common stock during the three and nine months ended September 30, 2026, respectively. Holders of Class B common stock</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voluntarily converted 0.5 million and 1.4 million shares during the three and nine months ended September 30, 2025, respectively.</w:t>
      </w:r>
    </w:p>
    <w:p>
      <w:pPr>
        <w:spacing w:after="0" w:line="249"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7"/>
          <w:szCs w:val="17"/>
          <w:color w:val="auto"/>
        </w:rPr>
        <w:t>As of September 30, 2026, 142.2 million shares of Class A common stock, 74.6 million shares of Class B common stock, and no shares of Class C common stock were issued and outstanding. As of December 31, 2025, 167.2 million shares of Class A common stock, 75.7 million shares of Class B common stock, and no shares of Class C common stock were issued and outstanding. Class A shares issued and outstanding as of September 30, 2026 and December 31, 2025 exclude unvested restricted stock awards granted to certain executives, including 8.3 million unvested restricted stock awards granted to one of the Company's co-founders. See "Co-Founder Grant" section below for additional information.</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53" w:lineRule="exact"/>
        <w:rPr>
          <w:sz w:val="20"/>
          <w:szCs w:val="20"/>
          <w:color w:val="auto"/>
        </w:rPr>
      </w:pPr>
    </w:p>
    <w:p>
      <w:pPr>
        <w:ind w:right="680" w:firstLine="392"/>
        <w:spacing w:after="0" w:line="295" w:lineRule="auto"/>
        <w:rPr>
          <w:sz w:val="20"/>
          <w:szCs w:val="20"/>
          <w:color w:val="auto"/>
        </w:rPr>
      </w:pPr>
      <w:r>
        <w:rPr>
          <w:rFonts w:ascii="Times New Roman" w:cs="Times New Roman" w:eastAsia="Times New Roman" w:hAnsi="Times New Roman"/>
          <w:sz w:val="17"/>
          <w:szCs w:val="17"/>
          <w:color w:val="auto"/>
        </w:rPr>
        <w:t>The Company's Board of Directors has the authority, without further action by the Company's stockholders, to issue up to 240.0 million shares of undesignated preferred stock with rights and preferences, including voting rights, designated from time-to-time by the Board of Directors.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253"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The Board of Directors has authorized a share repurchase program for the repurchase of shares of the Company's Class A common stock. As of September 30, 2026, $1.2 billion remained available for repurchases, including an increase of $900.0 million authorized by the Board of Directors in June 2026.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the Company to repurchase any specific number of shares and may be discontinued at any time.</w:t>
      </w:r>
    </w:p>
    <w:p>
      <w:pPr>
        <w:spacing w:after="0" w:line="106"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During the three and nine months ended September 30, 2026, the Company repurchased and subsequently retired 4.7 million and 31.6 million shares of its Class A common stock, for aggregate amounts of $151.0 million and $839.0 million, respectively. During the three and nine months ended September 30, 2025, the Company repurchased and subsequently retired 13.8 million and 46.0 million shares of its Class A common stock, for aggregate amounts of $393.3 million and $1,300.3 million, respectively. Included in the cost of treasury stock acquired pursuant to common share repurchases is the 1% excise tax imposed as part of the Inflation Reduction Act, in addition to repurchase execution costs incurred in connection with the Company’s share repurchase program.</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253"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Under the 2018 Plan, the Company may grant stock-based awards to purchase or directly issue shares of common stock to employees, directors, and consultants. RSUs and RSAs are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65" w:lineRule="exact"/>
        <w:rPr>
          <w:sz w:val="20"/>
          <w:szCs w:val="20"/>
          <w:color w:val="auto"/>
        </w:rPr>
      </w:pPr>
    </w:p>
    <w:p>
      <w:pPr>
        <w:jc w:val="both"/>
        <w:ind w:right="220" w:firstLine="392"/>
        <w:spacing w:after="0" w:line="276" w:lineRule="auto"/>
        <w:rPr>
          <w:sz w:val="20"/>
          <w:szCs w:val="20"/>
          <w:color w:val="auto"/>
        </w:rPr>
      </w:pPr>
      <w:r>
        <w:rPr>
          <w:rFonts w:ascii="Times New Roman" w:cs="Times New Roman" w:eastAsia="Times New Roman" w:hAnsi="Times New Roman"/>
          <w:sz w:val="17"/>
          <w:szCs w:val="17"/>
          <w:color w:val="auto"/>
        </w:rPr>
        <w:t>As of September 30, 2026, there were 26.2 million stock-based awards issued and outstanding and 136.4 million shares available for issuance under the Dropbox Equity Incentive Plans, Dropbox Sign's 2011 Equity Incentive Plan, DocSend's 2013 Stock Plan and DocSend's 2015 Stock Option and Grant Plan (collectively, the "Plans").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520" w:firstLine="392"/>
        <w:spacing w:after="0" w:line="295" w:lineRule="auto"/>
        <w:rPr>
          <w:sz w:val="20"/>
          <w:szCs w:val="20"/>
          <w:color w:val="auto"/>
        </w:rPr>
      </w:pPr>
      <w:r>
        <w:rPr>
          <w:rFonts w:ascii="Times New Roman" w:cs="Times New Roman" w:eastAsia="Times New Roman" w:hAnsi="Times New Roman"/>
          <w:sz w:val="17"/>
          <w:szCs w:val="17"/>
          <w:color w:val="auto"/>
        </w:rPr>
        <w:t>There was no stock option activity for the nine months ended September 30, 2026. Restricted stock activity for the Plans was as follows for the nine months ended September 30, 2026:</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Balance at December 31, 2025</w:t>
      </w:r>
    </w:p>
    <w:p>
      <w:pPr>
        <w:spacing w:after="0" w:line="6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Additional shares authorized</w:t>
      </w:r>
    </w:p>
    <w:p>
      <w:pPr>
        <w:spacing w:after="0" w:line="53" w:lineRule="exact"/>
        <w:rPr>
          <w:sz w:val="20"/>
          <w:szCs w:val="20"/>
          <w:color w:val="auto"/>
        </w:rPr>
      </w:pPr>
    </w:p>
    <w:p>
      <w:pPr>
        <w:ind w:left="1680" w:right="440"/>
        <w:spacing w:after="0" w:line="275" w:lineRule="auto"/>
        <w:rPr>
          <w:sz w:val="20"/>
          <w:szCs w:val="20"/>
          <w:color w:val="auto"/>
        </w:rPr>
      </w:pPr>
      <w:r>
        <w:rPr>
          <w:rFonts w:ascii="Times New Roman" w:cs="Times New Roman" w:eastAsia="Times New Roman" w:hAnsi="Times New Roman"/>
          <w:sz w:val="17"/>
          <w:szCs w:val="17"/>
          <w:color w:val="auto"/>
        </w:rPr>
        <w:t>Restricted stock units and awards released Restricted stock units and awards canceled</w:t>
      </w:r>
    </w:p>
    <w:p>
      <w:pPr>
        <w:spacing w:after="0" w:line="1" w:lineRule="exact"/>
        <w:rPr>
          <w:sz w:val="20"/>
          <w:szCs w:val="20"/>
          <w:color w:val="auto"/>
        </w:rPr>
      </w:pPr>
    </w:p>
    <w:p>
      <w:pPr>
        <w:ind w:left="1680"/>
        <w:spacing w:after="0" w:line="241" w:lineRule="auto"/>
        <w:rPr>
          <w:sz w:val="20"/>
          <w:szCs w:val="20"/>
          <w:color w:val="auto"/>
        </w:rPr>
      </w:pPr>
      <w:r>
        <w:rPr>
          <w:rFonts w:ascii="Times New Roman" w:cs="Times New Roman" w:eastAsia="Times New Roman" w:hAnsi="Times New Roman"/>
          <w:sz w:val="17"/>
          <w:szCs w:val="17"/>
          <w:color w:val="auto"/>
        </w:rPr>
        <w:t>Shares withheld related to net share settlement of restricted stock units and awards</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Restricted stock units and awards granted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4"/>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Restricted stock</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0" w:type="dxa"/>
            <w:vAlign w:val="bottom"/>
          </w:tcPr>
          <w:p>
            <w:pPr>
              <w:spacing w:after="0"/>
              <w:rPr>
                <w:sz w:val="1"/>
                <w:szCs w:val="1"/>
                <w:color w:val="auto"/>
              </w:rPr>
            </w:pPr>
          </w:p>
        </w:tc>
      </w:tr>
      <w:tr>
        <w:trPr>
          <w:trHeight w:val="156"/>
        </w:trPr>
        <w:tc>
          <w:tcPr>
            <w:tcW w:w="138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7"/>
                <w:szCs w:val="17"/>
                <w:color w:val="auto"/>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center"/>
              <w:ind w:right="113"/>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0"/>
        </w:trPr>
        <w:tc>
          <w:tcPr>
            <w:tcW w:w="138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w w:val="98"/>
              </w:rPr>
              <w:t>shares</w:t>
            </w: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8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7"/>
                <w:szCs w:val="17"/>
                <w:color w:val="auto"/>
              </w:rPr>
              <w:t>available for</w:t>
            </w:r>
          </w:p>
        </w:tc>
        <w:tc>
          <w:tcPr>
            <w:tcW w:w="11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93"/>
              <w:spacing w:after="0" w:line="183" w:lineRule="exact"/>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170"/>
        </w:trPr>
        <w:tc>
          <w:tcPr>
            <w:tcW w:w="138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issuance</w:t>
            </w:r>
          </w:p>
        </w:tc>
        <w:tc>
          <w:tcPr>
            <w:tcW w:w="118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outstanding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3"/>
              <w:spacing w:after="0" w:line="170"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170"/>
        </w:trPr>
        <w:tc>
          <w:tcPr>
            <w:tcW w:w="138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18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3"/>
              <w:spacing w:after="0" w:line="170" w:lineRule="exact"/>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35"/>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7"/>
                <w:szCs w:val="17"/>
                <w:color w:val="auto"/>
              </w:rPr>
              <w:t>per share</w:t>
            </w:r>
          </w:p>
        </w:tc>
        <w:tc>
          <w:tcPr>
            <w:tcW w:w="0" w:type="dxa"/>
            <w:vAlign w:val="bottom"/>
          </w:tcPr>
          <w:p>
            <w:pPr>
              <w:spacing w:after="0"/>
              <w:rPr>
                <w:sz w:val="1"/>
                <w:szCs w:val="1"/>
                <w:color w:val="auto"/>
              </w:rPr>
            </w:pPr>
          </w:p>
        </w:tc>
      </w:tr>
      <w:tr>
        <w:trPr>
          <w:trHeight w:val="215"/>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131.0</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26.24</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209"/>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25.04</w:t>
            </w:r>
          </w:p>
        </w:tc>
        <w:tc>
          <w:tcPr>
            <w:tcW w:w="0" w:type="dxa"/>
            <w:vAlign w:val="bottom"/>
          </w:tcPr>
          <w:p>
            <w:pPr>
              <w:spacing w:after="0"/>
              <w:rPr>
                <w:sz w:val="1"/>
                <w:szCs w:val="1"/>
                <w:color w:val="auto"/>
              </w:rPr>
            </w:pPr>
          </w:p>
        </w:tc>
      </w:tr>
      <w:tr>
        <w:trPr>
          <w:trHeight w:val="227"/>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26.09</w:t>
            </w:r>
          </w:p>
        </w:tc>
        <w:tc>
          <w:tcPr>
            <w:tcW w:w="0" w:type="dxa"/>
            <w:vAlign w:val="bottom"/>
          </w:tcPr>
          <w:p>
            <w:pPr>
              <w:spacing w:after="0"/>
              <w:rPr>
                <w:sz w:val="1"/>
                <w:szCs w:val="1"/>
                <w:color w:val="auto"/>
              </w:rPr>
            </w:pPr>
          </w:p>
        </w:tc>
      </w:tr>
      <w:tr>
        <w:trPr>
          <w:trHeight w:val="400"/>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-2574925</wp:posOffset>
            </wp:positionH>
            <wp:positionV relativeFrom="paragraph">
              <wp:posOffset>-1002030</wp:posOffset>
            </wp:positionV>
            <wp:extent cx="5037455" cy="165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37455" cy="165735"/>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-678815</wp:posOffset>
            </wp:positionV>
            <wp:extent cx="5037455" cy="140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37455" cy="140970"/>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-396240</wp:posOffset>
            </wp:positionV>
            <wp:extent cx="5037455"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37455" cy="25717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00" w:space="620"/>
            <w:col w:w="5520"/>
          </w:cols>
          <w:pgMar w:left="320" w:top="119" w:right="339" w:bottom="1440" w:gutter="0" w:footer="0" w:header="0"/>
          <w:type w:val="continuous"/>
        </w:sectPr>
      </w:pPr>
    </w:p>
    <w:tbl>
      <w:tblPr>
        <w:tblLayout w:type="fixed"/>
        <w:tblInd w:w="1660" w:type="dxa"/>
        <w:tblCellMar>
          <w:top w:w="0" w:type="dxa"/>
          <w:left w:w="0" w:type="dxa"/>
          <w:bottom w:w="0" w:type="dxa"/>
          <w:right w:w="0" w:type="dxa"/>
        </w:tblCellMar>
      </w:tblPr>
      <w:tr>
        <w:trPr>
          <w:trHeight w:val="242"/>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540" w:type="dxa"/>
            <w:vAlign w:val="bottom"/>
            <w:tcBorders>
              <w:top w:val="single" w:sz="8" w:color="CCEEFF"/>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at September 30, 2026</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6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33"/>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September 30, 2026</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54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As of September 30, 2026, unamortized stock-based compensation related to RSAs and RSUs was $667.5 million. The weighted-average period over which such compensation expense will be recognized if the requisite service is provided is approximately 2.8 years as of September 30, 2026.</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Co-Founder Grant</w:t>
      </w:r>
    </w:p>
    <w:p>
      <w:pPr>
        <w:spacing w:after="0" w:line="122"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In December 2017, the Board of Directors approved the Co-Founder Grant, consisting of 10.3 million shares of Class A common stock in the form of RSAs granted to Drew Houston, the Company’s co-founder and Co-Chief Executive Officer. The Co-Founder Grant is subject to service-, market-, and performance-based vesting conditions and is excluded from issued and outstanding shares until vesting. Mr. Houston holds voting rights and rights to cumulative declared dividends prior to vesting.</w:t>
      </w:r>
    </w:p>
    <w:p>
      <w:pPr>
        <w:spacing w:after="0" w:line="195"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The Co-Founder Grant vests over ten years following the Company’s IPO, based on the achievement of stock price targets during a consecutive thirty-day trading period within the Performance Period, which began on January 1, 2019.</w:t>
      </w:r>
    </w:p>
    <w:p>
      <w:pPr>
        <w:spacing w:after="0" w:line="173" w:lineRule="exact"/>
        <w:rPr>
          <w:sz w:val="20"/>
          <w:szCs w:val="20"/>
          <w:color w:val="auto"/>
        </w:rPr>
      </w:pPr>
    </w:p>
    <w:p>
      <w:pPr>
        <w:ind w:right="240" w:firstLine="392"/>
        <w:spacing w:after="0" w:line="276" w:lineRule="auto"/>
        <w:rPr>
          <w:sz w:val="20"/>
          <w:szCs w:val="20"/>
          <w:color w:val="auto"/>
        </w:rPr>
      </w:pPr>
      <w:r>
        <w:rPr>
          <w:rFonts w:ascii="Times New Roman" w:cs="Times New Roman" w:eastAsia="Times New Roman" w:hAnsi="Times New Roman"/>
          <w:sz w:val="17"/>
          <w:szCs w:val="17"/>
          <w:color w:val="auto"/>
        </w:rPr>
        <w:t>The first tranche, or 2.1 million shares, vested in the fourth quarter of 2021. Stock-based compensation expense was recognized over the derived service period using the accelerated attribution method and will not be reversed if the market conditions are not met for the remaining tranches. The stock-based compensation expense related to the Co-Founder Grant was fully recognized as of the fourth quarter of 2024.</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Net Income Per Share</w:t>
      </w:r>
    </w:p>
    <w:p>
      <w:pPr>
        <w:spacing w:after="0" w:line="251"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Basic net income per share is computed by dividing net income attributable to common stockholders by the weighted-average number of shares of the Class A and Class B common stock outstanding.</w:t>
      </w:r>
    </w:p>
    <w:p>
      <w:pPr>
        <w:spacing w:after="0" w:line="173" w:lineRule="exact"/>
        <w:rPr>
          <w:sz w:val="20"/>
          <w:szCs w:val="20"/>
          <w:color w:val="auto"/>
        </w:rPr>
      </w:pPr>
    </w:p>
    <w:p>
      <w:pPr>
        <w:ind w:right="60" w:firstLine="392"/>
        <w:spacing w:after="0" w:line="265" w:lineRule="auto"/>
        <w:rPr>
          <w:sz w:val="20"/>
          <w:szCs w:val="20"/>
          <w:color w:val="auto"/>
        </w:rPr>
      </w:pPr>
      <w:r>
        <w:rPr>
          <w:rFonts w:ascii="Times New Roman" w:cs="Times New Roman" w:eastAsia="Times New Roman" w:hAnsi="Times New Roman"/>
          <w:sz w:val="17"/>
          <w:szCs w:val="17"/>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prior to repayment, and the 2028 Notes, and by application of the treasury stock method for the Company's other potentially dilutive securities.</w:t>
      </w:r>
    </w:p>
    <w:p>
      <w:pPr>
        <w:spacing w:after="0" w:line="200" w:lineRule="exact"/>
        <w:rPr>
          <w:sz w:val="20"/>
          <w:szCs w:val="20"/>
          <w:color w:val="auto"/>
        </w:rPr>
      </w:pPr>
    </w:p>
    <w:p>
      <w:pPr>
        <w:spacing w:after="0" w:line="211"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numerators and denominators of the basic and diluted EPS computations for the Company's common stock are calculated as follows (in millions, except for per share amounts):</w:t>
      </w:r>
    </w:p>
    <w:p>
      <w:pPr>
        <w:spacing w:after="0" w:line="206"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6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6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0" w:type="dxa"/>
            <w:vAlign w:val="bottom"/>
          </w:tcPr>
          <w:p>
            <w:pPr>
              <w:spacing w:after="0"/>
              <w:rPr>
                <w:sz w:val="1"/>
                <w:szCs w:val="1"/>
                <w:color w:val="auto"/>
              </w:rPr>
            </w:pPr>
          </w:p>
        </w:tc>
      </w:tr>
      <w:tr>
        <w:trPr>
          <w:trHeight w:val="202"/>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common share, basic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0.53</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0.53</w:t>
            </w:r>
          </w:p>
        </w:tc>
        <w:tc>
          <w:tcPr>
            <w:tcW w:w="100" w:type="dxa"/>
            <w:vAlign w:val="bottom"/>
          </w:tcPr>
          <w:p>
            <w:pPr>
              <w:spacing w:after="0"/>
              <w:rPr>
                <w:sz w:val="16"/>
                <w:szCs w:val="16"/>
                <w:color w:val="auto"/>
              </w:rPr>
            </w:pPr>
          </w:p>
        </w:tc>
        <w:tc>
          <w:tcPr>
            <w:tcW w:w="260" w:type="dxa"/>
            <w:vAlign w:val="bottom"/>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0.47</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0.47</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Reallocation of net income as a result of conversion of Class B to Class A</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Reallocation of net income to Class B common stock</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 for diluted EPS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116.1</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38.7</w:t>
            </w:r>
          </w:p>
        </w:tc>
        <w:tc>
          <w:tcPr>
            <w:tcW w:w="100" w:type="dxa"/>
            <w:vAlign w:val="bottom"/>
          </w:tcPr>
          <w:p>
            <w:pPr>
              <w:spacing w:after="0"/>
              <w:rPr>
                <w:sz w:val="16"/>
                <w:szCs w:val="16"/>
                <w:color w:val="auto"/>
              </w:rPr>
            </w:pPr>
          </w:p>
        </w:tc>
        <w:tc>
          <w:tcPr>
            <w:tcW w:w="260" w:type="dxa"/>
            <w:vAlign w:val="bottom"/>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123.8</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35.6</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effect of dilutive restricted stock units and awards and</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stock options</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Conversion of Class B to Class A common stock</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5"/>
                <w:szCs w:val="15"/>
                <w:color w:val="auto"/>
              </w:rPr>
              <w:t>Weighted-average number of common shares outstanding used in</w:t>
            </w:r>
          </w:p>
        </w:tc>
        <w:tc>
          <w:tcPr>
            <w:tcW w:w="12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diluted net income per share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per common share, 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0.47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0.47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41"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6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6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0" w:type="dxa"/>
            <w:vAlign w:val="bottom"/>
          </w:tcPr>
          <w:p>
            <w:pPr>
              <w:spacing w:after="0"/>
              <w:rPr>
                <w:sz w:val="1"/>
                <w:szCs w:val="1"/>
                <w:color w:val="auto"/>
              </w:rPr>
            </w:pPr>
          </w:p>
        </w:tc>
      </w:tr>
      <w:tr>
        <w:trPr>
          <w:trHeight w:val="202"/>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common share, basic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16"/>
                <w:szCs w:val="16"/>
                <w:color w:val="auto"/>
              </w:rPr>
            </w:pPr>
          </w:p>
        </w:tc>
        <w:tc>
          <w:tcPr>
            <w:tcW w:w="260" w:type="dxa"/>
            <w:vAlign w:val="bottom"/>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Reallocation of net income as a result of conversion of Class B to Class A</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Reallocation of net income to Class B common stock</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 for diluted EPS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326.4</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107.1</w:t>
            </w:r>
          </w:p>
        </w:tc>
        <w:tc>
          <w:tcPr>
            <w:tcW w:w="100" w:type="dxa"/>
            <w:vAlign w:val="bottom"/>
          </w:tcPr>
          <w:p>
            <w:pPr>
              <w:spacing w:after="0"/>
              <w:rPr>
                <w:sz w:val="16"/>
                <w:szCs w:val="16"/>
                <w:color w:val="auto"/>
              </w:rPr>
            </w:pPr>
          </w:p>
        </w:tc>
        <w:tc>
          <w:tcPr>
            <w:tcW w:w="260" w:type="dxa"/>
            <w:vAlign w:val="bottom"/>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399.7</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109.8</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effect of dilutive restricted stock units and awards and</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stock options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Conversion of Class B to Class A common stock</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5"/>
                <w:szCs w:val="15"/>
                <w:color w:val="auto"/>
              </w:rPr>
              <w:t>Weighted-average number of common shares outstanding used in</w:t>
            </w:r>
          </w:p>
        </w:tc>
        <w:tc>
          <w:tcPr>
            <w:tcW w:w="2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diluted net income per share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per common share,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5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weighted-average impact of potentially dilutive securities that were not included in the diluted per share calculations because they would be anti-dilutive was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2420" w:type="dxa"/>
            <w:vAlign w:val="bottom"/>
            <w:gridSpan w:val="4"/>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4"/>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460" w:type="dxa"/>
            <w:vAlign w:val="bottom"/>
          </w:tcPr>
          <w:p>
            <w:pPr>
              <w:spacing w:after="0"/>
              <w:rPr>
                <w:sz w:val="16"/>
                <w:szCs w:val="16"/>
                <w:color w:val="auto"/>
              </w:rPr>
            </w:pPr>
          </w:p>
        </w:tc>
      </w:tr>
      <w:tr>
        <w:trPr>
          <w:trHeight w:val="232"/>
        </w:trPr>
        <w:tc>
          <w:tcPr>
            <w:tcW w:w="5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60" w:type="dxa"/>
            <w:vAlign w:val="bottom"/>
            <w:tcBorders>
              <w:bottom w:val="single" w:sz="8" w:color="auto"/>
            </w:tcBorders>
          </w:tcPr>
          <w:p>
            <w:pPr>
              <w:spacing w:after="0"/>
              <w:rPr>
                <w:sz w:val="20"/>
                <w:szCs w:val="20"/>
                <w:color w:val="auto"/>
              </w:rPr>
            </w:pPr>
          </w:p>
        </w:tc>
      </w:tr>
      <w:tr>
        <w:trPr>
          <w:trHeight w:val="218"/>
        </w:trPr>
        <w:tc>
          <w:tcPr>
            <w:tcW w:w="5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Pr>
          <w:p>
            <w:pPr>
              <w:spacing w:after="0"/>
              <w:rPr>
                <w:sz w:val="18"/>
                <w:szCs w:val="18"/>
                <w:color w:val="auto"/>
              </w:rPr>
            </w:pPr>
          </w:p>
        </w:tc>
      </w:tr>
      <w:tr>
        <w:trPr>
          <w:trHeight w:val="215"/>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stock units and awards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2"/>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Co-Founder Grant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2"/>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Senior Notes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22"/>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40"/>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251" w:lineRule="exact"/>
        <w:rPr>
          <w:sz w:val="20"/>
          <w:szCs w:val="20"/>
          <w:color w:val="auto"/>
        </w:rPr>
      </w:pPr>
    </w:p>
    <w:p>
      <w:pPr>
        <w:ind w:right="200" w:firstLine="392"/>
        <w:spacing w:after="0" w:line="276" w:lineRule="auto"/>
        <w:rPr>
          <w:sz w:val="20"/>
          <w:szCs w:val="20"/>
          <w:color w:val="auto"/>
        </w:rPr>
      </w:pPr>
      <w:r>
        <w:rPr>
          <w:rFonts w:ascii="Times New Roman" w:cs="Times New Roman" w:eastAsia="Times New Roman" w:hAnsi="Times New Roman"/>
          <w:sz w:val="17"/>
          <w:szCs w:val="17"/>
          <w:color w:val="auto"/>
        </w:rPr>
        <w:t>The Company computed the year-to-date income tax provision by applying the estimated annual effective tax rate to the year-to-date pre-tax income and adjusting for discrete tax items in the period. The Company's provision for income taxes was $13.5 million and $62.3 million for the three and nine months ended September 30, 2026, respectively, and $33.4 million and $74.8 million for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For the three and nine months ended September 30, 2026 and 2025, the difference between the U.S. statutory rate and the Company's effective tax rate was primarily due to the jurisdictional mix of earnings, tax credits, state income taxes, stock-based compensation, and changes to our unrecognized tax benefits.</w:t>
      </w:r>
    </w:p>
    <w:p>
      <w:pPr>
        <w:spacing w:after="0" w:line="173"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September 30, 2026, the Company maintains valuation allowances against its deferred tax assets in certain states and foreign jurisdictions.</w:t>
      </w:r>
    </w:p>
    <w:p>
      <w:pPr>
        <w:spacing w:after="0" w:line="195" w:lineRule="exact"/>
        <w:rPr>
          <w:sz w:val="20"/>
          <w:szCs w:val="20"/>
          <w:color w:val="auto"/>
        </w:rPr>
      </w:pPr>
    </w:p>
    <w:p>
      <w:pPr>
        <w:ind w:right="40" w:firstLine="392"/>
        <w:spacing w:after="0" w:line="259" w:lineRule="auto"/>
        <w:rPr>
          <w:sz w:val="20"/>
          <w:szCs w:val="20"/>
          <w:color w:val="auto"/>
        </w:rPr>
      </w:pPr>
      <w:r>
        <w:rPr>
          <w:rFonts w:ascii="Times New Roman" w:cs="Times New Roman" w:eastAsia="Times New Roman" w:hAnsi="Times New Roman"/>
          <w:sz w:val="17"/>
          <w:szCs w:val="17"/>
          <w:color w:val="auto"/>
        </w:rPr>
        <w:t>The Company is routinely under audit by U.S. federal, state, and local and non-U.S. tax authorities, which may include examinations of the timing and amount of income and deductions and the allocation of income and deductions among various tax jurisdictions. The Internal Revenue Service (IRS) is currently examining the Company’s U.S. consolidated federal income tax returns for the tax years ending December 31, 2022 through December 31, 2024. The Company records liabilities related to uncertain tax positions and believes that it has provided adequate reserves for income tax uncertainties in all open tax years.</w:t>
      </w:r>
    </w:p>
    <w:p>
      <w:pPr>
        <w:spacing w:after="0" w:line="189"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Unrecognized tax benefits increased by $19.2 million during the nine months ended September 30, 2026. The increase was driven by a gross increase in unrecognized tax benefits related to tax positions taken in the period, of which $16.4 million, if recognized, would affect the Company's effective tax rate.</w:t>
      </w:r>
    </w:p>
    <w:p>
      <w:pPr>
        <w:spacing w:after="0" w:line="173"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impacts of OBBBA are reflected in the results for the three and nine months ended September 30, 2026 and 2025.</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Segment Information and Geographic Areas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122" w:lineRule="exact"/>
        <w:rPr>
          <w:sz w:val="20"/>
          <w:szCs w:val="20"/>
          <w:color w:val="auto"/>
        </w:rPr>
      </w:pPr>
    </w:p>
    <w:p>
      <w:pPr>
        <w:ind w:right="100" w:firstLine="431"/>
        <w:spacing w:after="0" w:line="269" w:lineRule="auto"/>
        <w:rPr>
          <w:sz w:val="20"/>
          <w:szCs w:val="20"/>
          <w:color w:val="auto"/>
        </w:rPr>
      </w:pPr>
      <w:r>
        <w:rPr>
          <w:rFonts w:ascii="Times New Roman" w:cs="Times New Roman" w:eastAsia="Times New Roman" w:hAnsi="Times New Roman"/>
          <w:sz w:val="17"/>
          <w:szCs w:val="17"/>
          <w:color w:val="auto"/>
        </w:rPr>
        <w:t>The Company’s chief operating decision-maker (“CODM”), the Chief Executive Officer function, manages the Company's business activities as a single operating and reportable segment at the consolidated level. Accordingly, the CODM uses consolidated net income, as reported on the condensed consolidated statements of operations, to allocate resources as part of the annual planning process and to assess the performance of the Company's single reportable segment, primarily by monitoring actual results versus the annual plan.</w:t>
      </w:r>
    </w:p>
    <w:p>
      <w:pPr>
        <w:spacing w:after="0" w:line="195" w:lineRule="exact"/>
        <w:rPr>
          <w:sz w:val="20"/>
          <w:szCs w:val="20"/>
          <w:color w:val="auto"/>
        </w:rPr>
      </w:pPr>
    </w:p>
    <w:p>
      <w:pPr>
        <w:ind w:right="260" w:firstLine="431"/>
        <w:spacing w:after="0" w:line="266" w:lineRule="auto"/>
        <w:rPr>
          <w:sz w:val="20"/>
          <w:szCs w:val="20"/>
          <w:color w:val="auto"/>
        </w:rPr>
      </w:pPr>
      <w:r>
        <w:rPr>
          <w:rFonts w:ascii="Times New Roman" w:cs="Times New Roman" w:eastAsia="Times New Roman" w:hAnsi="Times New Roman"/>
          <w:sz w:val="17"/>
          <w:szCs w:val="17"/>
          <w:color w:val="auto"/>
        </w:rPr>
        <w:t>The significant expenses reviewed by the CODM are cost of revenue, research and development, sales and marketing, general and administrative, and stock-based compensation, as presented in the condensed consolidated statements of operations. Cost of revenue, research and development, sales and marketing, and general and administrative expenses include depreciation and amortization expenses, which are disclosed in Note 4 "Property and Equipment, Net" and Note 5 "Intangible Assets", respectively. Other segment items consist of interest expense, net, other income, net, and provision for income taxes, as presented in the condensed consolidated statements of operations.</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CODM does not evaluate segment performance using balance sheet information.</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Geographic Areas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Long-lived assets and revenue by geographic region are as follows:</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long-lived assets by geographic area based on the physical location of the operations recording the asset: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760" w:type="dxa"/>
            <w:vAlign w:val="bottom"/>
            <w:tcBorders>
              <w:bottom w:val="single" w:sz="8" w:color="auto"/>
            </w:tcBorders>
          </w:tcPr>
          <w:p>
            <w:pPr>
              <w:spacing w:after="0"/>
              <w:rPr>
                <w:sz w:val="19"/>
                <w:szCs w:val="19"/>
                <w:color w:val="auto"/>
              </w:rPr>
            </w:pPr>
          </w:p>
        </w:tc>
      </w:tr>
      <w:tr>
        <w:trPr>
          <w:trHeight w:val="215"/>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220" w:type="dxa"/>
            <w:vAlign w:val="bottom"/>
          </w:tcPr>
          <w:p>
            <w:pPr>
              <w:spacing w:after="0"/>
              <w:rPr>
                <w:sz w:val="18"/>
                <w:szCs w:val="18"/>
                <w:color w:val="auto"/>
              </w:rPr>
            </w:pPr>
          </w:p>
        </w:tc>
        <w:tc>
          <w:tcPr>
            <w:tcW w:w="17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5"/>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357.2</w:t>
            </w:r>
          </w:p>
        </w:tc>
      </w:tr>
      <w:tr>
        <w:trPr>
          <w:trHeight w:val="222"/>
        </w:trPr>
        <w:tc>
          <w:tcPr>
            <w:tcW w:w="716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4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right="400" w:firstLine="5"/>
        <w:spacing w:after="0"/>
        <w:tabs>
          <w:tab w:leader="none" w:pos="16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No single country other than the United States had a property and equipment balance greater than 10% of total property and equipment, net, as of September 30, 2026 and December 31, 2025.</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ind w:right="20" w:firstLine="392"/>
        <w:spacing w:after="0" w:line="295" w:lineRule="auto"/>
        <w:rPr>
          <w:sz w:val="20"/>
          <w:szCs w:val="20"/>
          <w:color w:val="auto"/>
        </w:rPr>
      </w:pPr>
      <w:r>
        <w:rPr>
          <w:rFonts w:ascii="Times New Roman" w:cs="Times New Roman" w:eastAsia="Times New Roman" w:hAnsi="Times New Roman"/>
          <w:sz w:val="17"/>
          <w:szCs w:val="17"/>
          <w:color w:val="auto"/>
        </w:rPr>
        <w:t>Revenue by geography is generally based on the address of the customer as defined in the Company’s agreement. The following table sets forth revenue by geographic area for the three and nine months ended September 30, 2026 and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20" w:type="dxa"/>
            <w:vAlign w:val="bottom"/>
            <w:gridSpan w:val="4"/>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40" w:type="dxa"/>
            <w:vAlign w:val="bottom"/>
          </w:tcPr>
          <w:p>
            <w:pPr>
              <w:spacing w:after="0"/>
              <w:rPr>
                <w:sz w:val="16"/>
                <w:szCs w:val="16"/>
                <w:color w:val="auto"/>
              </w:rPr>
            </w:pPr>
          </w:p>
        </w:tc>
      </w:tr>
      <w:tr>
        <w:trPr>
          <w:trHeight w:val="229"/>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40" w:type="dxa"/>
            <w:vAlign w:val="bottom"/>
            <w:tcBorders>
              <w:bottom w:val="single" w:sz="8" w:color="auto"/>
            </w:tcBorders>
          </w:tcPr>
          <w:p>
            <w:pPr>
              <w:spacing w:after="0"/>
              <w:rPr>
                <w:sz w:val="19"/>
                <w:szCs w:val="19"/>
                <w:color w:val="auto"/>
              </w:rPr>
            </w:pPr>
          </w:p>
        </w:tc>
      </w:tr>
      <w:tr>
        <w:trPr>
          <w:trHeight w:val="215"/>
        </w:trPr>
        <w:tc>
          <w:tcPr>
            <w:tcW w:w="39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w w:val="93"/>
              </w:rPr>
              <w:t>2025</w:t>
            </w: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357.6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1,066.1</w:t>
            </w:r>
          </w:p>
        </w:tc>
      </w:tr>
      <w:tr>
        <w:trPr>
          <w:trHeight w:val="222"/>
        </w:trPr>
        <w:tc>
          <w:tcPr>
            <w:tcW w:w="396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279.7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278.8</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836.2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818.7</w:t>
            </w: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637.3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1,898.3</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1,884.8</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right="780" w:firstLine="5"/>
        <w:spacing w:after="0"/>
        <w:tabs>
          <w:tab w:leader="none" w:pos="16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No single country outside of the United States accounted for more than 10% of total revenue during the three and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Subsequent Events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Acquisition</w:t>
      </w:r>
    </w:p>
    <w:p>
      <w:pPr>
        <w:spacing w:after="0" w:line="227" w:lineRule="exact"/>
        <w:rPr>
          <w:sz w:val="20"/>
          <w:szCs w:val="20"/>
          <w:color w:val="auto"/>
        </w:rPr>
      </w:pPr>
    </w:p>
    <w:p>
      <w:pPr>
        <w:ind w:right="120" w:firstLine="431"/>
        <w:spacing w:after="0" w:line="269" w:lineRule="auto"/>
        <w:rPr>
          <w:sz w:val="20"/>
          <w:szCs w:val="20"/>
          <w:color w:val="auto"/>
        </w:rPr>
      </w:pPr>
      <w:r>
        <w:rPr>
          <w:rFonts w:ascii="Times New Roman" w:cs="Times New Roman" w:eastAsia="Times New Roman" w:hAnsi="Times New Roman"/>
          <w:sz w:val="17"/>
          <w:szCs w:val="17"/>
          <w:color w:val="auto"/>
        </w:rPr>
        <w:t>On November 3, 2026, the Company entered into a definitive agreement to acquire Tigris Data Inc. (“Tigris”), a globally distributed object storage platform built for AI workloads, for cash consideration of approximately $350.0 million, subject to customary purchase price adjustments. The Company expects this acquisition to enhance its platform services and advance its acceleration into commercial infrastructure. The acquisition is expected to close during the fourth quarter of 2026, subject to the satisfaction or waiver of certain customary closing conditions.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Reduction in Force</w:t>
      </w:r>
    </w:p>
    <w:p>
      <w:pPr>
        <w:spacing w:after="0" w:line="227" w:lineRule="exact"/>
        <w:rPr>
          <w:sz w:val="20"/>
          <w:szCs w:val="20"/>
          <w:color w:val="auto"/>
        </w:rPr>
      </w:pPr>
    </w:p>
    <w:p>
      <w:pPr>
        <w:ind w:firstLine="431"/>
        <w:spacing w:after="0" w:line="262" w:lineRule="auto"/>
        <w:rPr>
          <w:sz w:val="20"/>
          <w:szCs w:val="20"/>
          <w:color w:val="auto"/>
        </w:rPr>
      </w:pPr>
      <w:r>
        <w:rPr>
          <w:rFonts w:ascii="Times New Roman" w:cs="Times New Roman" w:eastAsia="Times New Roman" w:hAnsi="Times New Roman"/>
          <w:sz w:val="17"/>
          <w:szCs w:val="17"/>
          <w:color w:val="auto"/>
        </w:rPr>
        <w:t>On October 28, 2026, the Company announced a reduction of its global workforce by approximately 9% to align the Company’s investments and team structure with its top product and growth priorities and support its long-term strategy. The Company estimates that it will make total cash expenditures of approximately $27 million to $33 million, primarily consisting of severance payments, employee benefits, and related costs. Severance payments include the pro rata portion of the fiscal year 2026 annual employee bonus through October 28 2026, for which the Company has accrued compensation expense through September 30, 2026 . The Company expects to recognize approximately $20 million to $25 million of incremental expense in connection with the reduction in workforce. The Company expects substantially all of the incremental expense to be recognized, and a majority of the cash expenditure to be paid in the fourth quarter of 2026, with the remainder expected to be recognized and paid in 2027. The estimated cash expenditures and incremental expenses are based on certain assumptions, including local law requirements in various jurisdictions, and actual amounts may differ materially from such estimates.</w:t>
      </w:r>
    </w:p>
    <w:p>
      <w:pPr>
        <w:spacing w:after="0" w:line="201" w:lineRule="exact"/>
        <w:rPr>
          <w:sz w:val="20"/>
          <w:szCs w:val="20"/>
          <w:color w:val="auto"/>
        </w:rPr>
      </w:pPr>
    </w:p>
    <w:p>
      <w:pPr>
        <w:ind w:right="380" w:firstLine="431"/>
        <w:spacing w:after="0" w:line="295" w:lineRule="auto"/>
        <w:rPr>
          <w:sz w:val="20"/>
          <w:szCs w:val="20"/>
          <w:color w:val="auto"/>
        </w:rPr>
      </w:pPr>
      <w:r>
        <w:rPr>
          <w:rFonts w:ascii="Times New Roman" w:cs="Times New Roman" w:eastAsia="Times New Roman" w:hAnsi="Times New Roman"/>
          <w:sz w:val="17"/>
          <w:szCs w:val="17"/>
          <w:color w:val="auto"/>
        </w:rPr>
        <w:t>The Company may incur other incremental expenses or cash expenditures not currently contemplated due to unanticipated events that may occur as a result of or in connection with the implementation of the reduction in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9"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ind w:right="960" w:firstLine="392"/>
        <w:spacing w:after="0" w:line="295" w:lineRule="auto"/>
        <w:rPr>
          <w:sz w:val="20"/>
          <w:szCs w:val="20"/>
          <w:color w:val="auto"/>
        </w:rPr>
      </w:pPr>
      <w:r>
        <w:rPr>
          <w:rFonts w:ascii="Times New Roman" w:cs="Times New Roman" w:eastAsia="Times New Roman" w:hAnsi="Times New Roman"/>
          <w:sz w:val="17"/>
          <w:szCs w:val="17"/>
          <w:color w:val="auto"/>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spacing w:after="0" w:line="173"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Since our founding in 2007, our market opportunity has grown as we’ve expanded from keeping files in sync to keeping teams in sync. In a world where using technology at work can be fragmented and distracting, Dropbox makes it easy to focus on the work that matters.</w:t>
      </w:r>
    </w:p>
    <w:p>
      <w:pPr>
        <w:spacing w:after="0" w:line="173"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By solving these universal problems, we’ve become invaluable to our users. The popularity of our platform allows us to scale efficiently. We’ve built a thriving global business with 18.20 million paying users.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Subscription Plans</w:t>
      </w:r>
    </w:p>
    <w:p>
      <w:pPr>
        <w:spacing w:after="0" w:line="120"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We generate revenue from individuals, families, teams, and organizations by selling subscriptions to our platform, which serve the varying needs of our diverse customer base. Our subscriptions include individual licenses through our Plus, Simple, Professional or Essentials plans, or multiple licenses through our Family plan or our Standard, Advanced, Business, Business Plus and Enterprise team plans. We also offer Dash, our AI-powered universal search tool, which we offer to teams at an additional cost. Each team or family represents a separately billed deployment that is managed through a single administrative dashboard. Teams can range from a single user to tens of thousands of users. Families can have up to six users. Customers can choose between an annual or monthly plan, with a small number of large organizations on multi-year plans. A majority of our customers opt for our annual plans, which are offered at a discount compared to our monthly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4"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Our premium subscription plans, such as Professional and Advanced, provide more functionality than our other subscription plans and have higher per user prices. Our team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95"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7"/>
          <w:szCs w:val="17"/>
          <w:color w:val="auto"/>
        </w:rPr>
        <w:t>We also offer DocSend as our secure document sharing and analytics solution. DocSend offers paid subscription plans, including a Personal plan designed for individuals and Standard, Advanced, Advanced Data Rooms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spacing w:after="0" w:line="197"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Dropbox Sign products are offered globally, with pricing primarily denominated in U.S. dollars.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431"/>
        <w:spacing w:after="0" w:line="269" w:lineRule="auto"/>
        <w:rPr>
          <w:sz w:val="20"/>
          <w:szCs w:val="20"/>
          <w:color w:val="auto"/>
        </w:rPr>
      </w:pPr>
      <w:r>
        <w:rPr>
          <w:rFonts w:ascii="Times New Roman" w:cs="Times New Roman" w:eastAsia="Times New Roman" w:hAnsi="Times New Roman"/>
          <w:sz w:val="17"/>
          <w:szCs w:val="17"/>
          <w:color w:val="auto"/>
        </w:rPr>
        <w:t>At the beginning of 2025, we made the strategic decision to significantly reduce investments in FormSwift, our cloud-based service for business forms and agreements, and as of the end of the third quarter of 2026, we completed the wind down of operations, which negatively impacted our annual recurring revenue ("ARR"), revenue and paying users. Prior to the wind down, we offered monthly subscriptions to FormSwift and we typically billed FormSwift customers at the beginning of their respective terms and recognized revenue ratably over the subscription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120"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Model</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Drive new signups</w:t>
      </w:r>
    </w:p>
    <w:p>
      <w:pPr>
        <w:spacing w:after="0" w:line="253" w:lineRule="exact"/>
        <w:rPr>
          <w:sz w:val="20"/>
          <w:szCs w:val="20"/>
          <w:color w:val="auto"/>
        </w:rPr>
      </w:pPr>
    </w:p>
    <w:p>
      <w:pPr>
        <w:ind w:right="280" w:firstLine="392"/>
        <w:spacing w:after="0" w:line="276" w:lineRule="auto"/>
        <w:rPr>
          <w:sz w:val="20"/>
          <w:szCs w:val="20"/>
          <w:color w:val="auto"/>
        </w:rPr>
      </w:pPr>
      <w:r>
        <w:rPr>
          <w:rFonts w:ascii="Times New Roman" w:cs="Times New Roman" w:eastAsia="Times New Roman" w:hAnsi="Times New Roman"/>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 conversion of registered users to our paid subscription plans</w:t>
      </w:r>
    </w:p>
    <w:p>
      <w:pPr>
        <w:spacing w:after="0" w:line="253"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paying user base.</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Upgrade and expand existing customers</w:t>
      </w:r>
    </w:p>
    <w:p>
      <w:pPr>
        <w:spacing w:after="0" w:line="253" w:lineRule="exact"/>
        <w:rPr>
          <w:sz w:val="20"/>
          <w:szCs w:val="20"/>
          <w:color w:val="auto"/>
        </w:rPr>
      </w:pPr>
    </w:p>
    <w:p>
      <w:pPr>
        <w:ind w:firstLine="392"/>
        <w:spacing w:after="0" w:line="265" w:lineRule="auto"/>
        <w:rPr>
          <w:sz w:val="20"/>
          <w:szCs w:val="20"/>
          <w:color w:val="auto"/>
        </w:rPr>
      </w:pPr>
      <w:r>
        <w:rPr>
          <w:rFonts w:ascii="Times New Roman" w:cs="Times New Roman" w:eastAsia="Times New Roman" w:hAnsi="Times New Roman"/>
          <w:sz w:val="17"/>
          <w:szCs w:val="17"/>
          <w:color w:val="auto"/>
        </w:rPr>
        <w:t>We offer a range of paid subscription plans, from Plus, Simple, Professional, and Essentials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Reclaim.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Impact of Macroeconomic and Geopolitical Factors on our Business</w:t>
      </w:r>
    </w:p>
    <w:p>
      <w:pPr>
        <w:spacing w:after="0" w:line="253"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Our overall performance depends in part on worldwide economic and geopolitical conditions and their impact on customer behavior. Uncertain economic conditions including inflation, fluctuations in interest rates, fluctuations in foreign exchange rates, impacts of tariffs and retaliatory actions, geopolitical issues, changes in government administration policy positions, and other conditions may adversely impact our results of operations and financial performance.</w:t>
      </w:r>
    </w:p>
    <w:p>
      <w:pPr>
        <w:spacing w:after="0" w:line="188" w:lineRule="exact"/>
        <w:rPr>
          <w:sz w:val="20"/>
          <w:szCs w:val="20"/>
          <w:color w:val="auto"/>
        </w:rPr>
      </w:pPr>
    </w:p>
    <w:p>
      <w:pPr>
        <w:jc w:val="both"/>
        <w:ind w:right="80" w:firstLine="392"/>
        <w:spacing w:after="0" w:line="269" w:lineRule="auto"/>
        <w:rPr>
          <w:sz w:val="20"/>
          <w:szCs w:val="20"/>
          <w:color w:val="auto"/>
        </w:rPr>
      </w:pPr>
      <w:r>
        <w:rPr>
          <w:rFonts w:ascii="Times New Roman" w:cs="Times New Roman" w:eastAsia="Times New Roman" w:hAnsi="Times New Roman"/>
          <w:sz w:val="17"/>
          <w:szCs w:val="17"/>
          <w:color w:val="auto"/>
        </w:rPr>
        <w:t>During the three and nine months ended September 30, 2026, we outperformed expectations, primarily driven by self-serve Teams growth from simplified pricing and packaging and continued strength in our Individuals plans, reflecting the durability of our core business and robust free cash flow generation. As we advance our recently announced DBX Agent Cloud infrastructure offering, we remain disciplined in scaling investment in step with results, while continuing to expand operating margin.</w:t>
      </w:r>
    </w:p>
    <w:p>
      <w:pPr>
        <w:spacing w:after="0" w:line="195"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Due to our subscription-based business model, any impact of the current macroeconomic environment on our business, particularly as a result of changes in our customer behavior, may not be fully reflected in our results of operations until future periods, if at all. For a further discussion of the potential impacts of the macroeconomic environment on our business, see “Risk Factors” included in Part II, Item 1A. of this report.</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Reductions in Force</w:t>
      </w:r>
    </w:p>
    <w:p>
      <w:pPr>
        <w:spacing w:after="0" w:line="253" w:lineRule="exact"/>
        <w:rPr>
          <w:sz w:val="20"/>
          <w:szCs w:val="20"/>
          <w:color w:val="auto"/>
        </w:rPr>
      </w:pPr>
    </w:p>
    <w:p>
      <w:pPr>
        <w:ind w:right="380" w:firstLine="392"/>
        <w:spacing w:after="0" w:line="276" w:lineRule="auto"/>
        <w:rPr>
          <w:sz w:val="20"/>
          <w:szCs w:val="20"/>
          <w:color w:val="auto"/>
        </w:rPr>
      </w:pPr>
      <w:r>
        <w:rPr>
          <w:rFonts w:ascii="Times New Roman" w:cs="Times New Roman" w:eastAsia="Times New Roman" w:hAnsi="Times New Roman"/>
          <w:sz w:val="17"/>
          <w:szCs w:val="17"/>
          <w:color w:val="auto"/>
        </w:rPr>
        <w:t>During the second and third quarters of 2026, we executed various immaterial reductions in workforce in order to streamline and unify the Company's organizations (the "second and third quarter 2026 reductions in workforce"). The related expenses such as severance, benefits and other related items are included in the financial results for the three and nine months ended September 30, 2026.</w:t>
      </w:r>
    </w:p>
    <w:p>
      <w:pPr>
        <w:spacing w:after="0" w:line="188" w:lineRule="exact"/>
        <w:rPr>
          <w:sz w:val="20"/>
          <w:szCs w:val="20"/>
          <w:color w:val="auto"/>
        </w:rPr>
      </w:pPr>
    </w:p>
    <w:p>
      <w:pPr>
        <w:ind w:right="340" w:firstLine="392"/>
        <w:spacing w:after="0" w:line="276" w:lineRule="auto"/>
        <w:rPr>
          <w:sz w:val="20"/>
          <w:szCs w:val="20"/>
          <w:color w:val="auto"/>
        </w:rPr>
      </w:pPr>
      <w:r>
        <w:rPr>
          <w:rFonts w:ascii="Times New Roman" w:cs="Times New Roman" w:eastAsia="Times New Roman" w:hAnsi="Times New Roman"/>
          <w:sz w:val="17"/>
          <w:szCs w:val="17"/>
          <w:color w:val="auto"/>
        </w:rPr>
        <w:t>On October 28, 2026, we announced an additional reduction of our global workforce by approximately 9% to align our investments and team structure with our top product and growth priorities and support our long-term strategy (together with the second and third quarter 2026 reductions in workforce, the "2026 reductions in workforce"). Refer to Note 15. "Subsequent Events"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251"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Total annual recurring revenue</w:t>
      </w:r>
    </w:p>
    <w:p>
      <w:pPr>
        <w:spacing w:after="0" w:line="122"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197"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period of the acquisition. We adjust the exchange rates used to calculate Total ARR on an annual basis at the beginning of each fiscal year.</w:t>
      </w:r>
    </w:p>
    <w:p>
      <w:pPr>
        <w:spacing w:after="0" w:line="195" w:lineRule="exact"/>
        <w:rPr>
          <w:sz w:val="20"/>
          <w:szCs w:val="20"/>
          <w:color w:val="auto"/>
        </w:rPr>
      </w:pPr>
    </w:p>
    <w:p>
      <w:pPr>
        <w:ind w:right="220" w:firstLine="392"/>
        <w:spacing w:after="0" w:line="276" w:lineRule="auto"/>
        <w:rPr>
          <w:sz w:val="20"/>
          <w:szCs w:val="20"/>
          <w:color w:val="auto"/>
        </w:rPr>
      </w:pPr>
      <w:r>
        <w:rPr>
          <w:rFonts w:ascii="Times New Roman" w:cs="Times New Roman" w:eastAsia="Times New Roman" w:hAnsi="Times New Roman"/>
          <w:sz w:val="17"/>
          <w:szCs w:val="17"/>
          <w:color w:val="auto"/>
        </w:rPr>
        <w:t>Our ARR fluctuates and may decrease in some periods as compared to prior periods. In the near term, ARR has experienced and may continue to experience a slight decline, primarily reflecting our strategic decision to significantly reduce investments in FormSwift at the beginning of 2025 as well as the winding down of operations which was completed as of the end of the third quarter of 2026.</w:t>
      </w:r>
    </w:p>
    <w:p>
      <w:pPr>
        <w:spacing w:after="0" w:line="188"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Total ARR increased for the period ended September 30, 2026, compared to the periods ended December 31, 2025 and September 30, 2025, primarily driven by a favorable impact of changes in foreign exchange rates across multiple currencies relative to the U.S. dollar and growth in Teams plans, offset by the impact of the FormSwift wind down.</w:t>
      </w:r>
    </w:p>
    <w:p>
      <w:pPr>
        <w:spacing w:after="0" w:line="188" w:lineRule="exact"/>
        <w:rPr>
          <w:sz w:val="20"/>
          <w:szCs w:val="20"/>
          <w:color w:val="auto"/>
        </w:rPr>
      </w:pPr>
    </w:p>
    <w:p>
      <w:pPr>
        <w:ind w:right="500" w:firstLine="392"/>
        <w:spacing w:after="0" w:line="295" w:lineRule="auto"/>
        <w:rPr>
          <w:sz w:val="20"/>
          <w:szCs w:val="20"/>
          <w:color w:val="auto"/>
        </w:rPr>
      </w:pPr>
      <w:r>
        <w:rPr>
          <w:rFonts w:ascii="Times New Roman" w:cs="Times New Roman" w:eastAsia="Times New Roman" w:hAnsi="Times New Roman"/>
          <w:sz w:val="17"/>
          <w:szCs w:val="17"/>
          <w:color w:val="auto"/>
        </w:rPr>
        <w:t>The below tables set forth our Total ARR using the exchange rates set at the beginning of the applicable year, as well as on a constant currency basis relative to the exchange rates used in 2026.</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20" w:type="dxa"/>
            <w:vAlign w:val="bottom"/>
            <w:tcBorders>
              <w:bottom w:val="single" w:sz="8" w:color="auto"/>
            </w:tcBorders>
          </w:tcPr>
          <w:p>
            <w:pPr>
              <w:spacing w:after="0"/>
              <w:rPr>
                <w:sz w:val="19"/>
                <w:szCs w:val="19"/>
                <w:color w:val="auto"/>
              </w:rPr>
            </w:pPr>
          </w:p>
        </w:tc>
      </w:tr>
      <w:tr>
        <w:trPr>
          <w:trHeight w:val="215"/>
        </w:trPr>
        <w:tc>
          <w:tcPr>
            <w:tcW w:w="5060" w:type="dxa"/>
            <w:vAlign w:val="bottom"/>
          </w:tcPr>
          <w:p>
            <w:pPr>
              <w:spacing w:after="0"/>
              <w:rPr>
                <w:sz w:val="18"/>
                <w:szCs w:val="18"/>
                <w:color w:val="auto"/>
              </w:rPr>
            </w:pPr>
          </w:p>
        </w:tc>
        <w:tc>
          <w:tcPr>
            <w:tcW w:w="21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2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September 30, 2025</w:t>
            </w:r>
          </w:p>
        </w:tc>
      </w:tr>
      <w:tr>
        <w:trPr>
          <w:trHeight w:val="215"/>
        </w:trPr>
        <w:tc>
          <w:tcPr>
            <w:tcW w:w="5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60" w:type="dxa"/>
            <w:vAlign w:val="bottom"/>
          </w:tcPr>
          <w:p>
            <w:pPr>
              <w:jc w:val="center"/>
              <w:ind w:right="1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920" w:type="dxa"/>
            <w:vAlign w:val="bottom"/>
          </w:tcPr>
          <w:p>
            <w:pPr>
              <w:spacing w:after="0"/>
              <w:rPr>
                <w:sz w:val="18"/>
                <w:szCs w:val="18"/>
                <w:color w:val="auto"/>
              </w:rPr>
            </w:pPr>
          </w:p>
        </w:tc>
      </w:tr>
      <w:tr>
        <w:trPr>
          <w:trHeight w:val="222"/>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ARR</w:t>
            </w:r>
          </w:p>
        </w:tc>
        <w:tc>
          <w:tcPr>
            <w:tcW w:w="21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$2,555</w:t>
            </w:r>
          </w:p>
        </w:tc>
        <w:tc>
          <w:tcPr>
            <w:tcW w:w="2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$2,526</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$2,536</w:t>
            </w:r>
          </w:p>
        </w:tc>
      </w:tr>
      <w:tr>
        <w:trPr>
          <w:trHeight w:val="575"/>
        </w:trPr>
        <w:tc>
          <w:tcPr>
            <w:tcW w:w="506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Constant Currency</w:t>
            </w:r>
          </w:p>
        </w:tc>
        <w:tc>
          <w:tcPr>
            <w:tcW w:w="21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2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September 30, 2025</w:t>
            </w:r>
          </w:p>
        </w:tc>
      </w:tr>
      <w:tr>
        <w:trPr>
          <w:trHeight w:val="215"/>
        </w:trPr>
        <w:tc>
          <w:tcPr>
            <w:tcW w:w="5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60" w:type="dxa"/>
            <w:vAlign w:val="bottom"/>
          </w:tcPr>
          <w:p>
            <w:pPr>
              <w:jc w:val="center"/>
              <w:ind w:right="1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920" w:type="dxa"/>
            <w:vAlign w:val="bottom"/>
          </w:tcPr>
          <w:p>
            <w:pPr>
              <w:spacing w:after="0"/>
              <w:rPr>
                <w:sz w:val="18"/>
                <w:szCs w:val="18"/>
                <w:color w:val="auto"/>
              </w:rPr>
            </w:pPr>
          </w:p>
        </w:tc>
      </w:tr>
      <w:tr>
        <w:trPr>
          <w:trHeight w:val="222"/>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ARR</w:t>
            </w:r>
          </w:p>
        </w:tc>
        <w:tc>
          <w:tcPr>
            <w:tcW w:w="21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$2,555</w:t>
            </w:r>
          </w:p>
        </w:tc>
        <w:tc>
          <w:tcPr>
            <w:tcW w:w="2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$2,562</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Paying users</w:t>
      </w:r>
    </w:p>
    <w:p>
      <w:pPr>
        <w:spacing w:after="0" w:line="109" w:lineRule="exact"/>
        <w:rPr>
          <w:sz w:val="20"/>
          <w:szCs w:val="20"/>
          <w:color w:val="auto"/>
        </w:rPr>
      </w:pPr>
    </w:p>
    <w:p>
      <w:pPr>
        <w:ind w:firstLine="392"/>
        <w:spacing w:after="0" w:line="251" w:lineRule="auto"/>
        <w:rPr>
          <w:sz w:val="20"/>
          <w:szCs w:val="20"/>
          <w:color w:val="auto"/>
        </w:rPr>
      </w:pPr>
      <w:r>
        <w:rPr>
          <w:rFonts w:ascii="Times New Roman" w:cs="Times New Roman" w:eastAsia="Times New Roman" w:hAnsi="Times New Roman"/>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spacing w:after="0" w:line="200" w:lineRule="exact"/>
        <w:rPr>
          <w:sz w:val="20"/>
          <w:szCs w:val="20"/>
          <w:color w:val="auto"/>
        </w:rPr>
      </w:pPr>
    </w:p>
    <w:p>
      <w:pPr>
        <w:spacing w:after="0" w:line="211"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For DocSend and Reclaim, we define paying users as the number of users who have active paid licenses for access to our platform as of the end of the period.</w:t>
      </w:r>
    </w:p>
    <w:p>
      <w:pPr>
        <w:spacing w:after="0" w:line="173" w:lineRule="exact"/>
        <w:rPr>
          <w:sz w:val="20"/>
          <w:szCs w:val="20"/>
          <w:color w:val="auto"/>
        </w:rPr>
      </w:pPr>
    </w:p>
    <w:p>
      <w:pPr>
        <w:ind w:right="140" w:firstLine="392"/>
        <w:spacing w:after="0" w:line="266" w:lineRule="auto"/>
        <w:rPr>
          <w:sz w:val="20"/>
          <w:szCs w:val="20"/>
          <w:color w:val="auto"/>
        </w:rPr>
      </w:pPr>
      <w:r>
        <w:rPr>
          <w:rFonts w:ascii="Times New Roman" w:cs="Times New Roman" w:eastAsia="Times New Roman" w:hAnsi="Times New Roman"/>
          <w:sz w:val="17"/>
          <w:szCs w:val="17"/>
          <w:color w:val="auto"/>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97" w:lineRule="exact"/>
        <w:rPr>
          <w:sz w:val="20"/>
          <w:szCs w:val="20"/>
          <w:color w:val="auto"/>
        </w:rPr>
      </w:pPr>
    </w:p>
    <w:p>
      <w:pPr>
        <w:jc w:val="both"/>
        <w:ind w:right="40" w:firstLine="392"/>
        <w:spacing w:after="0" w:line="276" w:lineRule="auto"/>
        <w:rPr>
          <w:sz w:val="20"/>
          <w:szCs w:val="20"/>
          <w:color w:val="auto"/>
        </w:rPr>
      </w:pPr>
      <w:r>
        <w:rPr>
          <w:rFonts w:ascii="Times New Roman" w:cs="Times New Roman" w:eastAsia="Times New Roman" w:hAnsi="Times New Roman"/>
          <w:sz w:val="17"/>
          <w:szCs w:val="17"/>
          <w:color w:val="auto"/>
        </w:rPr>
        <w:t>The number of paying users as of September 30, 2026 increased as compared to December 31, 2025 and September 30, 2025, largely due to growth in our Simple plan and slight growth in Teams plans, offset by the completion of the wind down of FormSwift as of the end of the third quarter of 2026. We expect that the total number of paying users will continue to fluctuate from period to period and may decrease in some periods as compared to prior periods.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below table sets forth the number of paying users as of September 30, 2026, December 31, 2025, and September 30,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20" w:type="dxa"/>
            <w:vAlign w:val="bottom"/>
            <w:tcBorders>
              <w:bottom w:val="single" w:sz="8" w:color="auto"/>
            </w:tcBorders>
          </w:tcPr>
          <w:p>
            <w:pPr>
              <w:spacing w:after="0"/>
              <w:rPr>
                <w:sz w:val="19"/>
                <w:szCs w:val="19"/>
                <w:color w:val="auto"/>
              </w:rPr>
            </w:pPr>
          </w:p>
        </w:tc>
      </w:tr>
      <w:tr>
        <w:trPr>
          <w:trHeight w:val="215"/>
        </w:trPr>
        <w:tc>
          <w:tcPr>
            <w:tcW w:w="5080" w:type="dxa"/>
            <w:vAlign w:val="bottom"/>
          </w:tcPr>
          <w:p>
            <w:pPr>
              <w:spacing w:after="0"/>
              <w:rPr>
                <w:sz w:val="18"/>
                <w:szCs w:val="18"/>
                <w:color w:val="auto"/>
              </w:rPr>
            </w:pPr>
          </w:p>
        </w:tc>
        <w:tc>
          <w:tcPr>
            <w:tcW w:w="21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20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September 30, 2025</w:t>
            </w:r>
          </w:p>
        </w:tc>
      </w:tr>
      <w:tr>
        <w:trPr>
          <w:trHeight w:val="215"/>
        </w:trPr>
        <w:tc>
          <w:tcPr>
            <w:tcW w:w="50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40" w:type="dxa"/>
            <w:vAlign w:val="bottom"/>
          </w:tcPr>
          <w:p>
            <w:pPr>
              <w:jc w:val="center"/>
              <w:ind w:right="1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920" w:type="dxa"/>
            <w:vAlign w:val="bottom"/>
          </w:tcPr>
          <w:p>
            <w:pPr>
              <w:spacing w:after="0"/>
              <w:rPr>
                <w:sz w:val="18"/>
                <w:szCs w:val="18"/>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Paying users</w:t>
            </w:r>
          </w:p>
        </w:tc>
        <w:tc>
          <w:tcPr>
            <w:tcW w:w="21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18.20</w:t>
            </w:r>
          </w:p>
        </w:tc>
        <w:tc>
          <w:tcPr>
            <w:tcW w:w="2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18.08</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r>
    </w:tbl>
    <w:p>
      <w:pPr>
        <w:spacing w:after="0" w:line="200" w:lineRule="exact"/>
        <w:rPr>
          <w:sz w:val="20"/>
          <w:szCs w:val="20"/>
          <w:color w:val="auto"/>
        </w:rPr>
      </w:pPr>
    </w:p>
    <w:p>
      <w:pPr>
        <w:spacing w:after="0" w:line="3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Average revenue per paying user</w:t>
      </w:r>
    </w:p>
    <w:p>
      <w:pPr>
        <w:spacing w:after="0" w:line="122" w:lineRule="exact"/>
        <w:rPr>
          <w:sz w:val="20"/>
          <w:szCs w:val="20"/>
          <w:color w:val="auto"/>
        </w:rPr>
      </w:pPr>
    </w:p>
    <w:p>
      <w:pPr>
        <w:jc w:val="both"/>
        <w:ind w:right="20" w:firstLine="392"/>
        <w:spacing w:after="0" w:line="269" w:lineRule="auto"/>
        <w:rPr>
          <w:sz w:val="20"/>
          <w:szCs w:val="20"/>
          <w:color w:val="auto"/>
        </w:rPr>
      </w:pPr>
      <w:r>
        <w:rPr>
          <w:rFonts w:ascii="Times New Roman" w:cs="Times New Roman" w:eastAsia="Times New Roman" w:hAnsi="Times New Roman"/>
          <w:sz w:val="17"/>
          <w:szCs w:val="17"/>
          <w:color w:val="auto"/>
        </w:rPr>
        <w:t>We define average revenue per paying user, or ARPU, as our subscription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300" w:lineRule="exact"/>
        <w:rPr>
          <w:sz w:val="20"/>
          <w:szCs w:val="20"/>
          <w:color w:val="auto"/>
        </w:rPr>
      </w:pPr>
    </w:p>
    <w:p>
      <w:pPr>
        <w:ind w:right="180" w:firstLine="431"/>
        <w:spacing w:after="0" w:line="266" w:lineRule="auto"/>
        <w:rPr>
          <w:sz w:val="20"/>
          <w:szCs w:val="20"/>
          <w:color w:val="auto"/>
        </w:rPr>
      </w:pPr>
      <w:r>
        <w:rPr>
          <w:rFonts w:ascii="Times New Roman" w:cs="Times New Roman" w:eastAsia="Times New Roman" w:hAnsi="Times New Roman"/>
          <w:sz w:val="17"/>
          <w:szCs w:val="17"/>
          <w:color w:val="auto"/>
        </w:rPr>
        <w:t>The average revenue per paying user decreased for the three months ended September 30, 2026 as compared to the three months ended September 30, 2025, as a result of an increased mix of sales toward lower priced plans, such as Simple. The average revenue per paying user increased for the nine months ended September 30, 2026 as compared to the nine months ended September 30, 2025, as a result of the favorable impact of changes in foreign exchange rates across multiple currencies relative to the U.S. dollar and a shift to monthly subscription plans, offset by an increased mix of sales toward lower priced plans, such as Simple.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below table sets forth our ARPU for the three and nine months ended September 30, 2026 and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0" w:type="dxa"/>
            <w:vAlign w:val="bottom"/>
            <w:gridSpan w:val="5"/>
          </w:tcPr>
          <w:p>
            <w:pPr>
              <w:ind w:left="6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20" w:type="dxa"/>
            <w:vAlign w:val="bottom"/>
          </w:tcPr>
          <w:p>
            <w:pPr>
              <w:spacing w:after="0"/>
              <w:rPr>
                <w:sz w:val="16"/>
                <w:szCs w:val="16"/>
                <w:color w:val="auto"/>
              </w:rPr>
            </w:pPr>
          </w:p>
        </w:tc>
        <w:tc>
          <w:tcPr>
            <w:tcW w:w="2220" w:type="dxa"/>
            <w:vAlign w:val="bottom"/>
            <w:gridSpan w:val="3"/>
          </w:tcPr>
          <w:p>
            <w:pPr>
              <w:jc w:val="center"/>
              <w:ind w:left="59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100" w:type="dxa"/>
            <w:vAlign w:val="bottom"/>
          </w:tcPr>
          <w:p>
            <w:pPr>
              <w:spacing w:after="0"/>
              <w:rPr>
                <w:sz w:val="16"/>
                <w:szCs w:val="16"/>
                <w:color w:val="auto"/>
              </w:rPr>
            </w:pPr>
          </w:p>
        </w:tc>
      </w:tr>
      <w:tr>
        <w:trPr>
          <w:trHeight w:val="229"/>
        </w:trPr>
        <w:tc>
          <w:tcPr>
            <w:tcW w:w="36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center"/>
              <w:ind w:left="5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5"/>
        </w:trPr>
        <w:tc>
          <w:tcPr>
            <w:tcW w:w="36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1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ARPU</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138.89</w:t>
            </w:r>
          </w:p>
        </w:tc>
      </w:tr>
      <w:tr>
        <w:trPr>
          <w:trHeight w:val="836"/>
        </w:trPr>
        <w:tc>
          <w:tcPr>
            <w:tcW w:w="3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color w:val="auto"/>
              </w:rPr>
              <w:t>42</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1"/>
        </w:trPr>
        <w:tc>
          <w:tcPr>
            <w:tcW w:w="36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w:t>
      </w:r>
    </w:p>
    <w:p>
      <w:pPr>
        <w:spacing w:after="0" w:line="251"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122"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6" w:lineRule="exact"/>
        <w:rPr>
          <w:sz w:val="20"/>
          <w:szCs w:val="20"/>
          <w:color w:val="auto"/>
        </w:rPr>
      </w:pPr>
    </w:p>
    <w:p>
      <w:pPr>
        <w:ind w:right="20" w:firstLine="392"/>
        <w:spacing w:after="0" w:line="279" w:lineRule="auto"/>
        <w:rPr>
          <w:sz w:val="20"/>
          <w:szCs w:val="20"/>
          <w:color w:val="auto"/>
        </w:rPr>
      </w:pPr>
      <w:r>
        <w:rPr>
          <w:rFonts w:ascii="Times New Roman" w:cs="Times New Roman" w:eastAsia="Times New Roman" w:hAnsi="Times New Roman"/>
          <w:sz w:val="17"/>
          <w:szCs w:val="17"/>
          <w:color w:val="auto"/>
        </w:rPr>
        <w:t>Our FCF decreased for the nine months ended September 30, 2026, compared to the nine months ended September 30, 2025, primarily due to a decrease in cash provided by operating activities, reflecting higher interest payments associated with borrowings under our term loan facility, which is fully drawn.</w:t>
      </w:r>
    </w:p>
    <w:p>
      <w:pPr>
        <w:spacing w:after="0" w:line="173" w:lineRule="exact"/>
        <w:rPr>
          <w:sz w:val="20"/>
          <w:szCs w:val="20"/>
          <w:color w:val="auto"/>
        </w:rPr>
      </w:pPr>
    </w:p>
    <w:p>
      <w:pPr>
        <w:ind w:right="60" w:firstLine="392"/>
        <w:spacing w:after="0" w:line="250" w:lineRule="auto"/>
        <w:rPr>
          <w:sz w:val="20"/>
          <w:szCs w:val="20"/>
          <w:color w:val="auto"/>
        </w:rPr>
      </w:pPr>
      <w:r>
        <w:rPr>
          <w:rFonts w:ascii="Times New Roman" w:cs="Times New Roman" w:eastAsia="Times New Roman" w:hAnsi="Times New Roman"/>
          <w:sz w:val="17"/>
          <w:szCs w:val="17"/>
          <w:color w:val="auto"/>
        </w:rPr>
        <w:t>We expect our FCF to fluctuate in the near term due to ongoing operating efficiency initiatives, partly due to our 2026 reductions in workforce, and variability in interest payments now that our term loan facility is fully drawn, as well as fluctuations in market interest rates. We expect capital expenditures will generally remain consistent in future periods as we continue to invest in our internal infrastructure, network and security, except for a one-time incremental investment related to the build-out of our new San Francisco, California headquarters, which we expect to complete this year. The timing of our operating expenses as described below, may cause FCF to vary from period to period as a percentage of revenue.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is a reconciliation of FCF to the most comparable GAAP measure, net cash provided by operating activities:</w:t>
      </w:r>
    </w:p>
    <w:p>
      <w:pPr>
        <w:spacing w:after="0" w:line="374"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480" w:type="dxa"/>
            <w:vAlign w:val="bottom"/>
            <w:gridSpan w:val="2"/>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702.2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716.4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3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3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690.3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705.9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1693"/>
              <w:spacing w:after="0"/>
              <w:rPr>
                <w:sz w:val="20"/>
                <w:szCs w:val="20"/>
                <w:color w:val="auto"/>
              </w:rPr>
            </w:pPr>
            <w:r>
              <w:rPr>
                <w:rFonts w:ascii="Times New Roman" w:cs="Times New Roman" w:eastAsia="Times New Roman" w:hAnsi="Times New Roman"/>
                <w:sz w:val="17"/>
                <w:szCs w:val="17"/>
                <w:color w:val="auto"/>
              </w:rPr>
              <w:t>43</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2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0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generate revenue from sales of subscriptions to our platform.</w:t>
      </w:r>
    </w:p>
    <w:p>
      <w:pPr>
        <w:spacing w:after="0" w:line="249"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95"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Our revenue is driven primarily by conversions and upsells to our paid plans. We also generate revenue from transaction based products. We generate over 90% of our revenue from self-serve channels. No customer represented more than 1% of our revenue in the periods presented.</w:t>
      </w:r>
    </w:p>
    <w:p>
      <w:pPr>
        <w:spacing w:after="0" w:line="173"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7"/>
          <w:szCs w:val="17"/>
          <w:color w:val="auto"/>
        </w:rPr>
        <w:t>Our revenue growth is impacted by both the number of paying users and our ability to increase the average revenue per paying user. Our overall paying user growth rate has declined, and we expect growth in paying users to fluctuate from period to period in the future. While we have started to see signs of improving growth in net new paying users, if we do not successfully reverse the trend of decreasing average revenue per paying user, for example through increased sales of our higher-priced subscription plans, or otherwise offset slower growth or declines in paying users, we expect our revenue and revenue growth rate to continue decreasing.</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and gross margin</w:t>
      </w:r>
    </w:p>
    <w:p>
      <w:pPr>
        <w:spacing w:after="0" w:line="120"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Our cost of revenue consists primarily of expenses associated with the storage, delivery, and distribution of our platform for both paying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expenses related to our second and third quarter 2026 reductions in workforce such as severance, benefits, and other related items,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property taxes related to datacenter equipment, and copyright levies or similar fees imposed by collection agencies in European and other jurisdictions.</w:t>
      </w:r>
    </w:p>
    <w:p>
      <w:pPr>
        <w:spacing w:after="0" w:line="202"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71" w:lineRule="exact"/>
        <w:rPr>
          <w:sz w:val="20"/>
          <w:szCs w:val="20"/>
          <w:color w:val="auto"/>
        </w:rPr>
      </w:pPr>
    </w:p>
    <w:p>
      <w:pPr>
        <w:ind w:right="400" w:firstLine="392"/>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Gross margin is gross profit expressed as a percentage of revenue. Our gross margin may fluctuate from period to period based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timing of capital expenditures and the related depreciation expense, or other increases in our infrastructure costs, as well as revenue fluctuations. We expect gross margin to remain relatively constant in future periods.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0"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Our research and development expenses consist primarily of employee-related costs for our engineering, product, and design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teams, expenses related to our second and third quarter 2026 reductions in workforce such as severance, benefits and other related items,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202" w:lineRule="exact"/>
        <w:rPr>
          <w:sz w:val="20"/>
          <w:szCs w:val="20"/>
          <w:color w:val="auto"/>
        </w:rPr>
      </w:pPr>
    </w:p>
    <w:p>
      <w:pPr>
        <w:ind w:right="180" w:firstLine="392"/>
        <w:spacing w:after="0" w:line="295" w:lineRule="auto"/>
        <w:rPr>
          <w:sz w:val="20"/>
          <w:szCs w:val="20"/>
          <w:color w:val="auto"/>
        </w:rPr>
      </w:pPr>
      <w:r>
        <w:rPr>
          <w:rFonts w:ascii="Times New Roman" w:cs="Times New Roman" w:eastAsia="Times New Roman" w:hAnsi="Times New Roman"/>
          <w:sz w:val="17"/>
          <w:szCs w:val="17"/>
          <w:color w:val="auto"/>
        </w:rPr>
        <w:t>We expect that research and development costs will decrease in absolute dollars and as a percentage of revenue in future periods as a result of our 2026 reductions in workforce and as we continue to drive operating efficiencies across the business, partially offset by ongoing investment in key growth initiatives.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i w:val="1"/>
          <w:iCs w:val="1"/>
          <w:color w:val="auto"/>
        </w:rPr>
        <w:t>Sales and marketing</w:t>
      </w:r>
      <w:r>
        <w:rPr>
          <w:rFonts w:ascii="Times New Roman" w:cs="Times New Roman" w:eastAsia="Times New Roman" w:hAnsi="Times New Roman"/>
          <w:sz w:val="17"/>
          <w:szCs w:val="17"/>
          <w:color w:val="auto"/>
        </w:rPr>
        <w:t>. Our sales and marketing expenses relate to both self-serve and outbound sales activities, and consist primarily of employee-related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costs, expenses related to our second and third quarter 2026 reductions in workforce such as severance, benefits, and other related items,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202" w:lineRule="exact"/>
        <w:rPr>
          <w:sz w:val="20"/>
          <w:szCs w:val="20"/>
          <w:color w:val="auto"/>
        </w:rPr>
      </w:pPr>
    </w:p>
    <w:p>
      <w:pPr>
        <w:ind w:right="20" w:firstLine="431"/>
        <w:spacing w:after="0" w:line="295" w:lineRule="auto"/>
        <w:rPr>
          <w:sz w:val="20"/>
          <w:szCs w:val="20"/>
          <w:color w:val="auto"/>
        </w:rPr>
      </w:pPr>
      <w:r>
        <w:rPr>
          <w:rFonts w:ascii="Times New Roman" w:cs="Times New Roman" w:eastAsia="Times New Roman" w:hAnsi="Times New Roman"/>
          <w:sz w:val="17"/>
          <w:szCs w:val="17"/>
          <w:color w:val="auto"/>
        </w:rPr>
        <w:t>We expect that sales and marketing expenses could fluctuate in absolute dollars in future periods as a result of our 2026 reductions in workforce and as we seek to grow our user base and increase our brand awareness while also retaining flexibility to invest in growth.</w:t>
      </w:r>
    </w:p>
    <w:p>
      <w:pPr>
        <w:spacing w:after="0" w:line="171" w:lineRule="exact"/>
        <w:rPr>
          <w:sz w:val="20"/>
          <w:szCs w:val="20"/>
          <w:color w:val="auto"/>
        </w:rPr>
      </w:pPr>
    </w:p>
    <w:p>
      <w:pPr>
        <w:ind w:right="120" w:firstLine="392"/>
        <w:spacing w:after="0" w:line="270"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Our general and administrative expenses consist primarily of employee-related costs for our legal, finance, human resources,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administrative teams, as well as certain executives. In addition, general and administrative expenses include expenses related to our second and third quarter 2026 reductions in workforce such as severance, benefits, and other related items, allocated overhead, outside legal, accounting and other professional fees, and non income-based taxes.</w:t>
      </w:r>
    </w:p>
    <w:p>
      <w:pPr>
        <w:spacing w:after="0" w:line="194" w:lineRule="exact"/>
        <w:rPr>
          <w:sz w:val="20"/>
          <w:szCs w:val="20"/>
          <w:color w:val="auto"/>
        </w:rPr>
      </w:pPr>
    </w:p>
    <w:p>
      <w:pPr>
        <w:ind w:right="520" w:firstLine="392"/>
        <w:spacing w:after="0" w:line="295" w:lineRule="auto"/>
        <w:rPr>
          <w:sz w:val="20"/>
          <w:szCs w:val="20"/>
          <w:color w:val="auto"/>
        </w:rPr>
      </w:pPr>
      <w:r>
        <w:rPr>
          <w:rFonts w:ascii="Times New Roman" w:cs="Times New Roman" w:eastAsia="Times New Roman" w:hAnsi="Times New Roman"/>
          <w:sz w:val="17"/>
          <w:szCs w:val="17"/>
          <w:color w:val="auto"/>
        </w:rPr>
        <w:t>We expect to incur additional general and administrative expenses to support the growth of the Company. We expect that general and administrative expenses will decrease in absolute dollars and as a percentage of revenue in future periods as a result of our 2026 reductions in workforce.</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Net loss on real estate assets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Net loss on real estate assets consists of impairment charges in 2025. See Note 8, "Leases" for additional information.</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122"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Interest expense, net consists primarily of interest expense related to our term loan facility, finance lease obligations for infrastructure and amortization of debt issuance costs, offset by interest income earned on our investments classified as cash and cash equivalents, and short-term investments. We expect that interest expense, net may fluctuate in both the near term and the long term now that our term loan facility is fully drawn, as well as from changes in market interest rates.</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22"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Other income, net consists of other non-operating gains or losses, including those related to gains or losses on sale of assets, foreign currency transaction gains and losses, lease arrangements, including sublease income from corporate offices that exceeds associated lease expense, and gains and losses related to our short-term investments.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2" w:lineRule="exact"/>
        <w:rPr>
          <w:sz w:val="20"/>
          <w:szCs w:val="20"/>
          <w:color w:val="auto"/>
        </w:rPr>
      </w:pPr>
    </w:p>
    <w:p>
      <w:pPr>
        <w:ind w:right="400" w:firstLine="392"/>
        <w:spacing w:after="0" w:line="276" w:lineRule="auto"/>
        <w:rPr>
          <w:sz w:val="20"/>
          <w:szCs w:val="20"/>
          <w:color w:val="auto"/>
        </w:rPr>
      </w:pPr>
      <w:r>
        <w:rPr>
          <w:rFonts w:ascii="Times New Roman" w:cs="Times New Roman" w:eastAsia="Times New Roman" w:hAnsi="Times New Roman"/>
          <w:sz w:val="17"/>
          <w:szCs w:val="17"/>
          <w:color w:val="auto"/>
        </w:rPr>
        <w:t>Provision for income taxes consists of U.S. federal, state and foreign jurisdiction income taxes. For 2026 and 2025, the difference between the U.S. statutory rate and our effective tax rate is primarily due to the jurisdictional mix of earnings, tax credits, state income taxes, stock-based compensation, and changes to our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7"/>
                <w:szCs w:val="17"/>
                <w:color w:val="auto"/>
              </w:rPr>
            </w:pPr>
          </w:p>
        </w:tc>
        <w:tc>
          <w:tcPr>
            <w:tcW w:w="3000" w:type="dxa"/>
            <w:vAlign w:val="bottom"/>
            <w:gridSpan w:val="4"/>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60" w:type="dxa"/>
            <w:vAlign w:val="bottom"/>
          </w:tcPr>
          <w:p>
            <w:pPr>
              <w:spacing w:after="0"/>
              <w:rPr>
                <w:sz w:val="17"/>
                <w:szCs w:val="17"/>
                <w:color w:val="auto"/>
              </w:rPr>
            </w:pPr>
          </w:p>
        </w:tc>
      </w:tr>
      <w:tr>
        <w:trPr>
          <w:trHeight w:val="232"/>
        </w:trPr>
        <w:tc>
          <w:tcPr>
            <w:tcW w:w="39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18"/>
        </w:trPr>
        <w:tc>
          <w:tcPr>
            <w:tcW w:w="396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15"/>
        </w:trPr>
        <w:tc>
          <w:tcPr>
            <w:tcW w:w="3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1,884.8</w:t>
            </w:r>
          </w:p>
        </w:tc>
      </w:tr>
      <w:tr>
        <w:trPr>
          <w:trHeight w:val="222"/>
        </w:trPr>
        <w:tc>
          <w:tcPr>
            <w:tcW w:w="3960" w:type="dxa"/>
            <w:vAlign w:val="bottom"/>
            <w:tcBorders>
              <w:bottom w:val="single" w:sz="8" w:color="CCEEFF"/>
            </w:tcBorders>
          </w:tcPr>
          <w:p>
            <w:pPr>
              <w:ind w:left="38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(1)(2)</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368.7</w:t>
            </w: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1,516.1</w:t>
            </w:r>
          </w:p>
        </w:tc>
      </w:tr>
      <w:tr>
        <w:trPr>
          <w:trHeight w:val="22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2"/>
        </w:trPr>
        <w:tc>
          <w:tcPr>
            <w:tcW w:w="3960" w:type="dxa"/>
            <w:vAlign w:val="bottom"/>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(1)(2)</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545.1</w:t>
            </w:r>
          </w:p>
        </w:tc>
      </w:tr>
      <w:tr>
        <w:trPr>
          <w:trHeight w:val="222"/>
        </w:trPr>
        <w:tc>
          <w:tcPr>
            <w:tcW w:w="3960" w:type="dxa"/>
            <w:vAlign w:val="bottom"/>
          </w:tcPr>
          <w:p>
            <w:pPr>
              <w:ind w:left="340"/>
              <w:spacing w:after="0" w:line="222"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(1)(2)</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271.3</w:t>
            </w:r>
          </w:p>
        </w:tc>
      </w:tr>
      <w:tr>
        <w:trPr>
          <w:trHeight w:val="222"/>
        </w:trPr>
        <w:tc>
          <w:tcPr>
            <w:tcW w:w="3960" w:type="dxa"/>
            <w:vAlign w:val="bottom"/>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(1)(2)</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w:t>
            </w:r>
          </w:p>
        </w:tc>
      </w:tr>
      <w:tr>
        <w:trPr>
          <w:trHeight w:val="222"/>
        </w:trPr>
        <w:tc>
          <w:tcPr>
            <w:tcW w:w="3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loss on real estate assets</w:t>
            </w:r>
          </w:p>
        </w:tc>
        <w:tc>
          <w:tcPr>
            <w:tcW w:w="1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5"/>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1,008.8</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989.2</w:t>
            </w:r>
          </w:p>
        </w:tc>
      </w:tr>
      <w:tr>
        <w:trPr>
          <w:trHeight w:val="22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526.9</w:t>
            </w:r>
          </w:p>
        </w:tc>
      </w:tr>
      <w:tr>
        <w:trPr>
          <w:trHeight w:val="22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r>
      <w:tr>
        <w:trPr>
          <w:trHeight w:val="222"/>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474.5</w:t>
            </w:r>
          </w:p>
        </w:tc>
      </w:tr>
      <w:tr>
        <w:trPr>
          <w:trHeight w:val="222"/>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w:t>
            </w: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326.4</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399.7</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40" w:hanging="135"/>
        <w:spacing w:after="0"/>
        <w:tabs>
          <w:tab w:leader="none" w:pos="14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40" w:type="dxa"/>
            <w:vAlign w:val="bottom"/>
            <w:gridSpan w:val="4"/>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60" w:type="dxa"/>
            <w:vAlign w:val="bottom"/>
          </w:tcPr>
          <w:p>
            <w:pPr>
              <w:spacing w:after="0"/>
              <w:rPr>
                <w:sz w:val="16"/>
                <w:szCs w:val="16"/>
                <w:color w:val="auto"/>
              </w:rPr>
            </w:pPr>
          </w:p>
        </w:tc>
      </w:tr>
      <w:tr>
        <w:trPr>
          <w:trHeight w:val="232"/>
        </w:trPr>
        <w:tc>
          <w:tcPr>
            <w:tcW w:w="39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18"/>
        </w:trPr>
        <w:tc>
          <w:tcPr>
            <w:tcW w:w="396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15"/>
        </w:trPr>
        <w:tc>
          <w:tcPr>
            <w:tcW w:w="3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00" w:type="dxa"/>
            <w:vAlign w:val="bottom"/>
            <w:gridSpan w:val="3"/>
          </w:tcPr>
          <w:p>
            <w:pPr>
              <w:jc w:val="right"/>
              <w:ind w:right="5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22"/>
        </w:trPr>
        <w:tc>
          <w:tcPr>
            <w:tcW w:w="3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w:t>
            </w:r>
          </w:p>
        </w:tc>
      </w:tr>
      <w:tr>
        <w:trPr>
          <w:trHeight w:val="222"/>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22"/>
        </w:trPr>
        <w:tc>
          <w:tcPr>
            <w:tcW w:w="3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w:t>
            </w: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223.4</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20" w:firstLine="5"/>
        <w:spacing w:after="0" w:line="249" w:lineRule="auto"/>
        <w:tabs>
          <w:tab w:leader="none" w:pos="144"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Includes expenses related to our various reductions in workforce such as severance, benefits and other related items during the three and nine months ended September 30, 2026 </w:t>
      </w:r>
      <w:r>
        <w:rPr>
          <w:rFonts w:ascii="Times New Roman" w:cs="Times New Roman" w:eastAsia="Times New Roman" w:hAnsi="Times New Roman"/>
          <w:sz w:val="15"/>
          <w:szCs w:val="15"/>
          <w:color w:val="auto"/>
        </w:rPr>
        <w:t xml:space="preserve">and </w:t>
      </w:r>
      <w:r>
        <w:rPr>
          <w:rFonts w:ascii="Times New Roman" w:cs="Times New Roman" w:eastAsia="Times New Roman" w:hAnsi="Times New Roman"/>
          <w:sz w:val="13"/>
          <w:szCs w:val="13"/>
          <w:color w:val="auto"/>
        </w:rPr>
        <w:t>September 30, 2025.</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6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764"/>
        </w:trPr>
        <w:tc>
          <w:tcPr>
            <w:tcW w:w="8640" w:type="dxa"/>
            <w:vAlign w:val="bottom"/>
            <w:gridSpan w:val="13"/>
          </w:tcPr>
          <w:p>
            <w:pPr>
              <w:ind w:left="40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for each of the periods presented as a percentage of revenue: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0"/>
        </w:trPr>
        <w:tc>
          <w:tcPr>
            <w:tcW w:w="1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0" w:type="dxa"/>
            <w:vAlign w:val="bottom"/>
            <w:gridSpan w:val="6"/>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80" w:type="dxa"/>
            <w:vAlign w:val="bottom"/>
          </w:tcPr>
          <w:p>
            <w:pPr>
              <w:spacing w:after="0"/>
              <w:rPr>
                <w:sz w:val="24"/>
                <w:szCs w:val="24"/>
                <w:color w:val="auto"/>
              </w:rPr>
            </w:pPr>
          </w:p>
        </w:tc>
      </w:tr>
      <w:tr>
        <w:trPr>
          <w:trHeight w:val="232"/>
        </w:trPr>
        <w:tc>
          <w:tcPr>
            <w:tcW w:w="13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218"/>
        </w:trPr>
        <w:tc>
          <w:tcPr>
            <w:tcW w:w="3760" w:type="dxa"/>
            <w:vAlign w:val="bottom"/>
            <w:gridSpan w:val="2"/>
          </w:tcPr>
          <w:p>
            <w:pPr>
              <w:spacing w:after="0"/>
              <w:rPr>
                <w:sz w:val="18"/>
                <w:szCs w:val="18"/>
                <w:color w:val="auto"/>
              </w:rPr>
            </w:pP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8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15"/>
        </w:trPr>
        <w:tc>
          <w:tcPr>
            <w:tcW w:w="1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5"/>
          </w:tcPr>
          <w:p>
            <w:pPr>
              <w:jc w:val="right"/>
              <w:ind w:right="313"/>
              <w:spacing w:after="0"/>
              <w:rPr>
                <w:sz w:val="20"/>
                <w:szCs w:val="20"/>
                <w:color w:val="auto"/>
              </w:rPr>
            </w:pPr>
            <w:r>
              <w:rPr>
                <w:rFonts w:ascii="Times New Roman" w:cs="Times New Roman" w:eastAsia="Times New Roman" w:hAnsi="Times New Roman"/>
                <w:sz w:val="17"/>
                <w:szCs w:val="17"/>
                <w:i w:val="1"/>
                <w:iCs w:val="1"/>
                <w:color w:val="auto"/>
              </w:rPr>
              <w:t>(As a % of revenue)*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960" w:type="dxa"/>
            <w:vAlign w:val="bottom"/>
            <w:gridSpan w:val="3"/>
          </w:tcPr>
          <w:p>
            <w:pPr>
              <w:ind w:left="38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(1)(2)</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20</w:t>
            </w:r>
          </w:p>
        </w:tc>
      </w:tr>
      <w:tr>
        <w:trPr>
          <w:trHeight w:val="215"/>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80</w:t>
            </w:r>
          </w:p>
        </w:tc>
      </w:tr>
      <w:tr>
        <w:trPr>
          <w:trHeight w:val="222"/>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4960" w:type="dxa"/>
            <w:vAlign w:val="bottom"/>
            <w:gridSpan w:val="3"/>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(1)(2)</w:t>
            </w:r>
          </w:p>
        </w:tc>
        <w:tc>
          <w:tcPr>
            <w:tcW w:w="5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29</w:t>
            </w:r>
          </w:p>
        </w:tc>
      </w:tr>
      <w:tr>
        <w:trPr>
          <w:trHeight w:val="222"/>
        </w:trPr>
        <w:tc>
          <w:tcPr>
            <w:tcW w:w="4960" w:type="dxa"/>
            <w:vAlign w:val="bottom"/>
            <w:gridSpan w:val="3"/>
          </w:tcPr>
          <w:p>
            <w:pPr>
              <w:ind w:left="340"/>
              <w:spacing w:after="0" w:line="222"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(1)(2)</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r>
      <w:tr>
        <w:trPr>
          <w:trHeight w:val="222"/>
        </w:trPr>
        <w:tc>
          <w:tcPr>
            <w:tcW w:w="4960" w:type="dxa"/>
            <w:vAlign w:val="bottom"/>
            <w:gridSpan w:val="3"/>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(1)(2)</w:t>
            </w:r>
          </w:p>
        </w:tc>
        <w:tc>
          <w:tcPr>
            <w:tcW w:w="5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r>
      <w:tr>
        <w:trPr>
          <w:trHeight w:val="222"/>
        </w:trPr>
        <w:tc>
          <w:tcPr>
            <w:tcW w:w="496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Net loss on real estate assets</w:t>
            </w:r>
          </w:p>
        </w:tc>
        <w:tc>
          <w:tcPr>
            <w:tcW w:w="1800" w:type="dxa"/>
            <w:vAlign w:val="bottom"/>
            <w:gridSpan w:val="5"/>
          </w:tcPr>
          <w:p>
            <w:pPr>
              <w:jc w:val="right"/>
              <w:ind w:right="142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5"/>
          </w:tcPr>
          <w:p>
            <w:pPr>
              <w:jc w:val="right"/>
              <w:ind w:right="131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4"/>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53</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52</w:t>
            </w:r>
          </w:p>
        </w:tc>
      </w:tr>
      <w:tr>
        <w:trPr>
          <w:trHeight w:val="222"/>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28</w:t>
            </w:r>
          </w:p>
        </w:tc>
      </w:tr>
      <w:tr>
        <w:trPr>
          <w:trHeight w:val="222"/>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5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w:t>
            </w:r>
          </w:p>
        </w:tc>
      </w:tr>
      <w:tr>
        <w:trPr>
          <w:trHeight w:val="222"/>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80" w:type="dxa"/>
            <w:vAlign w:val="bottom"/>
            <w:gridSpan w:val="5"/>
          </w:tcPr>
          <w:p>
            <w:pPr>
              <w:jc w:val="right"/>
              <w:ind w:right="131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20</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w:t>
            </w:r>
          </w:p>
        </w:tc>
      </w:tr>
      <w:tr>
        <w:trPr>
          <w:trHeight w:val="222"/>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Provision for from income taxes</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w:t>
            </w:r>
          </w:p>
        </w:tc>
      </w:tr>
      <w:tr>
        <w:trPr>
          <w:trHeight w:val="240"/>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0"/>
        </w:trPr>
        <w:tc>
          <w:tcPr>
            <w:tcW w:w="376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44"/>
        </w:trPr>
        <w:tc>
          <w:tcPr>
            <w:tcW w:w="4960" w:type="dxa"/>
            <w:vAlign w:val="bottom"/>
            <w:gridSpan w:val="3"/>
          </w:tcPr>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Includes stock-based compensation as a percentage of revenue as follows: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0"/>
        </w:trPr>
        <w:tc>
          <w:tcPr>
            <w:tcW w:w="1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0" w:type="dxa"/>
            <w:vAlign w:val="bottom"/>
            <w:gridSpan w:val="6"/>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80" w:type="dxa"/>
            <w:vAlign w:val="bottom"/>
          </w:tcPr>
          <w:p>
            <w:pPr>
              <w:spacing w:after="0"/>
              <w:rPr>
                <w:sz w:val="24"/>
                <w:szCs w:val="24"/>
                <w:color w:val="auto"/>
              </w:rPr>
            </w:pPr>
          </w:p>
        </w:tc>
      </w:tr>
      <w:tr>
        <w:trPr>
          <w:trHeight w:val="232"/>
        </w:trPr>
        <w:tc>
          <w:tcPr>
            <w:tcW w:w="13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218"/>
        </w:trPr>
        <w:tc>
          <w:tcPr>
            <w:tcW w:w="3760" w:type="dxa"/>
            <w:vAlign w:val="bottom"/>
            <w:gridSpan w:val="2"/>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720" w:type="dxa"/>
            <w:vAlign w:val="bottom"/>
            <w:tcBorders>
              <w:bottom w:val="single" w:sz="8" w:color="auto"/>
            </w:tcBorders>
            <w:gridSpan w:val="2"/>
          </w:tcPr>
          <w:p>
            <w:pPr>
              <w:spacing w:after="0"/>
              <w:rPr>
                <w:sz w:val="18"/>
                <w:szCs w:val="18"/>
                <w:color w:val="auto"/>
              </w:rPr>
            </w:pPr>
          </w:p>
        </w:tc>
        <w:tc>
          <w:tcPr>
            <w:tcW w:w="80" w:type="dxa"/>
            <w:vAlign w:val="bottom"/>
            <w:tcBorders>
              <w:bottom w:val="single" w:sz="8" w:color="auto"/>
            </w:tcBorders>
            <w:gridSpan w:val="2"/>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15"/>
        </w:trPr>
        <w:tc>
          <w:tcPr>
            <w:tcW w:w="1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5"/>
          </w:tcPr>
          <w:p>
            <w:pPr>
              <w:jc w:val="right"/>
              <w:ind w:right="313"/>
              <w:spacing w:after="0"/>
              <w:rPr>
                <w:sz w:val="20"/>
                <w:szCs w:val="20"/>
                <w:color w:val="auto"/>
              </w:rPr>
            </w:pPr>
            <w:r>
              <w:rPr>
                <w:rFonts w:ascii="Times New Roman" w:cs="Times New Roman" w:eastAsia="Times New Roman" w:hAnsi="Times New Roman"/>
                <w:sz w:val="17"/>
                <w:szCs w:val="17"/>
                <w:i w:val="1"/>
                <w:iCs w:val="1"/>
                <w:color w:val="auto"/>
              </w:rPr>
              <w:t>(As a % of revenue)*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49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2"/>
        </w:trPr>
        <w:tc>
          <w:tcPr>
            <w:tcW w:w="496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w:t>
            </w:r>
          </w:p>
        </w:tc>
      </w:tr>
      <w:tr>
        <w:trPr>
          <w:trHeight w:val="222"/>
        </w:trPr>
        <w:tc>
          <w:tcPr>
            <w:tcW w:w="49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5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496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r>
      <w:tr>
        <w:trPr>
          <w:trHeight w:val="240"/>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20" w:firstLine="5"/>
        <w:spacing w:after="0" w:line="249" w:lineRule="auto"/>
        <w:tabs>
          <w:tab w:leader="none" w:pos="144"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Includes expenses related to our various reductions in workforce such as severance, benefits and other related items during the three and nine months ended September 30, 2026 </w:t>
      </w:r>
      <w:r>
        <w:rPr>
          <w:rFonts w:ascii="Times New Roman" w:cs="Times New Roman" w:eastAsia="Times New Roman" w:hAnsi="Times New Roman"/>
          <w:sz w:val="15"/>
          <w:szCs w:val="15"/>
          <w:color w:val="auto"/>
        </w:rPr>
        <w:t xml:space="preserve">and </w:t>
      </w:r>
      <w:r>
        <w:rPr>
          <w:rFonts w:ascii="Times New Roman" w:cs="Times New Roman" w:eastAsia="Times New Roman" w:hAnsi="Times New Roman"/>
          <w:sz w:val="13"/>
          <w:szCs w:val="13"/>
          <w:color w:val="auto"/>
        </w:rPr>
        <w:t>September 30, 2025.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Percentages may not foot due to rounding.</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64"/>
        </w:trPr>
        <w:tc>
          <w:tcPr>
            <w:tcW w:w="602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September 30, 2026 and 2025</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4"/>
        </w:trPr>
        <w:tc>
          <w:tcPr>
            <w:tcW w:w="13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3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8"/>
        </w:trPr>
        <w:tc>
          <w:tcPr>
            <w:tcW w:w="1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700" w:type="dxa"/>
            <w:vAlign w:val="bottom"/>
            <w:gridSpan w:val="2"/>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637.3</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r>
    </w:tbl>
    <w:p>
      <w:pPr>
        <w:spacing w:after="0" w:line="295" w:lineRule="exact"/>
        <w:rPr>
          <w:sz w:val="20"/>
          <w:szCs w:val="20"/>
          <w:color w:val="auto"/>
        </w:rPr>
      </w:pPr>
    </w:p>
    <w:p>
      <w:pPr>
        <w:ind w:right="180" w:firstLine="392"/>
        <w:spacing w:after="0" w:line="276" w:lineRule="auto"/>
        <w:rPr>
          <w:sz w:val="20"/>
          <w:szCs w:val="20"/>
          <w:color w:val="auto"/>
        </w:rPr>
      </w:pPr>
      <w:r>
        <w:rPr>
          <w:rFonts w:ascii="Times New Roman" w:cs="Times New Roman" w:eastAsia="Times New Roman" w:hAnsi="Times New Roman"/>
          <w:sz w:val="17"/>
          <w:szCs w:val="17"/>
          <w:color w:val="auto"/>
        </w:rPr>
        <w:t>Revenue increased $2.9 million or 0.5% during the three months ended September 30, 2026, as compared to the three months ended September 30, 2025 primarily due to positive impacts from changes in foreign exchange rates across multiple currencies and growth from our Simple plan, offset by our strategic decision to significantly reduce our investment in FormSwift and wind down operations at the end of September 2026.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8"/>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4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1"/>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Pr>
          <w:p>
            <w:pPr>
              <w:spacing w:after="0"/>
              <w:rPr>
                <w:sz w:val="19"/>
                <w:szCs w:val="19"/>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4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49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123.6</w:t>
            </w:r>
          </w:p>
        </w:tc>
        <w:tc>
          <w:tcPr>
            <w:tcW w:w="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Pr>
          <w:p>
            <w:pPr>
              <w:spacing w:after="0"/>
              <w:rPr>
                <w:sz w:val="19"/>
                <w:szCs w:val="19"/>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513.7</w:t>
            </w:r>
          </w:p>
        </w:tc>
        <w:tc>
          <w:tcPr>
            <w:tcW w:w="5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506.1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308" w:lineRule="exact"/>
        <w:rPr>
          <w:sz w:val="20"/>
          <w:szCs w:val="20"/>
          <w:color w:val="auto"/>
        </w:rPr>
      </w:pPr>
    </w:p>
    <w:p>
      <w:pPr>
        <w:ind w:right="40" w:firstLine="392"/>
        <w:spacing w:after="0" w:line="276" w:lineRule="auto"/>
        <w:rPr>
          <w:sz w:val="20"/>
          <w:szCs w:val="20"/>
          <w:color w:val="auto"/>
        </w:rPr>
      </w:pPr>
      <w:r>
        <w:rPr>
          <w:rFonts w:ascii="Times New Roman" w:cs="Times New Roman" w:eastAsia="Times New Roman" w:hAnsi="Times New Roman"/>
          <w:sz w:val="17"/>
          <w:szCs w:val="17"/>
          <w:color w:val="auto"/>
        </w:rPr>
        <w:t>Cost of revenue decreased $4.7 million or 3.7% during the three months ended September 30, 2026, as compared to the three months ended September 30, 2025. This decrease was primarily driven by a $5.4 million decrease in infrastructure costs, including costs associated with third party hosting fees and support and expensed equipment.</w:t>
      </w:r>
    </w:p>
    <w:p>
      <w:pPr>
        <w:spacing w:after="0" w:line="175" w:lineRule="exact"/>
        <w:rPr>
          <w:sz w:val="20"/>
          <w:szCs w:val="20"/>
          <w:color w:val="auto"/>
        </w:rPr>
      </w:pPr>
    </w:p>
    <w:p>
      <w:pPr>
        <w:ind w:right="80" w:firstLine="392"/>
        <w:spacing w:after="0" w:line="279" w:lineRule="auto"/>
        <w:rPr>
          <w:sz w:val="20"/>
          <w:szCs w:val="20"/>
          <w:color w:val="auto"/>
        </w:rPr>
      </w:pPr>
      <w:r>
        <w:rPr>
          <w:rFonts w:ascii="Times New Roman" w:cs="Times New Roman" w:eastAsia="Times New Roman" w:hAnsi="Times New Roman"/>
          <w:sz w:val="17"/>
          <w:szCs w:val="17"/>
          <w:color w:val="auto"/>
        </w:rPr>
        <w:t>Our gross margin increased during the three months ended September 30, 2026 compared to the three months ended September 30, 2025, primarily due to a 0.5% increase in revenue during the period and a 3.7% decrease in our cost of revenue as described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185.4</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r>
    </w:tbl>
    <w:p>
      <w:pPr>
        <w:spacing w:after="0" w:line="308" w:lineRule="exact"/>
        <w:rPr>
          <w:sz w:val="20"/>
          <w:szCs w:val="20"/>
          <w:color w:val="auto"/>
        </w:rPr>
      </w:pPr>
    </w:p>
    <w:p>
      <w:pPr>
        <w:ind w:right="140" w:firstLine="392"/>
        <w:spacing w:after="0" w:line="276" w:lineRule="auto"/>
        <w:rPr>
          <w:sz w:val="20"/>
          <w:szCs w:val="20"/>
          <w:color w:val="auto"/>
        </w:rPr>
      </w:pPr>
      <w:r>
        <w:rPr>
          <w:rFonts w:ascii="Times New Roman" w:cs="Times New Roman" w:eastAsia="Times New Roman" w:hAnsi="Times New Roman"/>
          <w:sz w:val="17"/>
          <w:szCs w:val="17"/>
          <w:color w:val="auto"/>
        </w:rPr>
        <w:t>Research and development expenses increased $3.1 million or 1.7% during the three months ended September 30, 2026, as compared to the three months ended September 30, 2025, primarily due to increases of $1.5 million in employee-related costs driven by costs related to our recent workforce reductions, primarily severance, benefits, and other related items, as well as a $1.1 million increase in allocated overhead.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Sales and marketing</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5120" w:type="dxa"/>
            <w:vAlign w:val="bottom"/>
          </w:tcPr>
          <w:p>
            <w:pPr>
              <w:spacing w:after="0"/>
              <w:rPr>
                <w:sz w:val="24"/>
                <w:szCs w:val="24"/>
                <w:color w:val="auto"/>
              </w:rPr>
            </w:pPr>
          </w:p>
        </w:tc>
        <w:tc>
          <w:tcPr>
            <w:tcW w:w="2460" w:type="dxa"/>
            <w:vAlign w:val="bottom"/>
            <w:gridSpan w:val="3"/>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3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center"/>
              <w:ind w:right="3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86.6</w:t>
            </w:r>
          </w:p>
        </w:tc>
        <w:tc>
          <w:tcPr>
            <w:tcW w:w="10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bl>
    <w:p>
      <w:pPr>
        <w:spacing w:after="0" w:line="308"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Sales and marketing expenses decreased $4.9 million or 5.4% during the three months ended September 30, 2026, as compared to the three months ended September 30, 2025, primarily due to a decrease of $5.6 million in merchant fees.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64"/>
        </w:trPr>
        <w:tc>
          <w:tcPr>
            <w:tcW w:w="514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8"/>
        </w:trPr>
        <w:tc>
          <w:tcPr>
            <w:tcW w:w="1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60" w:type="dxa"/>
            <w:vAlign w:val="bottom"/>
            <w:gridSpan w:val="3"/>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3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37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center"/>
              <w:ind w:right="3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66.5</w:t>
            </w:r>
          </w:p>
        </w:tc>
        <w:tc>
          <w:tcPr>
            <w:tcW w:w="10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15.5 %</w:t>
            </w:r>
          </w:p>
        </w:tc>
      </w:tr>
    </w:tbl>
    <w:p>
      <w:pPr>
        <w:spacing w:after="0" w:line="295" w:lineRule="exact"/>
        <w:rPr>
          <w:sz w:val="20"/>
          <w:szCs w:val="20"/>
          <w:color w:val="auto"/>
        </w:rPr>
      </w:pPr>
    </w:p>
    <w:p>
      <w:pPr>
        <w:jc w:val="both"/>
        <w:ind w:right="40" w:firstLine="392"/>
        <w:spacing w:after="0" w:line="295" w:lineRule="auto"/>
        <w:rPr>
          <w:sz w:val="20"/>
          <w:szCs w:val="20"/>
          <w:color w:val="auto"/>
        </w:rPr>
      </w:pPr>
      <w:r>
        <w:rPr>
          <w:rFonts w:ascii="Times New Roman" w:cs="Times New Roman" w:eastAsia="Times New Roman" w:hAnsi="Times New Roman"/>
          <w:sz w:val="17"/>
          <w:szCs w:val="17"/>
          <w:color w:val="auto"/>
        </w:rPr>
        <w:t>General and administrative expenses increased $8.9 million or 15.5% during the three months ended September 30, 2026, as compared to the three months ended September 30, 2025, primarily due to an increase of $8.9 million in employee-related costs driven by an increase in headcount.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Interest expense, net</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2440" w:type="dxa"/>
            <w:vAlign w:val="bottom"/>
            <w:gridSpan w:val="3"/>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3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center"/>
              <w:ind w:right="3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9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152.2 %</w:t>
            </w:r>
          </w:p>
        </w:tc>
      </w:tr>
    </w:tbl>
    <w:p>
      <w:pPr>
        <w:spacing w:after="0" w:line="308" w:lineRule="exact"/>
        <w:rPr>
          <w:sz w:val="20"/>
          <w:szCs w:val="20"/>
          <w:color w:val="auto"/>
        </w:rPr>
      </w:pPr>
    </w:p>
    <w:p>
      <w:pPr>
        <w:jc w:val="both"/>
        <w:ind w:right="40" w:firstLine="392"/>
        <w:spacing w:after="0" w:line="295" w:lineRule="auto"/>
        <w:rPr>
          <w:sz w:val="20"/>
          <w:szCs w:val="20"/>
          <w:color w:val="auto"/>
        </w:rPr>
      </w:pPr>
      <w:r>
        <w:rPr>
          <w:rFonts w:ascii="Times New Roman" w:cs="Times New Roman" w:eastAsia="Times New Roman" w:hAnsi="Times New Roman"/>
          <w:sz w:val="17"/>
          <w:szCs w:val="17"/>
          <w:color w:val="auto"/>
        </w:rPr>
        <w:t>Interest expense, net increased by $30.9 million during the three months ended September 30, 2026, as compared to the three months ended September 30, 2025, primarily due to an increase in interest expense related to our term loan facility now that it is fully drawn.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Other income, net</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5120" w:type="dxa"/>
            <w:vAlign w:val="bottom"/>
          </w:tcPr>
          <w:p>
            <w:pPr>
              <w:spacing w:after="0"/>
              <w:rPr>
                <w:sz w:val="24"/>
                <w:szCs w:val="24"/>
                <w:color w:val="auto"/>
              </w:rPr>
            </w:pPr>
          </w:p>
        </w:tc>
        <w:tc>
          <w:tcPr>
            <w:tcW w:w="25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4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5.6</w:t>
            </w:r>
          </w:p>
        </w:tc>
        <w:tc>
          <w:tcPr>
            <w:tcW w:w="10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bl>
    <w:p>
      <w:pPr>
        <w:spacing w:after="0" w:line="308" w:lineRule="exact"/>
        <w:rPr>
          <w:sz w:val="20"/>
          <w:szCs w:val="20"/>
          <w:color w:val="auto"/>
        </w:rPr>
      </w:pPr>
    </w:p>
    <w:p>
      <w:pPr>
        <w:ind w:right="300" w:firstLine="392"/>
        <w:spacing w:after="0" w:line="295" w:lineRule="auto"/>
        <w:rPr>
          <w:sz w:val="20"/>
          <w:szCs w:val="20"/>
          <w:color w:val="auto"/>
        </w:rPr>
      </w:pPr>
      <w:r>
        <w:rPr>
          <w:rFonts w:ascii="Times New Roman" w:cs="Times New Roman" w:eastAsia="Times New Roman" w:hAnsi="Times New Roman"/>
          <w:sz w:val="17"/>
          <w:szCs w:val="17"/>
          <w:color w:val="auto"/>
        </w:rPr>
        <w:t>Other income, net increased by $2.8 million during the three months ended September 30, 2026, as compared to the three months ended September 30, 2025, primarily due to a $2.5 million increase in gains on datacenter equipment resales.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Provision for income taxes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2440" w:type="dxa"/>
            <w:vAlign w:val="bottom"/>
            <w:gridSpan w:val="3"/>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3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center"/>
              <w:ind w:right="3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9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r>
    </w:tbl>
    <w:p>
      <w:pPr>
        <w:spacing w:after="0" w:line="295" w:lineRule="exact"/>
        <w:rPr>
          <w:sz w:val="20"/>
          <w:szCs w:val="20"/>
          <w:color w:val="auto"/>
        </w:rPr>
      </w:pPr>
    </w:p>
    <w:p>
      <w:pPr>
        <w:ind w:right="220" w:firstLine="392"/>
        <w:spacing w:after="0" w:line="258" w:lineRule="auto"/>
        <w:rPr>
          <w:sz w:val="20"/>
          <w:szCs w:val="20"/>
          <w:color w:val="auto"/>
        </w:rPr>
      </w:pPr>
      <w:r>
        <w:rPr>
          <w:rFonts w:ascii="Times New Roman" w:cs="Times New Roman" w:eastAsia="Times New Roman" w:hAnsi="Times New Roman"/>
          <w:sz w:val="17"/>
          <w:szCs w:val="17"/>
          <w:color w:val="auto"/>
        </w:rPr>
        <w:t>Provision for income taxes decreased $19.9 million during the three months ended September 30, 2026, compared to the same period in 2025, primarily due to an increase in tax credits, lower income before income taxes and the effects of the One Big Beautiful Bill Act (“Act”) in both reporting periods. These effects include the cumulative impact of the Act recognized in the three months ended September 30, 2025 and a tax benefit recognized in the three months ended September 30, 2026 from a change in estimate related to an election made on our 2025 U.S. federal income tax return as a result of legislative changes from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64"/>
        </w:trPr>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nine months ended September 30, 2026 and 2025</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4"/>
        </w:trPr>
        <w:tc>
          <w:tcPr>
            <w:tcW w:w="13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8"/>
        </w:trPr>
        <w:tc>
          <w:tcPr>
            <w:tcW w:w="1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gridSpan w:val="4"/>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Pr>
          <w:p>
            <w:pPr>
              <w:spacing w:after="0"/>
              <w:rPr>
                <w:sz w:val="19"/>
                <w:szCs w:val="19"/>
                <w:color w:val="auto"/>
              </w:rPr>
            </w:pPr>
          </w:p>
        </w:tc>
        <w:tc>
          <w:tcPr>
            <w:tcW w:w="9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left="4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1,898.3</w:t>
            </w:r>
          </w:p>
        </w:tc>
        <w:tc>
          <w:tcPr>
            <w:tcW w:w="5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r>
    </w:tbl>
    <w:p>
      <w:pPr>
        <w:spacing w:after="0" w:line="295" w:lineRule="exact"/>
        <w:rPr>
          <w:sz w:val="20"/>
          <w:szCs w:val="20"/>
          <w:color w:val="auto"/>
        </w:rPr>
      </w:pPr>
    </w:p>
    <w:p>
      <w:pPr>
        <w:jc w:val="both"/>
        <w:ind w:right="180" w:firstLine="392"/>
        <w:spacing w:after="0" w:line="276" w:lineRule="auto"/>
        <w:rPr>
          <w:sz w:val="20"/>
          <w:szCs w:val="20"/>
          <w:color w:val="auto"/>
        </w:rPr>
      </w:pPr>
      <w:r>
        <w:rPr>
          <w:rFonts w:ascii="Times New Roman" w:cs="Times New Roman" w:eastAsia="Times New Roman" w:hAnsi="Times New Roman"/>
          <w:sz w:val="17"/>
          <w:szCs w:val="17"/>
          <w:color w:val="auto"/>
        </w:rPr>
        <w:t>Revenue increased $13.5 million or 0.7% during the nine months ended September 30, 2026, as compared to the nine months ended September 30, 2025 primarily due to positive impacts from changes in foreign exchange rates across multiple currencies and growth from our Simple plans, offset by our strategic decision to significantly reduce our investment in FormSwift and wind down operations at the end of September 2026.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8"/>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4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1"/>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Pr>
          <w:p>
            <w:pPr>
              <w:spacing w:after="0"/>
              <w:rPr>
                <w:sz w:val="19"/>
                <w:szCs w:val="19"/>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4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49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376.7</w:t>
            </w:r>
          </w:p>
        </w:tc>
        <w:tc>
          <w:tcPr>
            <w:tcW w:w="6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368.7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1,521.6</w:t>
            </w:r>
          </w:p>
        </w:tc>
        <w:tc>
          <w:tcPr>
            <w:tcW w:w="6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1,516.1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308"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Cost of revenue increased $8.0 million or 2.2% during the nine months ended September 30, 2026, as compared to the nine months ended September 30, 2025. This increase was primarily driven by a $9.0 million increase in infrastructure costs, data center facilities costs, and third party hosting fees.</w:t>
      </w:r>
    </w:p>
    <w:p>
      <w:pPr>
        <w:spacing w:after="0" w:line="160" w:lineRule="exact"/>
        <w:rPr>
          <w:sz w:val="20"/>
          <w:szCs w:val="20"/>
          <w:color w:val="auto"/>
        </w:rPr>
      </w:pPr>
    </w:p>
    <w:p>
      <w:pPr>
        <w:ind w:right="220" w:firstLine="392"/>
        <w:spacing w:after="0" w:line="279" w:lineRule="auto"/>
        <w:rPr>
          <w:sz w:val="20"/>
          <w:szCs w:val="20"/>
          <w:color w:val="auto"/>
        </w:rPr>
      </w:pPr>
      <w:r>
        <w:rPr>
          <w:rFonts w:ascii="Times New Roman" w:cs="Times New Roman" w:eastAsia="Times New Roman" w:hAnsi="Times New Roman"/>
          <w:sz w:val="17"/>
          <w:szCs w:val="17"/>
          <w:color w:val="auto"/>
        </w:rPr>
        <w:t>Our gross margin remained flat during the nine months ended September 30, 2026 compared to the nine months ended September 30, 2025, as the 0.7% increase in revenue during the period, as described above, was largely offset by a 2.2% increase in cost of revenue.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557.7</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r>
    </w:tbl>
    <w:p>
      <w:pPr>
        <w:spacing w:after="0" w:line="308"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Research and development expenses increased $12.6 million or 2.3% during the nine months ended September 30, 2026, as compared to the nine months ended September 30, 2025, primarily due to an increase of $10.1 million in employee-related costs driven by annual performance-based compensation increases and costs related to our recent workforce reductions, primarily severance, benefits, and other related items, partially offset by lower ending headcount compared to the prior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Sales and marketing</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512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3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263.3</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Sales and marketing expenses decreased $8.0 million or 2.9% during the nine months ended September 30, 2026, as compared to the nine months ended September 30, 2025. The decrease was primarily driven by a $4.6 million decrease in merchant fees and a $2.4 million decrease in other expenses.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2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29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187.8</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10.3 %</w:t>
            </w:r>
          </w:p>
        </w:tc>
      </w:tr>
    </w:tbl>
    <w:p>
      <w:pPr>
        <w:spacing w:after="0" w:line="295" w:lineRule="exact"/>
        <w:rPr>
          <w:sz w:val="20"/>
          <w:szCs w:val="20"/>
          <w:color w:val="auto"/>
        </w:rPr>
      </w:pPr>
    </w:p>
    <w:p>
      <w:pPr>
        <w:jc w:val="both"/>
        <w:ind w:right="40" w:firstLine="392"/>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increased $17.6 million or 10.3% during the nine months ended September 30, 2026, as compared to the nine months ended September 30, 2025. The increase was primarily driven by a $15.9 million increase in employee-related costs driven by an increase in headcount, and an increase in non-income tax expense of $2.1 million.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Net loss on real estate assets</w:t>
            </w: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2520" w:type="dxa"/>
            <w:vAlign w:val="bottom"/>
            <w:gridSpan w:val="2"/>
          </w:tcPr>
          <w:p>
            <w:pPr>
              <w:jc w:val="center"/>
              <w:ind w:left="31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on real estate assets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308" w:lineRule="exact"/>
        <w:rPr>
          <w:sz w:val="20"/>
          <w:szCs w:val="20"/>
          <w:color w:val="auto"/>
        </w:rPr>
      </w:pPr>
    </w:p>
    <w:p>
      <w:pPr>
        <w:jc w:val="both"/>
        <w:ind w:right="40" w:firstLine="392"/>
        <w:spacing w:after="0" w:line="295" w:lineRule="auto"/>
        <w:rPr>
          <w:sz w:val="20"/>
          <w:szCs w:val="20"/>
          <w:color w:val="auto"/>
        </w:rPr>
      </w:pPr>
      <w:r>
        <w:rPr>
          <w:rFonts w:ascii="Times New Roman" w:cs="Times New Roman" w:eastAsia="Times New Roman" w:hAnsi="Times New Roman"/>
          <w:sz w:val="17"/>
          <w:szCs w:val="17"/>
          <w:color w:val="auto"/>
        </w:rPr>
        <w:t>Net loss on real estate assets was $2.6 million during the nine months ended September 30, 2025 and there were no similar charges during the nine months ended September 30,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Interest expense, net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left="4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560" w:type="dxa"/>
            <w:vAlign w:val="bottom"/>
          </w:tcPr>
          <w:p>
            <w:pPr>
              <w:spacing w:after="0"/>
              <w:rPr>
                <w:sz w:val="18"/>
                <w:szCs w:val="18"/>
                <w:color w:val="auto"/>
              </w:rPr>
            </w:pPr>
          </w:p>
        </w:tc>
        <w:tc>
          <w:tcPr>
            <w:tcW w:w="9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center"/>
              <w:ind w:left="49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5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157.8 %</w:t>
            </w:r>
          </w:p>
        </w:tc>
      </w:tr>
    </w:tbl>
    <w:p>
      <w:pPr>
        <w:spacing w:after="0" w:line="308"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Interest expense, net increased by $84.4 million during the nine months ended September 30, 2026, as compared to the nine months ended September 30, 2025, primarily due to an increase in interest expense related to our term loan facility now that it is fully drawn.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Other income, net</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8"/>
        </w:trPr>
        <w:tc>
          <w:tcPr>
            <w:tcW w:w="5120" w:type="dxa"/>
            <w:vAlign w:val="bottom"/>
          </w:tcPr>
          <w:p>
            <w:pPr>
              <w:spacing w:after="0"/>
              <w:rPr>
                <w:sz w:val="24"/>
                <w:szCs w:val="24"/>
                <w:color w:val="auto"/>
              </w:rPr>
            </w:pPr>
          </w:p>
        </w:tc>
        <w:tc>
          <w:tcPr>
            <w:tcW w:w="25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39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13.8</w:t>
            </w:r>
          </w:p>
        </w:tc>
        <w:tc>
          <w:tcPr>
            <w:tcW w:w="10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1,154.5 %</w:t>
            </w:r>
          </w:p>
        </w:tc>
      </w:tr>
    </w:tbl>
    <w:p>
      <w:pPr>
        <w:spacing w:after="0" w:line="295" w:lineRule="exact"/>
        <w:rPr>
          <w:sz w:val="20"/>
          <w:szCs w:val="20"/>
          <w:color w:val="auto"/>
        </w:rPr>
      </w:pPr>
    </w:p>
    <w:p>
      <w:pPr>
        <w:ind w:right="300" w:firstLine="392"/>
        <w:spacing w:after="0" w:line="295" w:lineRule="auto"/>
        <w:rPr>
          <w:sz w:val="20"/>
          <w:szCs w:val="20"/>
          <w:color w:val="auto"/>
        </w:rPr>
      </w:pPr>
      <w:r>
        <w:rPr>
          <w:rFonts w:ascii="Times New Roman" w:cs="Times New Roman" w:eastAsia="Times New Roman" w:hAnsi="Times New Roman"/>
          <w:sz w:val="17"/>
          <w:szCs w:val="17"/>
          <w:color w:val="auto"/>
        </w:rPr>
        <w:t>Other income, net increased by $12.7 million during the nine months ended September 30, 2026, as compared to the nine months ended September 30, 2025, primarily due to a $8.6 million increase in foreign currency transaction gains and a $5.1 million increase in gains on datacenter equipment resales.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64"/>
        </w:trPr>
        <w:tc>
          <w:tcPr>
            <w:tcW w:w="51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Provision for income taxes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8"/>
        </w:trPr>
        <w:tc>
          <w:tcPr>
            <w:tcW w:w="1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40" w:type="dxa"/>
            <w:vAlign w:val="bottom"/>
            <w:gridSpan w:val="3"/>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3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center"/>
              <w:ind w:right="3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9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r>
    </w:tbl>
    <w:p>
      <w:pPr>
        <w:spacing w:after="0" w:line="295" w:lineRule="exact"/>
        <w:rPr>
          <w:sz w:val="20"/>
          <w:szCs w:val="20"/>
          <w:color w:val="auto"/>
        </w:rPr>
      </w:pPr>
    </w:p>
    <w:p>
      <w:pPr>
        <w:ind w:right="140" w:firstLine="392"/>
        <w:spacing w:after="0" w:line="268" w:lineRule="auto"/>
        <w:rPr>
          <w:sz w:val="20"/>
          <w:szCs w:val="20"/>
          <w:color w:val="auto"/>
        </w:rPr>
      </w:pPr>
      <w:r>
        <w:rPr>
          <w:rFonts w:ascii="Times New Roman" w:cs="Times New Roman" w:eastAsia="Times New Roman" w:hAnsi="Times New Roman"/>
          <w:sz w:val="17"/>
          <w:szCs w:val="17"/>
          <w:color w:val="auto"/>
        </w:rPr>
        <w:t>Provision for income taxes decreased $12.5 million during the nine months ended September 30, 2026, as compared to the nine months ended September 30, 2025, primarily due to lower income before income taxes and the cumulative impact of the One Big Beautiful Bill Act reflected in the nine months ended September 30, 2025.</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1" w:lineRule="exact"/>
        <w:rPr>
          <w:sz w:val="20"/>
          <w:szCs w:val="20"/>
          <w:color w:val="auto"/>
        </w:rPr>
      </w:pPr>
    </w:p>
    <w:p>
      <w:pPr>
        <w:ind w:right="80" w:firstLine="392"/>
        <w:spacing w:after="0" w:line="263" w:lineRule="auto"/>
        <w:rPr>
          <w:sz w:val="20"/>
          <w:szCs w:val="20"/>
          <w:color w:val="auto"/>
        </w:rPr>
      </w:pPr>
      <w:r>
        <w:rPr>
          <w:rFonts w:ascii="Times New Roman" w:cs="Times New Roman" w:eastAsia="Times New Roman" w:hAnsi="Times New Roman"/>
          <w:sz w:val="17"/>
          <w:szCs w:val="17"/>
          <w:color w:val="auto"/>
        </w:rPr>
        <w:t>As of September 30, 2026, we had cash and cash equivalents of $1,104.8 million and short-term investments of $37.4 million, which were held for working capital purposes. Our cash, cash equivalents, and short-term investments consist primarily of cash, money market funds, corporate notes and obligations, U.S. Treasury securities, asset-backed securities, and municipal securities. As of September 30, 2026, $247.0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spacing w:after="0" w:line="108"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We have historically financed our operations primarily through cash generated from our operations, borrowings from our term loan facility, the Notes (as defined below) issuance, equity issuances, and finance leases for our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197"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In February 2021, we issued approximately $1.4 billion in aggregate principal amount of the 2026 Notes and the 2028 Notes (together the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Company paid a total of $695.8 million in cash to settle the unconverted principal balance of the 2026 Notes upon maturity in the first quarter of 2026 using the proceeds from the 2025 delayed draw term loans described below. The 2028 Notes mature on March 1, 2028. The 2028 Notes do not bear regular interest and the principal does not accrete. The 2028 Notes may bear special interest as the remedy relating to our failure to comply with certain of our reporting obligations. The 2028 Notes can be converted or repurchased prior to maturity if certain conditions are met.</w:t>
      </w:r>
    </w:p>
    <w:p>
      <w:pPr>
        <w:spacing w:after="0" w:line="95" w:lineRule="exact"/>
        <w:rPr>
          <w:sz w:val="20"/>
          <w:szCs w:val="20"/>
          <w:color w:val="auto"/>
        </w:rPr>
      </w:pPr>
    </w:p>
    <w:p>
      <w:pPr>
        <w:ind w:right="200" w:firstLine="392"/>
        <w:spacing w:after="0" w:line="264" w:lineRule="auto"/>
        <w:rPr>
          <w:sz w:val="20"/>
          <w:szCs w:val="20"/>
          <w:color w:val="auto"/>
        </w:rPr>
      </w:pPr>
      <w:r>
        <w:rPr>
          <w:rFonts w:ascii="Times New Roman" w:cs="Times New Roman" w:eastAsia="Times New Roman" w:hAnsi="Times New Roman"/>
          <w:sz w:val="17"/>
          <w:szCs w:val="17"/>
          <w:color w:val="auto"/>
        </w:rPr>
        <w:t>In December 2024, we entered into a secured five-year term loan facility in an aggregate principal amount of up to $2.0 billion, consisting of initial term loans and initial delayed draw term loan commitments (the "initial delayed draw term loans") each in an aggregate principal amount of up to $1.0 billion, respectively. The terms of the initial Term Loan Credit Agreement also provide for a secured letter of credit facility in an aggregate amount of up to $35.0 million. In September 2025, we entered into the First Amendment to the term loan facility which provided for additional secured delayed draw term loan commitments in an aggregate principal amount of up to $700.0 million (the "2025 delayed draw term loans"), which was drawn in the first quarter of 2026 to settle the 2026 Notes as described above, with the remaining proceeds available for general corporate purposes.</w:t>
      </w:r>
    </w:p>
    <w:p>
      <w:pPr>
        <w:spacing w:after="0" w:line="108"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The initial term loans and initial delayed draw term loans have a maturity date of December 11, 2029 and the 2025 delayed draw term loans have a maturity date of September 9, 2030. Quarterly principal payments for the initial term loans and initial delayed draw term loans began on March 31, 2025 and on the last business day of the quarter after the funding of such loans, respectively, and will continue on the last business day of each quarter thereafter, equal to</w:t>
      </w:r>
    </w:p>
    <w:p>
      <w:pPr>
        <w:jc w:val="both"/>
        <w:ind w:right="260"/>
        <w:spacing w:after="0" w:line="260" w:lineRule="auto"/>
        <w:rPr>
          <w:sz w:val="20"/>
          <w:szCs w:val="20"/>
          <w:color w:val="auto"/>
        </w:rPr>
      </w:pPr>
      <w:r>
        <w:rPr>
          <w:rFonts w:ascii="Times New Roman" w:cs="Times New Roman" w:eastAsia="Times New Roman" w:hAnsi="Times New Roman"/>
          <w:sz w:val="17"/>
          <w:szCs w:val="17"/>
          <w:color w:val="auto"/>
        </w:rPr>
        <w:t>0.25% of the original principal amount of such term loans or such greater percentage as may be required to make the initial delayed draw term loans fungible with any then-outstanding initial term loans and initial delayed draw term loans. Quarterly repayments of 0.25% of the original principal amount of the 2025 delayed draw term loans began on March 31, 2026 and on the last business day of the quarter after the funding of such loans and continuing thereafter. As of September 30, 2026, we had $2,668.1 million outstanding on the term loan facility and no commitment remained available. As of September 30, 2026, $22.2 million of letters of credit were issued and $12.8 million remains available to be issued under the letter of credit facility.</w:t>
      </w:r>
    </w:p>
    <w:p>
      <w:pPr>
        <w:spacing w:after="0" w:line="112" w:lineRule="exact"/>
        <w:rPr>
          <w:sz w:val="20"/>
          <w:szCs w:val="20"/>
          <w:color w:val="auto"/>
        </w:rPr>
      </w:pPr>
    </w:p>
    <w:p>
      <w:pPr>
        <w:ind w:right="320" w:firstLine="392"/>
        <w:spacing w:after="0" w:line="279" w:lineRule="auto"/>
        <w:rPr>
          <w:sz w:val="20"/>
          <w:szCs w:val="20"/>
          <w:color w:val="auto"/>
        </w:rPr>
      </w:pPr>
      <w:r>
        <w:rPr>
          <w:rFonts w:ascii="Times New Roman" w:cs="Times New Roman" w:eastAsia="Times New Roman" w:hAnsi="Times New Roman"/>
          <w:sz w:val="17"/>
          <w:szCs w:val="17"/>
          <w:color w:val="auto"/>
        </w:rPr>
        <w:t>Interest on borrowings under the term loan facility accrues at either an alternate base rate plus a margin of 2.75% or a term SOFR rate plus a margin of 3.75% (further described in Note 7 "Debt") at our option.</w:t>
      </w:r>
    </w:p>
    <w:p>
      <w:pPr>
        <w:spacing w:after="0" w:line="173" w:lineRule="exact"/>
        <w:rPr>
          <w:sz w:val="20"/>
          <w:szCs w:val="20"/>
          <w:color w:val="auto"/>
        </w:rPr>
      </w:pPr>
    </w:p>
    <w:p>
      <w:pPr>
        <w:ind w:right="100" w:firstLine="431"/>
        <w:spacing w:after="0" w:line="266" w:lineRule="auto"/>
        <w:rPr>
          <w:sz w:val="20"/>
          <w:szCs w:val="20"/>
          <w:color w:val="auto"/>
        </w:rPr>
      </w:pPr>
      <w:r>
        <w:rPr>
          <w:rFonts w:ascii="Times New Roman" w:cs="Times New Roman" w:eastAsia="Times New Roman" w:hAnsi="Times New Roman"/>
          <w:sz w:val="17"/>
          <w:szCs w:val="17"/>
          <w:color w:val="auto"/>
        </w:rPr>
        <w:t>The term loan facility permits us, subject to satisfaction of certain conditions, including obtaining commitments from new or existing lenders, to add new term loan facilities or increase the term loan commitments under the term loan agreement, in each case, subject to certain limits. Additionally, the Amended Term Loan Credit Agreement contains customary representations and warranties, customary affirmative and negative covenants, and customary events of default. Failure to comply with these covenants may result in a portion of the outstanding term loan debt becoming due immediately. We were in compliance with all covenants under the term loan facility as of September 30, 2026.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20" w:firstLine="431"/>
        <w:spacing w:after="0" w:line="269" w:lineRule="auto"/>
        <w:rPr>
          <w:sz w:val="20"/>
          <w:szCs w:val="20"/>
          <w:color w:val="auto"/>
        </w:rPr>
      </w:pPr>
      <w:r>
        <w:rPr>
          <w:rFonts w:ascii="Times New Roman" w:cs="Times New Roman" w:eastAsia="Times New Roman" w:hAnsi="Times New Roman"/>
          <w:sz w:val="17"/>
          <w:szCs w:val="17"/>
          <w:color w:val="auto"/>
        </w:rPr>
        <w:t>In June 2026, we entered into a $400.0 million revolving credit facility (the "2026 Revolving Credit Agreement"), of which $65.0 million is available for use as letters of credit. The 2026 Revolving Credit Agreement matures on December 11, 2029, unless earlier terminated. As of September 30, 2026, we did not have any outstanding borrowings under the 2026 Revolving Credit Agreement. The unused capacity of the 2026 Revolving Credit Agreement was $400.0 million as of September 30, 2026.</w:t>
      </w:r>
    </w:p>
    <w:p>
      <w:pPr>
        <w:spacing w:after="0" w:line="182" w:lineRule="exact"/>
        <w:rPr>
          <w:sz w:val="20"/>
          <w:szCs w:val="20"/>
          <w:color w:val="auto"/>
        </w:rPr>
      </w:pPr>
    </w:p>
    <w:p>
      <w:pPr>
        <w:ind w:firstLine="392"/>
        <w:spacing w:after="0" w:line="250" w:lineRule="auto"/>
        <w:rPr>
          <w:sz w:val="20"/>
          <w:szCs w:val="20"/>
          <w:color w:val="auto"/>
        </w:rPr>
      </w:pPr>
      <w:r>
        <w:rPr>
          <w:rFonts w:ascii="Times New Roman" w:cs="Times New Roman" w:eastAsia="Times New Roman" w:hAnsi="Times New Roman"/>
          <w:sz w:val="17"/>
          <w:szCs w:val="17"/>
          <w:color w:val="auto"/>
        </w:rPr>
        <w:t>The borrowings under the 2026 Revolving Credit Agreement will bear interest, at our option, at either (a) an alternate base rate, which is defined as a fluctuating rate per annum equal to the greatest of (i) the prime rate then in effect, (ii) the greater of the federal funds effective rate or overnight bank funding rate then in effect, plus 0.50% per annum, and (iii) a term SOFR rate determined on the basis of a one-month interest period plus 1.00% per annum, in each case, plus a margin ranging from 2.00% to 2.50% based on our consolidated secured leverage ratio, or (b) a term SOFR rate (based on one, three or six month interest periods), plus a margin ranging from 3.00% to 3.50% based on our consolidated secured leverage ratio.</w:t>
      </w:r>
    </w:p>
    <w:p>
      <w:pPr>
        <w:spacing w:after="0" w:line="210"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Our principal uses of cash in recent periods have been funding our operations, repurchases of our Class A common stock, the satisfaction of tax withholding obligations in connection with the settlement of RSUs and RSAs, making principal payments on our finance lease obligations, and capital expenditures. Our Board of Directors has authorized a share repurchase program for the repurchase of shares of our Class A common stock. As of September 30, 2026, $1.2 billion remained available for repurchases, including an increase of $900.0 million authorized by our Board of Directors in June 2026. Share repurchases are made from time-to-time in private transactions or open market purchases as permitted by securities laws and other legal requirements and are subject to a review of the circumstances in place at that time, including prevailing market prices. The program does not obligate us to repurchase any specific number of shares and has no specified time limit; it may be discontinued at any time. During the three and nine months ended September 30, 2026, we repurchased and subsequently retired 4.7 million and 31.6 million shares, respectively, of our Class A common stock for an aggregate amount of $151.0 million and $839.0 million, respectively. This amount includes the 1% excise tax under the Inflation Reduction Act, as well as repurchase execution costs incurred in connection with our share repurchase program. The pace of our share repurchases may fluctuate due to various circumstances, including market conditions, our stock price, and other strategic investments.</w:t>
      </w:r>
    </w:p>
    <w:p>
      <w:pPr>
        <w:spacing w:after="0" w:line="31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infrastructure equipment to support our user base, our ability to sublease space at office locations where we have unused spaces, the satisfaction of tax withholding obligations for the release of restricted stock units and awards, investments in sales and marketing, the expansion of international operations, the introduction of new product capabilities and enhancement of our platform, the continuing market acceptance of our platform, and the volume, timing, and amount of our share repurchases. In addition, we recently announced the proposed acquisition of Tigris, and we may in the future enter into arrangements to acquire or invest in complementary businesses, services, and technologies, including intellectual property rights. In light of all these circumstances, we may be required to seek additional equity or debt financing, or we may decide to do so opportunistically. In the event that additional financing is required or desired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cash flow activities were as follows for the periods presented:</w:t>
      </w:r>
    </w:p>
    <w:p>
      <w:pPr>
        <w:spacing w:after="0" w:line="191"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7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4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716.4</w:t>
            </w:r>
          </w:p>
        </w:tc>
      </w:tr>
      <w:tr>
        <w:trPr>
          <w:trHeight w:val="22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(1,389.9)</w:t>
            </w:r>
          </w:p>
        </w:tc>
      </w:tr>
      <w:tr>
        <w:trPr>
          <w:trHeight w:val="222"/>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4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14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(596.3)</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48" w:lineRule="exact"/>
        <w:rPr>
          <w:sz w:val="20"/>
          <w:szCs w:val="20"/>
          <w:color w:val="auto"/>
        </w:rPr>
      </w:pPr>
    </w:p>
    <w:p>
      <w:pPr>
        <w:jc w:val="both"/>
        <w:ind w:right="180" w:firstLine="392"/>
        <w:spacing w:after="0" w:line="276" w:lineRule="auto"/>
        <w:rPr>
          <w:sz w:val="20"/>
          <w:szCs w:val="20"/>
          <w:color w:val="auto"/>
        </w:rPr>
      </w:pPr>
      <w:r>
        <w:rPr>
          <w:rFonts w:ascii="Times New Roman" w:cs="Times New Roman" w:eastAsia="Times New Roman" w:hAnsi="Times New Roman"/>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stock-based compensation, depreciation and amortization expenses, as well as the effect of changes in operating assets and liabilities.</w:t>
      </w:r>
    </w:p>
    <w:p>
      <w:pPr>
        <w:spacing w:after="0" w:line="144" w:lineRule="exact"/>
        <w:rPr>
          <w:sz w:val="20"/>
          <w:szCs w:val="20"/>
          <w:color w:val="auto"/>
        </w:rPr>
      </w:pPr>
    </w:p>
    <w:p>
      <w:pPr>
        <w:ind w:right="20" w:firstLine="392"/>
        <w:spacing w:after="0" w:line="248" w:lineRule="auto"/>
        <w:rPr>
          <w:sz w:val="20"/>
          <w:szCs w:val="20"/>
          <w:color w:val="auto"/>
        </w:rPr>
      </w:pPr>
      <w:r>
        <w:rPr>
          <w:rFonts w:ascii="Times New Roman" w:cs="Times New Roman" w:eastAsia="Times New Roman" w:hAnsi="Times New Roman"/>
          <w:sz w:val="17"/>
          <w:szCs w:val="17"/>
          <w:color w:val="auto"/>
        </w:rPr>
        <w:t>For the nine months ended September 30, 2026, net cash provided by operating activities was $702.2 million, which primarily consisted of our net income of $326.4 million, adjusted for stock-based compensation expense of $225.4 million, depreciation and amortization expenses of $110.8 million, and net cash outflow of $26.8 million from operating assets and liabilities. The outflow from operating assets and liabilities was primarily due to the payment of our 2025 corporate bonus.</w:t>
      </w:r>
    </w:p>
    <w:p>
      <w:pPr>
        <w:spacing w:after="0" w:line="198" w:lineRule="exact"/>
        <w:rPr>
          <w:sz w:val="20"/>
          <w:szCs w:val="20"/>
          <w:color w:val="auto"/>
        </w:rPr>
      </w:pPr>
    </w:p>
    <w:p>
      <w:pPr>
        <w:ind w:firstLine="392"/>
        <w:spacing w:after="0" w:line="250" w:lineRule="auto"/>
        <w:rPr>
          <w:sz w:val="20"/>
          <w:szCs w:val="20"/>
          <w:color w:val="auto"/>
        </w:rPr>
      </w:pPr>
      <w:r>
        <w:rPr>
          <w:rFonts w:ascii="Times New Roman" w:cs="Times New Roman" w:eastAsia="Times New Roman" w:hAnsi="Times New Roman"/>
          <w:sz w:val="17"/>
          <w:szCs w:val="17"/>
          <w:color w:val="auto"/>
        </w:rPr>
        <w:t>The decrease of $14.2 million in net cash provided by operating activities during the nine months ended September 30, 2026, compared to the nine months ended September 30, 2025, was primarily due to a decrease of $97.0 million in net income, as adjusted for stock-based compensation, depreciation and amortization expenses, and other non-cash (gains) losses. This was partially offset by decrease of $82.8 million in cash outflows from changes in operating assets and liabilities, primarily driven by the payments made in the first quarter of 2025 for the third tranche termination fee for the partial termination of our lease for our San Francisco, California corporate headquarters and for payments related to our 2024 reduction in workforce.</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48"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Net cash provided by investing activities is primarily impacted by net investment activity, which includes sales, maturities, and purchases of short-term investments, cash paid for acquisitions, purchases of intangible assets, and for purchasing infrastructure equipment in co-location facilities that we directly lease and operate.</w:t>
      </w:r>
    </w:p>
    <w:p>
      <w:pPr>
        <w:spacing w:after="0" w:line="97"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For the nine months ended September 30, 2026, net cash provided by investing activities was $104.4 million, which primarily related to $109.7 million in net investment activity inflows, driven by maturities of short-term investments, offset by cash paid for capital expenditures of $11.9 million.</w:t>
      </w:r>
    </w:p>
    <w:p>
      <w:pPr>
        <w:spacing w:after="0" w:line="81"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The increase of $38.4 million in net cash provided by investing activities during the nine months ended September 30, 2026, compared to the nine months ended September 30, 2025, was primarily due to an increase of $33.6 million in net investment activity inflows.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61" w:lineRule="exact"/>
        <w:rPr>
          <w:sz w:val="20"/>
          <w:szCs w:val="20"/>
          <w:color w:val="auto"/>
        </w:rPr>
      </w:pPr>
    </w:p>
    <w:p>
      <w:pPr>
        <w:ind w:right="200" w:firstLine="392"/>
        <w:spacing w:after="0" w:line="269" w:lineRule="auto"/>
        <w:rPr>
          <w:sz w:val="20"/>
          <w:szCs w:val="20"/>
          <w:color w:val="auto"/>
        </w:rPr>
      </w:pPr>
      <w:r>
        <w:rPr>
          <w:rFonts w:ascii="Times New Roman" w:cs="Times New Roman" w:eastAsia="Times New Roman" w:hAnsi="Times New Roman"/>
          <w:sz w:val="17"/>
          <w:szCs w:val="17"/>
          <w:color w:val="auto"/>
        </w:rPr>
        <w:t>Net cash used in financing activities is primarily impacted by cash used for repurchases of common stock, tax withholding obligations for the release of RSUs and RSAs, principal payments on finance lease obligations for our infrastructure equipment, principal payments on amounts drawn upon the term loan facility, payments of debt issuance costs and loan commitment fees related to the term loan facility, repayments of convertible senior notes at maturity, and payments of acquisition-related indemnity holdback amounts, offset by proceeds from the term loan facility.</w:t>
      </w:r>
    </w:p>
    <w:p>
      <w:pPr>
        <w:spacing w:after="0" w:line="104"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7"/>
          <w:szCs w:val="17"/>
          <w:color w:val="auto"/>
        </w:rPr>
        <w:t>For the nine months ended September 30, 2026, net cash used in financing activities was $597.8 million, which primarily consisted of $695.8 million for the repayment of convertible senior notes at maturity, $847.3 million for the repurchase of our common stock, $103.3 million for the satisfaction of tax withholding obligations for the release of RSUs and RSAs, $114.2 million in principal payments on finance lease obligations, $13.3 million in payments of debt issuance costs and loan commitment fees under the term loan facility and revolving credit facility, and $20.3 million in principal payments against the term loan facility. These outflows were offset by $1,200.0 million in proceeds from the term loan facility.</w:t>
      </w:r>
    </w:p>
    <w:p>
      <w:pPr>
        <w:spacing w:after="0" w:line="93"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The decrease of $792.1 million in net cash used in financing activities during the nine months ended September 30, 2026, compared to the nine months ended September 30, 2025, was primarily due to an increase of $1,050.0 million in proceeds from the term loan facility and a decrease of $451.6 million in repurchases of our common stock. This was offset by an increase of $695.8 million for the repayment of convertible senior notes at maturity, and an increase of $12.3 million in principal payments on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See Part II, Item 7, “Critical Accounting Estimates” in our Annual Report on Form 10-K for the year ended December 31, 2025. There have been no material changes to our critical accounting policies and estimates since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60"/>
          </w:cols>
          <w:pgMar w:left="320" w:top="119" w:right="8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1"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See Note 1 “Description of the Business and Summary of Significant Accounting Policies” to our condensed consolidated financial statements included elsewhere in this Quarterly Report on Form 10-Q for recently issued accounting pronouncements not yet adopted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QUANTITATIVE AND QUALITATIVE DISCLOSURES ABOUT MARKET RISK</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61"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We had cash and cash equivalents of $1,104.8 million and short-term investments of $37.4 million as of September 30, 2026. We hold our cash and cash equivalents and short-term investments for working capital purposes. Our cash, cash equivalents, and short-term investments consist primarily of cash, money market funds, corporate notes and obligations, U.S. Treasury securities, asset-backed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108" w:lineRule="exact"/>
        <w:rPr>
          <w:sz w:val="20"/>
          <w:szCs w:val="20"/>
          <w:color w:val="auto"/>
        </w:rPr>
      </w:pPr>
    </w:p>
    <w:p>
      <w:pPr>
        <w:ind w:right="280" w:firstLine="392"/>
        <w:spacing w:after="0" w:line="295" w:lineRule="auto"/>
        <w:rPr>
          <w:sz w:val="20"/>
          <w:szCs w:val="20"/>
          <w:color w:val="auto"/>
        </w:rPr>
      </w:pPr>
      <w:r>
        <w:rPr>
          <w:rFonts w:ascii="Times New Roman" w:cs="Times New Roman" w:eastAsia="Times New Roman" w:hAnsi="Times New Roman"/>
          <w:sz w:val="17"/>
          <w:szCs w:val="17"/>
          <w:color w:val="auto"/>
        </w:rPr>
        <w:t>As of September 30, 2026, a hypothetical increase in interest rates by 100 basis points would have had an immaterial impact on the market value of our investment portfolio. This estimate is based on a sensitivity model that measures market value changes when changes in interest rates occur.</w:t>
      </w:r>
    </w:p>
    <w:p>
      <w:pPr>
        <w:spacing w:after="0" w:line="68"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Borrowings under the term loan facility bear interest, at our option, at either (a) an alternate base rate, which is defined as a fluctuating rate per annum equal to the greatest of (i) the prime rate then in effect, (ii) the federal funds rate then in effect, plus 0.50% per annum, and (iii) a term SOFR rate determined on the basis of a one-month interest period plus 1.00% per annum, in each case, plus a 2.75%, margin, or (b) an overnight term SOFR rate (based on one, three or six month interest periods), plus a 3.75% margin. As of September 30, 2026, we had $2,668.1 million outstanding under the term loan facility.</w:t>
      </w:r>
    </w:p>
    <w:p>
      <w:pPr>
        <w:spacing w:after="0" w:line="91" w:lineRule="exact"/>
        <w:rPr>
          <w:sz w:val="20"/>
          <w:szCs w:val="20"/>
          <w:color w:val="auto"/>
        </w:rPr>
      </w:pPr>
    </w:p>
    <w:p>
      <w:pPr>
        <w:ind w:right="20" w:firstLine="392"/>
        <w:spacing w:after="0" w:line="250" w:lineRule="auto"/>
        <w:rPr>
          <w:sz w:val="20"/>
          <w:szCs w:val="20"/>
          <w:color w:val="auto"/>
        </w:rPr>
      </w:pPr>
      <w:r>
        <w:rPr>
          <w:rFonts w:ascii="Times New Roman" w:cs="Times New Roman" w:eastAsia="Times New Roman" w:hAnsi="Times New Roman"/>
          <w:sz w:val="17"/>
          <w:szCs w:val="17"/>
          <w:color w:val="auto"/>
        </w:rPr>
        <w:t>The borrowings under the 2026 Revolving Credit Agreement will bear interest at our option, at either (a) an alternate base rate, which is defined as a fluctuating rate per annum equal to the greatest of (i) the prime rate then in effect, (ii) the greater of the federal funds effective rate or overnight bank funding rate then in effect, plus 0.50% per annum, and (iii) a term SOFR rate determined on the basis of a one-month interest period plus 1.00% per annum, in each case, plus a margin ranging from 2.00% to 2.50% based on our consolidated secured leverage ratio, or (b) a term SOFR rate (based on one, three or six month interest periods), plus a margin ranging from 3.00% to 3.50% based on our consolidated secured leverage ratio</w:t>
      </w:r>
    </w:p>
    <w:p>
      <w:pPr>
        <w:spacing w:after="0" w:line="197"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We do not have any other long-term debt or financial liabilities with floating interest rates that would subject us to interest rate fluctuations. For the three and nine months ended September 30, 2026, a hypothetical 100 basis point increase or decrease in interest rates would have resulted in a $6.8 million and $18.3 million change, respectively, in interest expense related to the term loan facility.</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61"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Our results of operations and cash flows are subject to fluctuations due to changes in foreign currency exchange rates relative to U.S. dollars, our reporting currency.</w:t>
      </w:r>
    </w:p>
    <w:p>
      <w:pPr>
        <w:spacing w:after="0" w:line="68"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Most of our revenue is generated in U.S. dollars, with the remainder generated in Euros, British pounds sterling, Australian dollars, Canadian dollars, and Japanese yen.</w:t>
      </w:r>
    </w:p>
    <w:p>
      <w:pPr>
        <w:spacing w:after="0" w:line="81"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104"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fluctuating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nine months ended September 30, 2026, 34%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431"/>
        <w:spacing w:after="0" w:line="295" w:lineRule="auto"/>
        <w:rPr>
          <w:sz w:val="20"/>
          <w:szCs w:val="20"/>
          <w:color w:val="auto"/>
        </w:rPr>
      </w:pPr>
      <w:r>
        <w:rPr>
          <w:rFonts w:ascii="Times New Roman" w:cs="Times New Roman" w:eastAsia="Times New Roman" w:hAnsi="Times New Roman"/>
          <w:sz w:val="17"/>
          <w:szCs w:val="17"/>
          <w:color w:val="auto"/>
        </w:rPr>
        <w:t>Foreign currency transaction gains or losses were immaterial during the nine months ended September 30, 2026 and 2025. A hypothetical 10% change in foreign currency rates would not have resulted in material gains or losses for the nine months ended September 30, 2026 and 2025.</w:t>
      </w:r>
    </w:p>
    <w:p>
      <w:pPr>
        <w:spacing w:after="0" w:line="8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1"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Our management, with the participation of our co-principal executive officers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co-principal executive officers and principal financial officer have concluded that as of such date, our disclosure controls and procedures were effective at a reasonable assurance level.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1"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Disclosure Controls and Procedures</w:t>
      </w:r>
    </w:p>
    <w:p>
      <w:pPr>
        <w:spacing w:after="0" w:line="251"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Our management, including our co-principal executive officers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LEGAL PROCEEDINGS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20" w:lineRule="exact"/>
        <w:rPr>
          <w:sz w:val="20"/>
          <w:szCs w:val="20"/>
          <w:color w:val="auto"/>
        </w:rPr>
      </w:pPr>
    </w:p>
    <w:p>
      <w:pPr>
        <w:ind w:right="120" w:firstLine="392"/>
        <w:spacing w:after="0" w:line="288" w:lineRule="auto"/>
        <w:rPr>
          <w:sz w:val="20"/>
          <w:szCs w:val="20"/>
          <w:color w:val="auto"/>
        </w:rPr>
      </w:pPr>
      <w:r>
        <w:rPr>
          <w:rFonts w:ascii="Times New Roman" w:cs="Times New Roman" w:eastAsia="Times New Roman" w:hAnsi="Times New Roman"/>
          <w:sz w:val="17"/>
          <w:szCs w:val="17"/>
          <w:color w:val="auto"/>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spacing w:after="0" w:line="393"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In December 2022, Entangled Media, LLC filed a patent infringement suit asserting two U.S. patents against Dropbox. The case is currently pending in the Northern District of California (San Jose Division). In August 2025, the court granted-in-part Dropbox’s Motion for Summary Judgment, finding that Dropbox does not infringe one of the asserted patents. On August 24, 2026, the court issued a ruling in Dropbox’s favor precluding Entangled Media from pursuing its remaining infringement theory and vacated the trial which was scheduled for September 8, 2026. Entangled Media filed a motion for reconsideration and a hearing was held on November 2, 2026. A decision is pending. Any final judgment in the district court may be appealed by either party to the Federal Circuit.</w:t>
      </w:r>
    </w:p>
    <w:p>
      <w:pPr>
        <w:spacing w:after="0" w:line="197"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While we remain confident in the Company’s defenses to the asserted allegations in this case, it is not possible to determine the ultimate outcome at this time. However, based on the information currently available, the Company does not believe this matter is reasonably likely to have a material adverse effect on its financial position or results of operations.</w:t>
      </w:r>
    </w:p>
    <w:p>
      <w:pPr>
        <w:spacing w:after="0" w:line="188"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1A. RISK FACTORS</w:t>
      </w:r>
    </w:p>
    <w:p>
      <w:pPr>
        <w:spacing w:after="0" w:line="242"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spacing w:after="0" w:line="34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b w:val="1"/>
          <w:bCs w:val="1"/>
          <w:color w:val="auto"/>
        </w:rPr>
        <w:t>Risks Related to Our Business and Operations</w:t>
      </w:r>
    </w:p>
    <w:p>
      <w:pPr>
        <w:spacing w:after="0" w:line="155"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rate of growth has declined and we have experienced negative growth in past periods. If we do not successfully execute our plan for future growth, our growth rate may continue to decline and we may continue to experience negative growth in future periods.</w:t>
      </w:r>
    </w:p>
    <w:p>
      <w:pPr>
        <w:spacing w:after="0" w:line="64"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The rate of growth of our business and revenue has declined in recent periods and we have experienced negative growth. If we are unable to execute on our new product initiatives and plans for growth in the future, we may be unable to reverse this trend. Our new product initiatives, including any AI-based initiatives and those related to advancing our recently announced DBX Agent Cloud infrastructure offering, are intended to result in growth, but such initiatives require a period of investment and ultimately may not succeed on the timelines we expect or at all. If our new products or product enhancements do not achieve adequate adoption by our customers or do not result in increased paid users or subsequent renewals, our competitive position will be impaired or our anticipated revenue growth may not be achieved. Any additional revenue our new initiatives generate may be insufficient to offset the amounts we have invested or the declining rates of growth in other areas of our business and may harm our profitability.</w:t>
      </w:r>
    </w:p>
    <w:p>
      <w:pPr>
        <w:spacing w:after="0" w:line="199"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Efforts to grow and expand our business, including the introduction of new features and products, places a continuous significant strain on our management, operational, and financial resources. As we introduce new products and features, including AI features, our information technology systems, organizational structures, and internal controls and procedures may not be adequate to support our operations, particularly to the extent our user base and third-party relationships expand or change as a result of these new products and features. In addition, our challenges may be heightened in connection with our Virtual First work model, as we engage an increasingly distributed employee base in countries around the world, as well as our focus on aligning our resources to create a nimble and streamlined organization. Issues related to Virtual First have from time-to-time in the past, and may in the future, slow or limit our ability to execute against our product initiatives, impact user experience, and impair growth. Moreover, any increasing complexity of our product offerings could harm our customer experience and negatively impact user retention or the conversion of registered users to paying users.</w:t>
      </w:r>
    </w:p>
    <w:p>
      <w:pPr>
        <w:spacing w:after="0" w:line="188" w:lineRule="exact"/>
        <w:rPr>
          <w:sz w:val="20"/>
          <w:szCs w:val="20"/>
          <w:color w:val="auto"/>
        </w:rPr>
      </w:pPr>
    </w:p>
    <w:p>
      <w:pPr>
        <w:ind w:right="40" w:firstLine="392"/>
        <w:spacing w:after="0" w:line="246" w:lineRule="auto"/>
        <w:rPr>
          <w:sz w:val="20"/>
          <w:szCs w:val="20"/>
          <w:color w:val="auto"/>
        </w:rPr>
      </w:pPr>
      <w:r>
        <w:rPr>
          <w:rFonts w:ascii="Times New Roman" w:cs="Times New Roman" w:eastAsia="Times New Roman" w:hAnsi="Times New Roman"/>
          <w:sz w:val="17"/>
          <w:szCs w:val="17"/>
          <w:color w:val="auto"/>
        </w:rPr>
        <w:t>In order to return to growth or reaccelerate our growth, we must effectively allocate our resources and if we invest in future growth, or reduce resources allocated to certain products, functions, or strategies, and fail to achieve our goals our business will be harmed. Our ability to forecast our future results of operations and future growth is subject to a number of risks and uncertainties, including our ability to effectively plan for and model future growth, and we have not always received, and we may not in the future receive, the return we expect on investments that we make in our business in the time we expect or at all. We have encountered in the past, and may encounter in the future, risks and uncertainties frequently experienced by companies in rapidly changing industries. We may need to change our approach with respect to products, functions and strategies, including reducing investment, phasing out certain products or changing the product, marketing or sales approach, such as our announcement regarding FormSwift. If we fail to achieve the necessary level of efficiency in our organization, or our investments do not result in the growth we expect, our business, results of operations, and financial condition could be harmed.</w:t>
      </w:r>
    </w:p>
    <w:p>
      <w:pPr>
        <w:spacing w:after="0" w:line="210"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our ability to attract and retain users, convert users to paying users and upgrade paying users, and any decline in acquisitions, renewals or upgrades could adversely affect our future results of operations.</w:t>
      </w:r>
    </w:p>
    <w:p>
      <w:pPr>
        <w:spacing w:after="0" w:line="169" w:lineRule="exact"/>
        <w:rPr>
          <w:sz w:val="20"/>
          <w:szCs w:val="20"/>
          <w:color w:val="auto"/>
        </w:rPr>
      </w:pPr>
    </w:p>
    <w:p>
      <w:pPr>
        <w:ind w:right="180" w:firstLine="392"/>
        <w:spacing w:after="0" w:line="276" w:lineRule="auto"/>
        <w:rPr>
          <w:sz w:val="20"/>
          <w:szCs w:val="20"/>
          <w:color w:val="auto"/>
        </w:rPr>
      </w:pPr>
      <w:r>
        <w:rPr>
          <w:rFonts w:ascii="Times New Roman" w:cs="Times New Roman" w:eastAsia="Times New Roman" w:hAnsi="Times New Roman"/>
          <w:sz w:val="17"/>
          <w:szCs w:val="17"/>
          <w:color w:val="auto"/>
        </w:rPr>
        <w:t>Our business depends upon our ability to continually add new users and to maintain and expand our relationships with our users. In particular, in order to grow our revenue, we must attract and retain paying users and convert registered users to paying users. Historically, our revenue has been driven by our self-serve model, and we generate more than 90% of our revenue from</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self-serve channels. Our self-service channel revenue is driven by word-of-mouth referrals, recommendations, and positive brand recognition in the marketplace, among other factors. Any decrease in user satisfaction with our products or support could harm our brand, word-of-mouth referrals, and ability to grow.</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Many of our users initially access our platform free of charge. We strive to demonstrate the value of our platform to our registered users, thereby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encouraging them to convert to paying users through in-product prompts and notifications, and time-limited trials of paid subscription plans. As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2026, we served over 700 million registered users but only 18.20 million paying users. The actual number of unique users is lower than we report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one person may register more than once on our platform. As a result, we have fewer unique registered users that we may be able to convert to paying users.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majority of our registered users may never convert to a paid subscription to our platform, and failure to convert users to a paid subscription will restrict our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ability to grow our revenue.</w:t>
      </w:r>
    </w:p>
    <w:p>
      <w:pPr>
        <w:spacing w:after="0" w:line="231"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Even if we are able to convert a user to a paying user, or attract paying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have declined and our number of paying users may continue to fluctuate or decline in any period or over time. Paying users may downgrade or not renew their subscriptions because of several factors, such as dissatisfaction with our products, support, pricing, mix of features (including data storage limits), or user experience, a user no longer having a need for our products, as a result of impacts from our decisions regarding marketing spend and investment focus, including changes in our strategy with respect to, or phase-out of, certain products or features, such as our announcement regarding FormSwift, the availability of competitive products, including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spacing w:after="0" w:line="206"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7"/>
          <w:szCs w:val="17"/>
          <w:color w:val="auto"/>
        </w:rPr>
        <w:t>We are focused on increasing recurring revenue and we believe that users that subscribe to our premium paid offerings demonstrate a propensity to retain and expand their deployments over time. If we are unable to increase our paying user growth rates or to offset declines in the number of new paying users with increased revenue per paying user, our revenue and operating results will be adversely affected.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has from time to time negatively impacted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Furthermore, macroeconomic changes or other factors resulting in our customers reducing their number of seat licenses over time, including as a result of increased adoption of AI tools, could negatively impact our business and financial results.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spacing w:after="0" w:line="207"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 the past and may continue to experience privacy and data security breaches or incidents.</w:t>
      </w:r>
    </w:p>
    <w:p>
      <w:pPr>
        <w:spacing w:after="0" w:line="253"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For example, as previously disclosed in our Form 8-K filed with the Securities and Exchange Commission on May 1, 2024, on April 24, 2024, we became aware of unauthorized access to the Dropbox Sign production environment. We continue to face risks relating to this incident, including harm to our reputation and customer relationships, and ongoing litigation, in the form of a consolidated class action lawsuit that has been filed in federal court in the Northern District of</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California, and regulatory scrutiny related to this incident, and we may discover other impacts or new related events may occur that could affect our business operations, financial condition or results of operations.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spacing w:after="0" w:line="204" w:lineRule="exact"/>
        <w:rPr>
          <w:sz w:val="20"/>
          <w:szCs w:val="20"/>
          <w:color w:val="auto"/>
        </w:rPr>
      </w:pPr>
    </w:p>
    <w:p>
      <w:pPr>
        <w:jc w:val="both"/>
        <w:ind w:right="200" w:firstLine="392"/>
        <w:spacing w:after="0" w:line="263" w:lineRule="auto"/>
        <w:rPr>
          <w:sz w:val="20"/>
          <w:szCs w:val="20"/>
          <w:color w:val="auto"/>
        </w:rPr>
      </w:pPr>
      <w:r>
        <w:rPr>
          <w:rFonts w:ascii="Times New Roman" w:cs="Times New Roman" w:eastAsia="Times New Roman" w:hAnsi="Times New Roman"/>
          <w:sz w:val="17"/>
          <w:szCs w:val="17"/>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spacing w:after="0" w:line="186" w:lineRule="exact"/>
        <w:rPr>
          <w:sz w:val="20"/>
          <w:szCs w:val="20"/>
          <w:color w:val="auto"/>
        </w:rPr>
      </w:pPr>
    </w:p>
    <w:p>
      <w:pPr>
        <w:ind w:firstLine="392"/>
        <w:spacing w:after="0"/>
        <w:rPr>
          <w:sz w:val="20"/>
          <w:szCs w:val="20"/>
          <w:color w:val="auto"/>
        </w:rPr>
      </w:pPr>
      <w:r>
        <w:rPr>
          <w:rFonts w:ascii="Times New Roman" w:cs="Times New Roman" w:eastAsia="Times New Roman" w:hAnsi="Times New Roman"/>
          <w:sz w:val="17"/>
          <w:szCs w:val="17"/>
          <w:color w:val="auto"/>
        </w:rPr>
        <w:t>Emerging and evolving cybersecurity threats pose significant challenges and involve increasingly sophisticated threat actors, including those leveraging AI and machine learning. Malware, ransomware, viruses, social engineering (such as phishing), denial of service, insider misuse, and other network attacks have become more prevalent, particularly against cloud-based services. Rapid advancements in AI technologies have increased, and may continue to increase, the frequency, scale, and sophistication of cyberattacks, including by enabling threat actors to more rapidly identify and exploit vulnerabilities in systems and networks. Threat actors may use AI or autonomous AI agents to enhance and scale attacks, including generating convincing phishing content, deepfakes, and adaptive malware, making detection and mitigation more difficult, and reducing the time available to identify, respond to, and remediate such threats. These developments may increase risks of security breaches and incidents occurring and the impact of those that do occur.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defenses, including cybersecurity capabilities, and to mitigate the risk of a breach or incident. We also evaluate risks associated with our use of AI, including risks related to data integrity, model security, and potential misuse or manipulation. However, AI technologies may introduce new or amplify existing risks, including unintended system behaviors or exploitation by malicious actors. If we fail to respond appropriately to any identified gaps, threats or vulnerabilities, including by providing sufficient investment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201"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Furthermore, despite our security measures, some contractors and other individuals, whom our intelligence indicates are supported by nation states, have in the past gained, and in the future may gain, access to our systems. This risk may increase when vendors and contractors work remotely, including as part of our Virtual First work model. Additionally, unapproved internal AI product usage or human error in the product development process each have the potential to result in disclosure of user or company content data.</w:t>
      </w:r>
    </w:p>
    <w:p>
      <w:pPr>
        <w:spacing w:after="0" w:line="200" w:lineRule="exact"/>
        <w:rPr>
          <w:sz w:val="20"/>
          <w:szCs w:val="20"/>
          <w:color w:val="auto"/>
        </w:rPr>
      </w:pPr>
    </w:p>
    <w:p>
      <w:pPr>
        <w:ind w:right="160" w:firstLine="392"/>
        <w:spacing w:after="0" w:line="269" w:lineRule="auto"/>
        <w:rPr>
          <w:sz w:val="20"/>
          <w:szCs w:val="20"/>
          <w:color w:val="auto"/>
        </w:rPr>
      </w:pPr>
      <w:r>
        <w:rPr>
          <w:rFonts w:ascii="Times New Roman" w:cs="Times New Roman" w:eastAsia="Times New Roman" w:hAnsi="Times New Roman"/>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the Dropbox Developer Terms and Conditions, or in the event of a breach or other compromise of their networks or systems, our data or our users' data may be improperly accessed, used, or disclosed.</w:t>
      </w:r>
    </w:p>
    <w:p>
      <w:pPr>
        <w:spacing w:after="0" w:line="195"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did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harmed by any significant disruption of service on our platform or loss of content.</w:t>
      </w:r>
    </w:p>
    <w:p>
      <w:pPr>
        <w:spacing w:after="0" w:line="253" w:lineRule="exact"/>
        <w:rPr>
          <w:sz w:val="20"/>
          <w:szCs w:val="20"/>
          <w:color w:val="auto"/>
        </w:rPr>
      </w:pPr>
    </w:p>
    <w:p>
      <w:pPr>
        <w:ind w:right="200" w:firstLine="392"/>
        <w:spacing w:after="0" w:line="264" w:lineRule="auto"/>
        <w:rPr>
          <w:sz w:val="20"/>
          <w:szCs w:val="20"/>
          <w:color w:val="auto"/>
        </w:rPr>
      </w:pPr>
      <w:r>
        <w:rPr>
          <w:rFonts w:ascii="Times New Roman" w:cs="Times New Roman" w:eastAsia="Times New Roman" w:hAnsi="Times New Roman"/>
          <w:sz w:val="17"/>
          <w:szCs w:val="17"/>
          <w:color w:val="auto"/>
        </w:rPr>
        <w:t>Our brand, reputation, and ability to attract, retain, and serve our users is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0" w:lineRule="exact"/>
        <w:rPr>
          <w:sz w:val="20"/>
          <w:szCs w:val="20"/>
          <w:color w:val="auto"/>
        </w:rPr>
      </w:pPr>
    </w:p>
    <w:p>
      <w:pPr>
        <w:ind w:right="220" w:firstLine="392"/>
        <w:spacing w:after="0" w:line="269" w:lineRule="auto"/>
        <w:rPr>
          <w:sz w:val="20"/>
          <w:szCs w:val="20"/>
          <w:color w:val="auto"/>
        </w:rPr>
      </w:pPr>
      <w:r>
        <w:rPr>
          <w:rFonts w:ascii="Times New Roman" w:cs="Times New Roman" w:eastAsia="Times New Roman" w:hAnsi="Times New Roman"/>
          <w:sz w:val="17"/>
          <w:szCs w:val="17"/>
          <w:color w:val="auto"/>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in our own custom-built infrastructure in co-location facilities that we directly lease and operate. As we continue to add, enhance and modify our infrastructure to meet our business needs, we may move or transfer additional content accordingly.</w:t>
      </w:r>
    </w:p>
    <w:p>
      <w:pPr>
        <w:spacing w:after="0" w:line="195"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some of which utilize certain components for which there are few qualified suppliers. The availability or price of such components may also be impacted by tariffs and global trade policy, including retaliatory actions, affecting such components.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200"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In addition, the datacenters that we use are vulnerable to damage or interruption from human error, technical defects,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competitive markets, and we must continue to compete effectively.</w:t>
      </w:r>
    </w:p>
    <w:p>
      <w:pPr>
        <w:spacing w:after="0" w:line="253"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(now part of Salesforce), and Google. On a more limited basis, we compete with Box in the cloud storage market for deployments by large enterprises, as well as in the e-signature market along with Adobe and DocuSign and in the AI content search market along with Glean, Guru and Notion.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spacing w:after="0" w:line="201" w:lineRule="exact"/>
        <w:rPr>
          <w:sz w:val="20"/>
          <w:szCs w:val="20"/>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user-centric design;</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 of user network;</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recognition and trust;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privacy;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accessibility across several devices, operating systems, and applications;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integration;</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innovation;</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AI;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trends.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range of products and services than we do. These combinations may make it increasingly difficult for us to compete effectively. We expect these trends to continue as competitors strengthen or maintain their market positions.</w:t>
      </w:r>
    </w:p>
    <w:p>
      <w:pPr>
        <w:spacing w:after="0" w:line="200"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Demand for our platform is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95" w:lineRule="exact"/>
        <w:rPr>
          <w:sz w:val="20"/>
          <w:szCs w:val="20"/>
          <w:color w:val="auto"/>
        </w:rPr>
      </w:pPr>
    </w:p>
    <w:p>
      <w:pPr>
        <w:jc w:val="both"/>
        <w:ind w:right="300" w:firstLine="392"/>
        <w:spacing w:after="0" w:line="276" w:lineRule="auto"/>
        <w:rPr>
          <w:sz w:val="20"/>
          <w:szCs w:val="20"/>
          <w:color w:val="auto"/>
        </w:rPr>
      </w:pPr>
      <w:r>
        <w:rPr>
          <w:rFonts w:ascii="Times New Roman" w:cs="Times New Roman" w:eastAsia="Times New Roman" w:hAnsi="Times New Roman"/>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84"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Failure to respond to rapid technological changes, including with respect to AI, extend our platform, or develop new features or products may harm our ability to compete effectively, which would adversely affect our business.</w:t>
      </w:r>
    </w:p>
    <w:p>
      <w:pPr>
        <w:spacing w:after="0" w:line="156" w:lineRule="exact"/>
        <w:rPr>
          <w:sz w:val="20"/>
          <w:szCs w:val="20"/>
          <w:color w:val="auto"/>
        </w:rPr>
      </w:pPr>
    </w:p>
    <w:p>
      <w:pPr>
        <w:ind w:right="20" w:firstLine="392"/>
        <w:spacing w:after="0" w:line="242" w:lineRule="auto"/>
        <w:rPr>
          <w:sz w:val="20"/>
          <w:szCs w:val="20"/>
          <w:color w:val="auto"/>
        </w:rPr>
      </w:pPr>
      <w:r>
        <w:rPr>
          <w:rFonts w:ascii="Times New Roman" w:cs="Times New Roman" w:eastAsia="Times New Roman" w:hAnsi="Times New Roman"/>
          <w:sz w:val="17"/>
          <w:szCs w:val="17"/>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and strategic shifts that could impact short-term growth or profitability. In particular, we have made, and intend to continue making, significant investments in developing products that will incorporate AI. While we believe that such new products have the potential to drive future growth of our business, the development of such new features will require us to incur significant costs, and may adversely affect our gross margins, and there is no guarantee that these new product offerings will ultimately be adopted by users, achieve product-market fit, result in additional revenue or otherwise generate our desired return on investment. Further, we may need to shift our strategy or strategic direction, such as our announcement regarding FormSwift, modify our products or increase our investment, any of which could require us to incur additional costs or change our expectations for return on investment. Additionally, use of newly-developed AI technology could result in reputational harm, operational risks, or legal liability.</w:t>
      </w:r>
    </w:p>
    <w:p>
      <w:pPr>
        <w:spacing w:after="0" w:line="223"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In addition, while we believe remote or distributed work will continue to have a significant and long lasting impact on the workforce, and will open up increased market opportunities for us, such as our work on new AI-driven products, such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1"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we operate in a Virtual First work model, which may lead to disruptions and decreased productivity that could result in delays in our product development process as compared to a fully in-office model. We have also in the past experienced delays in our internally planned release dates for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720"/>
        <w:spacing w:after="0" w:line="276" w:lineRule="auto"/>
        <w:rPr>
          <w:sz w:val="20"/>
          <w:szCs w:val="20"/>
          <w:color w:val="auto"/>
        </w:rPr>
      </w:pPr>
      <w:r>
        <w:rPr>
          <w:rFonts w:ascii="Times New Roman" w:cs="Times New Roman" w:eastAsia="Times New Roman" w:hAnsi="Times New Roman"/>
          <w:sz w:val="17"/>
          <w:szCs w:val="17"/>
          <w:color w:val="auto"/>
        </w:rPr>
        <w:t>successful. If users do not widely adopt our new product experiences, features, and capabilities, we may not be able to realize a positive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upon the interoperability of our platform across devices, operating systems, and third-party applications that we do not control.</w:t>
      </w:r>
    </w:p>
    <w:p>
      <w:pPr>
        <w:spacing w:after="0" w:line="253" w:lineRule="exact"/>
        <w:rPr>
          <w:sz w:val="20"/>
          <w:szCs w:val="20"/>
          <w:color w:val="auto"/>
        </w:rPr>
      </w:pPr>
    </w:p>
    <w:p>
      <w:pPr>
        <w:ind w:right="80" w:firstLine="392"/>
        <w:spacing w:after="0" w:line="262" w:lineRule="auto"/>
        <w:rPr>
          <w:sz w:val="20"/>
          <w:szCs w:val="20"/>
          <w:color w:val="auto"/>
        </w:rPr>
      </w:pPr>
      <w:r>
        <w:rPr>
          <w:rFonts w:ascii="Times New Roman" w:cs="Times New Roman" w:eastAsia="Times New Roman" w:hAnsi="Times New Roman"/>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(now part of Salesforce), BetterCloud, Google, IBM, Cisco, VMware, Okta, Symantec, Palo Alto Networks, Zoom, and a variety of other productivity, collaboration, data management, generative AI, and security vendors. We are dependent on the accessibility of 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third-party services, our business may be adversely impacted.</w:t>
      </w:r>
    </w:p>
    <w:p>
      <w:pPr>
        <w:spacing w:after="0" w:line="201" w:lineRule="exact"/>
        <w:rPr>
          <w:sz w:val="20"/>
          <w:szCs w:val="20"/>
          <w:color w:val="auto"/>
        </w:rPr>
      </w:pPr>
    </w:p>
    <w:p>
      <w:pPr>
        <w:ind w:right="160" w:firstLine="392"/>
        <w:spacing w:after="0" w:line="269" w:lineRule="auto"/>
        <w:rPr>
          <w:sz w:val="20"/>
          <w:szCs w:val="20"/>
          <w:color w:val="auto"/>
        </w:rPr>
      </w:pPr>
      <w:r>
        <w:rPr>
          <w:rFonts w:ascii="Times New Roman" w:cs="Times New Roman" w:eastAsia="Times New Roman" w:hAnsi="Times New Roman"/>
          <w:sz w:val="17"/>
          <w:szCs w:val="17"/>
          <w:color w:val="auto"/>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spacing w:after="0" w:line="195"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5"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generate revenue from sales of subscriptions to our platform, and declines in demand for our platform, or for content collaboration solutions in general, could negatively impact our business.</w:t>
      </w:r>
    </w:p>
    <w:p>
      <w:pPr>
        <w:spacing w:after="0" w:line="169"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spacing w:after="0" w:line="195"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88" w:lineRule="exact"/>
        <w:rPr>
          <w:sz w:val="20"/>
          <w:szCs w:val="20"/>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awareness of the content collaboration category generally;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products and services that compete with ours;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scale, and duration, of trends towards or away from remote or distributed work;</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recognition and trust;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privacy;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AI;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trends.</w:t>
      </w:r>
    </w:p>
    <w:p>
      <w:pPr>
        <w:spacing w:after="0" w:line="249"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84"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69"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We depend on the continued service and performance of our key personnel. In particular, our Co-Chief Executive Officers, Andrew W. Houston and Ashraf Alkarmi, as well as other members of our executive leadership team, are important to our vision, strategic direction, culture, and offerings. From time-to-time, there have been changes in our management team resulting from the hiring or departure of our executives, and there may be additional changes in the future. For example, we announced on October 28, 2026 that Ali Dasdan plans to resign as our Chief Technology Officer.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200" w:lineRule="exact"/>
        <w:rPr>
          <w:sz w:val="20"/>
          <w:szCs w:val="20"/>
          <w:color w:val="auto"/>
        </w:rPr>
      </w:pPr>
    </w:p>
    <w:p>
      <w:pPr>
        <w:ind w:right="40" w:firstLine="392"/>
        <w:spacing w:after="0" w:line="263" w:lineRule="auto"/>
        <w:rPr>
          <w:sz w:val="20"/>
          <w:szCs w:val="20"/>
          <w:color w:val="auto"/>
        </w:rPr>
      </w:pPr>
      <w:r>
        <w:rPr>
          <w:rFonts w:ascii="Times New Roman" w:cs="Times New Roman" w:eastAsia="Times New Roman" w:hAnsi="Times New Roman"/>
          <w:sz w:val="17"/>
          <w:szCs w:val="17"/>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work model gives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spacing w:after="0" w:line="199"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work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Furthermore, our 2026 reductions in workforce may result in increased attrition beyond our intended reduction-in-force, reduce employee morale, and negatively impact employee recruiting and retention. If we fail to attract new personnel, or fail to retain and motivate our current personnel, our business, financial results, and growth prospects could be harmed.</w:t>
      </w:r>
    </w:p>
    <w:p>
      <w:pPr>
        <w:spacing w:after="0" w:line="206"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work model.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with a Virtual First work model and the long-term impact of this model on our financial results and business operations remains uncertain.</w:t>
      </w:r>
    </w:p>
    <w:p>
      <w:pPr>
        <w:spacing w:after="0" w:line="253"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Since October 2020, we have operated under a Virtual First work model pursuant to which remote work has become the primary experience for all of our employees and we expect our workforce to remain significantly distributed over the long term.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spacing w:after="0" w:line="195" w:lineRule="exact"/>
        <w:rPr>
          <w:sz w:val="20"/>
          <w:szCs w:val="20"/>
          <w:color w:val="auto"/>
        </w:rPr>
      </w:pPr>
    </w:p>
    <w:p>
      <w:pPr>
        <w:ind w:right="200" w:firstLine="392"/>
        <w:spacing w:after="0" w:line="269" w:lineRule="auto"/>
        <w:rPr>
          <w:sz w:val="20"/>
          <w:szCs w:val="20"/>
          <w:color w:val="auto"/>
        </w:rPr>
      </w:pPr>
      <w:r>
        <w:rPr>
          <w:rFonts w:ascii="Times New Roman" w:cs="Times New Roman" w:eastAsia="Times New Roman" w:hAnsi="Times New Roman"/>
          <w:sz w:val="17"/>
          <w:szCs w:val="17"/>
          <w:color w:val="auto"/>
        </w:rPr>
        <w:t>Our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195" w:lineRule="exact"/>
        <w:rPr>
          <w:sz w:val="20"/>
          <w:szCs w:val="20"/>
          <w:color w:val="auto"/>
        </w:rPr>
      </w:pPr>
    </w:p>
    <w:p>
      <w:pPr>
        <w:ind w:right="20" w:firstLine="392"/>
        <w:spacing w:after="0" w:line="262" w:lineRule="auto"/>
        <w:rPr>
          <w:sz w:val="20"/>
          <w:szCs w:val="20"/>
          <w:color w:val="auto"/>
        </w:rPr>
      </w:pPr>
      <w:r>
        <w:rPr>
          <w:rFonts w:ascii="Times New Roman" w:cs="Times New Roman" w:eastAsia="Times New Roman" w:hAnsi="Times New Roman"/>
          <w:sz w:val="17"/>
          <w:szCs w:val="17"/>
          <w:color w:val="auto"/>
        </w:rPr>
        <w:t>In addition, our Virtual First work model has reduced our need for office space relative to our existing lease commitments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197"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significantly impacted by general economic, political, and market conditions, including any resulting effect on consumer or business spending.</w:t>
      </w:r>
    </w:p>
    <w:p>
      <w:pPr>
        <w:spacing w:after="0" w:line="169"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7"/>
          <w:szCs w:val="17"/>
          <w:color w:val="auto"/>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fluctuating or uncertain interest rates, unemployment trends, increased tariffs, retaliatory actions, international trade regulations, geopolitical issues, including wars and other armed conflicts, global health epidemics and other highly communicable diseases, bank insolvencies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lack of a significant outbound sales force may limit the potential growth of our business.</w:t>
      </w:r>
    </w:p>
    <w:p>
      <w:pPr>
        <w:spacing w:after="0" w:line="25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significant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expand sales to large organizations, which could lengthen sales cycles and result in greater deployment challenges.</w:t>
      </w:r>
    </w:p>
    <w:p>
      <w:pPr>
        <w:spacing w:after="0" w:line="253"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customer support may harm our relationships with our users and our financial results.</w:t>
      </w:r>
    </w:p>
    <w:p>
      <w:pPr>
        <w:spacing w:after="0" w:line="253" w:lineRule="exact"/>
        <w:rPr>
          <w:sz w:val="20"/>
          <w:szCs w:val="20"/>
          <w:color w:val="auto"/>
        </w:rPr>
      </w:pPr>
    </w:p>
    <w:p>
      <w:pPr>
        <w:ind w:right="80" w:firstLine="392"/>
        <w:spacing w:after="0" w:line="263" w:lineRule="auto"/>
        <w:rPr>
          <w:sz w:val="20"/>
          <w:szCs w:val="20"/>
          <w:color w:val="auto"/>
        </w:rPr>
      </w:pPr>
      <w:r>
        <w:rPr>
          <w:rFonts w:ascii="Times New Roman" w:cs="Times New Roman" w:eastAsia="Times New Roman" w:hAnsi="Times New Roman"/>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including through the use of third-party customer support partners,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95"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6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93"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outside the United States and our efforts to expand, subject us to increased business and economic risks that could impact our results of operations.</w:t>
      </w:r>
    </w:p>
    <w:p>
      <w:pPr>
        <w:spacing w:after="0" w:line="169" w:lineRule="exact"/>
        <w:rPr>
          <w:sz w:val="20"/>
          <w:szCs w:val="20"/>
          <w:color w:val="auto"/>
        </w:rPr>
      </w:pPr>
    </w:p>
    <w:p>
      <w:pPr>
        <w:ind w:right="120" w:firstLine="392"/>
        <w:spacing w:after="0" w:line="261" w:lineRule="auto"/>
        <w:rPr>
          <w:sz w:val="20"/>
          <w:szCs w:val="20"/>
          <w:color w:val="auto"/>
        </w:rPr>
      </w:pPr>
      <w:r>
        <w:rPr>
          <w:rFonts w:ascii="Times New Roman" w:cs="Times New Roman" w:eastAsia="Times New Roman" w:hAnsi="Times New Roman"/>
          <w:sz w:val="17"/>
          <w:szCs w:val="17"/>
          <w:color w:val="auto"/>
        </w:rPr>
        <w:t>We have paying users across approximately 180 countries and approximately 44% of our revenue in the year ended December 31, 2025 was generated from paying users outside the United States. We expect to continue to expand our international operations, which may include employees working in new jurisdictions and providing our products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spacing w:after="0" w:line="204" w:lineRule="exact"/>
        <w:rPr>
          <w:sz w:val="20"/>
          <w:szCs w:val="20"/>
          <w:color w:val="auto"/>
        </w:rPr>
      </w:pPr>
    </w:p>
    <w:p>
      <w:pPr>
        <w:ind w:left="640" w:right="20" w:hanging="322"/>
        <w:spacing w:after="0" w:line="276"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international laws, regulations, and standards including laws and regulations with respect to labor and employment, privacy, data protection, cybersecurity, AI, consumer protection, tax, export control and sanctions, and unsolicited email, and the risk of penalties to our users and individual members of management or employees if our practices are deemed to be out of compliance;</w:t>
      </w:r>
    </w:p>
    <w:p>
      <w:pPr>
        <w:spacing w:after="0" w:line="188" w:lineRule="exact"/>
        <w:rPr>
          <w:rFonts w:ascii="Times New Roman" w:cs="Times New Roman" w:eastAsia="Times New Roman" w:hAnsi="Times New Roman"/>
          <w:sz w:val="17"/>
          <w:szCs w:val="17"/>
          <w:color w:val="auto"/>
        </w:rPr>
      </w:pPr>
    </w:p>
    <w:p>
      <w:pPr>
        <w:ind w:left="640" w:right="240" w:hanging="322"/>
        <w:spacing w:after="0" w:line="29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recruiting and retaining talented and capable employees in locations outside the United States, and maintaining our company culture across all of our locations, including in light of our Virtual First work model and an increasingly distributed workforce;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right="460" w:hanging="322"/>
        <w:spacing w:after="0" w:line="29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of an employee base in jurisdictions that may not give us the same employment and retention flexibility as the United States;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jurisdictions that do not protect intellectual property rights in the same manner or to the same extent as the United States;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copyright levies or similar fees imposed by collection agencies in European and other jurisdictions;</w:t>
      </w:r>
    </w:p>
    <w:p>
      <w:pPr>
        <w:spacing w:after="0" w:line="248" w:lineRule="exact"/>
        <w:rPr>
          <w:rFonts w:ascii="Times New Roman" w:cs="Times New Roman" w:eastAsia="Times New Roman" w:hAnsi="Times New Roman"/>
          <w:sz w:val="17"/>
          <w:szCs w:val="17"/>
          <w:color w:val="auto"/>
        </w:rPr>
      </w:pPr>
    </w:p>
    <w:p>
      <w:pPr>
        <w:ind w:left="640" w:right="240" w:hanging="322"/>
        <w:spacing w:after="0" w:line="29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72" w:lineRule="exact"/>
        <w:rPr>
          <w:rFonts w:ascii="Times New Roman" w:cs="Times New Roman" w:eastAsia="Times New Roman" w:hAnsi="Times New Roman"/>
          <w:sz w:val="17"/>
          <w:szCs w:val="17"/>
          <w:color w:val="auto"/>
        </w:rPr>
      </w:pPr>
    </w:p>
    <w:p>
      <w:pPr>
        <w:ind w:left="640" w:right="240" w:hanging="322"/>
        <w:spacing w:after="0" w:line="29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social, and economic instability, conflicts, and wars, and their regional and global ramifications;</w:t>
      </w:r>
    </w:p>
    <w:p>
      <w:pPr>
        <w:spacing w:after="0" w:line="248" w:lineRule="exact"/>
        <w:rPr>
          <w:rFonts w:ascii="Times New Roman" w:cs="Times New Roman" w:eastAsia="Times New Roman" w:hAnsi="Times New Roman"/>
          <w:sz w:val="17"/>
          <w:szCs w:val="17"/>
          <w:color w:val="auto"/>
        </w:rPr>
      </w:pPr>
    </w:p>
    <w:p>
      <w:pPr>
        <w:ind w:left="640" w:right="840" w:hanging="322"/>
        <w:spacing w:after="0" w:line="29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72" w:lineRule="exact"/>
        <w:rPr>
          <w:rFonts w:ascii="Times New Roman" w:cs="Times New Roman" w:eastAsia="Times New Roman" w:hAnsi="Times New Roman"/>
          <w:sz w:val="17"/>
          <w:szCs w:val="17"/>
          <w:color w:val="auto"/>
        </w:rPr>
      </w:pPr>
    </w:p>
    <w:p>
      <w:pPr>
        <w:ind w:left="640" w:right="240" w:hanging="322"/>
        <w:spacing w:after="0" w:line="29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costs of doing business internationally, including increased accounting, travel, infrastructure, and legal compliance costs;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natural disasters and public health epidemics on employees, travel and the global economy.</w:t>
      </w:r>
    </w:p>
    <w:p>
      <w:pPr>
        <w:spacing w:after="0" w:line="249"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spacing w:after="0" w:line="196"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69"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95" w:lineRule="exact"/>
        <w:rPr>
          <w:sz w:val="20"/>
          <w:szCs w:val="20"/>
          <w:color w:val="auto"/>
        </w:rPr>
      </w:pPr>
    </w:p>
    <w:p>
      <w:pPr>
        <w:jc w:val="both"/>
        <w:ind w:right="100" w:firstLine="392"/>
        <w:spacing w:after="0" w:line="269" w:lineRule="auto"/>
        <w:rPr>
          <w:sz w:val="20"/>
          <w:szCs w:val="20"/>
          <w:color w:val="auto"/>
        </w:rPr>
      </w:pPr>
      <w:r>
        <w:rPr>
          <w:rFonts w:ascii="Times New Roman" w:cs="Times New Roman" w:eastAsia="Times New Roman" w:hAnsi="Times New Roman"/>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88"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adverse changes in third-party service levels at datacenters or any real or perceived errors, bugs, defects, disruptions, or other performance problems that adversely impact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 and we may not have adequate recourse, or recourse at all, from the datacenter and service provider, which could further harm our business, results of operations and financial condition.</w:t>
      </w:r>
    </w:p>
    <w:p>
      <w:pPr>
        <w:spacing w:after="0" w:line="19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69"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We use software and services licensed, procured, or otherwise provided by third parties, including through connected apps and integrations,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0"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We also depend on our ecosystem of developers to create applications that will integrate with our platform. As of December 31, 2025, Dropbox received over 75 billion API calls per month, and just over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95"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We may not have the ability to control or prevent these risks. As a result, issues relating to these applications could adversely affect our business, brand, and reputation.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negatively affect our ability to offer and sell subscriptions to our platform and subject us to possible litigation.</w:t>
      </w:r>
    </w:p>
    <w:p>
      <w:pPr>
        <w:spacing w:after="0" w:line="25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sell subscriptions to our platform and retain users could be harmed by real or perceived material defects or errors in our platform.</w:t>
      </w:r>
    </w:p>
    <w:p>
      <w:pPr>
        <w:spacing w:after="0" w:line="253" w:lineRule="exact"/>
        <w:rPr>
          <w:sz w:val="20"/>
          <w:szCs w:val="20"/>
          <w:color w:val="auto"/>
        </w:rPr>
      </w:pPr>
    </w:p>
    <w:p>
      <w:pPr>
        <w:ind w:right="240" w:firstLine="392"/>
        <w:spacing w:after="0" w:line="269" w:lineRule="auto"/>
        <w:rPr>
          <w:sz w:val="20"/>
          <w:szCs w:val="20"/>
          <w:color w:val="auto"/>
        </w:rPr>
      </w:pPr>
      <w:r>
        <w:rPr>
          <w:rFonts w:ascii="Times New Roman" w:cs="Times New Roman" w:eastAsia="Times New Roman" w:hAnsi="Times New Roman"/>
          <w:sz w:val="17"/>
          <w:szCs w:val="17"/>
          <w:color w:val="auto"/>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5" w:lineRule="exact"/>
        <w:rPr>
          <w:sz w:val="20"/>
          <w:szCs w:val="20"/>
          <w:color w:val="auto"/>
        </w:rPr>
      </w:pPr>
    </w:p>
    <w:p>
      <w:pPr>
        <w:ind w:firstLine="392"/>
        <w:spacing w:after="0" w:line="288" w:lineRule="auto"/>
        <w:rPr>
          <w:sz w:val="20"/>
          <w:szCs w:val="20"/>
          <w:color w:val="auto"/>
        </w:rPr>
      </w:pPr>
      <w:r>
        <w:rPr>
          <w:rFonts w:ascii="Times New Roman" w:cs="Times New Roman" w:eastAsia="Times New Roman" w:hAnsi="Times New Roman"/>
          <w:sz w:val="17"/>
          <w:szCs w:val="17"/>
          <w:color w:val="auto"/>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spacing w:after="0" w:line="393" w:lineRule="exact"/>
        <w:rPr>
          <w:sz w:val="20"/>
          <w:szCs w:val="20"/>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a reduction in revenue or delay in market acceptance of our platform;</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issue refunds to our users or expose us to claims for damages;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lose existing users and make it more difficult to attract new users;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our development resources or require us to make extensive changes to our platform, which would increase our expenses;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technical support costs;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our reputation and brand.</w:t>
      </w:r>
    </w:p>
    <w:p>
      <w:pPr>
        <w:spacing w:after="0" w:line="245" w:lineRule="exact"/>
        <w:rPr>
          <w:sz w:val="20"/>
          <w:szCs w:val="20"/>
          <w:color w:val="auto"/>
        </w:rPr>
      </w:pPr>
    </w:p>
    <w:p>
      <w:pPr>
        <w:ind w:right="4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acquired or invested in, and may in the future acquire or invest in, other businesses, assets, and technologies, which could require significant management attention, disrupt our business operations, cause us to incur debt or dilute stockholder value, and may not be successful.</w:t>
      </w:r>
    </w:p>
    <w:p>
      <w:pPr>
        <w:spacing w:after="0" w:line="169" w:lineRule="exact"/>
        <w:rPr>
          <w:sz w:val="20"/>
          <w:szCs w:val="20"/>
          <w:color w:val="auto"/>
        </w:rPr>
      </w:pPr>
    </w:p>
    <w:p>
      <w:pPr>
        <w:ind w:right="720" w:firstLine="392"/>
        <w:spacing w:after="0" w:line="295" w:lineRule="auto"/>
        <w:rPr>
          <w:sz w:val="20"/>
          <w:szCs w:val="20"/>
          <w:color w:val="auto"/>
        </w:rPr>
      </w:pPr>
      <w:r>
        <w:rPr>
          <w:rFonts w:ascii="Times New Roman" w:cs="Times New Roman" w:eastAsia="Times New Roman" w:hAnsi="Times New Roman"/>
          <w:sz w:val="17"/>
          <w:szCs w:val="17"/>
          <w:color w:val="auto"/>
        </w:rPr>
        <w:t>As part of our business strategy, we have acquired or invested in, and may in the future acquire or invest in, other companies, employee teams, or technologies to complement or expand our products, obtain personnel, or otherwise complement or grow our business.</w:t>
      </w:r>
    </w:p>
    <w:p>
      <w:pPr>
        <w:spacing w:after="0" w:line="173"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The pursuit of acquisitions or investments may divert the attention of management and cause us to incur various expenses in identifying, investigating, and pursuing suitable acquisitions, whether or not they are consummated.</w:t>
      </w:r>
    </w:p>
    <w:p>
      <w:pPr>
        <w:spacing w:after="0" w:line="173" w:lineRule="exact"/>
        <w:rPr>
          <w:sz w:val="20"/>
          <w:szCs w:val="20"/>
          <w:color w:val="auto"/>
        </w:rPr>
      </w:pPr>
    </w:p>
    <w:p>
      <w:pPr>
        <w:ind w:right="380" w:firstLine="392"/>
        <w:spacing w:after="0" w:line="276" w:lineRule="auto"/>
        <w:rPr>
          <w:sz w:val="20"/>
          <w:szCs w:val="20"/>
          <w:color w:val="auto"/>
        </w:rPr>
      </w:pPr>
      <w:r>
        <w:rPr>
          <w:rFonts w:ascii="Times New Roman" w:cs="Times New Roman" w:eastAsia="Times New Roman" w:hAnsi="Times New Roman"/>
          <w:sz w:val="17"/>
          <w:szCs w:val="17"/>
          <w:color w:val="auto"/>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spacing w:after="0" w:line="188"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If we do complete acquisitions, we may not ultimately strengthen our competitive position or achieve the anticipated benefits from such acquisitions, due to a number of factors, including:</w:t>
      </w:r>
    </w:p>
    <w:p>
      <w:pPr>
        <w:spacing w:after="0" w:line="173" w:lineRule="exact"/>
        <w:rPr>
          <w:sz w:val="20"/>
          <w:szCs w:val="20"/>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acquisition-related costs, liabilities, or tax impacts, some of which may be unanticipated;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utilizing or integrating the acquired intellectual property, technology infrastructure, and operations;</w:t>
      </w:r>
    </w:p>
    <w:p>
      <w:pPr>
        <w:spacing w:after="0" w:line="248" w:lineRule="exact"/>
        <w:rPr>
          <w:rFonts w:ascii="Times New Roman" w:cs="Times New Roman" w:eastAsia="Times New Roman" w:hAnsi="Times New Roman"/>
          <w:sz w:val="17"/>
          <w:szCs w:val="17"/>
          <w:color w:val="auto"/>
        </w:rPr>
      </w:pPr>
    </w:p>
    <w:p>
      <w:pPr>
        <w:ind w:left="640" w:right="80" w:hanging="322"/>
        <w:spacing w:after="0" w:line="295" w:lineRule="auto"/>
        <w:tabs>
          <w:tab w:leader="none" w:pos="6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integrating and retaining key employees of acquired businesses and related challenges motivating and retaining our key employees after such acquisition;</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ineffective or inadequate, controls, procedures, or policies at an acquired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effectively offer, price, and support multiple product lines or services offerings of acquired businesses;</w:t>
      </w:r>
    </w:p>
    <w:p>
      <w:pPr>
        <w:spacing w:after="0" w:line="248" w:lineRule="exact"/>
        <w:rPr>
          <w:rFonts w:ascii="Times New Roman" w:cs="Times New Roman" w:eastAsia="Times New Roman" w:hAnsi="Times New Roman"/>
          <w:sz w:val="17"/>
          <w:szCs w:val="17"/>
          <w:color w:val="auto"/>
        </w:rPr>
      </w:pPr>
    </w:p>
    <w:p>
      <w:pPr>
        <w:ind w:left="640" w:right="540" w:hanging="322"/>
        <w:spacing w:after="0" w:line="295" w:lineRule="auto"/>
        <w:tabs>
          <w:tab w:leader="none" w:pos="6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unknown liabilities or risks associated with an acquired business, including those arising from existing contractual obligations, security vulnerabilities, cybersecurity incidents, or litigation matters;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maintain relationships with key customers, suppliers, and partners of an acquired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accurately forecast the financial impact of an acquisition transaction, including accounting charges;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accounting, finance and forecasting practices of acquired business within our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experience in new markets, products or technologies;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effectively integrate brand identity of acquired businesses within those of our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other business concerns;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resources that are needed in other parts of our business.</w:t>
      </w:r>
    </w:p>
    <w:p>
      <w:pPr>
        <w:spacing w:after="0" w:line="249"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We may have to pay a substantial portion of our available cash, incur debt, or issue equity securities to pay for any such acquisitions, each of which could affect our financial condition or the value of our capital stock. The issuance of equity consideration or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95" w:lineRule="exact"/>
        <w:rPr>
          <w:sz w:val="20"/>
          <w:szCs w:val="20"/>
          <w:color w:val="auto"/>
        </w:rPr>
      </w:pPr>
    </w:p>
    <w:p>
      <w:pPr>
        <w:ind w:right="80" w:firstLine="392"/>
        <w:spacing w:after="0" w:line="268" w:lineRule="auto"/>
        <w:rPr>
          <w:sz w:val="20"/>
          <w:szCs w:val="20"/>
          <w:color w:val="auto"/>
        </w:rPr>
      </w:pPr>
      <w:r>
        <w:rPr>
          <w:rFonts w:ascii="Times New Roman" w:cs="Times New Roman" w:eastAsia="Times New Roman" w:hAnsi="Times New Roman"/>
          <w:sz w:val="17"/>
          <w:szCs w:val="17"/>
          <w:color w:val="auto"/>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both"/>
        <w:ind w:right="260" w:firstLine="392"/>
        <w:spacing w:after="0" w:line="276" w:lineRule="auto"/>
        <w:rPr>
          <w:sz w:val="20"/>
          <w:szCs w:val="20"/>
          <w:color w:val="auto"/>
        </w:rPr>
      </w:pPr>
      <w:r>
        <w:rPr>
          <w:rFonts w:ascii="Times New Roman" w:cs="Times New Roman" w:eastAsia="Times New Roman" w:hAnsi="Times New Roman"/>
          <w:sz w:val="17"/>
          <w:szCs w:val="17"/>
          <w:color w:val="auto"/>
        </w:rPr>
        <w:t>A significant portion of the purchase price of companies we acquire may be allocated to acquired goodwill. We review goodwill for impairment at least annually. If our acquisitions do not yield expected returns, we may be required to record impairment charges based on this assessment, which could adversely affect our results of operations.</w:t>
      </w:r>
    </w:p>
    <w:p>
      <w:pPr>
        <w:spacing w:after="0" w:line="188" w:lineRule="exact"/>
        <w:rPr>
          <w:sz w:val="20"/>
          <w:szCs w:val="20"/>
          <w:color w:val="auto"/>
        </w:rPr>
      </w:pPr>
    </w:p>
    <w:p>
      <w:pPr>
        <w:ind w:right="260" w:firstLine="392"/>
        <w:spacing w:after="0" w:line="276" w:lineRule="auto"/>
        <w:rPr>
          <w:sz w:val="20"/>
          <w:szCs w:val="20"/>
          <w:color w:val="auto"/>
        </w:rPr>
      </w:pPr>
      <w:r>
        <w:rPr>
          <w:rFonts w:ascii="Times New Roman" w:cs="Times New Roman" w:eastAsia="Times New Roman" w:hAnsi="Times New Roman"/>
          <w:sz w:val="17"/>
          <w:szCs w:val="17"/>
          <w:color w:val="auto"/>
        </w:rPr>
        <w:t>Any acquisition we complete could be viewed negatively by users, developers, partners, or investors, and could have adverse effects on our existing business relationships, financial condition, or the value of our capital stock. Further, an acquired business may not achieve the returns or strategic benefits we expected and we may have unanticipated expenses, write-offs or charges related to such acquisitions.</w:t>
      </w:r>
    </w:p>
    <w:p>
      <w:pPr>
        <w:spacing w:after="0" w:line="188"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current and future indebtedness may limit our operating flexibility or otherwise affect our business.</w:t>
      </w:r>
    </w:p>
    <w:p>
      <w:pPr>
        <w:spacing w:after="0" w:line="253"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Our current indebtedness, including our 2028 Notes, term loan facility, and revolving credit facility, place significant restrictions on our business and could have important consequences to our stockholders and effects on our business, as could any future indebtedness.</w:t>
      </w:r>
    </w:p>
    <w:p>
      <w:pPr>
        <w:spacing w:after="0" w:line="173" w:lineRule="exact"/>
        <w:rPr>
          <w:sz w:val="20"/>
          <w:szCs w:val="20"/>
          <w:color w:val="auto"/>
        </w:rPr>
      </w:pPr>
    </w:p>
    <w:p>
      <w:pPr>
        <w:jc w:val="both"/>
        <w:ind w:right="360" w:firstLine="392"/>
        <w:spacing w:after="0" w:line="269" w:lineRule="auto"/>
        <w:rPr>
          <w:sz w:val="20"/>
          <w:szCs w:val="20"/>
          <w:color w:val="auto"/>
        </w:rPr>
      </w:pPr>
      <w:r>
        <w:rPr>
          <w:rFonts w:ascii="Times New Roman" w:cs="Times New Roman" w:eastAsia="Times New Roman" w:hAnsi="Times New Roman"/>
          <w:sz w:val="17"/>
          <w:szCs w:val="17"/>
          <w:color w:val="auto"/>
        </w:rPr>
        <w:t>For example, the terms of our term loan facility and revolving credit facility contain a number of covenants that limit our ability and our subsidiaries’ ability to, among other things, incur additional indebtedness, create liens, merge or consolidate with other companies, sell substantially all of our assets, pay dividends, make redemptions and repurchases of stock, engage in transactions with affiliates, make investments, loans and acquisitions, and prepay certain indebtedness, in each case subject to qualifications and exceptions.</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addition, such current and future indebtedness could:</w:t>
      </w:r>
    </w:p>
    <w:p>
      <w:pPr>
        <w:spacing w:after="0" w:line="249" w:lineRule="exact"/>
        <w:rPr>
          <w:sz w:val="20"/>
          <w:szCs w:val="20"/>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it more difficult for us to satisfy our debt obligations, including our term loan facility, revolving credit facility, and the 2028 Notes;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general adverse economic and industry conditions;</w:t>
      </w:r>
    </w:p>
    <w:p>
      <w:pPr>
        <w:spacing w:after="0" w:line="248"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in planning for, or reacting to, changes in our business and the industry in which we operate;</w:t>
      </w:r>
    </w:p>
    <w:p>
      <w:pPr>
        <w:spacing w:after="0" w:line="248" w:lineRule="exact"/>
        <w:rPr>
          <w:rFonts w:ascii="Times New Roman" w:cs="Times New Roman" w:eastAsia="Times New Roman" w:hAnsi="Times New Roman"/>
          <w:sz w:val="17"/>
          <w:szCs w:val="17"/>
          <w:color w:val="auto"/>
        </w:rPr>
      </w:pPr>
    </w:p>
    <w:p>
      <w:pPr>
        <w:ind w:left="640" w:right="30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our current and future operations, make it more difficult to successfully execute our business strategy, or restrict us from exploiting business opportunities;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compared to our competitors that have less indebtedness or are not subject to restrictive covenants;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or otherwise impact the pace and timing of repurchases under our stock repurchase program; and</w:t>
      </w:r>
    </w:p>
    <w:p>
      <w:pPr>
        <w:spacing w:after="0" w:line="248" w:lineRule="exact"/>
        <w:rPr>
          <w:rFonts w:ascii="Times New Roman" w:cs="Times New Roman" w:eastAsia="Times New Roman" w:hAnsi="Times New Roman"/>
          <w:sz w:val="17"/>
          <w:szCs w:val="17"/>
          <w:color w:val="auto"/>
        </w:rPr>
      </w:pPr>
    </w:p>
    <w:p>
      <w:pPr>
        <w:ind w:left="640" w:right="380" w:hanging="322"/>
        <w:spacing w:after="0" w:line="295" w:lineRule="auto"/>
        <w:tabs>
          <w:tab w:leader="none" w:pos="6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availability to borrow additional funds for working capital, capital expenditures, acquisitions, debt service requirements, execution of our business strategy, or other general purposes.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of the foregoing could have a material adverse effect on our business, cash flows, results of operations, and financial condition.</w:t>
      </w:r>
    </w:p>
    <w:p>
      <w:pPr>
        <w:spacing w:after="0" w:line="245"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69"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We finance a significant portion of our expenditures through leasing arrangements, and we may enter into additional similar arrangements in the future. As of December 31, 2025, we had an aggregate of $1,110.6 million of commitments to settle contractual obligations. In particular, we utilize both finance and operating leases to finance some of our equipment, datacenters and offices. In addition, as of December 31, 2025, we had $1,488.3 million in aggregate principal amount of term loans outstanding under our term loan facility. Our revolving credit facility currently provides $400.0 million of commitments for available revolving loans. As of September 30, 2026, no amounts are outstanding under our revolving credit facility. If we default on these leasing or credit obligations, our leasing partners and lenders may, among other things:</w:t>
      </w:r>
    </w:p>
    <w:p>
      <w:pPr>
        <w:spacing w:after="0" w:line="200" w:lineRule="exact"/>
        <w:rPr>
          <w:sz w:val="20"/>
          <w:szCs w:val="20"/>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repayment of any outstanding lease obligations or loans;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leasing arrangements;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access to the leased datacenters we utilize;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stop delivery of ordered equipment;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or require us to return our leased equipment;</w:t>
      </w:r>
    </w:p>
    <w:p>
      <w:pPr>
        <w:spacing w:after="0" w:line="248" w:lineRule="exact"/>
        <w:rPr>
          <w:rFonts w:ascii="Times New Roman" w:cs="Times New Roman" w:eastAsia="Times New Roman" w:hAnsi="Times New Roman"/>
          <w:sz w:val="17"/>
          <w:szCs w:val="17"/>
          <w:color w:val="auto"/>
        </w:rPr>
      </w:pPr>
    </w:p>
    <w:p>
      <w:pPr>
        <w:ind w:left="640" w:right="400" w:hanging="322"/>
        <w:spacing w:after="0" w:line="295" w:lineRule="auto"/>
        <w:tabs>
          <w:tab w:leader="none" w:pos="6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repayment of the outstanding term loans borrowed under our term loan facility or any revolving loans borrowed under our revolving credit facility;</w:t>
      </w:r>
    </w:p>
    <w:p>
      <w:pPr>
        <w:spacing w:after="0" w:line="172" w:lineRule="exact"/>
        <w:rPr>
          <w:rFonts w:ascii="Times New Roman" w:cs="Times New Roman" w:eastAsia="Times New Roman" w:hAnsi="Times New Roman"/>
          <w:sz w:val="17"/>
          <w:szCs w:val="17"/>
          <w:color w:val="auto"/>
        </w:rPr>
      </w:pPr>
    </w:p>
    <w:p>
      <w:pPr>
        <w:ind w:left="640" w:right="300" w:hanging="322"/>
        <w:spacing w:after="0" w:line="295" w:lineRule="auto"/>
        <w:tabs>
          <w:tab w:leader="none" w:pos="6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term loan facility or revolving credit facility and exercise rights and remedies against the collateral securing our term loan facility and revolving credit facility; or</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pay increased and significant interest, fees, penalties, or damages.</w:t>
      </w:r>
    </w:p>
    <w:p>
      <w:pPr>
        <w:spacing w:after="0" w:line="24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term loan facility or borrowings under our revolving credit facility, if any,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Risks Related to Our Financial Performance or Results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growth rate has declined in recent periods and may continue to slow in the future.</w:t>
      </w:r>
    </w:p>
    <w:p>
      <w:pPr>
        <w:spacing w:after="0" w:line="253"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increase expenses in the future, and we may not be able to achieve or maintain profitability in future periods.</w:t>
      </w:r>
    </w:p>
    <w:p>
      <w:pPr>
        <w:spacing w:after="0" w:line="240" w:lineRule="exact"/>
        <w:rPr>
          <w:sz w:val="20"/>
          <w:szCs w:val="20"/>
          <w:color w:val="auto"/>
        </w:rPr>
      </w:pPr>
    </w:p>
    <w:p>
      <w:pPr>
        <w:jc w:val="both"/>
        <w:ind w:firstLine="392"/>
        <w:spacing w:after="0" w:line="242" w:lineRule="auto"/>
        <w:rPr>
          <w:sz w:val="20"/>
          <w:szCs w:val="20"/>
          <w:color w:val="auto"/>
        </w:rPr>
      </w:pPr>
      <w:r>
        <w:rPr>
          <w:rFonts w:ascii="Times New Roman" w:cs="Times New Roman" w:eastAsia="Times New Roman" w:hAnsi="Times New Roman"/>
          <w:sz w:val="17"/>
          <w:szCs w:val="17"/>
          <w:color w:val="auto"/>
        </w:rPr>
        <w:t>As we strive to grow our business, expenses may increase as we continue to make investments to scale our business, reposition our products, and respond to new technologies; in particular, we are making significant investments in AI technologies and product development. For example, we will need an increasing amount of technical infrastructure, including datacenter capacity, network capacity, computing power and related energy requirements, to continue to satisfy the needs of our user base and support the development and deployment of our products and features, including those involving AI. The costs associated with obtaining, operating, maintaining and expanding this infrastructure, including equipment and energy costs, have increased and may continue to increase, which could adversely affect our gross margin and profitability.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Accordingly, our profitability may fluctuate in certain periods, or we may fail to meet our profitability targets.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in connection with our Virtual First work model,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Virtual First work model. The long-term benefits of our Virtual First work model may not materialize in the way we expect and any savings may not offset these charges and expenses, which would have an adverse impact on our profitability.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w:t>
      </w:r>
    </w:p>
    <w:p>
      <w:pPr>
        <w:spacing w:after="0" w:line="200" w:lineRule="exact"/>
        <w:rPr>
          <w:sz w:val="20"/>
          <w:szCs w:val="20"/>
          <w:color w:val="auto"/>
        </w:rPr>
      </w:pPr>
    </w:p>
    <w:p>
      <w:pPr>
        <w:spacing w:after="0" w:line="213"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7"/>
          <w:szCs w:val="17"/>
          <w:color w:val="auto"/>
        </w:rPr>
        <w:t>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spacing w:after="0" w:line="193"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Servicing our indebtedness under our term loan facility, revolving credit facility, and 2028 Notes may require a significant amount of cash, and we may not have sufficient cash flow or the ability to raise the funds necessary to satisfy our obligations under our term loan facility, revolving credit facility, or 2028 Notes.</w:t>
      </w:r>
    </w:p>
    <w:p>
      <w:pPr>
        <w:spacing w:after="0" w:line="187"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our indebtedness, including our term loan facility, revolving credit facility, and the 2028 Notes, or to make cash payments in connection with any conversion of the 2028 Notes or upon any fundamental change if holders of the 2028 Notes require us to repurchase their Notes for cash, depends on our future performance, which is subject to economic, financial, competitive and other factors beyond our control. In addition, our term loan facility and revolving credit facility expose us to floating interest rates where changes in benchmark interest rates could negatively impact our borrowing costs.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results may fluctuate significantly and may not fully reflect the underlying performance of our business.</w:t>
      </w:r>
    </w:p>
    <w:p>
      <w:pPr>
        <w:spacing w:after="0" w:line="253"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p>
    <w:p>
      <w:pPr>
        <w:spacing w:after="0" w:line="197" w:lineRule="exact"/>
        <w:rPr>
          <w:sz w:val="20"/>
          <w:szCs w:val="20"/>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upgrade paying users;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paying users and convert registered to paying users;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and recognition of revenue;</w:t>
      </w:r>
    </w:p>
    <w:p>
      <w:pPr>
        <w:spacing w:after="0" w:line="248" w:lineRule="exact"/>
        <w:rPr>
          <w:rFonts w:ascii="Times New Roman" w:cs="Times New Roman" w:eastAsia="Times New Roman" w:hAnsi="Times New Roman"/>
          <w:sz w:val="17"/>
          <w:szCs w:val="17"/>
          <w:color w:val="auto"/>
        </w:rPr>
      </w:pPr>
    </w:p>
    <w:p>
      <w:pPr>
        <w:ind w:left="640" w:right="860" w:hanging="322"/>
        <w:spacing w:after="0" w:line="295" w:lineRule="auto"/>
        <w:tabs>
          <w:tab w:leader="none" w:pos="6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 including expenses related to the maintenance and expansion of our business, operations, and infrastructure, hiring, and sales and marketing campaigns, as well as entry into or exit of operating and finance leases;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related to acquisitions;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large indemnification payments to our users or other third parties;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policies or those of our competitors;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new product feature and service introductions by us or our competitors;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network outages or actual or perceived security breaches;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competitive dynamics of our industry, including consolidation among competitors;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that impact our business;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w:t>
      </w:r>
    </w:p>
    <w:p>
      <w:pPr>
        <w:spacing w:after="0" w:line="248" w:lineRule="exact"/>
        <w:rPr>
          <w:rFonts w:ascii="Times New Roman" w:cs="Times New Roman" w:eastAsia="Times New Roman" w:hAnsi="Times New Roman"/>
          <w:sz w:val="17"/>
          <w:szCs w:val="17"/>
          <w:color w:val="auto"/>
        </w:rPr>
      </w:pPr>
    </w:p>
    <w:p>
      <w:pPr>
        <w:ind w:left="640" w:right="520" w:hanging="322"/>
        <w:spacing w:after="0" w:line="295" w:lineRule="auto"/>
        <w:tabs>
          <w:tab w:leader="none" w:pos="6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catastrophic events, including earthquakes, fires, floods, tsunamis, or other weather events, power loss, telecommunications failures, software or hardware malfunctions, cyber-attacks, wars, or terrorist attacks, and pandemics;</w:t>
      </w:r>
    </w:p>
    <w:p>
      <w:pPr>
        <w:spacing w:after="0" w:line="172" w:lineRule="exact"/>
        <w:rPr>
          <w:rFonts w:ascii="Times New Roman" w:cs="Times New Roman" w:eastAsia="Times New Roman" w:hAnsi="Times New Roman"/>
          <w:sz w:val="17"/>
          <w:szCs w:val="17"/>
          <w:color w:val="auto"/>
        </w:rPr>
      </w:pPr>
    </w:p>
    <w:p>
      <w:pPr>
        <w:ind w:left="640" w:hanging="322"/>
        <w:spacing w:after="0" w:line="295" w:lineRule="auto"/>
        <w:tabs>
          <w:tab w:leader="none" w:pos="6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reserves or other non-cash credits or charges, such as the impairment charges as a result of changes in the corporate real estate market which impacted our subleasing strategy in conjunction with our Virtual First work model, and changes to deferred tax asset valuation allowances; and</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impacts from our Virtual First work model.</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Fluctuation in quarterly results may negatively impact the value of our securities.</w:t>
      </w:r>
    </w:p>
    <w:p>
      <w:pPr>
        <w:spacing w:after="0" w:line="245"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69" w:lineRule="exact"/>
        <w:rPr>
          <w:sz w:val="20"/>
          <w:szCs w:val="20"/>
          <w:color w:val="auto"/>
        </w:rPr>
      </w:pPr>
    </w:p>
    <w:p>
      <w:pPr>
        <w:jc w:val="both"/>
        <w:ind w:right="120" w:firstLine="392"/>
        <w:spacing w:after="0" w:line="276" w:lineRule="auto"/>
        <w:rPr>
          <w:sz w:val="20"/>
          <w:szCs w:val="20"/>
          <w:color w:val="auto"/>
        </w:rPr>
      </w:pPr>
      <w:r>
        <w:rPr>
          <w:rFonts w:ascii="Times New Roman" w:cs="Times New Roman" w:eastAsia="Times New Roman" w:hAnsi="Times New Roman"/>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w:t>
      </w: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which are reported in U.S. dollars, could be adversely affected if currency exchange rates fluctuate substantially in the future.</w:t>
      </w:r>
    </w:p>
    <w:p>
      <w:pPr>
        <w:spacing w:after="0" w:line="253" w:lineRule="exact"/>
        <w:rPr>
          <w:sz w:val="20"/>
          <w:szCs w:val="20"/>
          <w:color w:val="auto"/>
        </w:rPr>
      </w:pPr>
    </w:p>
    <w:p>
      <w:pPr>
        <w:ind w:right="100" w:firstLine="392"/>
        <w:spacing w:after="0" w:line="262" w:lineRule="auto"/>
        <w:rPr>
          <w:sz w:val="20"/>
          <w:szCs w:val="20"/>
          <w:color w:val="auto"/>
        </w:rPr>
      </w:pPr>
      <w:r>
        <w:rPr>
          <w:rFonts w:ascii="Times New Roman" w:cs="Times New Roman" w:eastAsia="Times New Roman" w:hAnsi="Times New Roman"/>
          <w:sz w:val="17"/>
          <w:szCs w:val="17"/>
          <w:color w:val="auto"/>
        </w:rPr>
        <w:t>We are exposed to the effects of fluctuations in currency exchange rates within our international operations. This exposure is the result of selling in multiple currencies and operating in foreign countries where the functional currency is the local currency. In 2025, 27%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due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counterparty risk with respect to the convertible note hedge transactions.</w:t>
      </w:r>
    </w:p>
    <w:p>
      <w:pPr>
        <w:spacing w:after="0" w:line="253"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In connection with the pricing of the 2028 Notes, we entered into convertible note hedge transactions with certain financial institutions or affiliates of financial institutions, which we refer to as the “option counterparties,” and we are subject to the risk that one or more of such option counterparties may default on their obligations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other tax attributes may be limited.</w:t>
      </w:r>
    </w:p>
    <w:p>
      <w:pPr>
        <w:spacing w:after="0" w:line="253"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As of December 31, 2025, we had U.S. federal and state and non-U.S. net operating loss carryforwards and U.S. federal and state and non-U.S.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200"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be harmed if we are required to collect or pay incremental sales, value-added, or other related indirect taxes for our services or in jurisdictions where we have not historically done so.</w:t>
      </w:r>
    </w:p>
    <w:p>
      <w:pPr>
        <w:spacing w:after="0" w:line="169" w:lineRule="exact"/>
        <w:rPr>
          <w:sz w:val="20"/>
          <w:szCs w:val="20"/>
          <w:color w:val="auto"/>
        </w:rPr>
      </w:pPr>
    </w:p>
    <w:p>
      <w:pPr>
        <w:ind w:right="280" w:firstLine="392"/>
        <w:spacing w:after="0" w:line="269" w:lineRule="auto"/>
        <w:rPr>
          <w:sz w:val="20"/>
          <w:szCs w:val="20"/>
          <w:color w:val="auto"/>
        </w:rPr>
      </w:pPr>
      <w:r>
        <w:rPr>
          <w:rFonts w:ascii="Times New Roman" w:cs="Times New Roman" w:eastAsia="Times New Roman" w:hAnsi="Times New Roman"/>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480"/>
        <w:spacing w:after="0" w:line="295" w:lineRule="auto"/>
        <w:rPr>
          <w:sz w:val="20"/>
          <w:szCs w:val="20"/>
          <w:color w:val="auto"/>
        </w:rPr>
      </w:pPr>
      <w:r>
        <w:rPr>
          <w:rFonts w:ascii="Times New Roman" w:cs="Times New Roman" w:eastAsia="Times New Roman" w:hAnsi="Times New Roman"/>
          <w:sz w:val="17"/>
          <w:szCs w:val="17"/>
          <w:color w:val="auto"/>
        </w:rPr>
        <w:t>substantial tax liabilities for past sales, create significant administrative burdens for us, discourage users from purchasing subscriptions to our platform, or otherwise harm our business, results of operations, and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and financial condition could be materially affected by the enactment of legislation implementing changes in the U.S. or non-U.S.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taxation of international business activities or the adoption of other tax reform policies.</w:t>
      </w:r>
    </w:p>
    <w:p>
      <w:pPr>
        <w:spacing w:after="0" w:line="231"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w:t>
      </w:r>
    </w:p>
    <w:p>
      <w:pPr>
        <w:spacing w:after="0" w:line="175" w:lineRule="exact"/>
        <w:rPr>
          <w:sz w:val="20"/>
          <w:szCs w:val="20"/>
          <w:color w:val="auto"/>
        </w:rPr>
      </w:pPr>
    </w:p>
    <w:p>
      <w:pPr>
        <w:ind w:firstLine="392"/>
        <w:spacing w:after="0" w:line="243" w:lineRule="auto"/>
        <w:rPr>
          <w:sz w:val="20"/>
          <w:szCs w:val="20"/>
          <w:color w:val="auto"/>
        </w:rPr>
      </w:pPr>
      <w:r>
        <w:rPr>
          <w:rFonts w:ascii="Times New Roman" w:cs="Times New Roman" w:eastAsia="Times New Roman" w:hAnsi="Times New Roman"/>
          <w:sz w:val="17"/>
          <w:szCs w:val="17"/>
          <w:color w:val="auto"/>
        </w:rPr>
        <w:t>For example, on July 4, 2025, tax legislation commonly known as the One Big Beautiful Bill Act (the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Because states conform to the Code on varying bases, these U.S. federal changes may not be adopted, may be adopted on a delayed basis, or may be selectively decoupled at the state level. In addition, future regulatory or accounting guidance related to OBBBA could further affect the interpretation and application of these rules. As a result, OBBBA may increase compliance complexity and create uncertainty in the application of tax laws, which could adversely impact our state tax liabilities, cash taxes, effective tax rate, and tax provision. Further, California has recently amended its sales tax law to subject certain retail sales of digital prewritten software, cloud-based applications, and software services to sales tax in California, effective January 1, 2027, which may increase the cost to our California-based customers of purchasing our products, and similarly may increase the costs to us of purchasing software products we use in our business.</w:t>
      </w:r>
    </w:p>
    <w:p>
      <w:pPr>
        <w:spacing w:after="0" w:line="216"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Other changes to U.S. or non-U.S. tax laws could increase our liabilities for taxes, interest and penalties, lead to higher effective tax rates, and harm our cash flows, results of operations and financial condition.</w:t>
      </w:r>
    </w:p>
    <w:p>
      <w:pPr>
        <w:spacing w:after="0" w:line="169"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have publicly disclosed market opportunity estimates, growth forecasts, and key metrics, including the key metrics included in this Quarterly Report on Form 10-Q, as well as in our other public statements, which could prove to be inaccurate, and any real or perceived inaccuracies may harm our reputation and negatively affect our business.</w:t>
      </w:r>
    </w:p>
    <w:p>
      <w:pPr>
        <w:spacing w:after="0" w:line="187"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Risks Related to Legal and Regulatory Compliance</w:t>
      </w:r>
    </w:p>
    <w:p>
      <w:pPr>
        <w:spacing w:after="0" w:line="24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69" w:lineRule="exact"/>
        <w:rPr>
          <w:sz w:val="20"/>
          <w:szCs w:val="20"/>
          <w:color w:val="auto"/>
        </w:rPr>
      </w:pPr>
    </w:p>
    <w:p>
      <w:pPr>
        <w:ind w:right="120" w:firstLine="392"/>
        <w:spacing w:after="0" w:line="263" w:lineRule="auto"/>
        <w:rPr>
          <w:sz w:val="20"/>
          <w:szCs w:val="20"/>
          <w:color w:val="auto"/>
        </w:rPr>
      </w:pPr>
      <w:r>
        <w:rPr>
          <w:rFonts w:ascii="Times New Roman" w:cs="Times New Roman" w:eastAsia="Times New Roman" w:hAnsi="Times New Roman"/>
          <w:sz w:val="17"/>
          <w:szCs w:val="17"/>
          <w:color w:val="auto"/>
        </w:rPr>
        <w:t>We are subject to compliance with various laws, including those covering copyright, indecent content, child protection, consumer protection, age verification, and similar matters. There have been instances where improper or illegal content has been stored on our platform without our knowledge. As a service provider operating at scale, we do not comprehensively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99"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Moreover, uncertainty in the regulatory landscape relating to AI along with new or enhanced governmental or regulatory scrutiny could negatively impact our business in the U.S. or in other jurisdictions where we operate. For example, the European</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Union enacted the Artificial Intelligence Act in March 2024 that prohibits certain AI applications and systems and imposes additional requirements on the use of certain applications or systems. Additionally, several U.S. states have proposed, and in certain cases have enacted, legislation covering the deployment and regulation of AI technology, or otherwise imposing obligations in connection with the use of AI.</w:t>
      </w:r>
    </w:p>
    <w:p>
      <w:pPr>
        <w:spacing w:after="0" w:line="188"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00" w:lineRule="exact"/>
        <w:rPr>
          <w:sz w:val="20"/>
          <w:szCs w:val="20"/>
          <w:color w:val="auto"/>
        </w:rPr>
      </w:pPr>
    </w:p>
    <w:p>
      <w:pPr>
        <w:spacing w:after="0" w:line="214" w:lineRule="exact"/>
        <w:rPr>
          <w:sz w:val="20"/>
          <w:szCs w:val="20"/>
          <w:color w:val="auto"/>
        </w:rPr>
      </w:pPr>
    </w:p>
    <w:p>
      <w:pPr>
        <w:ind w:right="460" w:firstLine="392"/>
        <w:spacing w:after="0" w:line="276" w:lineRule="auto"/>
        <w:rPr>
          <w:sz w:val="20"/>
          <w:szCs w:val="20"/>
          <w:color w:val="auto"/>
        </w:rPr>
      </w:pPr>
      <w:r>
        <w:rPr>
          <w:rFonts w:ascii="Times New Roman" w:cs="Times New Roman" w:eastAsia="Times New Roman" w:hAnsi="Times New Roman"/>
          <w:sz w:val="17"/>
          <w:szCs w:val="17"/>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88" w:lineRule="exact"/>
        <w:rPr>
          <w:sz w:val="20"/>
          <w:szCs w:val="20"/>
          <w:color w:val="auto"/>
        </w:rPr>
      </w:pPr>
    </w:p>
    <w:p>
      <w:pPr>
        <w:ind w:right="140" w:firstLine="392"/>
        <w:spacing w:after="0" w:line="266" w:lineRule="auto"/>
        <w:rPr>
          <w:sz w:val="20"/>
          <w:szCs w:val="20"/>
          <w:color w:val="auto"/>
        </w:rPr>
      </w:pPr>
      <w:r>
        <w:rPr>
          <w:rFonts w:ascii="Times New Roman" w:cs="Times New Roman" w:eastAsia="Times New Roman" w:hAnsi="Times New Roman"/>
          <w:sz w:val="17"/>
          <w:szCs w:val="17"/>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93"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69"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204"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For example, the U.S. Department of Justice has issued rules regarding certain bulk sensitive personal data transfers.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actual or perceived failure to comply with privacy, data protection, and information security laws, regulations, and obligations could harm our business.</w:t>
      </w:r>
    </w:p>
    <w:p>
      <w:pPr>
        <w:spacing w:after="0" w:line="253"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We receive, store, process, and use personal information and other user content. Numerous federal, state, local, and international laws and regulations address privacy (including children's privacy), data protection, information security, and the storing, sharing, use, processing, transfer, disclosure, and protection of personal information and other content, the scope of</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0" w:lineRule="exact"/>
        <w:rPr>
          <w:sz w:val="20"/>
          <w:szCs w:val="20"/>
          <w:color w:val="auto"/>
        </w:rPr>
      </w:pPr>
    </w:p>
    <w:p>
      <w:pPr>
        <w:ind w:right="560" w:firstLine="392"/>
        <w:spacing w:after="0" w:line="295" w:lineRule="auto"/>
        <w:rPr>
          <w:sz w:val="20"/>
          <w:szCs w:val="20"/>
          <w:color w:val="auto"/>
        </w:rPr>
      </w:pPr>
      <w:r>
        <w:rPr>
          <w:rFonts w:ascii="Times New Roman" w:cs="Times New Roman" w:eastAsia="Times New Roman" w:hAnsi="Times New Roman"/>
          <w:sz w:val="17"/>
          <w:szCs w:val="17"/>
          <w:color w:val="auto"/>
        </w:rPr>
        <w:t>We also expect that there will continue to be new laws, regulations, and industry standards concerning privacy, data protection, AI, and information security proposed and enacted in various jurisdictions.</w:t>
      </w:r>
    </w:p>
    <w:p>
      <w:pPr>
        <w:spacing w:after="0" w:line="173"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DPF also applies to transfers from the UK and Switzerland to the U.S.</w:t>
      </w:r>
    </w:p>
    <w:p>
      <w:pPr>
        <w:spacing w:after="0" w:line="195"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2023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and related developments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206"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7"/>
          <w:szCs w:val="17"/>
          <w:color w:val="auto"/>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led numerous other states to propose, and in many cases enact, legislation similar to the CCPA. Other laws relating to privacy and cybersecurity, many of which are similar to the CCPA and CPRA, are being considered by other state legislatures, and certain U.S. states have enacted such legislation, such as Washington’s My Health, My Data Act, which includes a private right of action. The U.S. federal government also is contemplating federal privacy legislation. These developments create the potential for a patchwork of overlapping but different laws throughout the U.S. relating to privacy and cybersecurity.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Further, the EU has enacted or revised numerous regimes relating to cybersecurity. For example, it has revised its Cybersecurity Directive (“NIS2”), with EU member states having been obligated to transpose it into national law by October 17, 2024, but with some member states’ transpositions yet to be finalized. NIS2, among other things, obligates companies to adopt or update policies and procedures on issues such as incident handling and supply chain security, implementing certain administrative measures, and requires top management’s involvement in cybersecurity risk-management measures, with top management potentially held liable for non-compliance. More generally, NIS2 provides for significant penalties for noncompliance, requiring EU member states to provide for a maximum fine level of at least €10,000,000 or 2% of annual turnover, whichever is greater. In addition, the Digital Operational Resiliency Act became effective in January 2025.</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This law aims to establish a universal framework for managing and mitigating information and communication technology risks that will apply to entities in the financial sector and their third-party cloud service providers.</w:t>
      </w:r>
    </w:p>
    <w:p>
      <w:pPr>
        <w:spacing w:after="0" w:line="173"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Some countries are also considering or have passed legislation implementing data protection requirements or requiring local storage and processing of data, or similar requirements, that could increase the cost and complexity of delivering our services.</w:t>
      </w:r>
    </w:p>
    <w:p>
      <w:pPr>
        <w:spacing w:after="0" w:line="173"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spacing w:after="0" w:line="199"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200" w:lineRule="exact"/>
        <w:rPr>
          <w:sz w:val="20"/>
          <w:szCs w:val="20"/>
          <w:color w:val="auto"/>
        </w:rPr>
      </w:pPr>
    </w:p>
    <w:p>
      <w:pPr>
        <w:spacing w:after="0" w:line="214" w:lineRule="exact"/>
        <w:rPr>
          <w:sz w:val="20"/>
          <w:szCs w:val="20"/>
          <w:color w:val="auto"/>
        </w:rPr>
      </w:pPr>
    </w:p>
    <w:p>
      <w:pPr>
        <w:ind w:right="40" w:firstLine="392"/>
        <w:spacing w:after="0" w:line="265" w:lineRule="auto"/>
        <w:rPr>
          <w:sz w:val="20"/>
          <w:szCs w:val="20"/>
          <w:color w:val="auto"/>
        </w:rPr>
      </w:pPr>
      <w:r>
        <w:rPr>
          <w:rFonts w:ascii="Times New Roman" w:cs="Times New Roman" w:eastAsia="Times New Roman" w:hAnsi="Times New Roman"/>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adversely impacted by changes in internet access for our users or laws specifically governing the internet.</w:t>
      </w:r>
    </w:p>
    <w:p>
      <w:pPr>
        <w:spacing w:after="0" w:line="253" w:lineRule="exact"/>
        <w:rPr>
          <w:sz w:val="20"/>
          <w:szCs w:val="20"/>
          <w:color w:val="auto"/>
        </w:rPr>
      </w:pPr>
    </w:p>
    <w:p>
      <w:pPr>
        <w:ind w:right="60" w:firstLine="627"/>
        <w:spacing w:after="0" w:line="269" w:lineRule="auto"/>
        <w:rPr>
          <w:sz w:val="20"/>
          <w:szCs w:val="20"/>
          <w:color w:val="auto"/>
        </w:rPr>
      </w:pPr>
      <w:r>
        <w:rPr>
          <w:rFonts w:ascii="Times New Roman" w:cs="Times New Roman" w:eastAsia="Times New Roman" w:hAnsi="Times New Roman"/>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95" w:lineRule="exact"/>
        <w:rPr>
          <w:sz w:val="20"/>
          <w:szCs w:val="20"/>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usage-based pricing;</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 pricing for competitive products;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materially change their pricing rates or schemes;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charge us to deliver our traffic at certain levels or at all;</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throttle traffic based on its source or type;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bandwidth caps or other usage restrictions; or</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try to monetize or control access to their networks.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80" w:firstLine="392"/>
        <w:spacing w:after="0" w:line="262" w:lineRule="auto"/>
        <w:rPr>
          <w:sz w:val="20"/>
          <w:szCs w:val="20"/>
          <w:color w:val="auto"/>
        </w:rPr>
      </w:pPr>
      <w:r>
        <w:rPr>
          <w:rFonts w:ascii="Times New Roman" w:cs="Times New Roman" w:eastAsia="Times New Roman" w:hAnsi="Times New Roman"/>
          <w:sz w:val="17"/>
          <w:szCs w:val="17"/>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201" w:lineRule="exact"/>
        <w:rPr>
          <w:sz w:val="20"/>
          <w:szCs w:val="20"/>
          <w:color w:val="auto"/>
        </w:rPr>
      </w:pPr>
    </w:p>
    <w:p>
      <w:pPr>
        <w:ind w:right="80" w:firstLine="392"/>
        <w:spacing w:after="0" w:line="264" w:lineRule="auto"/>
        <w:rPr>
          <w:sz w:val="20"/>
          <w:szCs w:val="20"/>
          <w:color w:val="auto"/>
        </w:rPr>
      </w:pPr>
      <w:r>
        <w:rPr>
          <w:rFonts w:ascii="Times New Roman" w:cs="Times New Roman" w:eastAsia="Times New Roman" w:hAnsi="Times New Roman"/>
          <w:sz w:val="17"/>
          <w:szCs w:val="17"/>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96"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69"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a legal proceeding against Entangled Media (the “Entangled Media Litigation”), which has alleged that Dropbox infringes certain of their respective patents. Trial was scheduled for September 8, 2026, but the court vacated the trial after granting Dropbox's pre-trial motion that Entangled Media could not establish infringement. Entangled Media filed a motion for reconsideration, which was held on November 2, 2026, and a decision is pending. Any final judgment in the district court may be appealed by either party to the Federal Circuit.</w:t>
      </w:r>
    </w:p>
    <w:p>
      <w:pPr>
        <w:spacing w:after="0" w:line="204"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It is not possible presently, with respect to the Entangled Media Litigation, to either (i) determine the final outcome of this matter or (ii) estimate any maximum possible exposure or range of loss. We are also facing litigation arising out of our recent reincorporation from Delaware to Nevada. Regardless of the merit of any such litigation, it may result in additional expenses and distraction for the Company.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protect our intellectual property rights and proprietary information could diminish our brand and other intangible assets.</w:t>
      </w:r>
    </w:p>
    <w:p>
      <w:pPr>
        <w:spacing w:after="0" w:line="253" w:lineRule="exact"/>
        <w:rPr>
          <w:sz w:val="20"/>
          <w:szCs w:val="20"/>
          <w:color w:val="auto"/>
        </w:rPr>
      </w:pPr>
    </w:p>
    <w:p>
      <w:pPr>
        <w:ind w:right="60" w:firstLine="314"/>
        <w:spacing w:after="0" w:line="264" w:lineRule="auto"/>
        <w:rPr>
          <w:sz w:val="20"/>
          <w:szCs w:val="20"/>
          <w:color w:val="auto"/>
        </w:rPr>
      </w:pPr>
      <w:r>
        <w:rPr>
          <w:rFonts w:ascii="Times New Roman" w:cs="Times New Roman" w:eastAsia="Times New Roman" w:hAnsi="Times New Roman"/>
          <w:sz w:val="17"/>
          <w:szCs w:val="17"/>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1,900 issued patents and more than 280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may be volatile, and you could lose all or part of your investment.</w:t>
      </w:r>
    </w:p>
    <w:p>
      <w:pPr>
        <w:spacing w:after="0" w:line="253"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but are not limited to, the following:</w:t>
      </w:r>
    </w:p>
    <w:p>
      <w:pPr>
        <w:spacing w:after="0" w:line="173" w:lineRule="exact"/>
        <w:rPr>
          <w:sz w:val="20"/>
          <w:szCs w:val="20"/>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time-to-time;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trading prices and trading volumes of technology stocks;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other technology companies generally, or those in our industry in particular;</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sales or announcements of sales of shares of our Class A common stock by us or our stockholders;</w:t>
      </w:r>
    </w:p>
    <w:p>
      <w:pPr>
        <w:spacing w:after="0" w:line="248" w:lineRule="exact"/>
        <w:rPr>
          <w:rFonts w:ascii="Times New Roman" w:cs="Times New Roman" w:eastAsia="Times New Roman" w:hAnsi="Times New Roman"/>
          <w:sz w:val="17"/>
          <w:szCs w:val="17"/>
          <w:color w:val="auto"/>
        </w:rPr>
      </w:pPr>
    </w:p>
    <w:p>
      <w:pPr>
        <w:ind w:left="640" w:right="80" w:hanging="322"/>
        <w:spacing w:after="0" w:line="295" w:lineRule="auto"/>
        <w:tabs>
          <w:tab w:leader="none" w:pos="6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we may provide to the public, any changes in those projections, or our failure to meet those projections;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features, or services;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key metrics;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breaches of, or failures related to, privacy, data protection or data security;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248" w:lineRule="exact"/>
        <w:rPr>
          <w:rFonts w:ascii="Times New Roman" w:cs="Times New Roman" w:eastAsia="Times New Roman" w:hAnsi="Times New Roman"/>
          <w:sz w:val="17"/>
          <w:szCs w:val="17"/>
          <w:color w:val="auto"/>
        </w:rPr>
      </w:pPr>
    </w:p>
    <w:p>
      <w:pPr>
        <w:ind w:left="640" w:right="300" w:hanging="322"/>
        <w:spacing w:after="0" w:line="295" w:lineRule="auto"/>
        <w:tabs>
          <w:tab w:leader="none" w:pos="6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transactions, which may include acquisitions of businesses, products, services, or technologies, financing arrangements, or joint ventures or partnerships by us or our competitors;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 in our management;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inclusion, exclusion, or deletion of our stock from any trading indices; and</w:t>
      </w:r>
    </w:p>
    <w:p>
      <w:pPr>
        <w:spacing w:after="0" w:line="248" w:lineRule="exact"/>
        <w:rPr>
          <w:rFonts w:ascii="Times New Roman" w:cs="Times New Roman" w:eastAsia="Times New Roman" w:hAnsi="Times New Roman"/>
          <w:sz w:val="17"/>
          <w:szCs w:val="17"/>
          <w:color w:val="auto"/>
        </w:rPr>
      </w:pPr>
    </w:p>
    <w:p>
      <w:pPr>
        <w:ind w:left="640" w:right="360" w:hanging="322"/>
        <w:spacing w:after="0" w:line="276" w:lineRule="auto"/>
        <w:tabs>
          <w:tab w:leader="none" w:pos="6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slow or negative growth of our markets and catastrophic events, including earthquakes, fires, floods, tsunamis, or other weather events, power loss, telecommunications failures, software or hardware malfunctions, cyber-attacks, wars or other armed conflicts, terrorist attacks, and pandemics.</w:t>
      </w:r>
    </w:p>
    <w:p>
      <w:pPr>
        <w:spacing w:after="0" w:line="188"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In addition, in the past, following periods of volatility in the overall market and the market price of a particular company’s securities, securities class action litigation has often been instituted against these companies. Any securities litigation that may be instituted against us in the future could result in substantial costs and a diversion of our management’s attention and resources.</w:t>
      </w:r>
    </w:p>
    <w:p>
      <w:pPr>
        <w:spacing w:after="0" w:line="184"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69"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Our Class A common stock has one vote per share, our Class B common stock has ten votes per share, and our Class C common stock has no voting rights, except as otherwise required by law and subject to any limitations provided in our articles of incorporation. As of September 30, 2026, our directors and executive officers, and their respective affiliates, held in the aggregate 83.6% of the voting power of our capital stock, with Mr. Houston holding approximately 83.6% of the voting power of our capital stock. We are including the Co-Founder Grant (as defined in “Stock-based compensation” included in Part I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or otherwise submitted for stockholder approval. In addition, this may prevent or discourage unsolicited acquisition proposals or offers for our capital stock that other stockholders may feel are in their best interests as one of our stockholders.</w:t>
      </w:r>
    </w:p>
    <w:p>
      <w:pPr>
        <w:spacing w:after="0" w:line="203"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Future transfers or sales by holders of Class B common stock will generally result in those shares converting to Class A common stock, except for certain transfers described in our articles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articles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spacing w:after="0" w:line="200" w:lineRule="exact"/>
        <w:rPr>
          <w:sz w:val="20"/>
          <w:szCs w:val="20"/>
          <w:color w:val="auto"/>
        </w:rPr>
      </w:pPr>
    </w:p>
    <w:p>
      <w:pPr>
        <w:spacing w:after="0" w:line="213"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In addition, because our Class C common stock carries no voting rights (except as otherwise required by law, subject to any limitations provided in our articles of incorporation),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Substantial future sales could depress the market price of our Class A common stock.</w:t>
      </w:r>
    </w:p>
    <w:p>
      <w:pPr>
        <w:spacing w:after="0" w:line="253"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relating to our 2028 Notes may dilute the ownership interest of stockholders, or may otherwise depress the price of our common stock.</w:t>
      </w:r>
    </w:p>
    <w:p>
      <w:pPr>
        <w:spacing w:after="0" w:line="253" w:lineRule="exact"/>
        <w:rPr>
          <w:sz w:val="20"/>
          <w:szCs w:val="20"/>
          <w:color w:val="auto"/>
        </w:rPr>
      </w:pPr>
    </w:p>
    <w:p>
      <w:pPr>
        <w:ind w:right="100" w:firstLine="392"/>
        <w:spacing w:after="0" w:line="262" w:lineRule="auto"/>
        <w:rPr>
          <w:sz w:val="20"/>
          <w:szCs w:val="20"/>
          <w:color w:val="auto"/>
        </w:rPr>
      </w:pPr>
      <w:r>
        <w:rPr>
          <w:rFonts w:ascii="Times New Roman" w:cs="Times New Roman" w:eastAsia="Times New Roman" w:hAnsi="Times New Roman"/>
          <w:sz w:val="17"/>
          <w:szCs w:val="17"/>
          <w:color w:val="auto"/>
        </w:rPr>
        <w:t>If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2028 Notes may engage in short selling to hedge their position in the Notes. Anticipated future issuances of shares of our Class A common stock upon conversion of the 2028 Notes could depress the price of our Class A common stock.</w:t>
      </w:r>
    </w:p>
    <w:p>
      <w:pPr>
        <w:spacing w:after="0" w:line="197"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Nevada law and provisions in our articles of incorporation and bylaws, could make a merger, tender offer, or proxy contest difficult, thereby depressing the market price of our Class A common stock.</w:t>
      </w:r>
    </w:p>
    <w:p>
      <w:pPr>
        <w:spacing w:after="0" w:line="169"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Our status as a Nevada corporation and the anti-takeover provisions of the Nevada Revised Statutes may discourage, delay, or prevent a change in control by prohibiting or restricting us from engaging in a business combination with an interested stockholder for a period of up to four years after the person becomes an interested stockholder, even if a change of control would be beneficial to our existing stockholders. In addition, our articles of incorporation and bylaws contain provisions that may make the acquisition of our company more difficult, including the following:</w:t>
      </w:r>
    </w:p>
    <w:p>
      <w:pPr>
        <w:spacing w:after="0" w:line="195" w:lineRule="exact"/>
        <w:rPr>
          <w:sz w:val="20"/>
          <w:szCs w:val="20"/>
          <w:color w:val="auto"/>
        </w:rPr>
      </w:pPr>
    </w:p>
    <w:p>
      <w:pPr>
        <w:ind w:left="640" w:right="220" w:hanging="322"/>
        <w:spacing w:after="0" w:line="295"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that would result in a change in control of our company requires the approval of a majority of our outstanding Class B common stock voting as a separate class;</w:t>
      </w:r>
    </w:p>
    <w:p>
      <w:pPr>
        <w:spacing w:after="0" w:line="172" w:lineRule="exact"/>
        <w:rPr>
          <w:rFonts w:ascii="Times New Roman" w:cs="Times New Roman" w:eastAsia="Times New Roman" w:hAnsi="Times New Roman"/>
          <w:sz w:val="17"/>
          <w:szCs w:val="17"/>
          <w:color w:val="auto"/>
        </w:rPr>
      </w:pPr>
    </w:p>
    <w:p>
      <w:pPr>
        <w:ind w:left="640" w:right="60" w:hanging="322"/>
        <w:spacing w:after="0" w:line="276"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multi-class common stock structure, which provides our holders of Class B common stock with the ability to significantly influence the outcome of matters requiring or otherwise submitted for stockholder approval, even if they own significantly less than a majority of the shares of our outstanding Class A common stock, Class B common stock, and Class C common stock;</w:t>
      </w:r>
    </w:p>
    <w:p>
      <w:pPr>
        <w:spacing w:after="0" w:line="188" w:lineRule="exact"/>
        <w:rPr>
          <w:rFonts w:ascii="Times New Roman" w:cs="Times New Roman" w:eastAsia="Times New Roman" w:hAnsi="Times New Roman"/>
          <w:sz w:val="17"/>
          <w:szCs w:val="17"/>
          <w:color w:val="auto"/>
        </w:rPr>
      </w:pPr>
    </w:p>
    <w:p>
      <w:pPr>
        <w:ind w:left="640" w:right="220" w:hanging="322"/>
        <w:spacing w:after="0" w:line="295"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w:t>
      </w:r>
    </w:p>
    <w:p>
      <w:pPr>
        <w:spacing w:after="0" w:line="172" w:lineRule="exact"/>
        <w:rPr>
          <w:rFonts w:ascii="Times New Roman" w:cs="Times New Roman" w:eastAsia="Times New Roman" w:hAnsi="Times New Roman"/>
          <w:sz w:val="17"/>
          <w:szCs w:val="17"/>
          <w:color w:val="auto"/>
        </w:rPr>
      </w:pPr>
    </w:p>
    <w:p>
      <w:pPr>
        <w:ind w:left="640" w:right="280" w:hanging="322"/>
        <w:spacing w:after="0" w:line="269"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Class B common stock, as a class, converts to Class A common stock, any amendments to our articles of incorporation will require the approval of two-thirds of the combined vote of our then-outstanding shares of Class A common stock and Class B common stock, voting as a single class; and certain amendments to our articles of incorporation will require the approval of a majority of the outstanding shares of Class A common stock and Class B common stock, each voting as a separate class;</w:t>
      </w:r>
    </w:p>
    <w:p>
      <w:pPr>
        <w:spacing w:after="0" w:line="195" w:lineRule="exact"/>
        <w:rPr>
          <w:rFonts w:ascii="Times New Roman" w:cs="Times New Roman" w:eastAsia="Times New Roman" w:hAnsi="Times New Roman"/>
          <w:sz w:val="17"/>
          <w:szCs w:val="17"/>
          <w:color w:val="auto"/>
        </w:rPr>
      </w:pPr>
    </w:p>
    <w:p>
      <w:pPr>
        <w:ind w:left="640" w:right="180" w:hanging="322"/>
        <w:spacing w:after="0" w:line="295"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conversion of our Class B common stock, as a class, to Class A common stock, certain amendments to our articles of incorporation will require the approval of two-thirds of the then outstanding voting power of our stockholders, voting as a single class;</w:t>
      </w:r>
    </w:p>
    <w:p>
      <w:pPr>
        <w:spacing w:after="0" w:line="172" w:lineRule="exact"/>
        <w:rPr>
          <w:rFonts w:ascii="Times New Roman" w:cs="Times New Roman" w:eastAsia="Times New Roman" w:hAnsi="Times New Roman"/>
          <w:sz w:val="17"/>
          <w:szCs w:val="17"/>
          <w:color w:val="auto"/>
        </w:rPr>
      </w:pPr>
    </w:p>
    <w:p>
      <w:pPr>
        <w:ind w:left="640" w:right="900" w:hanging="322"/>
        <w:spacing w:after="0" w:line="295"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bylaws provide that approval of stockholders holding two-thirds of our outstanding voting power voting as a single class is required for stockholders to amend or adopt any provision of our bylaws;</w:t>
      </w:r>
    </w:p>
    <w:p>
      <w:pPr>
        <w:spacing w:after="0" w:line="172" w:lineRule="exact"/>
        <w:rPr>
          <w:rFonts w:ascii="Times New Roman" w:cs="Times New Roman" w:eastAsia="Times New Roman" w:hAnsi="Times New Roman"/>
          <w:sz w:val="17"/>
          <w:szCs w:val="17"/>
          <w:color w:val="auto"/>
        </w:rPr>
      </w:pPr>
    </w:p>
    <w:p>
      <w:pPr>
        <w:ind w:left="640" w:right="360" w:hanging="322"/>
        <w:spacing w:after="0" w:line="295"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Voting Threshold Date our stockholders will only be able to take action at a meeting of stockholders, and will not be able to take action by written consent for any matter;</w:t>
      </w:r>
    </w:p>
    <w:p>
      <w:pPr>
        <w:spacing w:after="0" w:line="172" w:lineRule="exact"/>
        <w:rPr>
          <w:rFonts w:ascii="Times New Roman" w:cs="Times New Roman" w:eastAsia="Times New Roman" w:hAnsi="Times New Roman"/>
          <w:sz w:val="17"/>
          <w:szCs w:val="17"/>
          <w:color w:val="auto"/>
        </w:rPr>
      </w:pPr>
    </w:p>
    <w:p>
      <w:pPr>
        <w:ind w:left="640" w:right="460" w:hanging="322"/>
        <w:spacing w:after="0" w:line="295"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Voting Threshold Date, our stockholders will be able to act by written consent only if the action is first recommended or approved by the Board of Directors;</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vacancies on our Board of Directors will be able to be filled only by our Board of Directors and not by stockholders;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640" w:right="100" w:hanging="322"/>
        <w:spacing w:after="0" w:line="276"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the chairman of our Board of Directors, our chief executive officer, a majority of our Board of Directors, or, until the Class B common stock, as a class, converts to Class A common stock, stockholders holding thirty percent of the combined voting power of our Class A and Class B common stock are authorized to call a special meeting of stockholders;</w:t>
      </w:r>
    </w:p>
    <w:p>
      <w:pPr>
        <w:spacing w:after="0" w:line="18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litigation against us may be required to be brought in Nevada;</w:t>
      </w:r>
    </w:p>
    <w:p>
      <w:pPr>
        <w:spacing w:after="0" w:line="248" w:lineRule="exact"/>
        <w:rPr>
          <w:rFonts w:ascii="Times New Roman" w:cs="Times New Roman" w:eastAsia="Times New Roman" w:hAnsi="Times New Roman"/>
          <w:sz w:val="17"/>
          <w:szCs w:val="17"/>
          <w:color w:val="auto"/>
        </w:rPr>
      </w:pPr>
    </w:p>
    <w:p>
      <w:pPr>
        <w:ind w:left="640" w:right="20" w:hanging="322"/>
        <w:spacing w:after="0" w:line="295"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articles of incorporation authorizes undesignated preferred stock, the terms of which may be established and shares of which may be issued, without the approval of the holders of Class A common stock; and</w:t>
      </w:r>
    </w:p>
    <w:p>
      <w:pPr>
        <w:spacing w:after="0" w:line="172" w:lineRule="exact"/>
        <w:rPr>
          <w:rFonts w:ascii="Times New Roman" w:cs="Times New Roman" w:eastAsia="Times New Roman" w:hAnsi="Times New Roman"/>
          <w:sz w:val="17"/>
          <w:szCs w:val="17"/>
          <w:color w:val="auto"/>
        </w:rPr>
      </w:pPr>
    </w:p>
    <w:p>
      <w:pPr>
        <w:ind w:left="640" w:right="500" w:hanging="322"/>
        <w:spacing w:after="0" w:line="295" w:lineRule="auto"/>
        <w:tabs>
          <w:tab w:leader="none" w:pos="6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apply for stockholders to nominate candidates for election as directors or to bring matters before an annual meeting of stockholders.</w:t>
      </w:r>
    </w:p>
    <w:p>
      <w:pPr>
        <w:spacing w:after="0" w:line="173"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9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bylaws designate the Eighth Judicial District Court of the State of Nevada, Clark County,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93"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Our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Nevada Revised Statutes, or the articles of incorporation or the bylaws, or (4) any other action asserting a claim that is governed by the internal affairs doctrine shall be the Eighth Judicial District Court of the State of Nevada, Clark County, Nevada, in all cases subject to the court having jurisdiction over indispensable parties named as defendants.</w:t>
      </w:r>
    </w:p>
    <w:p>
      <w:pPr>
        <w:spacing w:after="0" w:line="197"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Our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spacing w:after="0" w:line="188" w:lineRule="exact"/>
        <w:rPr>
          <w:sz w:val="20"/>
          <w:szCs w:val="20"/>
          <w:color w:val="auto"/>
        </w:rPr>
      </w:pPr>
    </w:p>
    <w:p>
      <w:pPr>
        <w:ind w:right="400" w:firstLine="392"/>
        <w:spacing w:after="0" w:line="276"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8" w:lineRule="exact"/>
        <w:rPr>
          <w:sz w:val="20"/>
          <w:szCs w:val="20"/>
          <w:color w:val="auto"/>
        </w:rPr>
      </w:pPr>
    </w:p>
    <w:p>
      <w:pPr>
        <w:ind w:right="540" w:firstLine="392"/>
        <w:spacing w:after="0" w:line="295" w:lineRule="auto"/>
        <w:rPr>
          <w:sz w:val="20"/>
          <w:szCs w:val="20"/>
          <w:color w:val="auto"/>
        </w:rPr>
      </w:pPr>
      <w:r>
        <w:rPr>
          <w:rFonts w:ascii="Times New Roman" w:cs="Times New Roman" w:eastAsia="Times New Roman" w:hAnsi="Times New Roman"/>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cannot guarantee that our stock repurchase program will be fully implemented or that it will enhance long-term stockholder value.</w:t>
      </w:r>
    </w:p>
    <w:p>
      <w:pPr>
        <w:spacing w:after="0" w:line="253"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We initially implemented a stock repurchase program in 2020. In August 2025, the Board of Directors authorized the repurchase of up to an additional $1.5 billion of the outstanding shares of our Class A common stock and in June 2026, the Board of Directors authorized the repurchase of up to an additional $900.0 million of the outstanding shares of our Class A common stock. As of September 30, 2026, we have repurchased approximately $6.6 billion of outstanding shares of our Class A common stock, including under prior authorizations. The repurchase program does not have an expiration date and we are not obligated to repurchase a specified number or dollar value of shares. Share repurchases are made from time-to-time in private transactions or open market purchases, as permitted by securities laws and other legal requirements. Any future share repurchases remain subject to the circumstances in place at that time, including prevailing market prices. As a result, the timing and the volume of our share repurchases may fluctuate. In addition, the United States has implemented a 1% non-deductible excise tax on the value of certain stock repurchases by publicly traded companies. This tax will generally increase the costs to</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7"/>
          <w:szCs w:val="17"/>
          <w:color w:val="auto"/>
        </w:rPr>
        <w:t>us of any share repurchases. The stock repurchase program could affect the price of our Class A common stock, increase volatility and diminish our cash reserves. Our repurchase program may be suspended or terminated at any time, and the pace or frequency of our repurchases may fluctuate or change, and our Board of Directors may not authorize additional amounts for repurchase in the future. Even if the current or future stock repurchase programs are fully implemented, such programs may not enhance long-term stockholder value.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or other distributions for the foreseeable future.</w:t>
      </w:r>
    </w:p>
    <w:p>
      <w:pPr>
        <w:spacing w:after="0" w:line="253"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or other distributions in the foreseeable future. As a result, stockholders must rely on sales of their Class A common stock after price appreciation as the only way to realize any future gains on their investment. In addition, our term loan facility and revolving credit facility contain restrictions on our ability to pay dividends.</w:t>
      </w:r>
    </w:p>
    <w:p>
      <w:pPr>
        <w:spacing w:after="0" w:line="19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disrupted by catastrophic events.</w:t>
      </w:r>
    </w:p>
    <w:p>
      <w:pPr>
        <w:spacing w:after="0" w:line="253"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Occurrence of any catastrophic event, including earthquake, fire, flood, tsunami, or other weather event, power loss, telecommunications failure, software or hardware malfunctions, cyber-attacks, wars, or terrorist attacks,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spacing w:after="0" w:line="200"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Additionally, our U.S. headquarters is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exposure to greater than anticipated tax liabilities, which could adversely impact our results of operations.</w:t>
      </w:r>
    </w:p>
    <w:p>
      <w:pPr>
        <w:spacing w:after="0" w:line="253"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We are subject to income and other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95"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We are routinely under audit by U.S. federal, state, and local and non-US tax authorities. These audits include questioning the timing and the amount of income and deductions and the allocation of income and deductions among various tax jurisdictions. We believe our tax estimates are reasonable; however, tax authorities may disagree with tax positions we take and if any such tax authority were to successfully challenge any such position, our financial results and operations could be materially and adversely affected. The Internal Revenue Service (IRS) is currently examining our consolidated U.S. federal income tax returns for the periods ending December 31, 2022 through December 31, 2024. We may also be subject to additional tax liabilities due to changes in non-income-based taxes resulting from changes in U.S. federal or state or non-U.S. tax laws, including the implementation of digital services or other similar taxes or taxes imposed in retaliation for any tariffs in the United States,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9"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5" w:lineRule="exact"/>
        <w:rPr>
          <w:sz w:val="20"/>
          <w:szCs w:val="20"/>
          <w:color w:val="auto"/>
        </w:rPr>
      </w:pPr>
    </w:p>
    <w:p>
      <w:pPr>
        <w:ind w:right="20" w:firstLine="392"/>
        <w:spacing w:after="0" w:line="259"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211"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Furthermore, the loss of expertise and institutional knowledge of employees, including as a result of our 2026 reductions in workforce, may negatively impact our ability to maintain adequate controls and procedures.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reported results of operations may be adversely affected by changes in accounting principles generally accepted in the United States.</w:t>
      </w:r>
    </w:p>
    <w:p>
      <w:pPr>
        <w:spacing w:after="0" w:line="253" w:lineRule="exact"/>
        <w:rPr>
          <w:sz w:val="20"/>
          <w:szCs w:val="20"/>
          <w:color w:val="auto"/>
        </w:rPr>
      </w:pPr>
    </w:p>
    <w:p>
      <w:pPr>
        <w:ind w:right="100" w:firstLine="392"/>
        <w:spacing w:after="0" w:line="268" w:lineRule="auto"/>
        <w:rPr>
          <w:sz w:val="20"/>
          <w:szCs w:val="20"/>
          <w:color w:val="auto"/>
        </w:rPr>
      </w:pPr>
      <w:r>
        <w:rPr>
          <w:rFonts w:ascii="Times New Roman" w:cs="Times New Roman" w:eastAsia="Times New Roman" w:hAnsi="Times New Roman"/>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and we cannot be certain that additional financing will be available on favorable terms, or at all.</w:t>
      </w:r>
    </w:p>
    <w:p>
      <w:pPr>
        <w:spacing w:after="0" w:line="253"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Historically, we have funded our operations and capital expenditures primarily through equity issuances, cash generated from our operations, and debt financing. Although we currently anticipate that our existing cash, cash equivalents and short-term investments, amounts available under our existing term loan facility and revolving credit facility, and cash flow from operations will be sufficient to meet our cash needs for the foreseeable future, we may require additional financing. We evaluate financing opportunities from time-to-time, and our ability to obtain financing will depend, among other things, on our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fluctuating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91"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6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maintain coverage of us, or if one or more of these analysts cease coverage of us or fail to publish reports on us regularly, demand for our securities could decrease, which could cause the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 UNREGISTERED SALES OF EQUITY SECURITIES AND USE OF PROCEEDS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information with respect to Dropbox's repurchases of Class A common stock during the quarter ended September 30, 2026.</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Total 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center"/>
              <w:ind w:right="58"/>
              <w:spacing w:after="0"/>
              <w:rPr>
                <w:sz w:val="20"/>
                <w:szCs w:val="20"/>
                <w:color w:val="auto"/>
              </w:rPr>
            </w:pPr>
            <w:r>
              <w:rPr>
                <w:rFonts w:ascii="Times New Roman" w:cs="Times New Roman" w:eastAsia="Times New Roman" w:hAnsi="Times New Roman"/>
                <w:sz w:val="16"/>
                <w:szCs w:val="16"/>
                <w:color w:val="auto"/>
                <w:w w:val="97"/>
              </w:rPr>
              <w:t>Approximate Dollar Value of</w:t>
            </w: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6"/>
              </w:rPr>
              <w:t>Shares that May Yet Be</w:t>
            </w: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restart"/>
          </w:tcPr>
          <w:p>
            <w:pPr>
              <w:jc w:val="right"/>
              <w:ind w:right="236"/>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8"/>
              </w:rPr>
              <w:t>Purchased as Part of Publicly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8"/>
              </w:rPr>
              <w:t>Purchased Under Publicly</w:t>
            </w:r>
          </w:p>
        </w:tc>
        <w:tc>
          <w:tcPr>
            <w:tcW w:w="0" w:type="dxa"/>
            <w:vAlign w:val="bottom"/>
          </w:tcPr>
          <w:p>
            <w:pPr>
              <w:spacing w:after="0"/>
              <w:rPr>
                <w:sz w:val="1"/>
                <w:szCs w:val="1"/>
                <w:color w:val="auto"/>
              </w:rPr>
            </w:pPr>
          </w:p>
        </w:tc>
      </w:tr>
      <w:tr>
        <w:trPr>
          <w:trHeight w:val="157"/>
        </w:trPr>
        <w:tc>
          <w:tcPr>
            <w:tcW w:w="22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Period</w:t>
            </w:r>
          </w:p>
        </w:tc>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Average Price Paid per Share</w:t>
            </w:r>
            <w:r>
              <w:rPr>
                <w:rFonts w:ascii="Times New Roman" w:cs="Times New Roman" w:eastAsia="Times New Roman" w:hAnsi="Times New Roman"/>
                <w:sz w:val="20"/>
                <w:szCs w:val="20"/>
                <w:color w:val="auto"/>
                <w:vertAlign w:val="superscript"/>
              </w:rPr>
              <w:t>(2)</w:t>
            </w:r>
          </w:p>
        </w:tc>
        <w:tc>
          <w:tcPr>
            <w:tcW w:w="2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0" w:type="dxa"/>
            <w:vAlign w:val="bottom"/>
          </w:tcPr>
          <w:p>
            <w:pPr>
              <w:spacing w:after="0"/>
              <w:rPr>
                <w:sz w:val="1"/>
                <w:szCs w:val="1"/>
                <w:color w:val="auto"/>
              </w:rPr>
            </w:pPr>
          </w:p>
        </w:tc>
      </w:tr>
      <w:tr>
        <w:trPr>
          <w:trHeight w:val="209"/>
        </w:trPr>
        <w:tc>
          <w:tcPr>
            <w:tcW w:w="2240" w:type="dxa"/>
            <w:vAlign w:val="bottom"/>
            <w:gridSpan w:val="2"/>
            <w:vMerge w:val="continue"/>
          </w:tcPr>
          <w:p>
            <w:pPr>
              <w:spacing w:after="0"/>
              <w:rPr>
                <w:sz w:val="18"/>
                <w:szCs w:val="18"/>
                <w:color w:val="auto"/>
              </w:rPr>
            </w:pPr>
          </w:p>
        </w:tc>
        <w:tc>
          <w:tcPr>
            <w:tcW w:w="2140" w:type="dxa"/>
            <w:vAlign w:val="bottom"/>
          </w:tcPr>
          <w:p>
            <w:pPr>
              <w:jc w:val="right"/>
              <w:ind w:right="196"/>
              <w:spacing w:after="0" w:line="209" w:lineRule="exact"/>
              <w:rPr>
                <w:sz w:val="20"/>
                <w:szCs w:val="20"/>
                <w:color w:val="auto"/>
              </w:rPr>
            </w:pPr>
            <w:r>
              <w:rPr>
                <w:rFonts w:ascii="Times New Roman" w:cs="Times New Roman" w:eastAsia="Times New Roman" w:hAnsi="Times New Roman"/>
                <w:sz w:val="16"/>
                <w:szCs w:val="16"/>
                <w:color w:val="auto"/>
              </w:rPr>
              <w:t>Purchased (in millions)</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2220" w:type="dxa"/>
            <w:vAlign w:val="bottom"/>
            <w:gridSpan w:val="3"/>
            <w:vMerge w:val="continue"/>
          </w:tcPr>
          <w:p>
            <w:pPr>
              <w:spacing w:after="0"/>
              <w:rPr>
                <w:sz w:val="18"/>
                <w:szCs w:val="18"/>
                <w:color w:val="auto"/>
              </w:rPr>
            </w:pPr>
          </w:p>
        </w:tc>
        <w:tc>
          <w:tcPr>
            <w:tcW w:w="2160" w:type="dxa"/>
            <w:vAlign w:val="bottom"/>
          </w:tcPr>
          <w:p>
            <w:pPr>
              <w:jc w:val="center"/>
              <w:spacing w:after="0" w:line="209" w:lineRule="exact"/>
              <w:rPr>
                <w:sz w:val="20"/>
                <w:szCs w:val="20"/>
                <w:color w:val="auto"/>
              </w:rPr>
            </w:pPr>
            <w:r>
              <w:rPr>
                <w:rFonts w:ascii="Times New Roman" w:cs="Times New Roman" w:eastAsia="Times New Roman" w:hAnsi="Times New Roman"/>
                <w:sz w:val="16"/>
                <w:szCs w:val="16"/>
                <w:color w:val="auto"/>
                <w:w w:val="94"/>
              </w:rPr>
              <w:t>(in millions)</w:t>
            </w:r>
            <w:r>
              <w:rPr>
                <w:rFonts w:ascii="Times New Roman" w:cs="Times New Roman" w:eastAsia="Times New Roman" w:hAnsi="Times New Roman"/>
                <w:sz w:val="20"/>
                <w:szCs w:val="20"/>
                <w:color w:val="auto"/>
                <w:w w:val="94"/>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8"/>
              <w:spacing w:after="0" w:line="209" w:lineRule="exact"/>
              <w:rPr>
                <w:sz w:val="20"/>
                <w:szCs w:val="20"/>
                <w:color w:val="auto"/>
              </w:rPr>
            </w:pPr>
            <w:r>
              <w:rPr>
                <w:rFonts w:ascii="Times New Roman" w:cs="Times New Roman" w:eastAsia="Times New Roman" w:hAnsi="Times New Roman"/>
                <w:sz w:val="16"/>
                <w:szCs w:val="16"/>
                <w:color w:val="auto"/>
                <w:w w:val="92"/>
              </w:rPr>
              <w:t>(in millions)</w:t>
            </w:r>
            <w:r>
              <w:rPr>
                <w:rFonts w:ascii="Times New Roman" w:cs="Times New Roman" w:eastAsia="Times New Roman" w:hAnsi="Times New Roman"/>
                <w:sz w:val="20"/>
                <w:szCs w:val="20"/>
                <w:color w:val="auto"/>
                <w:w w:val="92"/>
                <w:vertAlign w:val="superscript"/>
              </w:rPr>
              <w:t>(1)</w:t>
            </w:r>
          </w:p>
        </w:tc>
        <w:tc>
          <w:tcPr>
            <w:tcW w:w="0" w:type="dxa"/>
            <w:vAlign w:val="bottom"/>
          </w:tcPr>
          <w:p>
            <w:pPr>
              <w:spacing w:after="0"/>
              <w:rPr>
                <w:sz w:val="1"/>
                <w:szCs w:val="1"/>
                <w:color w:val="auto"/>
              </w:rPr>
            </w:pPr>
          </w:p>
        </w:tc>
      </w:tr>
      <w:tr>
        <w:trPr>
          <w:trHeight w:val="215"/>
        </w:trPr>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July 1 - 31</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1,318.64</w:t>
            </w:r>
          </w:p>
        </w:tc>
        <w:tc>
          <w:tcPr>
            <w:tcW w:w="0" w:type="dxa"/>
            <w:vAlign w:val="bottom"/>
          </w:tcPr>
          <w:p>
            <w:pPr>
              <w:spacing w:after="0"/>
              <w:rPr>
                <w:sz w:val="1"/>
                <w:szCs w:val="1"/>
                <w:color w:val="auto"/>
              </w:rPr>
            </w:pPr>
          </w:p>
        </w:tc>
      </w:tr>
      <w:tr>
        <w:trPr>
          <w:trHeight w:val="222"/>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August 1 - 31</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0" w:type="dxa"/>
            <w:vAlign w:val="bottom"/>
            <w:gridSpan w:val="2"/>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1,295.34</w:t>
            </w:r>
          </w:p>
        </w:tc>
        <w:tc>
          <w:tcPr>
            <w:tcW w:w="0" w:type="dxa"/>
            <w:vAlign w:val="bottom"/>
          </w:tcPr>
          <w:p>
            <w:pPr>
              <w:spacing w:after="0"/>
              <w:rPr>
                <w:sz w:val="1"/>
                <w:szCs w:val="1"/>
                <w:color w:val="auto"/>
              </w:rPr>
            </w:pPr>
          </w:p>
        </w:tc>
      </w:tr>
      <w:tr>
        <w:trPr>
          <w:trHeight w:val="222"/>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September 1 - 30</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0" w:type="dxa"/>
            <w:vAlign w:val="bottom"/>
            <w:gridSpan w:val="2"/>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34.63</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1,235.27</w:t>
            </w:r>
          </w:p>
        </w:tc>
        <w:tc>
          <w:tcPr>
            <w:tcW w:w="0" w:type="dxa"/>
            <w:vAlign w:val="bottom"/>
          </w:tcPr>
          <w:p>
            <w:pPr>
              <w:spacing w:after="0"/>
              <w:rPr>
                <w:sz w:val="1"/>
                <w:szCs w:val="1"/>
                <w:color w:val="auto"/>
              </w:rPr>
            </w:pPr>
          </w:p>
        </w:tc>
      </w:tr>
      <w:tr>
        <w:trPr>
          <w:trHeight w:val="215"/>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0" w:type="dxa"/>
            <w:vAlign w:val="bottom"/>
            <w:gridSpan w:val="2"/>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31.94</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firstLine="5"/>
        <w:spacing w:after="0" w:line="289" w:lineRule="auto"/>
        <w:tabs>
          <w:tab w:leader="none" w:pos="16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The Board of Directors has authorized a share repurchase program for the repurchase of shares of our Class A common stock. As of September 30, 2026, $1.2 billion remained available for repurchases, including an increase of $900.0 million authorized by the Board of Directors in June 2026. Under the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programs do not have an expiration date. See Note 11 "Stockholders' Deficit" to our condensed consolidated financial statements included elsewhere in this Quarterly Report on Form 10-Q.</w:t>
      </w:r>
    </w:p>
    <w:p>
      <w:pPr>
        <w:spacing w:after="0" w:line="383" w:lineRule="exact"/>
        <w:rPr>
          <w:rFonts w:ascii="Times New Roman" w:cs="Times New Roman" w:eastAsia="Times New Roman" w:hAnsi="Times New Roman"/>
          <w:sz w:val="18"/>
          <w:szCs w:val="18"/>
          <w:color w:val="auto"/>
          <w:vertAlign w:val="superscript"/>
        </w:rPr>
      </w:pPr>
    </w:p>
    <w:p>
      <w:pPr>
        <w:ind w:left="160" w:hanging="155"/>
        <w:spacing w:after="0"/>
        <w:tabs>
          <w:tab w:leader="none" w:pos="16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Average price paid per share includes costs associated with the repurchases, excluding the 1% excise tax imposed as part of the Inflation Reduction Act.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5. 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Trading Plans of Directors and Executive Officers</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our last fiscal quarter, the following directors and officers, as defined in Rule 16a-1(f), adopted a “Rule 10b5-1 trading arrangement” as defined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Regulation S-K Item 408, as follows:</w:t>
      </w:r>
    </w:p>
    <w:p>
      <w:pPr>
        <w:spacing w:after="0" w:line="216"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On August 12, 2026, Abhay Parasnis, a member of our Board of Directors, adopted a Rule 10b5-1 trading arrangement providing for the sale from time-to-time of an aggregate of up to 9,685 shares of our Class A common stock. The trading arrangement is intended to satisfy the affirmative defense in Rule 10b5-1(c). The duration of the trading arrangement is until August 25, 2027, or earlier if all transactions under the trading arrangement are completed.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 EXHIBITS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Incorporated by</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60" w:type="dxa"/>
            <w:vAlign w:val="bottom"/>
            <w:gridSpan w:val="8"/>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Reference from</w:t>
            </w: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8"/>
              </w:rPr>
              <w:t>Filed with SEC</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gridSpan w:val="8"/>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31.1</w:t>
            </w:r>
          </w:p>
        </w:tc>
        <w:tc>
          <w:tcPr>
            <w:tcW w:w="518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FF"/>
              </w:rPr>
              <w:t>Certification of Co-Principal Executive Officer, Andrew W. Houston, pursuant to</w:t>
            </w: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4520" w:type="dxa"/>
            <w:vAlign w:val="bottom"/>
            <w:tcBorders>
              <w:top w:val="single" w:sz="8" w:color="0000FF"/>
            </w:tcBorders>
            <w:gridSpan w:val="5"/>
          </w:tcPr>
          <w:p>
            <w:pPr>
              <w:spacing w:after="0" w:line="118" w:lineRule="exact"/>
              <w:rPr>
                <w:sz w:val="20"/>
                <w:szCs w:val="20"/>
                <w:color w:val="auto"/>
              </w:rPr>
            </w:pPr>
            <w:r>
              <w:rPr>
                <w:rFonts w:ascii="Times New Roman" w:cs="Times New Roman" w:eastAsia="Times New Roman" w:hAnsi="Times New Roman"/>
                <w:sz w:val="13"/>
                <w:szCs w:val="13"/>
                <w:color w:val="0000FF"/>
              </w:rPr>
              <w:t>Exchange Act Rules 13a-14(a) and 15d-14(a), as adopted pursuant to Section 302</w:t>
            </w:r>
          </w:p>
        </w:tc>
        <w:tc>
          <w:tcPr>
            <w:tcW w:w="660" w:type="dxa"/>
            <w:vAlign w:val="bottom"/>
            <w:gridSpan w:val="7"/>
          </w:tcPr>
          <w:p>
            <w:pPr>
              <w:jc w:val="right"/>
              <w:ind w:right="280"/>
              <w:spacing w:after="0" w:line="118" w:lineRule="exact"/>
              <w:rPr>
                <w:sz w:val="20"/>
                <w:szCs w:val="20"/>
                <w:color w:val="auto"/>
              </w:rPr>
            </w:pPr>
            <w:r>
              <w:rPr>
                <w:rFonts w:ascii="Times New Roman" w:cs="Times New Roman" w:eastAsia="Times New Roman" w:hAnsi="Times New Roman"/>
                <w:sz w:val="13"/>
                <w:szCs w:val="13"/>
                <w:color w:val="0000FF"/>
              </w:rPr>
              <w:t>of the</w:t>
            </w:r>
          </w:p>
        </w:tc>
        <w:tc>
          <w:tcPr>
            <w:tcW w:w="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tcPr>
          <w:p>
            <w:pPr>
              <w:spacing w:after="0"/>
              <w:rPr>
                <w:sz w:val="10"/>
                <w:szCs w:val="10"/>
                <w:color w:val="auto"/>
              </w:rPr>
            </w:pPr>
          </w:p>
        </w:tc>
        <w:tc>
          <w:tcPr>
            <w:tcW w:w="4900" w:type="dxa"/>
            <w:vAlign w:val="bottom"/>
            <w:tcBorders>
              <w:top w:val="single" w:sz="8" w:color="0000FF"/>
            </w:tcBorders>
            <w:gridSpan w:val="7"/>
          </w:tcPr>
          <w:p>
            <w:pPr>
              <w:spacing w:after="0" w:line="124" w:lineRule="exact"/>
              <w:rPr>
                <w:sz w:val="20"/>
                <w:szCs w:val="20"/>
                <w:color w:val="auto"/>
              </w:rPr>
            </w:pPr>
            <w:r>
              <w:rPr>
                <w:rFonts w:ascii="Times New Roman" w:cs="Times New Roman" w:eastAsia="Times New Roman" w:hAnsi="Times New Roman"/>
                <w:sz w:val="14"/>
                <w:szCs w:val="14"/>
                <w:color w:val="0000FF"/>
              </w:rPr>
              <w:t>Sarbanes-Oxley Act of 2002.</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1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Co-Principal Executive Officer, Ashraf Alkarmi, pursuant to Exchange</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4840" w:type="dxa"/>
            <w:vAlign w:val="bottom"/>
            <w:tcBorders>
              <w:top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Act Rules 13a-14(a) and 15d-14(a), as adopted pursuant to Section 302 of the Sarbanes</w:t>
            </w:r>
          </w:p>
        </w:tc>
        <w:tc>
          <w:tcPr>
            <w:tcW w:w="12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color w:val="0000FF"/>
                <w:w w:val="91"/>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tcPr>
          <w:p>
            <w:pPr>
              <w:spacing w:after="0"/>
              <w:rPr>
                <w:sz w:val="10"/>
                <w:szCs w:val="10"/>
                <w:color w:val="auto"/>
              </w:rPr>
            </w:pPr>
          </w:p>
        </w:tc>
        <w:tc>
          <w:tcPr>
            <w:tcW w:w="1080" w:type="dxa"/>
            <w:vAlign w:val="bottom"/>
            <w:tcBorders>
              <w:top w:val="single" w:sz="8" w:color="0000FF"/>
              <w:bottom w:val="single" w:sz="8" w:color="0000FF"/>
            </w:tcBorders>
            <w:gridSpan w:val="3"/>
          </w:tcPr>
          <w:p>
            <w:pPr>
              <w:spacing w:after="0" w:line="124" w:lineRule="exact"/>
              <w:rPr>
                <w:sz w:val="20"/>
                <w:szCs w:val="20"/>
                <w:color w:val="auto"/>
              </w:rPr>
            </w:pPr>
            <w:r>
              <w:rPr>
                <w:rFonts w:ascii="Times New Roman" w:cs="Times New Roman" w:eastAsia="Times New Roman" w:hAnsi="Times New Roman"/>
                <w:sz w:val="14"/>
                <w:szCs w:val="14"/>
                <w:color w:val="0000FF"/>
                <w:w w:val="98"/>
              </w:rPr>
              <w:t>Oxley Act of 2002.</w:t>
            </w:r>
          </w:p>
        </w:tc>
        <w:tc>
          <w:tcPr>
            <w:tcW w:w="3820" w:type="dxa"/>
            <w:vAlign w:val="bottom"/>
            <w:tcBorders>
              <w:top w:val="single" w:sz="8" w:color="0000FF"/>
            </w:tcBorders>
            <w:gridSpan w:val="4"/>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31.3</w:t>
            </w:r>
          </w:p>
        </w:tc>
        <w:tc>
          <w:tcPr>
            <w:tcW w:w="51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Ross Tennenbaum, pursuant to Exchange Act</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4980" w:type="dxa"/>
            <w:vAlign w:val="bottom"/>
            <w:tcBorders>
              <w:top w:val="single" w:sz="8" w:color="0000FF"/>
              <w:bottom w:val="single" w:sz="8" w:color="0000FF"/>
            </w:tcBorders>
            <w:gridSpan w:val="9"/>
          </w:tcPr>
          <w:p>
            <w:pPr>
              <w:spacing w:after="0" w:line="111" w:lineRule="exact"/>
              <w:rPr>
                <w:sz w:val="20"/>
                <w:szCs w:val="20"/>
                <w:color w:val="auto"/>
              </w:rPr>
            </w:pPr>
            <w:r>
              <w:rPr>
                <w:rFonts w:ascii="Times New Roman" w:cs="Times New Roman" w:eastAsia="Times New Roman" w:hAnsi="Times New Roman"/>
                <w:sz w:val="12"/>
                <w:szCs w:val="12"/>
                <w:color w:val="0000FF"/>
              </w:rPr>
              <w:t>Rules 13a-14(a) and 15d-14(a), as adopted pursuant to Section 302 of the Sarbanes-Oxley</w:t>
            </w: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060" w:type="dxa"/>
            <w:vAlign w:val="bottom"/>
          </w:tcPr>
          <w:p>
            <w:pPr>
              <w:spacing w:after="0"/>
              <w:rPr>
                <w:sz w:val="10"/>
                <w:szCs w:val="10"/>
                <w:color w:val="auto"/>
              </w:rPr>
            </w:pPr>
          </w:p>
        </w:tc>
        <w:tc>
          <w:tcPr>
            <w:tcW w:w="5000" w:type="dxa"/>
            <w:vAlign w:val="bottom"/>
            <w:gridSpan w:val="10"/>
          </w:tcPr>
          <w:p>
            <w:pPr>
              <w:spacing w:after="0" w:line="124" w:lineRule="exact"/>
              <w:rPr>
                <w:sz w:val="20"/>
                <w:szCs w:val="20"/>
                <w:color w:val="auto"/>
              </w:rPr>
            </w:pPr>
            <w:r>
              <w:rPr>
                <w:rFonts w:ascii="Times New Roman" w:cs="Times New Roman" w:eastAsia="Times New Roman" w:hAnsi="Times New Roman"/>
                <w:sz w:val="14"/>
                <w:szCs w:val="14"/>
                <w:color w:val="0000FF"/>
              </w:rPr>
              <w:t>Act of 2002.</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1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Certifications of Co-Principal Executive Officers and Principal Financial Officer pursuant</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5020" w:type="dxa"/>
            <w:vAlign w:val="bottom"/>
            <w:tcBorders>
              <w:top w:val="single" w:sz="8" w:color="0000FF"/>
            </w:tcBorders>
            <w:gridSpan w:val="11"/>
          </w:tcPr>
          <w:p>
            <w:pPr>
              <w:spacing w:after="0" w:line="111" w:lineRule="exact"/>
              <w:rPr>
                <w:sz w:val="20"/>
                <w:szCs w:val="20"/>
                <w:color w:val="auto"/>
              </w:rPr>
            </w:pPr>
            <w:r>
              <w:rPr>
                <w:rFonts w:ascii="Times New Roman" w:cs="Times New Roman" w:eastAsia="Times New Roman" w:hAnsi="Times New Roman"/>
                <w:sz w:val="12"/>
                <w:szCs w:val="12"/>
                <w:color w:val="0000FF"/>
              </w:rPr>
              <w:t>to 18 U.S.C. Section 1350 as adopted pursuant to Section 906 of the Sarbanes-Oxley Act</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060" w:type="dxa"/>
            <w:vAlign w:val="bottom"/>
          </w:tcPr>
          <w:p>
            <w:pPr>
              <w:spacing w:after="0"/>
              <w:rPr>
                <w:sz w:val="10"/>
                <w:szCs w:val="10"/>
                <w:color w:val="auto"/>
              </w:rPr>
            </w:pPr>
          </w:p>
        </w:tc>
        <w:tc>
          <w:tcPr>
            <w:tcW w:w="4960" w:type="dxa"/>
            <w:vAlign w:val="bottom"/>
            <w:tcBorders>
              <w:top w:val="single" w:sz="8" w:color="0000FF"/>
            </w:tcBorders>
            <w:gridSpan w:val="8"/>
          </w:tcPr>
          <w:p>
            <w:pPr>
              <w:spacing w:after="0" w:line="124" w:lineRule="exact"/>
              <w:rPr>
                <w:sz w:val="20"/>
                <w:szCs w:val="20"/>
                <w:color w:val="auto"/>
              </w:rPr>
            </w:pPr>
            <w:r>
              <w:rPr>
                <w:rFonts w:ascii="Times New Roman" w:cs="Times New Roman" w:eastAsia="Times New Roman" w:hAnsi="Times New Roman"/>
                <w:sz w:val="14"/>
                <w:szCs w:val="14"/>
                <w:color w:val="0000FF"/>
              </w:rPr>
              <w:t>of 2002.</w:t>
            </w:r>
          </w:p>
        </w:tc>
        <w:tc>
          <w:tcPr>
            <w:tcW w:w="220" w:type="dxa"/>
            <w:vAlign w:val="bottom"/>
            <w:gridSpan w:val="4"/>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1080" w:right="5060" w:hanging="1058"/>
        <w:spacing w:after="0" w:line="242" w:lineRule="auto"/>
        <w:tabs>
          <w:tab w:leader="none" w:pos="1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from the Company's Quarterly Report on Form 10-Q for the quarter ended September 30, 2026,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p>
      <w:pPr>
        <w:spacing w:after="0" w:line="288" w:lineRule="exact"/>
        <w:rPr>
          <w:sz w:val="20"/>
          <w:szCs w:val="20"/>
          <w:color w:val="auto"/>
        </w:rPr>
      </w:pPr>
    </w:p>
    <w:p>
      <w:pPr>
        <w:ind w:left="1080" w:right="5240" w:hanging="1058"/>
        <w:spacing w:after="0" w:line="233" w:lineRule="auto"/>
        <w:tabs>
          <w:tab w:leader="none" w:pos="108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0" w:lineRule="exact"/>
        <w:rPr>
          <w:rFonts w:ascii="Times New Roman" w:cs="Times New Roman" w:eastAsia="Times New Roman" w:hAnsi="Times New Roman"/>
          <w:sz w:val="14"/>
          <w:szCs w:val="14"/>
          <w:color w:val="auto"/>
        </w:rPr>
      </w:pPr>
    </w:p>
    <w:p>
      <w:pPr>
        <w:spacing w:after="0" w:line="34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14" w:lineRule="auto"/>
        <w:rPr>
          <w:sz w:val="20"/>
          <w:szCs w:val="20"/>
          <w:color w:val="auto"/>
        </w:rPr>
      </w:pPr>
      <w:r>
        <w:rPr>
          <w:rFonts w:ascii="Times New Roman" w:cs="Times New Roman" w:eastAsia="Times New Roman" w:hAnsi="Times New Roman"/>
          <w:sz w:val="14"/>
          <w:szCs w:val="14"/>
          <w:color w:val="auto"/>
        </w:rPr>
        <w:t>+ Indicates management contract or compensatory plan.</w:t>
      </w:r>
    </w:p>
    <w:p>
      <w:pPr>
        <w:ind w:firstLine="5"/>
        <w:spacing w:after="0" w:line="257" w:lineRule="auto"/>
        <w:tabs>
          <w:tab w:leader="none" w:pos="10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92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40" w:type="dxa"/>
            <w:vAlign w:val="bottom"/>
          </w:tcPr>
          <w:p>
            <w:pPr>
              <w:spacing w:after="0"/>
              <w:rPr>
                <w:sz w:val="19"/>
                <w:szCs w:val="19"/>
                <w:color w:val="auto"/>
              </w:rPr>
            </w:pPr>
          </w:p>
        </w:tc>
      </w:tr>
      <w:tr>
        <w:trPr>
          <w:trHeight w:val="484"/>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November 6, 2026</w:t>
            </w:r>
          </w:p>
        </w:tc>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By:</w:t>
            </w:r>
          </w:p>
        </w:tc>
        <w:tc>
          <w:tcPr>
            <w:tcW w:w="7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Andrew W. Houston</w:t>
            </w:r>
          </w:p>
        </w:tc>
        <w:tc>
          <w:tcPr>
            <w:tcW w:w="40" w:type="dxa"/>
            <w:vAlign w:val="bottom"/>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W. Houston</w:t>
            </w:r>
          </w:p>
        </w:tc>
        <w:tc>
          <w:tcPr>
            <w:tcW w:w="40" w:type="dxa"/>
            <w:vAlign w:val="bottom"/>
          </w:tcPr>
          <w:p>
            <w:pPr>
              <w:spacing w:after="0"/>
              <w:rPr>
                <w:sz w:val="18"/>
                <w:szCs w:val="18"/>
                <w:color w:val="auto"/>
              </w:rPr>
            </w:pPr>
          </w:p>
        </w:tc>
      </w:tr>
      <w:tr>
        <w:trPr>
          <w:trHeight w:val="220"/>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Co-Chief Executive Officer</w:t>
            </w:r>
          </w:p>
        </w:tc>
        <w:tc>
          <w:tcPr>
            <w:tcW w:w="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(Co-Principal Executive Officer)</w:t>
            </w:r>
          </w:p>
        </w:tc>
        <w:tc>
          <w:tcPr>
            <w:tcW w:w="40" w:type="dxa"/>
            <w:vAlign w:val="bottom"/>
          </w:tcPr>
          <w:p>
            <w:pPr>
              <w:spacing w:after="0"/>
              <w:rPr>
                <w:sz w:val="19"/>
                <w:szCs w:val="19"/>
                <w:color w:val="auto"/>
              </w:rPr>
            </w:pPr>
          </w:p>
        </w:tc>
      </w:tr>
      <w:tr>
        <w:trPr>
          <w:trHeight w:val="69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November 6, 2026</w:t>
            </w:r>
          </w:p>
        </w:tc>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By:</w:t>
            </w:r>
          </w:p>
        </w:tc>
        <w:tc>
          <w:tcPr>
            <w:tcW w:w="7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Ashraf Alkarmi</w:t>
            </w:r>
          </w:p>
        </w:tc>
        <w:tc>
          <w:tcPr>
            <w:tcW w:w="40" w:type="dxa"/>
            <w:vAlign w:val="bottom"/>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Ashraf Alkarmi</w:t>
            </w:r>
          </w:p>
        </w:tc>
        <w:tc>
          <w:tcPr>
            <w:tcW w:w="40" w:type="dxa"/>
            <w:vAlign w:val="bottom"/>
          </w:tcPr>
          <w:p>
            <w:pPr>
              <w:spacing w:after="0"/>
              <w:rPr>
                <w:sz w:val="18"/>
                <w:szCs w:val="18"/>
                <w:color w:val="auto"/>
              </w:rPr>
            </w:pPr>
          </w:p>
        </w:tc>
      </w:tr>
      <w:tr>
        <w:trPr>
          <w:trHeight w:val="220"/>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Co-Chief Executive Officer</w:t>
            </w:r>
          </w:p>
        </w:tc>
        <w:tc>
          <w:tcPr>
            <w:tcW w:w="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(Co-Principal Executive Officer)</w:t>
            </w:r>
          </w:p>
        </w:tc>
        <w:tc>
          <w:tcPr>
            <w:tcW w:w="40" w:type="dxa"/>
            <w:vAlign w:val="bottom"/>
          </w:tcPr>
          <w:p>
            <w:pPr>
              <w:spacing w:after="0"/>
              <w:rPr>
                <w:sz w:val="19"/>
                <w:szCs w:val="19"/>
                <w:color w:val="auto"/>
              </w:rPr>
            </w:pPr>
          </w:p>
        </w:tc>
      </w:tr>
      <w:tr>
        <w:trPr>
          <w:trHeight w:val="706"/>
        </w:trPr>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November 6, 2026</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By:</w:t>
            </w:r>
          </w:p>
        </w:tc>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Ross Tennenbaum</w:t>
            </w:r>
          </w:p>
        </w:tc>
        <w:tc>
          <w:tcPr>
            <w:tcW w:w="40" w:type="dxa"/>
            <w:vAlign w:val="bottom"/>
            <w:tcBorders>
              <w:bottom w:val="single" w:sz="8" w:color="auto"/>
            </w:tcBorders>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Ross Tennenbaum</w:t>
            </w:r>
          </w:p>
        </w:tc>
        <w:tc>
          <w:tcPr>
            <w:tcW w:w="40" w:type="dxa"/>
            <w:vAlign w:val="bottom"/>
          </w:tcPr>
          <w:p>
            <w:pPr>
              <w:spacing w:after="0"/>
              <w:rPr>
                <w:sz w:val="18"/>
                <w:szCs w:val="18"/>
                <w:color w:val="auto"/>
              </w:rPr>
            </w:pPr>
          </w:p>
        </w:tc>
      </w:tr>
      <w:tr>
        <w:trPr>
          <w:trHeight w:val="220"/>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1240"/>
          </w:cols>
          <w:pgMar w:left="320" w:top="119"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CO-PRINCIPAL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W. Houston, certify that:</w:t>
      </w:r>
    </w:p>
    <w:p>
      <w:pPr>
        <w:spacing w:after="0" w:line="170" w:lineRule="exact"/>
        <w:rPr>
          <w:sz w:val="20"/>
          <w:szCs w:val="20"/>
          <w:color w:val="auto"/>
        </w:rPr>
      </w:pPr>
    </w:p>
    <w:p>
      <w:pPr>
        <w:ind w:left="320" w:hanging="315"/>
        <w:spacing w:after="0"/>
        <w:tabs>
          <w:tab w:leader="none" w:pos="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170"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320" w:right="80" w:hanging="315"/>
        <w:spacing w:after="0" w:line="276" w:lineRule="auto"/>
        <w:tabs>
          <w:tab w:leader="none" w:pos="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ind w:left="640" w:right="240" w:hanging="322"/>
        <w:spacing w:after="0" w:line="276" w:lineRule="auto"/>
        <w:tabs>
          <w:tab w:leader="none" w:pos="63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640" w:right="40" w:hanging="322"/>
        <w:spacing w:after="0" w:line="276" w:lineRule="auto"/>
        <w:tabs>
          <w:tab w:leader="none" w:pos="63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640" w:right="140" w:hanging="322"/>
        <w:spacing w:after="0" w:line="276" w:lineRule="auto"/>
        <w:tabs>
          <w:tab w:leader="none" w:pos="63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right="520" w:hanging="315"/>
        <w:spacing w:after="0" w:line="295" w:lineRule="auto"/>
        <w:tabs>
          <w:tab w:leader="none" w:pos="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640" w:right="20" w:hanging="322"/>
        <w:spacing w:after="0" w:line="295" w:lineRule="auto"/>
        <w:tabs>
          <w:tab w:leader="none" w:pos="63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640" w:right="260" w:hanging="322"/>
        <w:spacing w:after="0" w:line="295" w:lineRule="auto"/>
        <w:tabs>
          <w:tab w:leader="none" w:pos="63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6, 2026</w:t>
      </w:r>
    </w:p>
    <w:p>
      <w:pPr>
        <w:spacing w:after="0" w:line="14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DROPBOX, INC.</w:t>
      </w:r>
    </w:p>
    <w:p>
      <w:pPr>
        <w:spacing w:after="0" w:line="275" w:lineRule="exact"/>
        <w:rPr>
          <w:sz w:val="20"/>
          <w:szCs w:val="20"/>
          <w:color w:val="auto"/>
        </w:rPr>
      </w:pPr>
    </w:p>
    <w:tbl>
      <w:tblPr>
        <w:tblLayout w:type="fixed"/>
        <w:tblInd w:w="66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W. Houston</w:t>
            </w: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W. Houston</w:t>
            </w:r>
          </w:p>
        </w:tc>
      </w:tr>
      <w:tr>
        <w:trPr>
          <w:trHeight w:val="222"/>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Co-Chief Executive Officer</w:t>
            </w:r>
          </w:p>
        </w:tc>
      </w:tr>
      <w:tr>
        <w:trPr>
          <w:trHeight w:val="227"/>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(Co-Principal Executive Officer)</w:t>
            </w:r>
          </w:p>
        </w:tc>
      </w:tr>
    </w:tbl>
    <w:p>
      <w:pPr>
        <w:sectPr>
          <w:pgSz w:w="11900" w:h="16838" w:orient="portrait"/>
          <w:cols w:equalWidth="0" w:num="1">
            <w:col w:w="11240"/>
          </w:cols>
          <w:pgMar w:left="320" w:top="746"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CO-PRINCIPAL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Ashraf Alkarmi, certify that:</w:t>
      </w:r>
    </w:p>
    <w:p>
      <w:pPr>
        <w:spacing w:after="0" w:line="170" w:lineRule="exact"/>
        <w:rPr>
          <w:sz w:val="20"/>
          <w:szCs w:val="20"/>
          <w:color w:val="auto"/>
        </w:rPr>
      </w:pPr>
    </w:p>
    <w:p>
      <w:pPr>
        <w:ind w:left="320" w:hanging="315"/>
        <w:spacing w:after="0"/>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170"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320" w:right="80" w:hanging="315"/>
        <w:spacing w:after="0" w:line="276" w:lineRule="auto"/>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ind w:left="640" w:right="240" w:hanging="322"/>
        <w:spacing w:after="0" w:line="276" w:lineRule="auto"/>
        <w:tabs>
          <w:tab w:leader="none" w:pos="63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640" w:right="40" w:hanging="322"/>
        <w:spacing w:after="0" w:line="276" w:lineRule="auto"/>
        <w:tabs>
          <w:tab w:leader="none" w:pos="634"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640" w:right="140" w:hanging="322"/>
        <w:spacing w:after="0" w:line="276" w:lineRule="auto"/>
        <w:tabs>
          <w:tab w:leader="none" w:pos="634"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right="520" w:hanging="315"/>
        <w:spacing w:after="0" w:line="295" w:lineRule="auto"/>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640" w:right="20" w:hanging="322"/>
        <w:spacing w:after="0" w:line="295" w:lineRule="auto"/>
        <w:tabs>
          <w:tab w:leader="none" w:pos="63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640" w:right="260" w:hanging="322"/>
        <w:spacing w:after="0" w:line="295" w:lineRule="auto"/>
        <w:tabs>
          <w:tab w:leader="none" w:pos="634"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6, 2026</w:t>
      </w:r>
    </w:p>
    <w:p>
      <w:pPr>
        <w:spacing w:after="0" w:line="14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DROPBOX, INC.</w:t>
      </w:r>
    </w:p>
    <w:p>
      <w:pPr>
        <w:spacing w:after="0" w:line="275" w:lineRule="exact"/>
        <w:rPr>
          <w:sz w:val="20"/>
          <w:szCs w:val="20"/>
          <w:color w:val="auto"/>
        </w:rPr>
      </w:pPr>
    </w:p>
    <w:tbl>
      <w:tblPr>
        <w:tblLayout w:type="fixed"/>
        <w:tblInd w:w="66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Ashraf Alkarmi</w:t>
            </w: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Ashraf Alkarmi</w:t>
            </w:r>
          </w:p>
        </w:tc>
      </w:tr>
      <w:tr>
        <w:trPr>
          <w:trHeight w:val="222"/>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Co-Chief Executive Officer</w:t>
            </w:r>
          </w:p>
        </w:tc>
      </w:tr>
      <w:tr>
        <w:trPr>
          <w:trHeight w:val="227"/>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(Co-Principal Executive Officer)</w:t>
            </w:r>
          </w:p>
        </w:tc>
      </w:tr>
    </w:tbl>
    <w:p>
      <w:pPr>
        <w:sectPr>
          <w:pgSz w:w="11900" w:h="16838" w:orient="portrait"/>
          <w:cols w:equalWidth="0" w:num="1">
            <w:col w:w="11240"/>
          </w:cols>
          <w:pgMar w:left="320" w:top="746"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7"/>
          <w:szCs w:val="17"/>
          <w:b w:val="1"/>
          <w:bCs w:val="1"/>
          <w:color w:val="auto"/>
        </w:rPr>
        <w:t>Exhibit 31.3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Ross Tennenbaum, certify that:</w:t>
      </w:r>
    </w:p>
    <w:p>
      <w:pPr>
        <w:spacing w:after="0" w:line="170" w:lineRule="exact"/>
        <w:rPr>
          <w:sz w:val="20"/>
          <w:szCs w:val="20"/>
          <w:color w:val="auto"/>
        </w:rPr>
      </w:pPr>
    </w:p>
    <w:p>
      <w:pPr>
        <w:ind w:left="320" w:hanging="315"/>
        <w:spacing w:after="0"/>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170"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320" w:right="80" w:hanging="315"/>
        <w:spacing w:after="0" w:line="276" w:lineRule="auto"/>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ind w:left="640" w:right="240" w:hanging="322"/>
        <w:spacing w:after="0" w:line="276" w:lineRule="auto"/>
        <w:tabs>
          <w:tab w:leader="none" w:pos="63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640" w:right="40" w:hanging="322"/>
        <w:spacing w:after="0" w:line="276" w:lineRule="auto"/>
        <w:tabs>
          <w:tab w:leader="none" w:pos="634"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640" w:right="140" w:hanging="322"/>
        <w:spacing w:after="0" w:line="276" w:lineRule="auto"/>
        <w:tabs>
          <w:tab w:leader="none" w:pos="634"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right="520" w:hanging="315"/>
        <w:spacing w:after="0" w:line="295" w:lineRule="auto"/>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640" w:right="20" w:hanging="322"/>
        <w:spacing w:after="0" w:line="295" w:lineRule="auto"/>
        <w:tabs>
          <w:tab w:leader="none" w:pos="63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640" w:right="260" w:hanging="322"/>
        <w:spacing w:after="0" w:line="295" w:lineRule="auto"/>
        <w:tabs>
          <w:tab w:leader="none" w:pos="634"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6, 2026</w:t>
      </w:r>
    </w:p>
    <w:p>
      <w:pPr>
        <w:spacing w:after="0" w:line="14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DROPBOX, INC.</w:t>
      </w:r>
    </w:p>
    <w:p>
      <w:pPr>
        <w:spacing w:after="0" w:line="275" w:lineRule="exact"/>
        <w:rPr>
          <w:sz w:val="20"/>
          <w:szCs w:val="20"/>
          <w:color w:val="auto"/>
        </w:rPr>
      </w:pPr>
    </w:p>
    <w:tbl>
      <w:tblPr>
        <w:tblLayout w:type="fixed"/>
        <w:tblInd w:w="66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Ross Tennenbaum</w:t>
            </w: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Ross Tennenbaum</w:t>
            </w:r>
          </w:p>
        </w:tc>
      </w:tr>
      <w:tr>
        <w:trPr>
          <w:trHeight w:val="222"/>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7"/>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40"/>
          </w:cols>
          <w:pgMar w:left="320" w:top="746"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26" w:lineRule="exact"/>
        <w:rPr>
          <w:sz w:val="20"/>
          <w:szCs w:val="20"/>
          <w:color w:val="auto"/>
        </w:rPr>
      </w:pPr>
    </w:p>
    <w:p>
      <w:pPr>
        <w:jc w:val="center"/>
        <w:ind w:left="340" w:right="1000"/>
        <w:spacing w:after="0" w:line="260" w:lineRule="auto"/>
        <w:rPr>
          <w:sz w:val="20"/>
          <w:szCs w:val="20"/>
          <w:color w:val="auto"/>
        </w:rPr>
      </w:pPr>
      <w:r>
        <w:rPr>
          <w:rFonts w:ascii="Times New Roman" w:cs="Times New Roman" w:eastAsia="Times New Roman" w:hAnsi="Times New Roman"/>
          <w:sz w:val="19"/>
          <w:szCs w:val="19"/>
          <w:b w:val="1"/>
          <w:bCs w:val="1"/>
          <w:color w:val="auto"/>
        </w:rPr>
        <w:t>CERTIFICATIONS OF CO-PRINCIPAL EXECUTIVE OFFICERS AND PRINCIPAL FINANCIAL OFFICER 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 Andrew W. Houston, certify, pursuant to 18 U.S.C. Section 1350, as adopted pursuant to Section 906 of the Sarbanes-Oxley Act of 2002, that the Quarterly Report on Form 10-Q of Dropbox, Inc. for the fiscal quarter ended September 30, 2026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November 6, 2026</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Andrew W. Houston</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Andrew W. Houston</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Co-Chief Executive Officer</w:t>
            </w:r>
          </w:p>
        </w:tc>
      </w:tr>
      <w:tr>
        <w:trPr>
          <w:trHeight w:val="267"/>
        </w:trPr>
        <w:tc>
          <w:tcPr>
            <w:tcW w:w="1120" w:type="dxa"/>
            <w:vAlign w:val="bottom"/>
            <w:shd w:val="clear" w:color="auto" w:fill="FEFEFE"/>
          </w:tcPr>
          <w:p>
            <w:pPr>
              <w:spacing w:after="0"/>
              <w:rPr>
                <w:sz w:val="23"/>
                <w:szCs w:val="23"/>
                <w:color w:val="auto"/>
              </w:rPr>
            </w:pPr>
          </w:p>
        </w:tc>
        <w:tc>
          <w:tcPr>
            <w:tcW w:w="4880" w:type="dxa"/>
            <w:vAlign w:val="bottom"/>
            <w:shd w:val="clear" w:color="auto" w:fill="FEFEFE"/>
          </w:tcPr>
          <w:p>
            <w:pPr>
              <w:spacing w:after="0"/>
              <w:rPr>
                <w:sz w:val="23"/>
                <w:szCs w:val="23"/>
                <w:color w:val="auto"/>
              </w:rPr>
            </w:pPr>
          </w:p>
        </w:tc>
        <w:tc>
          <w:tcPr>
            <w:tcW w:w="860" w:type="dxa"/>
            <w:vAlign w:val="bottom"/>
            <w:shd w:val="clear" w:color="auto" w:fill="FEFEFE"/>
          </w:tcPr>
          <w:p>
            <w:pPr>
              <w:spacing w:after="0"/>
              <w:rPr>
                <w:sz w:val="23"/>
                <w:szCs w:val="23"/>
                <w:color w:val="auto"/>
              </w:rPr>
            </w:pP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(Co-Principal Executive Officer)</w:t>
            </w:r>
          </w:p>
        </w:tc>
      </w:tr>
      <w:tr>
        <w:trPr>
          <w:trHeight w:val="33"/>
        </w:trPr>
        <w:tc>
          <w:tcPr>
            <w:tcW w:w="1120" w:type="dxa"/>
            <w:vAlign w:val="bottom"/>
            <w:shd w:val="clear" w:color="auto" w:fill="FEFEFE"/>
          </w:tcPr>
          <w:p>
            <w:pPr>
              <w:spacing w:after="0"/>
              <w:rPr>
                <w:sz w:val="2"/>
                <w:szCs w:val="2"/>
                <w:color w:val="auto"/>
              </w:rPr>
            </w:pPr>
          </w:p>
        </w:tc>
        <w:tc>
          <w:tcPr>
            <w:tcW w:w="4880" w:type="dxa"/>
            <w:vAlign w:val="bottom"/>
            <w:shd w:val="clear" w:color="auto" w:fill="FEFEFE"/>
          </w:tcPr>
          <w:p>
            <w:pPr>
              <w:spacing w:after="0"/>
              <w:rPr>
                <w:sz w:val="2"/>
                <w:szCs w:val="2"/>
                <w:color w:val="auto"/>
              </w:rPr>
            </w:pPr>
          </w:p>
        </w:tc>
        <w:tc>
          <w:tcPr>
            <w:tcW w:w="860" w:type="dxa"/>
            <w:vAlign w:val="bottom"/>
            <w:shd w:val="clear" w:color="auto" w:fill="FEFEFE"/>
          </w:tcPr>
          <w:p>
            <w:pPr>
              <w:spacing w:after="0"/>
              <w:rPr>
                <w:sz w:val="2"/>
                <w:szCs w:val="2"/>
                <w:color w:val="auto"/>
              </w:rPr>
            </w:pPr>
          </w:p>
        </w:tc>
        <w:tc>
          <w:tcPr>
            <w:tcW w:w="4380" w:type="dxa"/>
            <w:vAlign w:val="bottom"/>
            <w:shd w:val="clear" w:color="auto" w:fill="FEFEFE"/>
          </w:tcPr>
          <w:p>
            <w:pPr>
              <w:spacing w:after="0"/>
              <w:rPr>
                <w:sz w:val="2"/>
                <w:szCs w:val="2"/>
                <w:color w:val="auto"/>
              </w:rPr>
            </w:pPr>
          </w:p>
        </w:tc>
      </w:tr>
    </w:tbl>
    <w:p>
      <w:pPr>
        <w:spacing w:after="0" w:line="200" w:lineRule="exact"/>
        <w:rPr>
          <w:sz w:val="20"/>
          <w:szCs w:val="20"/>
          <w:color w:val="auto"/>
        </w:rPr>
      </w:pPr>
    </w:p>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 Ashraf Alkarmi, certify, pursuant to 18 U.S.C. Section 1350, as adopted pursuant to Section 906 of the Sarbanes-Oxley Act of 2002, that the Quarterly Report on Form 10-Q of Dropbox, Inc. for the fiscal quarter ended September 30, 2026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November 6, 2026</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Ashraf Alkarmi</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Ashraf Alkarmi</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Co-Chief Executive Officer</w:t>
            </w:r>
          </w:p>
        </w:tc>
      </w:tr>
      <w:tr>
        <w:trPr>
          <w:trHeight w:val="254"/>
        </w:trPr>
        <w:tc>
          <w:tcPr>
            <w:tcW w:w="1120" w:type="dxa"/>
            <w:vAlign w:val="bottom"/>
            <w:shd w:val="clear" w:color="auto" w:fill="FEFEFE"/>
          </w:tcPr>
          <w:p>
            <w:pPr>
              <w:spacing w:after="0"/>
              <w:rPr>
                <w:sz w:val="22"/>
                <w:szCs w:val="22"/>
                <w:color w:val="auto"/>
              </w:rPr>
            </w:pPr>
          </w:p>
        </w:tc>
        <w:tc>
          <w:tcPr>
            <w:tcW w:w="4880" w:type="dxa"/>
            <w:vAlign w:val="bottom"/>
            <w:shd w:val="clear" w:color="auto" w:fill="FEFEFE"/>
          </w:tcPr>
          <w:p>
            <w:pPr>
              <w:spacing w:after="0"/>
              <w:rPr>
                <w:sz w:val="22"/>
                <w:szCs w:val="22"/>
                <w:color w:val="auto"/>
              </w:rPr>
            </w:pPr>
          </w:p>
        </w:tc>
        <w:tc>
          <w:tcPr>
            <w:tcW w:w="860" w:type="dxa"/>
            <w:vAlign w:val="bottom"/>
            <w:shd w:val="clear" w:color="auto" w:fill="FEFEFE"/>
          </w:tcPr>
          <w:p>
            <w:pPr>
              <w:spacing w:after="0"/>
              <w:rPr>
                <w:sz w:val="22"/>
                <w:szCs w:val="22"/>
                <w:color w:val="auto"/>
              </w:rPr>
            </w:pP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(Co-Principal Executive Officer)</w:t>
            </w:r>
          </w:p>
        </w:tc>
      </w:tr>
      <w:tr>
        <w:trPr>
          <w:trHeight w:val="33"/>
        </w:trPr>
        <w:tc>
          <w:tcPr>
            <w:tcW w:w="1120" w:type="dxa"/>
            <w:vAlign w:val="bottom"/>
            <w:shd w:val="clear" w:color="auto" w:fill="FEFEFE"/>
          </w:tcPr>
          <w:p>
            <w:pPr>
              <w:spacing w:after="0"/>
              <w:rPr>
                <w:sz w:val="2"/>
                <w:szCs w:val="2"/>
                <w:color w:val="auto"/>
              </w:rPr>
            </w:pPr>
          </w:p>
        </w:tc>
        <w:tc>
          <w:tcPr>
            <w:tcW w:w="4880" w:type="dxa"/>
            <w:vAlign w:val="bottom"/>
            <w:shd w:val="clear" w:color="auto" w:fill="FEFEFE"/>
          </w:tcPr>
          <w:p>
            <w:pPr>
              <w:spacing w:after="0"/>
              <w:rPr>
                <w:sz w:val="2"/>
                <w:szCs w:val="2"/>
                <w:color w:val="auto"/>
              </w:rPr>
            </w:pPr>
          </w:p>
        </w:tc>
        <w:tc>
          <w:tcPr>
            <w:tcW w:w="860" w:type="dxa"/>
            <w:vAlign w:val="bottom"/>
            <w:shd w:val="clear" w:color="auto" w:fill="FEFEFE"/>
          </w:tcPr>
          <w:p>
            <w:pPr>
              <w:spacing w:after="0"/>
              <w:rPr>
                <w:sz w:val="2"/>
                <w:szCs w:val="2"/>
                <w:color w:val="auto"/>
              </w:rPr>
            </w:pPr>
          </w:p>
        </w:tc>
        <w:tc>
          <w:tcPr>
            <w:tcW w:w="4380" w:type="dxa"/>
            <w:vAlign w:val="bottom"/>
            <w:shd w:val="clear" w:color="auto" w:fill="FEFEFE"/>
          </w:tcPr>
          <w:p>
            <w:pPr>
              <w:spacing w:after="0"/>
              <w:rPr>
                <w:sz w:val="2"/>
                <w:szCs w:val="2"/>
                <w:color w:val="auto"/>
              </w:rPr>
            </w:pPr>
          </w:p>
        </w:tc>
      </w:tr>
    </w:tbl>
    <w:p>
      <w:pPr>
        <w:spacing w:after="0" w:line="200" w:lineRule="exact"/>
        <w:rPr>
          <w:sz w:val="20"/>
          <w:szCs w:val="20"/>
          <w:color w:val="auto"/>
        </w:rPr>
      </w:pPr>
    </w:p>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 Ross Tennenbaum, certify, pursuant to 18 U.S.C. Section 1350, as adopted pursuant to Section 906 of the Sarbanes-Oxley Act of 2002, that the Quarterly Report on Form 10-Q of Dropbox, Inc. for the fiscal quarter ended September 30, 2026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November 6, 2026</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Ross Tennenbaum</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Ross Tennenbaum</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2"/>
    </w:lvl>
  </w:abstractNum>
  <w:abstractNum w:abstractNumId="13">
    <w:nsid w:val="B03E0C6"/>
    <w:multiLevelType w:val="hybridMultilevel"/>
    <w:lvl w:ilvl="0">
      <w:lvlJc w:val="left"/>
      <w:lvlText w:val="(%1)"/>
      <w:numFmt w:val="decimal"/>
      <w:start w:val="2"/>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01"/>
    </w:lvl>
  </w:abstractNum>
  <w:abstractNum w:abstractNumId="33">
    <w:nsid w:val="5072367"/>
    <w:multiLevelType w:val="hybridMultilevel"/>
    <w:lvl w:ilvl="0">
      <w:lvlJc w:val="left"/>
      <w:lvlText w:val="*"/>
      <w:numFmt w:val="bullet"/>
      <w:start w:val="1"/>
    </w:lvl>
    <w:lvl w:ilvl="1">
      <w:lvlJc w:val="left"/>
      <w:lvlText w:val="%2"/>
      <w:numFmt w:val="decimal"/>
      <w:start w:val="104"/>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2026-11-06T15:23:59Z</dcterms:created>
  <dcterms:modified xsi:type="dcterms:W3CDTF">2026-11-06T15:23:59Z</dcterms:modified>
</cp:coreProperties>
</file>