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February 17, 2022</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4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975" w:right="239" w:bottom="1440" w:gutter="0" w:footer="0" w:header="0"/>
        </w:sectPr>
      </w:pPr>
    </w:p>
    <w:p>
      <w:pPr>
        <w:spacing w:after="0" w:line="25"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97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975" w:right="239" w:bottom="1440" w:gutter="0" w:footer="0" w:header="0"/>
          <w:type w:val="continuous"/>
        </w:sectPr>
      </w:pPr>
    </w:p>
    <w:p>
      <w:pPr>
        <w:spacing w:after="0" w:line="31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22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7"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78740</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42"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6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7"/>
              </w:rPr>
              <w:t>Title of each class</w:t>
            </w:r>
          </w:p>
        </w:tc>
        <w:tc>
          <w:tcPr>
            <w:tcW w:w="26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Trading Symbol(s)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Arial" w:cs="Arial" w:eastAsia="Arial" w:hAnsi="Arial"/>
                <w:sz w:val="14"/>
                <w:szCs w:val="14"/>
                <w:color w:val="auto"/>
                <w:w w:val="90"/>
              </w:rPr>
              <w:t>Class A Common Stock, par value $0.00001 per share</w:t>
            </w: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86"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667385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7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February 17, 2022, Dropbox, Inc. (“Dropbox” or the "Company") issued a press release and will hold a conference call announcing its financial results for the quarter and fiscal year ended December 31, 2021. A copy of the press release is attached as Exhibit 99.1 to this current report on Form 8-K and is incorporated by reference herein.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February 17, 2022,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214" w:lineRule="exact"/>
        <w:rPr>
          <w:sz w:val="20"/>
          <w:szCs w:val="20"/>
          <w:color w:val="auto"/>
        </w:rPr>
      </w:pPr>
    </w:p>
    <w:p>
      <w:pPr>
        <w:ind w:right="240"/>
        <w:spacing w:after="0" w:line="331" w:lineRule="auto"/>
        <w:rPr>
          <w:sz w:val="20"/>
          <w:szCs w:val="20"/>
          <w:color w:val="auto"/>
        </w:rPr>
      </w:pPr>
      <w:r>
        <w:rPr>
          <w:rFonts w:ascii="Arial" w:cs="Arial" w:eastAsia="Arial" w:hAnsi="Arial"/>
          <w:sz w:val="15"/>
          <w:szCs w:val="15"/>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4"/>
                <w:szCs w:val="24"/>
                <w:color w:val="auto"/>
              </w:rPr>
            </w:pPr>
          </w:p>
        </w:tc>
        <w:tc>
          <w:tcPr>
            <w:tcW w:w="9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180"/>
        </w:trPr>
        <w:tc>
          <w:tcPr>
            <w:tcW w:w="1100" w:type="dxa"/>
            <w:vAlign w:val="bottom"/>
            <w:gridSpan w:val="2"/>
          </w:tcPr>
          <w:p>
            <w:pPr>
              <w:jc w:val="right"/>
              <w:ind w:right="291"/>
              <w:spacing w:after="0" w:line="18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9900" w:type="dxa"/>
            <w:vAlign w:val="bottom"/>
            <w:gridSpan w:val="4"/>
          </w:tcPr>
          <w:p>
            <w:pPr>
              <w:ind w:left="20"/>
              <w:spacing w:after="0" w:line="180"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entitled "Dropbox Announces Fourth Quarter and Fiscal 2021 Results" dated February 17, 2022</w:t>
              </w:r>
            </w:hyperlink>
          </w:p>
        </w:tc>
      </w:tr>
      <w:tr>
        <w:trPr>
          <w:trHeight w:val="1208"/>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20" w:type="dxa"/>
            <w:vAlign w:val="bottom"/>
            <w:tcBorders>
              <w:top w:val="single" w:sz="8" w:color="0000FF"/>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2022</w:t>
      </w:r>
    </w:p>
    <w:p>
      <w:pPr>
        <w:spacing w:after="0" w:line="34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2783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Timothy J. Regan</w:t>
      </w:r>
    </w:p>
    <w:p>
      <w:pPr>
        <w:spacing w:after="0" w:line="1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878" w:right="479" w:bottom="1440" w:gutter="0" w:footer="0" w:header="0"/>
        </w:sectPr>
      </w:pPr>
    </w:p>
    <w:bookmarkStart w:id="3" w:name="page4"/>
    <w:bookmarkEnd w:id="3"/>
    <w:p>
      <w:pPr>
        <w:ind w:left="3640"/>
        <w:spacing w:after="0"/>
        <w:rPr>
          <w:sz w:val="20"/>
          <w:szCs w:val="20"/>
          <w:color w:val="auto"/>
        </w:rPr>
      </w:pPr>
      <w:r>
        <w:rPr>
          <w:rFonts w:ascii="Arial" w:cs="Arial" w:eastAsia="Arial" w:hAnsi="Arial"/>
          <w:sz w:val="18"/>
          <w:szCs w:val="18"/>
          <w:b w:val="1"/>
          <w:bCs w:val="1"/>
          <w:color w:val="auto"/>
        </w:rPr>
        <w:t>Dropbox Announces Fourth Quarter and Fiscal 2021 Results</w:t>
      </w:r>
    </w:p>
    <w:p>
      <w:pPr>
        <w:spacing w:after="0" w:line="251" w:lineRule="exact"/>
        <w:rPr>
          <w:sz w:val="20"/>
          <w:szCs w:val="20"/>
          <w:color w:val="auto"/>
        </w:rPr>
      </w:pPr>
    </w:p>
    <w:p>
      <w:pPr>
        <w:jc w:val="center"/>
        <w:ind w:left="340" w:right="1140"/>
        <w:spacing w:after="0" w:line="278" w:lineRule="auto"/>
        <w:rPr>
          <w:sz w:val="20"/>
          <w:szCs w:val="20"/>
          <w:color w:val="auto"/>
        </w:rPr>
      </w:pPr>
      <w:r>
        <w:rPr>
          <w:rFonts w:ascii="Arial" w:cs="Arial" w:eastAsia="Arial" w:hAnsi="Arial"/>
          <w:sz w:val="17"/>
          <w:szCs w:val="17"/>
          <w:color w:val="auto"/>
        </w:rPr>
        <w:t>Fourth Quarter Revenue of $565.5 Million, Up 12.2% Year-over-year; on a constant currency basis, Up 10.8% Year-over-year GAAP and Non-GAAP Operating Income of $70.2 Million and $168.0 Million, Up 120.3% and 31.7% Year-over-year Net Cash Provided by Operating Activities of $162.7 Million and Free Cash Flow of $161.4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2021 Revenue of $2.158 Billion, Up 12.7% Year-over-year; on a constant currency basis, Up 11.1% Year-over-year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Net Cash Provided by Operating Activities of $729.8 Million and Free Cash Flow of $707.7 Million</w:t>
      </w:r>
    </w:p>
    <w:p>
      <w:pPr>
        <w:spacing w:after="0" w:line="227" w:lineRule="exact"/>
        <w:rPr>
          <w:sz w:val="20"/>
          <w:szCs w:val="20"/>
          <w:color w:val="auto"/>
        </w:rPr>
      </w:pPr>
    </w:p>
    <w:p>
      <w:pPr>
        <w:ind w:right="900"/>
        <w:spacing w:after="0" w:line="272"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February 17, 2022 - Dropbox, Inc. (NASDAQ: DBX), today announced financial results for its fourth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2021.</w:t>
      </w: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“2021 was a strong year for Dropbox. I’m proud of the progress our team made on evolving our core offerings and expanding our product portfolio to align to our customers’ growing needs, all during our first year as a Virtual First company,” said Dropbox Co-Founder and Chief Executive Officer Drew Houston. “We improved our non-GAAP operating margin by nearly 9 points, grew free cash flow by over 40% year-over-year, and delivered our first full year of GAAP profitability. Looking ahead to 2022, I’m excited about the opportunity we have to help our customers organize their digital lives and deliver value to our shareholders.”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2021 Results</w:t>
      </w:r>
    </w:p>
    <w:p>
      <w:pPr>
        <w:spacing w:after="0" w:line="251" w:lineRule="exact"/>
        <w:rPr>
          <w:sz w:val="20"/>
          <w:szCs w:val="20"/>
          <w:color w:val="auto"/>
        </w:rPr>
      </w:pPr>
    </w:p>
    <w:p>
      <w:pPr>
        <w:ind w:left="640" w:right="180" w:hanging="315"/>
        <w:spacing w:after="0" w:line="270"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was $565.5 million, an increase of 12.2% from the same period last year. On a constant currency basis, year-over-year growth would have been 10.8%.</w:t>
      </w:r>
      <w:r>
        <w:rPr>
          <w:rFonts w:ascii="Arial" w:cs="Arial" w:eastAsia="Arial" w:hAnsi="Arial"/>
          <w:sz w:val="23"/>
          <w:szCs w:val="23"/>
          <w:color w:val="auto"/>
          <w:vertAlign w:val="superscript"/>
        </w:rPr>
        <w:t>(1)</w:t>
      </w:r>
    </w:p>
    <w:p>
      <w:pPr>
        <w:spacing w:after="0" w:line="133" w:lineRule="exact"/>
        <w:rPr>
          <w:rFonts w:ascii="Arial" w:cs="Arial" w:eastAsia="Arial" w:hAnsi="Arial"/>
          <w:sz w:val="18"/>
          <w:szCs w:val="18"/>
          <w:color w:val="auto"/>
        </w:rPr>
      </w:pPr>
    </w:p>
    <w:p>
      <w:pPr>
        <w:ind w:left="640" w:hanging="315"/>
        <w:spacing w:after="0" w:line="270"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ARR ended at $2.261 billion, an increase of $43.1 million quarter-over-quarter and an increase of 11.8% year-over-year. On a constant currency basis, year-over-year growth would have been 10.2%.</w:t>
      </w:r>
      <w:r>
        <w:rPr>
          <w:rFonts w:ascii="Arial" w:cs="Arial" w:eastAsia="Arial" w:hAnsi="Arial"/>
          <w:sz w:val="23"/>
          <w:szCs w:val="23"/>
          <w:color w:val="auto"/>
          <w:vertAlign w:val="superscript"/>
        </w:rPr>
        <w:t>(2)</w:t>
      </w:r>
    </w:p>
    <w:p>
      <w:pPr>
        <w:spacing w:after="0" w:line="133" w:lineRule="exact"/>
        <w:rPr>
          <w:rFonts w:ascii="Arial" w:cs="Arial" w:eastAsia="Arial" w:hAnsi="Arial"/>
          <w:sz w:val="18"/>
          <w:szCs w:val="18"/>
          <w:color w:val="auto"/>
        </w:rPr>
      </w:pPr>
    </w:p>
    <w:p>
      <w:pPr>
        <w:ind w:left="640" w:right="260" w:hanging="315"/>
        <w:spacing w:after="0" w:line="26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Paying users ended at 16.79 million, as compared to 15.48 million for the same period last year. Average revenue per paying user was $134.78, as compared to $130.17 for the same period last year.</w:t>
      </w:r>
    </w:p>
    <w:p>
      <w:pPr>
        <w:spacing w:after="0" w:line="206" w:lineRule="exact"/>
        <w:rPr>
          <w:rFonts w:ascii="Arial" w:cs="Arial" w:eastAsia="Arial" w:hAnsi="Arial"/>
          <w:sz w:val="18"/>
          <w:szCs w:val="18"/>
          <w:color w:val="auto"/>
        </w:rPr>
      </w:pPr>
    </w:p>
    <w:p>
      <w:pPr>
        <w:ind w:left="640" w:right="120" w:hanging="315"/>
        <w:spacing w:after="0" w:line="26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gross margin was 79.5%, as compared to 79.0% in the same period last year. Non-GAAP gross margin was 80.9%, as compared to 80.1% in the same period last year.</w:t>
      </w:r>
    </w:p>
    <w:p>
      <w:pPr>
        <w:spacing w:after="0" w:line="206" w:lineRule="exact"/>
        <w:rPr>
          <w:rFonts w:ascii="Arial" w:cs="Arial" w:eastAsia="Arial" w:hAnsi="Arial"/>
          <w:sz w:val="18"/>
          <w:szCs w:val="18"/>
          <w:color w:val="auto"/>
        </w:rPr>
      </w:pPr>
    </w:p>
    <w:p>
      <w:pPr>
        <w:ind w:left="640" w:right="100" w:hanging="315"/>
        <w:spacing w:after="0" w:line="26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operating margin was 12.4%, as compared to (68.8%) in the same period last year. Non-GAAP operating margin was 29.7%, as compared to 25.3% in the same period last year.</w:t>
      </w:r>
    </w:p>
    <w:p>
      <w:pPr>
        <w:spacing w:after="0" w:line="206" w:lineRule="exact"/>
        <w:rPr>
          <w:rFonts w:ascii="Arial" w:cs="Arial" w:eastAsia="Arial" w:hAnsi="Arial"/>
          <w:sz w:val="18"/>
          <w:szCs w:val="18"/>
          <w:color w:val="auto"/>
        </w:rPr>
      </w:pPr>
    </w:p>
    <w:p>
      <w:pPr>
        <w:ind w:left="640" w:right="180" w:hanging="315"/>
        <w:spacing w:after="0" w:line="272" w:lineRule="auto"/>
        <w:tabs>
          <w:tab w:leader="none" w:pos="636" w:val="left"/>
        </w:tabs>
        <w:numPr>
          <w:ilvl w:val="0"/>
          <w:numId w:val="2"/>
        </w:numPr>
        <w:rPr>
          <w:rFonts w:ascii="Arial" w:cs="Arial" w:eastAsia="Arial" w:hAnsi="Arial"/>
          <w:sz w:val="10"/>
          <w:szCs w:val="10"/>
          <w:color w:val="auto"/>
        </w:rPr>
      </w:pPr>
      <w:r>
        <w:rPr>
          <w:rFonts w:ascii="Arial" w:cs="Arial" w:eastAsia="Arial" w:hAnsi="Arial"/>
          <w:sz w:val="17"/>
          <w:szCs w:val="17"/>
          <w:color w:val="auto"/>
        </w:rPr>
        <w:t>GAAP net income (loss) was $124.6 million, as compared to ($345.8) million in the same period last year due to significant impairment charges of $398.2 million in the fourth quarter of 2020 as a result of the company's decision to shift to a Virtual First work model, as well as an income tax benefit from the release of a valuation allowance of $38.1 million on the company's Irish deferred tax assets in the fourth quarter of 2021. Non-GAAP net income was $159.9 million, as compared to $117.9 million in the same period last year.</w:t>
      </w:r>
    </w:p>
    <w:p>
      <w:pPr>
        <w:spacing w:after="0" w:line="202" w:lineRule="exact"/>
        <w:rPr>
          <w:rFonts w:ascii="Arial" w:cs="Arial" w:eastAsia="Arial" w:hAnsi="Arial"/>
          <w:sz w:val="10"/>
          <w:szCs w:val="10"/>
          <w:color w:val="auto"/>
        </w:rPr>
      </w:pPr>
    </w:p>
    <w:p>
      <w:pPr>
        <w:jc w:val="both"/>
        <w:ind w:left="640" w:hanging="315"/>
        <w:spacing w:after="0" w:line="256"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$162.7 million, including the cash paid for the company's real estate lease termination of $32.0 million, as compared to $170.7 million in the same period last year. Free cash flow was $161.4 million, as compared to $158.4 million in the same period last year.</w:t>
      </w:r>
    </w:p>
    <w:p>
      <w:pPr>
        <w:spacing w:after="0" w:line="214" w:lineRule="exact"/>
        <w:rPr>
          <w:rFonts w:ascii="Arial" w:cs="Arial" w:eastAsia="Arial" w:hAnsi="Arial"/>
          <w:sz w:val="18"/>
          <w:szCs w:val="18"/>
          <w:color w:val="auto"/>
        </w:rPr>
      </w:pPr>
    </w:p>
    <w:p>
      <w:pPr>
        <w:ind w:left="640" w:right="20" w:hanging="315"/>
        <w:spacing w:after="0" w:line="253" w:lineRule="auto"/>
        <w:tabs>
          <w:tab w:leader="none" w:pos="636" w:val="left"/>
        </w:tabs>
        <w:numPr>
          <w:ilvl w:val="0"/>
          <w:numId w:val="2"/>
        </w:numPr>
        <w:rPr>
          <w:rFonts w:ascii="Arial" w:cs="Arial" w:eastAsia="Arial" w:hAnsi="Arial"/>
          <w:sz w:val="10"/>
          <w:szCs w:val="10"/>
          <w:color w:val="auto"/>
        </w:rPr>
      </w:pPr>
      <w:r>
        <w:rPr>
          <w:rFonts w:ascii="Arial" w:cs="Arial" w:eastAsia="Arial" w:hAnsi="Arial"/>
          <w:sz w:val="18"/>
          <w:szCs w:val="18"/>
          <w:color w:val="auto"/>
        </w:rPr>
        <w:t>GAAP diluted net income (loss) per share attributable to common stockholders was $0.32, as compared to ($0.84) in the same period last year due to significant impairment charges of $398.2 million in the fourth quarter of 2020 as a result of the company's decision to shift to a Virtual First work model, as well as an income tax benefit from the release of a valuation allowance of $38.1 million on the company's Irish deferred tax assets in the fourth quarter of 2021. Non-GAAP diluted net income per share attributable to common stockholders was $0.41, as compared to $0.28 in the same period last year.</w:t>
      </w:r>
      <w:r>
        <w:rPr>
          <w:rFonts w:ascii="Arial" w:cs="Arial" w:eastAsia="Arial" w:hAnsi="Arial"/>
          <w:sz w:val="23"/>
          <w:szCs w:val="23"/>
          <w:color w:val="auto"/>
          <w:vertAlign w:val="superscript"/>
        </w:rPr>
        <w:t>(3)</w:t>
      </w:r>
    </w:p>
    <w:p>
      <w:pPr>
        <w:spacing w:after="0" w:line="149" w:lineRule="exact"/>
        <w:rPr>
          <w:rFonts w:ascii="Arial" w:cs="Arial" w:eastAsia="Arial" w:hAnsi="Arial"/>
          <w:sz w:val="10"/>
          <w:szCs w:val="10"/>
          <w:color w:val="auto"/>
        </w:rPr>
      </w:pPr>
    </w:p>
    <w:p>
      <w:pPr>
        <w:ind w:left="640" w:hanging="315"/>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ended at $1.718 billion.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2021 Results</w:t>
      </w:r>
    </w:p>
    <w:p>
      <w:pPr>
        <w:spacing w:after="0" w:line="234"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color w:val="auto"/>
        </w:rPr>
        <w:t>Total revenue was $2.158 billion, an increase of 12.7% year over year. On a constant currency basis, year-over-year growth would have been 11.1%.</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20"/>
          </w:cols>
          <w:pgMar w:left="320" w:top="878" w:right="359" w:bottom="1440" w:gutter="0" w:footer="0" w:header="0"/>
        </w:sectPr>
      </w:pPr>
    </w:p>
    <w:bookmarkStart w:id="4" w:name="page5"/>
    <w:bookmarkEnd w:id="4"/>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revenue per paying user was $133.73, as compared to $128.50 in the prior year.</w:t>
      </w:r>
    </w:p>
    <w:p>
      <w:pPr>
        <w:spacing w:after="0" w:line="244" w:lineRule="exact"/>
        <w:rPr>
          <w:rFonts w:ascii="Arial" w:cs="Arial" w:eastAsia="Arial" w:hAnsi="Arial"/>
          <w:sz w:val="18"/>
          <w:szCs w:val="18"/>
          <w:color w:val="auto"/>
        </w:rPr>
      </w:pPr>
    </w:p>
    <w:p>
      <w:pPr>
        <w:ind w:left="640" w:right="300" w:hanging="315"/>
        <w:spacing w:after="0" w:line="26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gross margin was 79.4%, as compared to 78.3% in the prior year. Non-GAAP gross margin was 80.8%, as compared to 79.4% in the prior year.</w:t>
      </w:r>
    </w:p>
    <w:p>
      <w:pPr>
        <w:spacing w:after="0" w:line="206" w:lineRule="exact"/>
        <w:rPr>
          <w:rFonts w:ascii="Arial" w:cs="Arial" w:eastAsia="Arial" w:hAnsi="Arial"/>
          <w:sz w:val="18"/>
          <w:szCs w:val="18"/>
          <w:color w:val="auto"/>
        </w:rPr>
      </w:pPr>
    </w:p>
    <w:p>
      <w:pPr>
        <w:ind w:left="640" w:right="240" w:hanging="315"/>
        <w:spacing w:after="0" w:line="26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operating margin was 12.7%, as compared to (14.5%) in the prior year. Non-GAAP operating margin was 30.0%, as compared to 21.4% in the prior year.</w:t>
      </w:r>
    </w:p>
    <w:p>
      <w:pPr>
        <w:spacing w:after="0" w:line="206" w:lineRule="exact"/>
        <w:rPr>
          <w:rFonts w:ascii="Arial" w:cs="Arial" w:eastAsia="Arial" w:hAnsi="Arial"/>
          <w:sz w:val="18"/>
          <w:szCs w:val="18"/>
          <w:color w:val="auto"/>
        </w:rPr>
      </w:pPr>
    </w:p>
    <w:p>
      <w:pPr>
        <w:ind w:left="640" w:right="20" w:hanging="315"/>
        <w:spacing w:after="0" w:line="252" w:lineRule="auto"/>
        <w:tabs>
          <w:tab w:leader="none" w:pos="636" w:val="left"/>
        </w:tabs>
        <w:numPr>
          <w:ilvl w:val="0"/>
          <w:numId w:val="3"/>
        </w:numPr>
        <w:rPr>
          <w:rFonts w:ascii="Arial" w:cs="Arial" w:eastAsia="Arial" w:hAnsi="Arial"/>
          <w:sz w:val="10"/>
          <w:szCs w:val="10"/>
          <w:color w:val="auto"/>
        </w:rPr>
      </w:pPr>
      <w:r>
        <w:rPr>
          <w:rFonts w:ascii="Arial" w:cs="Arial" w:eastAsia="Arial" w:hAnsi="Arial"/>
          <w:sz w:val="18"/>
          <w:szCs w:val="18"/>
          <w:color w:val="auto"/>
        </w:rPr>
        <w:t>GAAP net income (loss) was $335.8 million, as compared to ($256.3) million in the prior year due to significant impairment charges of $398.2 million in the fourth quarter of 2020 as a result of the company's decision to shift to a Virtual First work model, as well as an income tax benefit from the release of a valuation allowance of $38.1 million on the company's Irish deferred tax assets in the fourth quarter of 2021. Non-GAAP net income was $609.3 million, as compared to $391.1 million in the prior year.</w:t>
      </w:r>
    </w:p>
    <w:p>
      <w:pPr>
        <w:spacing w:after="0" w:line="219" w:lineRule="exact"/>
        <w:rPr>
          <w:rFonts w:ascii="Arial" w:cs="Arial" w:eastAsia="Arial" w:hAnsi="Arial"/>
          <w:sz w:val="10"/>
          <w:szCs w:val="10"/>
          <w:color w:val="auto"/>
        </w:rPr>
      </w:pPr>
    </w:p>
    <w:p>
      <w:pPr>
        <w:ind w:left="640" w:right="20" w:hanging="315"/>
        <w:spacing w:after="0" w:line="29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cash provided by operating activities was $729.8 million, including the cash paid for the company's real estate lease termination of $32.0 million, as compared to $570.8 million in the prior year. Free cash flow was $707.7 million as compared to $490.7 million in the prior year.</w:t>
      </w:r>
    </w:p>
    <w:p>
      <w:pPr>
        <w:spacing w:after="0" w:line="183" w:lineRule="exact"/>
        <w:rPr>
          <w:rFonts w:ascii="Arial" w:cs="Arial" w:eastAsia="Arial" w:hAnsi="Arial"/>
          <w:sz w:val="17"/>
          <w:szCs w:val="17"/>
          <w:color w:val="auto"/>
        </w:rPr>
      </w:pPr>
    </w:p>
    <w:p>
      <w:pPr>
        <w:ind w:left="640" w:hanging="315"/>
        <w:spacing w:after="0" w:line="293" w:lineRule="auto"/>
        <w:tabs>
          <w:tab w:leader="none" w:pos="636" w:val="left"/>
        </w:tabs>
        <w:numPr>
          <w:ilvl w:val="0"/>
          <w:numId w:val="3"/>
        </w:numPr>
        <w:rPr>
          <w:rFonts w:ascii="Arial" w:cs="Arial" w:eastAsia="Arial" w:hAnsi="Arial"/>
          <w:sz w:val="10"/>
          <w:szCs w:val="10"/>
          <w:color w:val="auto"/>
        </w:rPr>
      </w:pPr>
      <w:r>
        <w:rPr>
          <w:rFonts w:ascii="Arial" w:cs="Arial" w:eastAsia="Arial" w:hAnsi="Arial"/>
          <w:sz w:val="16"/>
          <w:szCs w:val="16"/>
          <w:color w:val="auto"/>
        </w:rPr>
        <w:t>GAAP diluted net income (loss) per share attributable to common stockholders was $0.85, as compared to ($0.62) in the prior year due to significant impairment charges of $398.2 million in the fourth quarter of 2020 as a result of the company's decision to shift to a Virtual First work model, as well as an income tax benefit from the release of a valuation allowance of $38.1 million on the company's Irish deferred tax assets in the fourth quarter of 2021. Non-GAAP diluted net income per share attributable to common stockholders was $1.54, as compared to $0.93 in the prior year.</w:t>
      </w:r>
      <w:r>
        <w:rPr>
          <w:rFonts w:ascii="Arial" w:cs="Arial" w:eastAsia="Arial" w:hAnsi="Arial"/>
          <w:sz w:val="21"/>
          <w:szCs w:val="21"/>
          <w:color w:val="auto"/>
          <w:vertAlign w:val="superscript"/>
        </w:rPr>
        <w:t>(4)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Authorization</w:t>
      </w:r>
    </w:p>
    <w:p>
      <w:pPr>
        <w:spacing w:after="0" w:line="251" w:lineRule="exact"/>
        <w:rPr>
          <w:sz w:val="20"/>
          <w:szCs w:val="20"/>
          <w:color w:val="auto"/>
        </w:rPr>
      </w:pPr>
    </w:p>
    <w:p>
      <w:pPr>
        <w:ind w:left="640" w:right="260" w:hanging="315"/>
        <w:spacing w:after="0" w:line="256" w:lineRule="auto"/>
        <w:tabs>
          <w:tab w:leader="none" w:pos="635" w:val="left"/>
        </w:tabs>
        <w:numPr>
          <w:ilvl w:val="1"/>
          <w:numId w:val="4"/>
        </w:numPr>
        <w:rPr>
          <w:rFonts w:ascii="Arial" w:cs="Arial" w:eastAsia="Arial" w:hAnsi="Arial"/>
          <w:sz w:val="18"/>
          <w:szCs w:val="18"/>
          <w:color w:val="auto"/>
        </w:rPr>
      </w:pPr>
      <w:r>
        <w:rPr>
          <w:rFonts w:ascii="Arial" w:cs="Arial" w:eastAsia="Arial" w:hAnsi="Arial"/>
          <w:sz w:val="18"/>
          <w:szCs w:val="18"/>
          <w:color w:val="auto"/>
        </w:rPr>
        <w:t>On February 11, 2022, the Board of Directors authorized Dropbox to repurchase an additional $1.2 billion of its Class A common stock. The repurchase is expected to be executed, subject to general business and market conditions and other investment opportunities, through open market purchases or privately negotiated transactions, including through Rule 10b5-1 plans.</w:t>
      </w:r>
    </w:p>
    <w:p>
      <w:pPr>
        <w:spacing w:after="0" w:line="213" w:lineRule="exact"/>
        <w:rPr>
          <w:rFonts w:ascii="Arial" w:cs="Arial" w:eastAsia="Arial" w:hAnsi="Arial"/>
          <w:sz w:val="18"/>
          <w:szCs w:val="18"/>
          <w:color w:val="auto"/>
        </w:rPr>
      </w:pPr>
    </w:p>
    <w:p>
      <w:pPr>
        <w:ind w:left="160" w:hanging="154"/>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220" w:lineRule="exact"/>
        <w:rPr>
          <w:rFonts w:ascii="Arial" w:cs="Arial" w:eastAsia="Arial" w:hAnsi="Arial"/>
          <w:sz w:val="18"/>
          <w:szCs w:val="18"/>
          <w:color w:val="auto"/>
          <w:vertAlign w:val="superscript"/>
        </w:rPr>
      </w:pPr>
    </w:p>
    <w:p>
      <w:pPr>
        <w:ind w:right="140" w:firstLine="6"/>
        <w:spacing w:after="0" w:line="296" w:lineRule="auto"/>
        <w:tabs>
          <w:tab w:leader="none" w:pos="147"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rate to prior period results.</w:t>
      </w:r>
    </w:p>
    <w:p>
      <w:pPr>
        <w:spacing w:after="0" w:line="187" w:lineRule="exact"/>
        <w:rPr>
          <w:rFonts w:ascii="Arial" w:cs="Arial" w:eastAsia="Arial" w:hAnsi="Arial"/>
          <w:sz w:val="17"/>
          <w:szCs w:val="17"/>
          <w:color w:val="auto"/>
          <w:vertAlign w:val="superscript"/>
        </w:rPr>
      </w:pPr>
    </w:p>
    <w:p>
      <w:pPr>
        <w:ind w:right="160" w:firstLine="6"/>
        <w:spacing w:after="0" w:line="275" w:lineRule="auto"/>
        <w:tabs>
          <w:tab w:leader="none" w:pos="163"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Non-GAAP diluted net income per share attributable to common stockholders is calculated based upon 386.5 million and 416.1 million diluted weighted-average shares of common stock for the three months ended December 31, 2021 and 2020, respectively.</w:t>
      </w:r>
    </w:p>
    <w:p>
      <w:pPr>
        <w:spacing w:after="0" w:line="189" w:lineRule="exact"/>
        <w:rPr>
          <w:rFonts w:ascii="Arial" w:cs="Arial" w:eastAsia="Arial" w:hAnsi="Arial"/>
          <w:sz w:val="19"/>
          <w:szCs w:val="19"/>
          <w:color w:val="auto"/>
          <w:vertAlign w:val="superscript"/>
        </w:rPr>
      </w:pPr>
    </w:p>
    <w:p>
      <w:pPr>
        <w:ind w:right="160" w:firstLine="6"/>
        <w:spacing w:after="0" w:line="275" w:lineRule="auto"/>
        <w:tabs>
          <w:tab w:leader="none" w:pos="163"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Non-GAAP diluted net income per share attributable to common stockholders is calculated based upon 395.8 million and 419.3 million diluted weighted-average shares of common stock for the fiscal year ended December 31, 2021 and 2020, respectively.</w:t>
      </w:r>
    </w:p>
    <w:p>
      <w:pPr>
        <w:sectPr>
          <w:pgSz w:w="11900" w:h="16838" w:orient="portrait"/>
          <w:cols w:equalWidth="0" w:num="1">
            <w:col w:w="11240"/>
          </w:cols>
          <w:pgMar w:left="320" w:top="112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Outlook</w:t>
      </w:r>
    </w:p>
    <w:p>
      <w:pPr>
        <w:spacing w:after="0" w:line="251"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 xml:space="preserve">Dropbox will provide forward-looking guidance in connection with this quarterly earnings announcement on its conference call, webcast, and on its investor relations website at </w:t>
      </w:r>
      <w:r>
        <w:rPr>
          <w:rFonts w:ascii="Arial" w:cs="Arial" w:eastAsia="Arial" w:hAnsi="Arial"/>
          <w:sz w:val="18"/>
          <w:szCs w:val="18"/>
          <w:u w:val="single" w:color="auto"/>
          <w:color w:val="auto"/>
        </w:rPr>
        <w:t>http://investors.dropbox.com</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Dropbox plans to host a conference call today to review its fourth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w:t>
      </w:r>
      <w:r>
        <w:rPr>
          <w:rFonts w:ascii="Arial" w:cs="Arial" w:eastAsia="Arial" w:hAnsi="Arial"/>
          <w:sz w:val="17"/>
          <w:szCs w:val="17"/>
          <w:u w:val="single" w:color="auto"/>
          <w:color w:val="auto"/>
        </w:rPr>
        <w:t>http://investors.dropbox.com</w:t>
      </w:r>
      <w:r>
        <w:rPr>
          <w:rFonts w:ascii="Arial" w:cs="Arial" w:eastAsia="Arial" w:hAnsi="Arial"/>
          <w:sz w:val="17"/>
          <w:szCs w:val="17"/>
          <w:color w:val="auto"/>
        </w:rPr>
        <w:t>. Following the completion of the call, a telephonic replay will be available through 8:00 PM ET on February 24, 2022 at (855) 859-2056 from the United States or (404) 537-3406 internationally with recording access code 7781474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51" w:lineRule="exact"/>
        <w:rPr>
          <w:sz w:val="20"/>
          <w:szCs w:val="20"/>
          <w:color w:val="auto"/>
        </w:rPr>
      </w:pPr>
    </w:p>
    <w:p>
      <w:pPr>
        <w:ind w:left="640" w:right="180" w:hanging="315"/>
        <w:spacing w:after="0" w:line="25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Drew Houston, Co-Founder and Chief Executive Officer, will be presenting at the Morgan Stanley Technology, Media and Telecom Conference on Wednesday, March 9th</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 Regan, Chief Financial Officer, will be hosting meetings at the JMP Technology Conference on Tuesday, March 8th</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 Regan, Chief Financial Officer, will be hosting meetings at the Keybanc Emerging Technology Summit on Tuesday, March 8th</w:t>
      </w:r>
    </w:p>
    <w:p>
      <w:pPr>
        <w:spacing w:after="0" w:line="233"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During these events, a live webcast will be accessible from the Dropbox investor relations website at http://investors.dropbox.com. Following the event, a replay will be made available at the same location.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Dropbox is the one place to keep life organized and keep work moving. With more than 700 million registered users across 180 countries, we're on a mission to design a more enlightened way of working. Dropbox is headquartered in San Francisco, CA, and has offices around the world. For more information on our mission and products, visit </w:t>
      </w:r>
      <w:r>
        <w:rPr>
          <w:rFonts w:ascii="Arial" w:cs="Arial" w:eastAsia="Arial" w:hAnsi="Arial"/>
          <w:sz w:val="18"/>
          <w:szCs w:val="18"/>
          <w:u w:val="single" w:color="auto"/>
          <w:color w:val="auto"/>
        </w:rPr>
        <w:t>http://dropbox.com</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1"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among other things, our expectations regarding distributed work trends, related market opportunities and our ability to capitalize on those opportunities.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Dropbox believes may affect its business, financial condition, and results of operations. These forward-looking statements speak only as of the date of this press release and are subject to risks, uncertainties, and assumptions including, but not limited to: (i) our ability to realize anticipated benefits to our business from our shift to a Virtual First work model as well as impacts to our financial results and business operations as a result of this shift, (ii) impacts to our financial results, business operations and the business of our customers, suppliers, partners and the economy as a result of the COVID-19 pandemic, and related public health measures, as well as the potential for a more permanent global shift to remote work, (iii) our ability to retain and upgrade paying users, and increase our recurring revenue; (iv) our ability to attract new users or convert registered users to paying users; (v) our future financial performance, including trends in revenue, costs of revenue, gross profit or gross margin, operating expenses, paying users, and free cash flow; (vi) our history of net losses and our ability to achieve or maintain profitability; (vii) our liability for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w:t>
      </w:r>
    </w:p>
    <w:p>
      <w:pPr>
        <w:sectPr>
          <w:pgSz w:w="11900" w:h="16838" w:orient="portrait"/>
          <w:cols w:equalWidth="0" w:num="1">
            <w:col w:w="11240"/>
          </w:cols>
          <w:pgMar w:left="320" w:top="878" w:right="339" w:bottom="1440" w:gutter="0" w:footer="0" w:header="0"/>
        </w:sectPr>
      </w:pPr>
    </w:p>
    <w:bookmarkStart w:id="6" w:name="page7"/>
    <w:bookmarkEnd w:id="6"/>
    <w:p>
      <w:pPr>
        <w:spacing w:after="0" w:line="302" w:lineRule="auto"/>
        <w:rPr>
          <w:sz w:val="20"/>
          <w:szCs w:val="20"/>
          <w:color w:val="auto"/>
        </w:rPr>
      </w:pPr>
      <w:r>
        <w:rPr>
          <w:rFonts w:ascii="Arial" w:cs="Arial" w:eastAsia="Arial" w:hAnsi="Arial"/>
          <w:sz w:val="15"/>
          <w:szCs w:val="15"/>
          <w:color w:val="auto"/>
        </w:rPr>
        <w:t>technological changes, extend our platform, develop new features or products, or gain market acceptance for such new features or products, particularly in light of potential disruptions to the productivity of our employees that may result from our shift to a Virtual First work model; (xiii) our ability to manage our growth or plan for future growth; (xiv) our acquisition of other businesses and the potential of such acquisitions to require significant management attention, disrupt our business, or dilute stockholder value; (xv) our ability to attract and retain key personnel and highly qualified personnel; (xvi) our capital allocation plans with respect to our stock repurchase program and other investments; and (xvii)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September 30, 2021. Additional information will be made available in our annual report on Form 10-K for the year ended December 31, 2021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200"/>
          </w:cols>
          <w:pgMar w:left="320" w:top="884" w:right="379" w:bottom="1440" w:gutter="0" w:footer="0" w:header="0"/>
        </w:sectPr>
      </w:pPr>
    </w:p>
    <w:bookmarkStart w:id="7" w:name="page8"/>
    <w:bookmarkEnd w:id="7"/>
    <w:p>
      <w:pPr>
        <w:jc w:val="center"/>
        <w:ind w:right="-13"/>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ind w:right="-13"/>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3040" w:type="dxa"/>
            <w:vAlign w:val="bottom"/>
            <w:gridSpan w:val="4"/>
          </w:tcPr>
          <w:p>
            <w:pPr>
              <w:jc w:val="right"/>
              <w:ind w:right="311"/>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gridSpan w:val="4"/>
          </w:tcPr>
          <w:p>
            <w:pPr>
              <w:jc w:val="right"/>
              <w:ind w:right="911"/>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26"/>
        </w:trPr>
        <w:tc>
          <w:tcPr>
            <w:tcW w:w="37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8"/>
                <w:szCs w:val="18"/>
                <w:b w:val="1"/>
                <w:bCs w:val="1"/>
                <w:color w:val="auto"/>
                <w:w w:val="97"/>
              </w:rPr>
              <w:t>December 31,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1,913.9</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CEEFF"/>
            </w:tcBorders>
          </w:tcPr>
          <w:p>
            <w:pPr>
              <w:ind w:left="26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line="225"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25"/>
        </w:trPr>
        <w:tc>
          <w:tcPr>
            <w:tcW w:w="37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CEEFF"/>
            </w:tcBorders>
          </w:tcPr>
          <w:p>
            <w:pPr>
              <w:ind w:left="220"/>
              <w:spacing w:after="0" w:line="225" w:lineRule="exact"/>
              <w:rPr>
                <w:sz w:val="20"/>
                <w:szCs w:val="20"/>
                <w:color w:val="auto"/>
              </w:rPr>
            </w:pPr>
            <w:r>
              <w:rPr>
                <w:rFonts w:ascii="Arial" w:cs="Arial" w:eastAsia="Arial" w:hAnsi="Arial"/>
                <w:sz w:val="18"/>
                <w:szCs w:val="18"/>
                <w:color w:val="auto"/>
              </w:rPr>
              <w:t>Impairment related to real estate assets</w:t>
            </w:r>
            <w:r>
              <w:rPr>
                <w:rFonts w:ascii="Arial" w:cs="Arial" w:eastAsia="Arial" w:hAnsi="Arial"/>
                <w:sz w:val="23"/>
                <w:szCs w:val="23"/>
                <w:color w:val="auto"/>
                <w:vertAlign w:val="superscript"/>
              </w:rPr>
              <w:t>(2)</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1,776.3</w:t>
            </w:r>
          </w:p>
        </w:tc>
        <w:tc>
          <w:tcPr>
            <w:tcW w:w="0" w:type="dxa"/>
            <w:vAlign w:val="bottom"/>
          </w:tcPr>
          <w:p>
            <w:pPr>
              <w:spacing w:after="0"/>
              <w:rPr>
                <w:sz w:val="1"/>
                <w:szCs w:val="1"/>
                <w:color w:val="auto"/>
              </w:rPr>
            </w:pPr>
          </w:p>
        </w:tc>
      </w:tr>
      <w:tr>
        <w:trPr>
          <w:trHeight w:val="218"/>
        </w:trPr>
        <w:tc>
          <w:tcPr>
            <w:tcW w:w="3720" w:type="dxa"/>
            <w:vAlign w:val="bottom"/>
          </w:tcPr>
          <w:p>
            <w:pPr>
              <w:ind w:left="20"/>
              <w:spacing w:after="0" w:line="205" w:lineRule="exact"/>
              <w:rPr>
                <w:sz w:val="20"/>
                <w:szCs w:val="20"/>
                <w:color w:val="auto"/>
              </w:rPr>
            </w:pPr>
            <w:r>
              <w:rPr>
                <w:rFonts w:ascii="Arial" w:cs="Arial" w:eastAsia="Arial" w:hAnsi="Arial"/>
                <w:sz w:val="18"/>
                <w:szCs w:val="18"/>
                <w:color w:val="auto"/>
              </w:rPr>
              <w:t>Income (loss) from operations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0"/>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(loss) before income taxes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Benefit from (provision for) income taxes</w:t>
            </w:r>
            <w:r>
              <w:rPr>
                <w:rFonts w:ascii="Arial" w:cs="Arial" w:eastAsia="Arial" w:hAnsi="Arial"/>
                <w:sz w:val="23"/>
                <w:szCs w:val="23"/>
                <w:color w:val="auto"/>
                <w:vertAlign w:val="superscript"/>
              </w:rPr>
              <w:t>(3)</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 (loss)</w:t>
            </w: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(loss) per share</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2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ind w:right="991"/>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0.33</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951"/>
              <w:spacing w:after="0" w:line="199"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(0.84)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1"/>
              <w:spacing w:after="0" w:line="199"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0.87</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1"/>
              <w:spacing w:after="0" w:line="199"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Diluted net income (loss) per share</w:t>
            </w: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61" w:lineRule="exact"/>
              <w:rPr>
                <w:sz w:val="20"/>
                <w:szCs w:val="20"/>
                <w:color w:val="auto"/>
              </w:rPr>
            </w:pPr>
            <w:r>
              <w:rPr>
                <w:rFonts w:ascii="Arial" w:cs="Arial" w:eastAsia="Arial" w:hAnsi="Arial"/>
                <w:sz w:val="18"/>
                <w:szCs w:val="18"/>
                <w:color w:val="auto"/>
                <w:w w:val="95"/>
              </w:rPr>
              <w:t>Weighted-average shares used in computing net</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180"/>
              <w:spacing w:after="0" w:line="173" w:lineRule="exact"/>
              <w:rPr>
                <w:sz w:val="20"/>
                <w:szCs w:val="20"/>
                <w:color w:val="auto"/>
              </w:rPr>
            </w:pPr>
            <w:r>
              <w:rPr>
                <w:rFonts w:ascii="Arial" w:cs="Arial" w:eastAsia="Arial" w:hAnsi="Arial"/>
                <w:sz w:val="18"/>
                <w:szCs w:val="18"/>
                <w:color w:val="auto"/>
                <w:w w:val="93"/>
              </w:rPr>
              <w:t>income (loss) per share attributable to common</w:t>
            </w:r>
          </w:p>
        </w:tc>
        <w:tc>
          <w:tcPr>
            <w:tcW w:w="1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380.1</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198"/>
        </w:trPr>
        <w:tc>
          <w:tcPr>
            <w:tcW w:w="3720" w:type="dxa"/>
            <w:vAlign w:val="bottom"/>
          </w:tcPr>
          <w:p>
            <w:pPr>
              <w:ind w:left="180"/>
              <w:spacing w:after="0" w:line="198" w:lineRule="exact"/>
              <w:rPr>
                <w:sz w:val="20"/>
                <w:szCs w:val="20"/>
                <w:color w:val="auto"/>
              </w:rPr>
            </w:pPr>
            <w:r>
              <w:rPr>
                <w:rFonts w:ascii="Arial" w:cs="Arial" w:eastAsia="Arial" w:hAnsi="Arial"/>
                <w:sz w:val="18"/>
                <w:szCs w:val="18"/>
                <w:color w:val="auto"/>
              </w:rPr>
              <w:t>stockholders, basic</w:t>
            </w: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2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shares used in computing net</w:t>
            </w:r>
          </w:p>
        </w:tc>
        <w:tc>
          <w:tcPr>
            <w:tcW w:w="1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180"/>
              <w:spacing w:after="0" w:line="173" w:lineRule="exact"/>
              <w:rPr>
                <w:sz w:val="20"/>
                <w:szCs w:val="20"/>
                <w:color w:val="auto"/>
              </w:rPr>
            </w:pPr>
            <w:r>
              <w:rPr>
                <w:rFonts w:ascii="Arial" w:cs="Arial" w:eastAsia="Arial" w:hAnsi="Arial"/>
                <w:sz w:val="18"/>
                <w:szCs w:val="18"/>
                <w:color w:val="auto"/>
                <w:w w:val="93"/>
              </w:rPr>
              <w:t>income (loss) per share attributable to common</w:t>
            </w:r>
          </w:p>
        </w:tc>
        <w:tc>
          <w:tcPr>
            <w:tcW w:w="1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stockholders, diluted</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174" w:hanging="174"/>
        <w:spacing w:after="0"/>
        <w:tabs>
          <w:tab w:leader="none" w:pos="174"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Includes stock-based compensation expense as follows (in millions):</w:t>
      </w:r>
    </w:p>
    <w:p>
      <w:pPr>
        <w:spacing w:after="0" w:line="90"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3120" w:type="dxa"/>
            <w:vAlign w:val="bottom"/>
            <w:gridSpan w:val="4"/>
          </w:tcPr>
          <w:p>
            <w:pPr>
              <w:jc w:val="center"/>
              <w:ind w:left="451"/>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gridSpan w:val="4"/>
          </w:tcPr>
          <w:p>
            <w:pPr>
              <w:jc w:val="center"/>
              <w:ind w:right="331"/>
              <w:spacing w:after="0"/>
              <w:rPr>
                <w:sz w:val="20"/>
                <w:szCs w:val="20"/>
                <w:color w:val="auto"/>
              </w:rPr>
            </w:pPr>
            <w:r>
              <w:rPr>
                <w:rFonts w:ascii="Arial" w:cs="Arial" w:eastAsia="Arial" w:hAnsi="Arial"/>
                <w:sz w:val="18"/>
                <w:szCs w:val="18"/>
                <w:b w:val="1"/>
                <w:bCs w:val="1"/>
                <w:color w:val="auto"/>
                <w:w w:val="89"/>
              </w:rPr>
              <w:t>Twelve Months Ended</w:t>
            </w:r>
          </w:p>
        </w:tc>
      </w:tr>
      <w:tr>
        <w:trPr>
          <w:trHeight w:val="226"/>
        </w:trPr>
        <w:tc>
          <w:tcPr>
            <w:tcW w:w="37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right="551"/>
              <w:spacing w:after="0"/>
              <w:rPr>
                <w:sz w:val="20"/>
                <w:szCs w:val="20"/>
                <w:color w:val="auto"/>
              </w:rPr>
            </w:pPr>
            <w:r>
              <w:rPr>
                <w:rFonts w:ascii="Arial" w:cs="Arial" w:eastAsia="Arial" w:hAnsi="Arial"/>
                <w:sz w:val="18"/>
                <w:szCs w:val="18"/>
                <w:b w:val="1"/>
                <w:bCs w:val="1"/>
                <w:color w:val="auto"/>
                <w:w w:val="87"/>
              </w:rPr>
              <w:t>December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left="691"/>
              <w:spacing w:after="0"/>
              <w:rPr>
                <w:sz w:val="20"/>
                <w:szCs w:val="20"/>
                <w:color w:val="auto"/>
              </w:rPr>
            </w:pPr>
            <w:r>
              <w:rPr>
                <w:rFonts w:ascii="Arial" w:cs="Arial" w:eastAsia="Arial" w:hAnsi="Arial"/>
                <w:sz w:val="18"/>
                <w:szCs w:val="18"/>
                <w:b w:val="1"/>
                <w:bCs w:val="1"/>
                <w:color w:val="auto"/>
                <w:w w:val="87"/>
              </w:rPr>
              <w:t>December 31,</w:t>
            </w:r>
          </w:p>
        </w:tc>
        <w:tc>
          <w:tcPr>
            <w:tcW w:w="1200" w:type="dxa"/>
            <w:vAlign w:val="bottom"/>
            <w:tcBorders>
              <w:bottom w:val="single" w:sz="8" w:color="auto"/>
            </w:tcBorders>
          </w:tcPr>
          <w:p>
            <w:pPr>
              <w:spacing w:after="0"/>
              <w:rPr>
                <w:sz w:val="19"/>
                <w:szCs w:val="19"/>
                <w:color w:val="auto"/>
              </w:rPr>
            </w:pPr>
          </w:p>
        </w:tc>
      </w:tr>
      <w:tr>
        <w:trPr>
          <w:trHeight w:val="219"/>
        </w:trPr>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r>
      <w:tr>
        <w:trPr>
          <w:trHeight w:val="219"/>
        </w:trPr>
        <w:tc>
          <w:tcPr>
            <w:tcW w:w="37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Cost of revenue</w:t>
            </w: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5"/>
        </w:trPr>
        <w:tc>
          <w:tcPr>
            <w:tcW w:w="37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174.1</w:t>
            </w: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300"/>
        </w:trPr>
        <w:tc>
          <w:tcPr>
            <w:tcW w:w="3720" w:type="dxa"/>
            <w:vAlign w:val="bottom"/>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(4)</w:t>
            </w:r>
          </w:p>
        </w:tc>
        <w:tc>
          <w:tcPr>
            <w:tcW w:w="1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w:t>
            </w:r>
          </w:p>
        </w:tc>
      </w:tr>
    </w:tbl>
    <w:p>
      <w:pPr>
        <w:spacing w:after="0" w:line="245" w:lineRule="exact"/>
        <w:rPr>
          <w:sz w:val="20"/>
          <w:szCs w:val="20"/>
          <w:color w:val="auto"/>
        </w:rPr>
      </w:pPr>
    </w:p>
    <w:p>
      <w:pPr>
        <w:ind w:left="154" w:hanging="154"/>
        <w:spacing w:after="0"/>
        <w:tabs>
          <w:tab w:leader="none" w:pos="154"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impairment charges related to real estate assets as a result of our decision to shift to a Virtual First work model.</w:t>
      </w:r>
    </w:p>
    <w:p>
      <w:pPr>
        <w:spacing w:after="0" w:line="220" w:lineRule="exact"/>
        <w:rPr>
          <w:rFonts w:ascii="Arial" w:cs="Arial" w:eastAsia="Arial" w:hAnsi="Arial"/>
          <w:sz w:val="18"/>
          <w:szCs w:val="18"/>
          <w:color w:val="auto"/>
          <w:vertAlign w:val="superscript"/>
        </w:rPr>
      </w:pPr>
    </w:p>
    <w:p>
      <w:pPr>
        <w:ind w:left="-6" w:right="300" w:firstLine="6"/>
        <w:spacing w:after="0" w:line="272" w:lineRule="auto"/>
        <w:tabs>
          <w:tab w:leader="none" w:pos="154"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Fourth quarter and full-year 2021 GAAP net income was impacted by a $38.1 million one-time income tax benefit from the release of a valuation allowance on our Irish deferred tax assets.</w:t>
      </w:r>
    </w:p>
    <w:p>
      <w:pPr>
        <w:spacing w:after="0" w:line="193" w:lineRule="exact"/>
        <w:rPr>
          <w:rFonts w:ascii="Arial" w:cs="Arial" w:eastAsia="Arial" w:hAnsi="Arial"/>
          <w:sz w:val="18"/>
          <w:szCs w:val="18"/>
          <w:color w:val="auto"/>
          <w:vertAlign w:val="superscript"/>
        </w:rPr>
      </w:pPr>
    </w:p>
    <w:p>
      <w:pPr>
        <w:ind w:left="-6" w:right="560" w:firstLine="6"/>
        <w:spacing w:after="0" w:line="275" w:lineRule="auto"/>
        <w:tabs>
          <w:tab w:leader="none" w:pos="157"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On March 19, 2020, one of our co-founders resigned as a member of the board and as an officer of Dropbox, resulting in the reversal of $23.8 million in stock-based compensation expense. Of the total amount reversed, $21.5 million related to expense recognized prior to December 31, 2019.</w:t>
      </w:r>
    </w:p>
    <w:p>
      <w:pPr>
        <w:sectPr>
          <w:pgSz w:w="11900" w:h="16838" w:orient="portrait"/>
          <w:cols w:equalWidth="0" w:num="1">
            <w:col w:w="11214"/>
          </w:cols>
          <w:pgMar w:left="326" w:top="882"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8"/>
                <w:szCs w:val="18"/>
                <w:b w:val="1"/>
                <w:bCs w:val="1"/>
                <w:color w:val="auto"/>
                <w:w w:val="93"/>
              </w:rPr>
              <w:t>As of December 31,</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6"/>
        </w:trPr>
        <w:tc>
          <w:tcPr>
            <w:tcW w:w="66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1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20" w:type="dxa"/>
            <w:vAlign w:val="bottom"/>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1,185.1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receivables, net</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current assets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20" w:type="dxa"/>
            <w:vAlign w:val="bottom"/>
            <w:tcBorders>
              <w:bottom w:val="single" w:sz="8" w:color="auto"/>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(deficit) equity</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6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20" w:type="dxa"/>
            <w:vAlign w:val="bottom"/>
          </w:tcPr>
          <w:p>
            <w:pPr>
              <w:jc w:val="right"/>
              <w:ind w:right="121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and other current liabilities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liability</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Finance lease obligation</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1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18"/>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Total current liabilities</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1,175.8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1,087.8</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25"/>
        </w:trPr>
        <w:tc>
          <w:tcPr>
            <w:tcW w:w="6660" w:type="dxa"/>
            <w:vAlign w:val="bottom"/>
          </w:tcPr>
          <w:p>
            <w:pPr>
              <w:ind w:left="120"/>
              <w:spacing w:after="0"/>
              <w:rPr>
                <w:sz w:val="20"/>
                <w:szCs w:val="20"/>
                <w:color w:val="auto"/>
              </w:rPr>
            </w:pPr>
            <w:r>
              <w:rPr>
                <w:rFonts w:ascii="Arial" w:cs="Arial" w:eastAsia="Arial" w:hAnsi="Arial"/>
                <w:sz w:val="18"/>
                <w:szCs w:val="18"/>
                <w:color w:val="auto"/>
              </w:rPr>
              <w:t>Finance lease obligation, non-current</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senior notes, net, non-current</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non-current liabilities</w:t>
            </w:r>
          </w:p>
        </w:tc>
        <w:tc>
          <w:tcPr>
            <w:tcW w:w="1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liabilities</w:t>
            </w:r>
          </w:p>
        </w:tc>
        <w:tc>
          <w:tcPr>
            <w:tcW w:w="1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3,385.2</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0" w:type="dxa"/>
            <w:vAlign w:val="bottom"/>
          </w:tcPr>
          <w:p>
            <w:pPr>
              <w:spacing w:after="0"/>
              <w:rPr>
                <w:sz w:val="1"/>
                <w:szCs w:val="1"/>
                <w:color w:val="auto"/>
              </w:rPr>
            </w:pPr>
          </w:p>
        </w:tc>
      </w:tr>
      <w:tr>
        <w:trPr>
          <w:trHeight w:val="205"/>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Stockholders' (deficit) equity:</w:t>
            </w: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2,564.3</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(2,739.4)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(2,241.4)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1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Total stockholders' (deficit) equity</w:t>
            </w:r>
          </w:p>
        </w:tc>
        <w:tc>
          <w:tcPr>
            <w:tcW w:w="1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1420" w:type="dxa"/>
            <w:vAlign w:val="bottom"/>
            <w:tcBorders>
              <w:bottom w:val="single" w:sz="8" w:color="auto"/>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882"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180" w:type="dxa"/>
            <w:vAlign w:val="bottom"/>
          </w:tcPr>
          <w:p>
            <w:pPr>
              <w:spacing w:after="0"/>
              <w:rPr>
                <w:sz w:val="16"/>
                <w:szCs w:val="16"/>
                <w:color w:val="auto"/>
              </w:rPr>
            </w:pPr>
          </w:p>
        </w:tc>
        <w:tc>
          <w:tcPr>
            <w:tcW w:w="186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3"/>
              </w:rPr>
              <w:t>Twelve Months Ended</w:t>
            </w:r>
          </w:p>
        </w:tc>
      </w:tr>
      <w:tr>
        <w:trPr>
          <w:trHeight w:val="210"/>
        </w:trPr>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80" w:type="dxa"/>
            <w:vAlign w:val="bottom"/>
          </w:tcPr>
          <w:p>
            <w:pPr>
              <w:spacing w:after="0"/>
              <w:rPr>
                <w:sz w:val="18"/>
                <w:szCs w:val="18"/>
                <w:color w:val="auto"/>
              </w:rPr>
            </w:pPr>
          </w:p>
        </w:tc>
        <w:tc>
          <w:tcPr>
            <w:tcW w:w="186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December 31,</w:t>
            </w:r>
          </w:p>
        </w:tc>
      </w:tr>
      <w:tr>
        <w:trPr>
          <w:trHeight w:val="206"/>
        </w:trPr>
        <w:tc>
          <w:tcPr>
            <w:tcW w:w="70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2020</w:t>
            </w:r>
          </w:p>
        </w:tc>
      </w:tr>
      <w:tr>
        <w:trPr>
          <w:trHeight w:val="195"/>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124.6</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(345.8)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335.8</w:t>
            </w: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(256.3)</w:t>
            </w:r>
          </w:p>
        </w:tc>
      </w:tr>
      <w:tr>
        <w:trPr>
          <w:trHeight w:val="215"/>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159.3</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398.2</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Net gains on lease termination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70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and other receivables, net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(39.4)</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(72.9)</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Cash paid for lease termination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570.8</w:t>
            </w:r>
          </w:p>
        </w:tc>
      </w:tr>
      <w:tr>
        <w:trPr>
          <w:trHeight w:val="190"/>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Purchase of intangible assets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Purchases of short-term investments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(756.1)</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386.7</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0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w:t>
            </w:r>
          </w:p>
        </w:tc>
      </w:tr>
      <w:tr>
        <w:trPr>
          <w:trHeight w:val="195"/>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convertible note hedge in connection with issuance of convertible senior notes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Proceeds from sale of warrants in connection with issuance of convertible senior notes</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(92.2)</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(89.5)</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repurchases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08"/>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(577.7)</w:t>
            </w:r>
          </w:p>
        </w:tc>
      </w:tr>
      <w:tr>
        <w:trPr>
          <w:trHeight w:val="20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08"/>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and cash equivalents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w:t>
            </w:r>
          </w:p>
        </w:tc>
      </w:tr>
      <w:tr>
        <w:trPr>
          <w:trHeight w:val="21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551.3</w:t>
            </w:r>
          </w:p>
        </w:tc>
      </w:tr>
      <w:tr>
        <w:trPr>
          <w:trHeight w:val="23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2"/>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r>
      <w:tr>
        <w:trPr>
          <w:trHeight w:val="203"/>
        </w:trPr>
        <w:tc>
          <w:tcPr>
            <w:tcW w:w="7040" w:type="dxa"/>
            <w:vAlign w:val="bottom"/>
          </w:tcPr>
          <w:p>
            <w:pPr>
              <w:ind w:left="640"/>
              <w:spacing w:after="0"/>
              <w:rPr>
                <w:sz w:val="20"/>
                <w:szCs w:val="20"/>
                <w:color w:val="auto"/>
              </w:rPr>
            </w:pPr>
            <w:r>
              <w:rPr>
                <w:rFonts w:ascii="Arial" w:cs="Arial" w:eastAsia="Arial" w:hAnsi="Arial"/>
                <w:sz w:val="16"/>
                <w:szCs w:val="16"/>
                <w:color w:val="auto"/>
              </w:rPr>
              <w:t>Property and equipment acquired under finance leases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r>
      <w:tr>
        <w:trPr>
          <w:trHeight w:val="22"/>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December 31, 2021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180" w:type="dxa"/>
            <w:vAlign w:val="bottom"/>
          </w:tcPr>
          <w:p>
            <w:pPr>
              <w:spacing w:after="0"/>
              <w:rPr>
                <w:sz w:val="17"/>
                <w:szCs w:val="17"/>
                <w:color w:val="auto"/>
              </w:rPr>
            </w:pPr>
          </w:p>
        </w:tc>
        <w:tc>
          <w:tcPr>
            <w:tcW w:w="108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0"/>
              </w:rPr>
              <w:t>Acquisition-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ind w:left="120"/>
              <w:spacing w:after="0" w:line="206" w:lineRule="exact"/>
              <w:rPr>
                <w:sz w:val="20"/>
                <w:szCs w:val="20"/>
                <w:color w:val="auto"/>
              </w:rPr>
            </w:pPr>
            <w:r>
              <w:rPr>
                <w:rFonts w:ascii="Arial" w:cs="Arial" w:eastAsia="Arial" w:hAnsi="Arial"/>
                <w:sz w:val="18"/>
                <w:szCs w:val="18"/>
                <w:b w:val="1"/>
                <w:bCs w:val="1"/>
                <w:color w:val="auto"/>
              </w:rPr>
              <w:t>Impairment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91"/>
              <w:spacing w:after="0"/>
              <w:rPr>
                <w:sz w:val="20"/>
                <w:szCs w:val="20"/>
                <w:color w:val="auto"/>
              </w:rPr>
            </w:pPr>
            <w:r>
              <w:rPr>
                <w:rFonts w:ascii="Arial" w:cs="Arial" w:eastAsia="Arial" w:hAnsi="Arial"/>
                <w:sz w:val="18"/>
                <w:szCs w:val="18"/>
                <w:b w:val="1"/>
                <w:bCs w:val="1"/>
                <w:color w:val="auto"/>
              </w:rPr>
              <w:t>GAAP</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720" w:type="dxa"/>
            <w:vAlign w:val="bottom"/>
            <w:gridSpan w:val="5"/>
          </w:tcPr>
          <w:p>
            <w:pPr>
              <w:jc w:val="center"/>
              <w:ind w:right="260"/>
              <w:spacing w:after="0" w:line="173" w:lineRule="exact"/>
              <w:rPr>
                <w:sz w:val="20"/>
                <w:szCs w:val="20"/>
                <w:color w:val="auto"/>
              </w:rPr>
            </w:pPr>
            <w:r>
              <w:rPr>
                <w:rFonts w:ascii="Arial" w:cs="Arial" w:eastAsia="Arial" w:hAnsi="Arial"/>
                <w:sz w:val="18"/>
                <w:szCs w:val="18"/>
                <w:b w:val="1"/>
                <w:bCs w:val="1"/>
                <w:color w:val="auto"/>
                <w:w w:val="88"/>
              </w:rPr>
              <w:t>related and other</w:t>
            </w: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ind w:left="40"/>
              <w:spacing w:after="0" w:line="173" w:lineRule="exact"/>
              <w:rPr>
                <w:sz w:val="20"/>
                <w:szCs w:val="20"/>
                <w:color w:val="auto"/>
              </w:rPr>
            </w:pPr>
            <w:r>
              <w:rPr>
                <w:rFonts w:ascii="Arial" w:cs="Arial" w:eastAsia="Arial" w:hAnsi="Arial"/>
                <w:sz w:val="18"/>
                <w:szCs w:val="18"/>
                <w:b w:val="1"/>
                <w:bCs w:val="1"/>
                <w:color w:val="auto"/>
                <w:w w:val="89"/>
              </w:rPr>
              <w:t>related to real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8"/>
              </w:rPr>
              <w:t>Non-GAAP</w:t>
            </w:r>
          </w:p>
        </w:tc>
        <w:tc>
          <w:tcPr>
            <w:tcW w:w="0" w:type="dxa"/>
            <w:vAlign w:val="bottom"/>
          </w:tcPr>
          <w:p>
            <w:pPr>
              <w:spacing w:after="0"/>
              <w:rPr>
                <w:sz w:val="1"/>
                <w:szCs w:val="1"/>
                <w:color w:val="auto"/>
              </w:rPr>
            </w:pPr>
          </w:p>
        </w:tc>
      </w:tr>
      <w:tr>
        <w:trPr>
          <w:trHeight w:val="226"/>
        </w:trPr>
        <w:tc>
          <w:tcPr>
            <w:tcW w:w="2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88"/>
              </w:rPr>
              <w:t>compensation</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0"/>
              <w:spacing w:after="0" w:line="225" w:lineRule="exact"/>
              <w:rPr>
                <w:sz w:val="20"/>
                <w:szCs w:val="20"/>
                <w:color w:val="auto"/>
              </w:rPr>
            </w:pPr>
            <w:r>
              <w:rPr>
                <w:rFonts w:ascii="Arial" w:cs="Arial" w:eastAsia="Arial" w:hAnsi="Arial"/>
                <w:sz w:val="18"/>
                <w:szCs w:val="18"/>
                <w:b w:val="1"/>
                <w:bCs w:val="1"/>
                <w:color w:val="auto"/>
                <w:w w:val="80"/>
              </w:rPr>
              <w:t>estate assets</w:t>
            </w:r>
            <w:r>
              <w:rPr>
                <w:rFonts w:ascii="Arial" w:cs="Arial" w:eastAsia="Arial" w:hAnsi="Arial"/>
                <w:sz w:val="23"/>
                <w:szCs w:val="23"/>
                <w:b w:val="1"/>
                <w:bCs w:val="1"/>
                <w:color w:val="auto"/>
                <w:w w:val="80"/>
                <w:vertAlign w:val="superscript"/>
              </w:rPr>
              <w:t>(1)</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80.9 %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174"/>
        </w:trPr>
        <w:tc>
          <w:tcPr>
            <w:tcW w:w="238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 development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35.7 %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ind w:left="84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174"/>
        </w:trPr>
        <w:tc>
          <w:tcPr>
            <w:tcW w:w="238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ind w:left="84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Impairment related to real estate</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w w:val="97"/>
              </w:rPr>
              <w:t>(14.0)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8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0"/>
              </w:rPr>
              <w:t>Impairment related to real estate</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restart"/>
          </w:tcPr>
          <w:p>
            <w:pPr>
              <w:ind w:left="8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5"/>
                <w:szCs w:val="15"/>
                <w:color w:val="auto"/>
              </w:rPr>
            </w:pPr>
          </w:p>
        </w:tc>
        <w:tc>
          <w:tcPr>
            <w:tcW w:w="154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 %</w:t>
            </w: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assets margin</w:t>
            </w: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60" w:hanging="154"/>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Includes impairment charges related to real estate assets as a result of our decision to shift to a Virtual First work model.</w:t>
      </w:r>
    </w:p>
    <w:p>
      <w:pPr>
        <w:sectPr>
          <w:pgSz w:w="11900" w:h="16838" w:orient="portrait"/>
          <w:cols w:equalWidth="0" w:num="1">
            <w:col w:w="11240"/>
          </w:cols>
          <w:pgMar w:left="320" w:top="87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December 31, 2020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6"/>
        </w:trPr>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180" w:type="dxa"/>
            <w:vAlign w:val="bottom"/>
          </w:tcPr>
          <w:p>
            <w:pPr>
              <w:spacing w:after="0"/>
              <w:rPr>
                <w:sz w:val="17"/>
                <w:szCs w:val="17"/>
                <w:color w:val="auto"/>
              </w:rPr>
            </w:pPr>
          </w:p>
        </w:tc>
        <w:tc>
          <w:tcPr>
            <w:tcW w:w="108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0"/>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ind w:left="120"/>
              <w:spacing w:after="0" w:line="206" w:lineRule="exact"/>
              <w:rPr>
                <w:sz w:val="20"/>
                <w:szCs w:val="20"/>
                <w:color w:val="auto"/>
              </w:rPr>
            </w:pPr>
            <w:r>
              <w:rPr>
                <w:rFonts w:ascii="Arial" w:cs="Arial" w:eastAsia="Arial" w:hAnsi="Arial"/>
                <w:sz w:val="18"/>
                <w:szCs w:val="18"/>
                <w:b w:val="1"/>
                <w:bCs w:val="1"/>
                <w:color w:val="auto"/>
              </w:rPr>
              <w:t>Impairment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720" w:type="dxa"/>
            <w:vAlign w:val="bottom"/>
            <w:gridSpan w:val="5"/>
          </w:tcPr>
          <w:p>
            <w:pPr>
              <w:jc w:val="center"/>
              <w:ind w:right="260"/>
              <w:spacing w:after="0" w:line="173" w:lineRule="exact"/>
              <w:rPr>
                <w:sz w:val="20"/>
                <w:szCs w:val="20"/>
                <w:color w:val="auto"/>
              </w:rPr>
            </w:pPr>
            <w:r>
              <w:rPr>
                <w:rFonts w:ascii="Arial" w:cs="Arial" w:eastAsia="Arial" w:hAnsi="Arial"/>
                <w:sz w:val="18"/>
                <w:szCs w:val="18"/>
                <w:b w:val="1"/>
                <w:bCs w:val="1"/>
                <w:color w:val="auto"/>
                <w:w w:val="88"/>
              </w:rPr>
              <w:t>related and other</w:t>
            </w: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ind w:left="40"/>
              <w:spacing w:after="0" w:line="173" w:lineRule="exact"/>
              <w:rPr>
                <w:sz w:val="20"/>
                <w:szCs w:val="20"/>
                <w:color w:val="auto"/>
              </w:rPr>
            </w:pPr>
            <w:r>
              <w:rPr>
                <w:rFonts w:ascii="Arial" w:cs="Arial" w:eastAsia="Arial" w:hAnsi="Arial"/>
                <w:sz w:val="18"/>
                <w:szCs w:val="18"/>
                <w:b w:val="1"/>
                <w:bCs w:val="1"/>
                <w:color w:val="auto"/>
                <w:w w:val="89"/>
              </w:rPr>
              <w:t>related to real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6"/>
              </w:rPr>
              <w:t>Non-GAAP</w:t>
            </w:r>
          </w:p>
        </w:tc>
        <w:tc>
          <w:tcPr>
            <w:tcW w:w="0" w:type="dxa"/>
            <w:vAlign w:val="bottom"/>
          </w:tcPr>
          <w:p>
            <w:pPr>
              <w:spacing w:after="0"/>
              <w:rPr>
                <w:sz w:val="1"/>
                <w:szCs w:val="1"/>
                <w:color w:val="auto"/>
              </w:rPr>
            </w:pPr>
          </w:p>
        </w:tc>
      </w:tr>
      <w:tr>
        <w:trPr>
          <w:trHeight w:val="226"/>
        </w:trPr>
        <w:tc>
          <w:tcPr>
            <w:tcW w:w="2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88"/>
              </w:rPr>
              <w:t>compensation</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0"/>
              <w:spacing w:after="0" w:line="225" w:lineRule="exact"/>
              <w:rPr>
                <w:sz w:val="20"/>
                <w:szCs w:val="20"/>
                <w:color w:val="auto"/>
              </w:rPr>
            </w:pPr>
            <w:r>
              <w:rPr>
                <w:rFonts w:ascii="Arial" w:cs="Arial" w:eastAsia="Arial" w:hAnsi="Arial"/>
                <w:sz w:val="18"/>
                <w:szCs w:val="18"/>
                <w:b w:val="1"/>
                <w:bCs w:val="1"/>
                <w:color w:val="auto"/>
                <w:w w:val="80"/>
              </w:rPr>
              <w:t>estate assets</w:t>
            </w:r>
            <w:r>
              <w:rPr>
                <w:rFonts w:ascii="Arial" w:cs="Arial" w:eastAsia="Arial" w:hAnsi="Arial"/>
                <w:sz w:val="23"/>
                <w:szCs w:val="23"/>
                <w:b w:val="1"/>
                <w:bCs w:val="1"/>
                <w:color w:val="auto"/>
                <w:w w:val="80"/>
                <w:vertAlign w:val="superscript"/>
              </w:rPr>
              <w:t>(1)</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ind w:left="82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80.1 %</w:t>
            </w: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7"/>
              </w:rPr>
              <w:t>(4.2)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174"/>
        </w:trPr>
        <w:tc>
          <w:tcPr>
            <w:tcW w:w="23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 development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540" w:type="dxa"/>
            <w:vAlign w:val="bottom"/>
            <w:gridSpan w:val="4"/>
            <w:vMerge w:val="restart"/>
          </w:tcPr>
          <w:p>
            <w:pPr>
              <w:ind w:left="840"/>
              <w:spacing w:after="0"/>
              <w:rPr>
                <w:sz w:val="20"/>
                <w:szCs w:val="20"/>
                <w:color w:val="auto"/>
              </w:rPr>
            </w:pPr>
            <w:r>
              <w:rPr>
                <w:rFonts w:ascii="Arial" w:cs="Arial" w:eastAsia="Arial" w:hAnsi="Arial"/>
                <w:sz w:val="18"/>
                <w:szCs w:val="18"/>
                <w:color w:val="auto"/>
              </w:rPr>
              <w:t>— %</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24"/>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ind w:left="82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174"/>
        </w:trPr>
        <w:tc>
          <w:tcPr>
            <w:tcW w:w="23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4"/>
            <w:vMerge w:val="restart"/>
          </w:tcPr>
          <w:p>
            <w:pPr>
              <w:ind w:left="82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540" w:type="dxa"/>
            <w:vAlign w:val="bottom"/>
            <w:gridSpan w:val="4"/>
            <w:vMerge w:val="restart"/>
          </w:tcPr>
          <w:p>
            <w:pPr>
              <w:ind w:left="840"/>
              <w:spacing w:after="0"/>
              <w:rPr>
                <w:sz w:val="20"/>
                <w:szCs w:val="20"/>
                <w:color w:val="auto"/>
              </w:rPr>
            </w:pPr>
            <w:r>
              <w:rPr>
                <w:rFonts w:ascii="Arial" w:cs="Arial" w:eastAsia="Arial" w:hAnsi="Arial"/>
                <w:sz w:val="18"/>
                <w:szCs w:val="18"/>
                <w:color w:val="auto"/>
              </w:rPr>
              <w:t>— %</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24"/>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8"/>
              </w:rPr>
              <w:t>Impairment related to real estate</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w w:val="94"/>
              </w:rPr>
              <w:t>(398.2)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Impairment related to real</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79.0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restart"/>
          </w:tcPr>
          <w:p>
            <w:pPr>
              <w:ind w:left="8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5"/>
                <w:szCs w:val="15"/>
                <w:color w:val="auto"/>
              </w:rPr>
            </w:pPr>
          </w:p>
        </w:tc>
        <w:tc>
          <w:tcPr>
            <w:tcW w:w="1540" w:type="dxa"/>
            <w:vAlign w:val="bottom"/>
            <w:gridSpan w:val="4"/>
            <w:vMerge w:val="restart"/>
          </w:tcPr>
          <w:p>
            <w:pPr>
              <w:ind w:left="82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(79.0 %)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estate assets margin</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Income (loss) from operations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398.2</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60" w:hanging="154"/>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Includes impairment charges related to real estate assets as a result of our decision to shift to a Virtual First work model.</w:t>
      </w:r>
    </w:p>
    <w:p>
      <w:pPr>
        <w:sectPr>
          <w:pgSz w:w="11900" w:h="16838" w:orient="portrait"/>
          <w:cols w:equalWidth="0" w:num="1">
            <w:col w:w="11240"/>
          </w:cols>
          <w:pgMar w:left="320" w:top="874" w:right="339" w:bottom="1440" w:gutter="0" w:footer="0" w:header="0"/>
        </w:sectPr>
      </w:pPr>
    </w:p>
    <w:bookmarkStart w:id="12" w:name="page13"/>
    <w:bookmarkEnd w:id="12"/>
    <w:p>
      <w:pPr>
        <w:jc w:val="center"/>
        <w:ind w:right="-1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Twelve Months Ended December 31, 2021</w:t>
      </w:r>
    </w:p>
    <w:p>
      <w:pPr>
        <w:spacing w:after="0" w:line="7"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tbl>
      <w:tblPr>
        <w:tblLayout w:type="fixed"/>
        <w:tblInd w:w="34" w:type="dxa"/>
        <w:tblCellMar>
          <w:top w:w="0" w:type="dxa"/>
          <w:left w:w="0" w:type="dxa"/>
          <w:bottom w:w="0" w:type="dxa"/>
          <w:right w:w="0" w:type="dxa"/>
        </w:tblCellMar>
      </w:tblPr>
      <w:tr>
        <w:trPr>
          <w:trHeight w:val="206"/>
        </w:trPr>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100" w:type="dxa"/>
            <w:vAlign w:val="bottom"/>
          </w:tcPr>
          <w:p>
            <w:pPr>
              <w:spacing w:after="0"/>
              <w:rPr>
                <w:sz w:val="17"/>
                <w:szCs w:val="17"/>
                <w:color w:val="auto"/>
              </w:rPr>
            </w:pPr>
          </w:p>
        </w:tc>
        <w:tc>
          <w:tcPr>
            <w:tcW w:w="104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Intangibles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4"/>
              </w:rPr>
              <w:t>Impairment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6" w:lineRule="exact"/>
              <w:rPr>
                <w:sz w:val="20"/>
                <w:szCs w:val="20"/>
                <w:color w:val="auto"/>
              </w:rPr>
            </w:pPr>
            <w:r>
              <w:rPr>
                <w:rFonts w:ascii="Arial" w:cs="Arial" w:eastAsia="Arial" w:hAnsi="Arial"/>
                <w:sz w:val="18"/>
                <w:szCs w:val="18"/>
                <w:b w:val="1"/>
                <w:bCs w:val="1"/>
                <w:color w:val="auto"/>
                <w:w w:val="94"/>
              </w:rPr>
              <w:t>Workforce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GAAP</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7"/>
              </w:rPr>
              <w:t>related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jc w:val="center"/>
              <w:ind w:right="400"/>
              <w:spacing w:after="0" w:line="173" w:lineRule="exact"/>
              <w:rPr>
                <w:sz w:val="20"/>
                <w:szCs w:val="20"/>
                <w:color w:val="auto"/>
              </w:rPr>
            </w:pPr>
            <w:r>
              <w:rPr>
                <w:rFonts w:ascii="Arial" w:cs="Arial" w:eastAsia="Arial" w:hAnsi="Arial"/>
                <w:sz w:val="18"/>
                <w:szCs w:val="18"/>
                <w:b w:val="1"/>
                <w:bCs w:val="1"/>
                <w:color w:val="auto"/>
                <w:w w:val="89"/>
              </w:rPr>
              <w:t>related to real</w:t>
            </w:r>
          </w:p>
        </w:tc>
        <w:tc>
          <w:tcPr>
            <w:tcW w:w="920" w:type="dxa"/>
            <w:vAlign w:val="bottom"/>
          </w:tcPr>
          <w:p>
            <w:pPr>
              <w:jc w:val="right"/>
              <w:ind w:right="11"/>
              <w:spacing w:after="0" w:line="173" w:lineRule="exact"/>
              <w:rPr>
                <w:sz w:val="20"/>
                <w:szCs w:val="20"/>
                <w:color w:val="auto"/>
              </w:rPr>
            </w:pPr>
            <w:r>
              <w:rPr>
                <w:rFonts w:ascii="Arial" w:cs="Arial" w:eastAsia="Arial" w:hAnsi="Arial"/>
                <w:sz w:val="18"/>
                <w:szCs w:val="18"/>
                <w:b w:val="1"/>
                <w:bCs w:val="1"/>
                <w:color w:val="auto"/>
                <w:w w:val="97"/>
              </w:rPr>
              <w:t>reduction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94"/>
              </w:rPr>
              <w:t>Non-GAAP</w:t>
            </w:r>
          </w:p>
        </w:tc>
        <w:tc>
          <w:tcPr>
            <w:tcW w:w="0" w:type="dxa"/>
            <w:vAlign w:val="bottom"/>
          </w:tcPr>
          <w:p>
            <w:pPr>
              <w:spacing w:after="0"/>
              <w:rPr>
                <w:sz w:val="1"/>
                <w:szCs w:val="1"/>
                <w:color w:val="auto"/>
              </w:rPr>
            </w:pPr>
          </w:p>
        </w:tc>
      </w:tr>
      <w:tr>
        <w:trPr>
          <w:trHeight w:val="226"/>
        </w:trPr>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88"/>
              </w:rPr>
              <w:t>compensation</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8"/>
                <w:szCs w:val="18"/>
                <w:b w:val="1"/>
                <w:bCs w:val="1"/>
                <w:color w:val="auto"/>
                <w:w w:val="84"/>
              </w:rPr>
              <w:t>other expenses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31"/>
              <w:spacing w:after="0" w:line="225" w:lineRule="exact"/>
              <w:rPr>
                <w:sz w:val="20"/>
                <w:szCs w:val="20"/>
                <w:color w:val="auto"/>
              </w:rPr>
            </w:pPr>
            <w:r>
              <w:rPr>
                <w:rFonts w:ascii="Arial" w:cs="Arial" w:eastAsia="Arial" w:hAnsi="Arial"/>
                <w:sz w:val="18"/>
                <w:szCs w:val="18"/>
                <w:b w:val="1"/>
                <w:bCs w:val="1"/>
                <w:color w:val="auto"/>
                <w:w w:val="78"/>
              </w:rPr>
              <w:t>estate assets</w:t>
            </w:r>
            <w:r>
              <w:rPr>
                <w:rFonts w:ascii="Arial" w:cs="Arial" w:eastAsia="Arial" w:hAnsi="Arial"/>
                <w:sz w:val="23"/>
                <w:szCs w:val="23"/>
                <w:b w:val="1"/>
                <w:bCs w:val="1"/>
                <w:color w:val="auto"/>
                <w:w w:val="78"/>
                <w:vertAlign w:val="superscript"/>
              </w:rPr>
              <w:t>(1)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line="225" w:lineRule="exact"/>
              <w:rPr>
                <w:sz w:val="20"/>
                <w:szCs w:val="20"/>
                <w:color w:val="auto"/>
              </w:rPr>
            </w:pPr>
            <w:r>
              <w:rPr>
                <w:rFonts w:ascii="Arial" w:cs="Arial" w:eastAsia="Arial" w:hAnsi="Arial"/>
                <w:sz w:val="18"/>
                <w:szCs w:val="18"/>
                <w:b w:val="1"/>
                <w:bCs w:val="1"/>
                <w:color w:val="auto"/>
                <w:w w:val="88"/>
              </w:rPr>
              <w:t>expense</w:t>
            </w:r>
            <w:r>
              <w:rPr>
                <w:rFonts w:ascii="Arial" w:cs="Arial" w:eastAsia="Arial" w:hAnsi="Arial"/>
                <w:sz w:val="23"/>
                <w:szCs w:val="23"/>
                <w:b w:val="1"/>
                <w:bCs w:val="1"/>
                <w:color w:val="auto"/>
                <w:w w:val="88"/>
                <w:vertAlign w:val="superscript"/>
              </w:rPr>
              <w:t>(2)</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Cost of revenue</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20.6 %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1,713.7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1,744.6</w:t>
            </w:r>
          </w:p>
        </w:tc>
        <w:tc>
          <w:tcPr>
            <w:tcW w:w="0" w:type="dxa"/>
            <w:vAlign w:val="bottom"/>
          </w:tcPr>
          <w:p>
            <w:pPr>
              <w:spacing w:after="0"/>
              <w:rPr>
                <w:sz w:val="1"/>
                <w:szCs w:val="1"/>
                <w:color w:val="auto"/>
              </w:rPr>
            </w:pPr>
          </w:p>
        </w:tc>
      </w:tr>
      <w:tr>
        <w:trPr>
          <w:trHeight w:val="225"/>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80.8 %</w:t>
            </w: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755.9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w w:val="99"/>
              </w:rPr>
              <w:t>development margin</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Sales and marketing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8"/>
              </w:rPr>
              <w:t>Sales and marketing</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19.8 %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General and</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224.6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10.4 %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w w:val="94"/>
              </w:rPr>
              <w:t>administrative margin</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Impairment related to</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assets</w:t>
            </w: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5"/>
              </w:rPr>
              <w:t>Impairment related to</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6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real estate assets</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ind w:left="8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46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42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 %</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420" w:type="dxa"/>
            <w:vAlign w:val="bottom"/>
            <w:gridSpan w:val="4"/>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Income from</w:t>
            </w: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274.4</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4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4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74" w:hanging="174"/>
        <w:spacing w:after="0"/>
        <w:tabs>
          <w:tab w:leader="none" w:pos="174"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Includes impairment charges related to real estate assets as a result of our decision to shift to a Virtual First work model.</w:t>
      </w:r>
    </w:p>
    <w:p>
      <w:pPr>
        <w:spacing w:after="0" w:line="217" w:lineRule="exact"/>
        <w:rPr>
          <w:rFonts w:ascii="Arial" w:cs="Arial" w:eastAsia="Arial" w:hAnsi="Arial"/>
          <w:sz w:val="21"/>
          <w:szCs w:val="21"/>
          <w:color w:val="auto"/>
          <w:vertAlign w:val="superscript"/>
        </w:rPr>
      </w:pPr>
    </w:p>
    <w:p>
      <w:pPr>
        <w:ind w:left="154" w:hanging="154"/>
        <w:spacing w:after="0"/>
        <w:tabs>
          <w:tab w:leader="none" w:pos="154" w:val="left"/>
        </w:tabs>
        <w:numPr>
          <w:ilvl w:val="0"/>
          <w:numId w:val="10"/>
        </w:numPr>
        <w:rPr>
          <w:rFonts w:ascii="Arial" w:cs="Arial" w:eastAsia="Arial" w:hAnsi="Arial"/>
          <w:sz w:val="18"/>
          <w:szCs w:val="18"/>
          <w:color w:val="auto"/>
          <w:vertAlign w:val="superscript"/>
        </w:rPr>
      </w:pPr>
      <w:r>
        <w:rPr>
          <w:rFonts w:ascii="Arial" w:cs="Arial" w:eastAsia="Arial" w:hAnsi="Arial"/>
          <w:sz w:val="13"/>
          <w:szCs w:val="13"/>
          <w:color w:val="auto"/>
        </w:rPr>
        <w:t>Includes expenses related to workforce reduction such as severance, benefits and other related items.</w:t>
      </w:r>
    </w:p>
    <w:p>
      <w:pPr>
        <w:sectPr>
          <w:pgSz w:w="11900" w:h="16838" w:orient="portrait"/>
          <w:cols w:equalWidth="0" w:num="1">
            <w:col w:w="11214"/>
          </w:cols>
          <w:pgMar w:left="326" w:top="1113" w:right="359" w:bottom="1440" w:gutter="0" w:footer="0" w:header="0"/>
        </w:sectPr>
      </w:pPr>
    </w:p>
    <w:bookmarkStart w:id="13" w:name="page14"/>
    <w:bookmarkEnd w:id="13"/>
    <w:p>
      <w:pPr>
        <w:jc w:val="center"/>
        <w:ind w:right="-3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33"/>
        <w:spacing w:after="0"/>
        <w:rPr>
          <w:sz w:val="20"/>
          <w:szCs w:val="20"/>
          <w:color w:val="auto"/>
        </w:rPr>
      </w:pPr>
      <w:r>
        <w:rPr>
          <w:rFonts w:ascii="Arial" w:cs="Arial" w:eastAsia="Arial" w:hAnsi="Arial"/>
          <w:sz w:val="19"/>
          <w:szCs w:val="19"/>
          <w:b w:val="1"/>
          <w:bCs w:val="1"/>
          <w:color w:val="auto"/>
        </w:rPr>
        <w:t>Twelve Months Ended December 31, 2020</w:t>
      </w:r>
    </w:p>
    <w:p>
      <w:pPr>
        <w:spacing w:after="0" w:line="7" w:lineRule="exact"/>
        <w:rPr>
          <w:sz w:val="20"/>
          <w:szCs w:val="20"/>
          <w:color w:val="auto"/>
        </w:rPr>
      </w:pPr>
    </w:p>
    <w:p>
      <w:pPr>
        <w:jc w:val="center"/>
        <w:ind w:right="-33"/>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33"/>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33"/>
        <w:spacing w:after="0"/>
        <w:rPr>
          <w:sz w:val="20"/>
          <w:szCs w:val="20"/>
          <w:color w:val="auto"/>
        </w:rPr>
      </w:pPr>
      <w:r>
        <w:rPr>
          <w:rFonts w:ascii="Arial" w:cs="Arial" w:eastAsia="Arial" w:hAnsi="Arial"/>
          <w:sz w:val="18"/>
          <w:szCs w:val="18"/>
          <w:i w:val="1"/>
          <w:iCs w:val="1"/>
          <w:color w:val="auto"/>
        </w:rPr>
        <w:t>(Unaudited)</w:t>
      </w:r>
    </w:p>
    <w:tbl>
      <w:tblPr>
        <w:tblLayout w:type="fixed"/>
        <w:tblInd w:w="34" w:type="dxa"/>
        <w:tblCellMar>
          <w:top w:w="0" w:type="dxa"/>
          <w:left w:w="0" w:type="dxa"/>
          <w:bottom w:w="0" w:type="dxa"/>
          <w:right w:w="0" w:type="dxa"/>
        </w:tblCellMar>
      </w:tblPr>
      <w:tr>
        <w:trPr>
          <w:trHeight w:val="206"/>
        </w:trPr>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180" w:type="dxa"/>
            <w:vAlign w:val="bottom"/>
          </w:tcPr>
          <w:p>
            <w:pPr>
              <w:spacing w:after="0"/>
              <w:rPr>
                <w:sz w:val="17"/>
                <w:szCs w:val="17"/>
                <w:color w:val="auto"/>
              </w:rPr>
            </w:pPr>
          </w:p>
        </w:tc>
        <w:tc>
          <w:tcPr>
            <w:tcW w:w="108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Intangibles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ind w:left="100"/>
              <w:spacing w:after="0" w:line="206" w:lineRule="exact"/>
              <w:rPr>
                <w:sz w:val="20"/>
                <w:szCs w:val="20"/>
                <w:color w:val="auto"/>
              </w:rPr>
            </w:pPr>
            <w:r>
              <w:rPr>
                <w:rFonts w:ascii="Arial" w:cs="Arial" w:eastAsia="Arial" w:hAnsi="Arial"/>
                <w:sz w:val="18"/>
                <w:szCs w:val="18"/>
                <w:b w:val="1"/>
                <w:bCs w:val="1"/>
                <w:color w:val="auto"/>
              </w:rPr>
              <w:t>Impairment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720" w:type="dxa"/>
            <w:vAlign w:val="bottom"/>
            <w:gridSpan w:val="5"/>
          </w:tcPr>
          <w:p>
            <w:pPr>
              <w:jc w:val="center"/>
              <w:ind w:right="260"/>
              <w:spacing w:after="0" w:line="173" w:lineRule="exact"/>
              <w:rPr>
                <w:sz w:val="20"/>
                <w:szCs w:val="20"/>
                <w:color w:val="auto"/>
              </w:rPr>
            </w:pPr>
            <w:r>
              <w:rPr>
                <w:rFonts w:ascii="Arial" w:cs="Arial" w:eastAsia="Arial" w:hAnsi="Arial"/>
                <w:sz w:val="18"/>
                <w:szCs w:val="18"/>
                <w:b w:val="1"/>
                <w:bCs w:val="1"/>
                <w:color w:val="auto"/>
                <w:w w:val="88"/>
              </w:rPr>
              <w:t>related and other</w:t>
            </w: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ind w:left="40"/>
              <w:spacing w:after="0" w:line="173" w:lineRule="exact"/>
              <w:rPr>
                <w:sz w:val="20"/>
                <w:szCs w:val="20"/>
                <w:color w:val="auto"/>
              </w:rPr>
            </w:pPr>
            <w:r>
              <w:rPr>
                <w:rFonts w:ascii="Arial" w:cs="Arial" w:eastAsia="Arial" w:hAnsi="Arial"/>
                <w:sz w:val="18"/>
                <w:szCs w:val="18"/>
                <w:b w:val="1"/>
                <w:bCs w:val="1"/>
                <w:color w:val="auto"/>
                <w:w w:val="88"/>
              </w:rPr>
              <w:t>related to real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w w:val="96"/>
              </w:rPr>
              <w:t>Non-GAAP</w:t>
            </w:r>
          </w:p>
        </w:tc>
        <w:tc>
          <w:tcPr>
            <w:tcW w:w="0" w:type="dxa"/>
            <w:vAlign w:val="bottom"/>
          </w:tcPr>
          <w:p>
            <w:pPr>
              <w:spacing w:after="0"/>
              <w:rPr>
                <w:sz w:val="1"/>
                <w:szCs w:val="1"/>
                <w:color w:val="auto"/>
              </w:rPr>
            </w:pPr>
          </w:p>
        </w:tc>
      </w:tr>
      <w:tr>
        <w:trPr>
          <w:trHeight w:val="226"/>
        </w:trPr>
        <w:tc>
          <w:tcPr>
            <w:tcW w:w="2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88"/>
              </w:rPr>
              <w:t>compensation</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0"/>
              <w:spacing w:after="0" w:line="225" w:lineRule="exact"/>
              <w:rPr>
                <w:sz w:val="20"/>
                <w:szCs w:val="20"/>
                <w:color w:val="auto"/>
              </w:rPr>
            </w:pPr>
            <w:r>
              <w:rPr>
                <w:rFonts w:ascii="Arial" w:cs="Arial" w:eastAsia="Arial" w:hAnsi="Arial"/>
                <w:sz w:val="18"/>
                <w:szCs w:val="18"/>
                <w:b w:val="1"/>
                <w:bCs w:val="1"/>
                <w:color w:val="auto"/>
                <w:w w:val="78"/>
              </w:rPr>
              <w:t>estate assets</w:t>
            </w:r>
            <w:r>
              <w:rPr>
                <w:rFonts w:ascii="Arial" w:cs="Arial" w:eastAsia="Arial" w:hAnsi="Arial"/>
                <w:sz w:val="23"/>
                <w:szCs w:val="23"/>
                <w:b w:val="1"/>
                <w:bCs w:val="1"/>
                <w:color w:val="auto"/>
                <w:w w:val="78"/>
                <w:vertAlign w:val="superscript"/>
              </w:rPr>
              <w:t>(1)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25"/>
        </w:trPr>
        <w:tc>
          <w:tcPr>
            <w:tcW w:w="222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ind w:left="82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26"/>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225"/>
        </w:trPr>
        <w:tc>
          <w:tcPr>
            <w:tcW w:w="222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79.4 %</w:t>
            </w:r>
          </w:p>
        </w:tc>
        <w:tc>
          <w:tcPr>
            <w:tcW w:w="0" w:type="dxa"/>
            <w:vAlign w:val="bottom"/>
          </w:tcPr>
          <w:p>
            <w:pPr>
              <w:spacing w:after="0"/>
              <w:rPr>
                <w:sz w:val="1"/>
                <w:szCs w:val="1"/>
                <w:color w:val="auto"/>
              </w:rPr>
            </w:pPr>
          </w:p>
        </w:tc>
      </w:tr>
      <w:tr>
        <w:trPr>
          <w:trHeight w:val="226"/>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Research and development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9"/>
              </w:rPr>
              <w:t>Research and development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38.0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 %</w:t>
            </w:r>
          </w:p>
        </w:tc>
        <w:tc>
          <w:tcPr>
            <w:tcW w:w="1540" w:type="dxa"/>
            <w:vAlign w:val="bottom"/>
            <w:gridSpan w:val="4"/>
            <w:vMerge w:val="restart"/>
          </w:tcPr>
          <w:p>
            <w:pPr>
              <w:ind w:left="84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24"/>
        </w:trPr>
        <w:tc>
          <w:tcPr>
            <w:tcW w:w="222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25"/>
        </w:trPr>
        <w:tc>
          <w:tcPr>
            <w:tcW w:w="2220" w:type="dxa"/>
            <w:vAlign w:val="bottom"/>
          </w:tcPr>
          <w:p>
            <w:pPr>
              <w:ind w:left="20"/>
              <w:spacing w:after="0"/>
              <w:rPr>
                <w:sz w:val="20"/>
                <w:szCs w:val="20"/>
                <w:color w:val="auto"/>
              </w:rPr>
            </w:pPr>
            <w:r>
              <w:rPr>
                <w:rFonts w:ascii="Arial" w:cs="Arial" w:eastAsia="Arial" w:hAnsi="Arial"/>
                <w:sz w:val="18"/>
                <w:szCs w:val="18"/>
                <w:i w:val="1"/>
                <w:iCs w:val="1"/>
                <w:color w:val="auto"/>
                <w:w w:val="97"/>
              </w:rPr>
              <w:t>Sales and marketing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ind w:left="82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6"/>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4"/>
            <w:vMerge w:val="restart"/>
          </w:tcPr>
          <w:p>
            <w:pPr>
              <w:ind w:left="820"/>
              <w:spacing w:after="0"/>
              <w:rPr>
                <w:sz w:val="20"/>
                <w:szCs w:val="20"/>
                <w:color w:val="auto"/>
              </w:rPr>
            </w:pPr>
            <w:r>
              <w:rPr>
                <w:rFonts w:ascii="Arial" w:cs="Arial" w:eastAsia="Arial" w:hAnsi="Arial"/>
                <w:sz w:val="18"/>
                <w:szCs w:val="18"/>
                <w:color w:val="auto"/>
              </w:rPr>
              <w:t>— %</w:t>
            </w:r>
          </w:p>
        </w:tc>
        <w:tc>
          <w:tcPr>
            <w:tcW w:w="154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 %</w:t>
            </w:r>
          </w:p>
        </w:tc>
        <w:tc>
          <w:tcPr>
            <w:tcW w:w="1540" w:type="dxa"/>
            <w:vAlign w:val="bottom"/>
            <w:gridSpan w:val="4"/>
            <w:vMerge w:val="restart"/>
          </w:tcPr>
          <w:p>
            <w:pPr>
              <w:ind w:left="84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4"/>
        </w:trPr>
        <w:tc>
          <w:tcPr>
            <w:tcW w:w="222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Impairment related to real</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w w:val="94"/>
              </w:rPr>
              <w:t>(398.2)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estate assets</w:t>
            </w: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Impairment related to real</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restart"/>
          </w:tcPr>
          <w:p>
            <w:pPr>
              <w:ind w:left="8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5"/>
                <w:szCs w:val="15"/>
                <w:color w:val="auto"/>
              </w:rPr>
            </w:pPr>
          </w:p>
        </w:tc>
        <w:tc>
          <w:tcPr>
            <w:tcW w:w="1540" w:type="dxa"/>
            <w:vAlign w:val="bottom"/>
            <w:gridSpan w:val="4"/>
            <w:vMerge w:val="restart"/>
          </w:tcPr>
          <w:p>
            <w:pPr>
              <w:ind w:left="820"/>
              <w:spacing w:after="0"/>
              <w:rPr>
                <w:sz w:val="20"/>
                <w:szCs w:val="20"/>
                <w:color w:val="auto"/>
              </w:rPr>
            </w:pPr>
            <w:r>
              <w:rPr>
                <w:rFonts w:ascii="Arial" w:cs="Arial" w:eastAsia="Arial" w:hAnsi="Arial"/>
                <w:sz w:val="18"/>
                <w:szCs w:val="18"/>
                <w:color w:val="auto"/>
              </w:rPr>
              <w:t>— %</w:t>
            </w:r>
          </w:p>
        </w:tc>
        <w:tc>
          <w:tcPr>
            <w:tcW w:w="154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 %</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2220" w:type="dxa"/>
            <w:vAlign w:val="bottom"/>
          </w:tcPr>
          <w:p>
            <w:pPr>
              <w:ind w:left="20"/>
              <w:spacing w:after="0"/>
              <w:rPr>
                <w:sz w:val="20"/>
                <w:szCs w:val="20"/>
                <w:color w:val="auto"/>
              </w:rPr>
            </w:pPr>
            <w:r>
              <w:rPr>
                <w:rFonts w:ascii="Arial" w:cs="Arial" w:eastAsia="Arial" w:hAnsi="Arial"/>
                <w:sz w:val="18"/>
                <w:szCs w:val="18"/>
                <w:i w:val="1"/>
                <w:iCs w:val="1"/>
                <w:color w:val="auto"/>
              </w:rPr>
              <w:t>estate assets margin</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Income (loss) from operations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25"/>
        </w:trPr>
        <w:tc>
          <w:tcPr>
            <w:tcW w:w="222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54" w:hanging="154"/>
        <w:spacing w:after="0"/>
        <w:tabs>
          <w:tab w:leader="none" w:pos="154" w:val="left"/>
        </w:tabs>
        <w:numPr>
          <w:ilvl w:val="0"/>
          <w:numId w:val="11"/>
        </w:numPr>
        <w:rPr>
          <w:rFonts w:ascii="Arial" w:cs="Arial" w:eastAsia="Arial" w:hAnsi="Arial"/>
          <w:sz w:val="18"/>
          <w:szCs w:val="18"/>
          <w:color w:val="auto"/>
          <w:vertAlign w:val="superscript"/>
        </w:rPr>
      </w:pPr>
      <w:r>
        <w:rPr>
          <w:rFonts w:ascii="Arial" w:cs="Arial" w:eastAsia="Arial" w:hAnsi="Arial"/>
          <w:sz w:val="13"/>
          <w:szCs w:val="13"/>
          <w:color w:val="auto"/>
        </w:rPr>
        <w:t>Includes impairment charges related to real estate assets as a result of our decision to shift to a Virtual First work model.</w:t>
      </w:r>
    </w:p>
    <w:p>
      <w:pPr>
        <w:sectPr>
          <w:pgSz w:w="11900" w:h="16838" w:orient="portrait"/>
          <w:cols w:equalWidth="0" w:num="1">
            <w:col w:w="11194"/>
          </w:cols>
          <w:pgMar w:left="326" w:top="1352" w:right="379" w:bottom="1440" w:gutter="0" w:footer="0" w:header="0"/>
        </w:sectPr>
      </w:pPr>
    </w:p>
    <w:bookmarkStart w:id="14" w:name="page15"/>
    <w:bookmarkEnd w:id="14"/>
    <w:p>
      <w:pPr>
        <w:jc w:val="center"/>
        <w:ind w:right="-9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Three and Twelve Months Ended December 31, 2021 and 2020</w:t>
      </w:r>
    </w:p>
    <w:p>
      <w:pPr>
        <w:spacing w:after="0" w:line="7"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Reconciliation of GAAP net income (loss) to Non-GAAP net income and Non-GAAP diluted net income per share</w:t>
      </w:r>
    </w:p>
    <w:p>
      <w:pPr>
        <w:spacing w:after="0" w:line="10"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(Unaudited)</w:t>
      </w:r>
    </w:p>
    <w:tbl>
      <w:tblPr>
        <w:tblLayout w:type="fixed"/>
        <w:tblInd w:w="154" w:type="dxa"/>
        <w:tblCellMar>
          <w:top w:w="0" w:type="dxa"/>
          <w:left w:w="0" w:type="dxa"/>
          <w:bottom w:w="0" w:type="dxa"/>
          <w:right w:w="0" w:type="dxa"/>
        </w:tblCellMar>
      </w:tblPr>
      <w:tr>
        <w:trPr>
          <w:trHeight w:val="206"/>
        </w:trPr>
        <w:tc>
          <w:tcPr>
            <w:tcW w:w="4260" w:type="dxa"/>
            <w:vAlign w:val="bottom"/>
          </w:tcPr>
          <w:p>
            <w:pPr>
              <w:spacing w:after="0"/>
              <w:rPr>
                <w:sz w:val="17"/>
                <w:szCs w:val="17"/>
                <w:color w:val="auto"/>
              </w:rPr>
            </w:pPr>
          </w:p>
        </w:tc>
        <w:tc>
          <w:tcPr>
            <w:tcW w:w="2700" w:type="dxa"/>
            <w:vAlign w:val="bottom"/>
            <w:gridSpan w:val="4"/>
          </w:tcPr>
          <w:p>
            <w:pPr>
              <w:jc w:val="right"/>
              <w:ind w:right="171"/>
              <w:spacing w:after="0" w:line="206" w:lineRule="exact"/>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711"/>
              <w:spacing w:after="0" w:line="206" w:lineRule="exact"/>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26"/>
        </w:trPr>
        <w:tc>
          <w:tcPr>
            <w:tcW w:w="42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8"/>
                <w:szCs w:val="18"/>
                <w:b w:val="1"/>
                <w:bCs w:val="1"/>
                <w:color w:val="auto"/>
                <w:w w:val="93"/>
              </w:rPr>
              <w:t>December 31,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and other expenses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Impairment related to real estate assets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Workforce reduction expense</w:t>
            </w:r>
          </w:p>
        </w:tc>
        <w:tc>
          <w:tcPr>
            <w:tcW w:w="10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gains on equity investments</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Net gains on lease termination</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effects of non-GAAP adjustments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74"/>
        </w:trPr>
        <w:tc>
          <w:tcPr>
            <w:tcW w:w="4260" w:type="dxa"/>
            <w:vAlign w:val="bottom"/>
          </w:tcPr>
          <w:p>
            <w:pPr>
              <w:spacing w:after="0" w:line="174" w:lineRule="exact"/>
              <w:rPr>
                <w:sz w:val="20"/>
                <w:szCs w:val="20"/>
                <w:color w:val="auto"/>
              </w:rPr>
            </w:pPr>
            <w:r>
              <w:rPr>
                <w:rFonts w:ascii="Arial" w:cs="Arial" w:eastAsia="Arial" w:hAnsi="Arial"/>
                <w:sz w:val="18"/>
                <w:szCs w:val="18"/>
                <w:color w:val="auto"/>
              </w:rPr>
              <w:t>Income tax benefit from the release of a valuation</w:t>
            </w:r>
          </w:p>
        </w:tc>
        <w:tc>
          <w:tcPr>
            <w:tcW w:w="10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allowance on deferred tax assets</w:t>
            </w:r>
          </w:p>
        </w:tc>
        <w:tc>
          <w:tcPr>
            <w:tcW w:w="104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40" w:type="dxa"/>
            <w:vAlign w:val="bottom"/>
            <w:tcBorders>
              <w:top w:val="single" w:sz="8" w:color="auto"/>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60" w:type="dxa"/>
            <w:vAlign w:val="bottom"/>
          </w:tcPr>
          <w:p>
            <w:pPr>
              <w:spacing w:after="0" w:line="199" w:lineRule="exact"/>
              <w:rPr>
                <w:sz w:val="20"/>
                <w:szCs w:val="20"/>
                <w:color w:val="auto"/>
              </w:rPr>
            </w:pPr>
            <w:r>
              <w:rPr>
                <w:rFonts w:ascii="Arial" w:cs="Arial" w:eastAsia="Arial" w:hAnsi="Arial"/>
                <w:sz w:val="18"/>
                <w:szCs w:val="18"/>
                <w:color w:val="auto"/>
              </w:rPr>
              <w:t>Non-GAAP diluted net income per share</w:t>
            </w:r>
          </w:p>
        </w:tc>
        <w:tc>
          <w:tcPr>
            <w:tcW w:w="1040" w:type="dxa"/>
            <w:vAlign w:val="bottom"/>
            <w:tcBorders>
              <w:bottom w:val="single" w:sz="8" w:color="auto"/>
            </w:tcBorders>
          </w:tcPr>
          <w:p>
            <w:pPr>
              <w:jc w:val="right"/>
              <w:ind w:right="851"/>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0.41</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1"/>
              <w:spacing w:after="0" w:line="199"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0.28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1"/>
              <w:spacing w:after="0" w:line="199"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1.54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1"/>
              <w:spacing w:after="0" w:line="199"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260" w:type="dxa"/>
            <w:vAlign w:val="bottom"/>
            <w:shd w:val="clear" w:color="auto" w:fill="CCEEFF"/>
          </w:tcPr>
          <w:p>
            <w:pPr>
              <w:spacing w:after="0" w:line="140" w:lineRule="exact"/>
              <w:rPr>
                <w:sz w:val="20"/>
                <w:szCs w:val="20"/>
                <w:color w:val="auto"/>
              </w:rPr>
            </w:pPr>
            <w:r>
              <w:rPr>
                <w:rFonts w:ascii="Arial" w:cs="Arial" w:eastAsia="Arial" w:hAnsi="Arial"/>
                <w:sz w:val="15"/>
                <w:szCs w:val="15"/>
                <w:color w:val="auto"/>
              </w:rPr>
              <w:t>Weighted-average shares used to compute Non-GAAP</w:t>
            </w:r>
          </w:p>
        </w:tc>
        <w:tc>
          <w:tcPr>
            <w:tcW w:w="10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8"/>
        </w:trPr>
        <w:tc>
          <w:tcPr>
            <w:tcW w:w="4260" w:type="dxa"/>
            <w:vAlign w:val="bottom"/>
            <w:tcBorders>
              <w:bottom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diluted net income per share</w:t>
            </w: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Three and Twelve Months Ended December 31, 2021 and 2020</w:t>
      </w:r>
    </w:p>
    <w:p>
      <w:pPr>
        <w:spacing w:after="0" w:line="7"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Reconciliation of free cash flow and supplemental cash flow disclosure</w:t>
      </w:r>
    </w:p>
    <w:p>
      <w:pPr>
        <w:spacing w:after="0" w:line="10"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(In millions, except for percentages)</w:t>
      </w:r>
    </w:p>
    <w:p>
      <w:pPr>
        <w:spacing w:after="0" w:line="3"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(Unaudited)</w:t>
      </w:r>
    </w:p>
    <w:tbl>
      <w:tblPr>
        <w:tblLayout w:type="fixed"/>
        <w:tblInd w:w="154" w:type="dxa"/>
        <w:tblCellMar>
          <w:top w:w="0" w:type="dxa"/>
          <w:left w:w="0" w:type="dxa"/>
          <w:bottom w:w="0" w:type="dxa"/>
          <w:right w:w="0" w:type="dxa"/>
        </w:tblCellMar>
      </w:tblPr>
      <w:tr>
        <w:trPr>
          <w:trHeight w:val="206"/>
        </w:trPr>
        <w:tc>
          <w:tcPr>
            <w:tcW w:w="4020" w:type="dxa"/>
            <w:vAlign w:val="bottom"/>
          </w:tcPr>
          <w:p>
            <w:pPr>
              <w:spacing w:after="0"/>
              <w:rPr>
                <w:sz w:val="17"/>
                <w:szCs w:val="17"/>
                <w:color w:val="auto"/>
              </w:rPr>
            </w:pPr>
          </w:p>
        </w:tc>
        <w:tc>
          <w:tcPr>
            <w:tcW w:w="2760" w:type="dxa"/>
            <w:vAlign w:val="bottom"/>
            <w:gridSpan w:val="4"/>
          </w:tcPr>
          <w:p>
            <w:pPr>
              <w:jc w:val="right"/>
              <w:ind w:right="171"/>
              <w:spacing w:after="0" w:line="206" w:lineRule="exact"/>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4"/>
          </w:tcPr>
          <w:p>
            <w:pPr>
              <w:jc w:val="right"/>
              <w:ind w:right="771"/>
              <w:spacing w:after="0" w:line="206" w:lineRule="exact"/>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26"/>
        </w:trPr>
        <w:tc>
          <w:tcPr>
            <w:tcW w:w="40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8"/>
                <w:szCs w:val="18"/>
                <w:b w:val="1"/>
                <w:bCs w:val="1"/>
                <w:color w:val="auto"/>
              </w:rPr>
              <w:t>December 31,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Free cash flow reconciliation:</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162.7</w:t>
            </w:r>
          </w:p>
        </w:tc>
        <w:tc>
          <w:tcPr>
            <w:tcW w:w="80" w:type="dxa"/>
            <w:vAlign w:val="bottom"/>
          </w:tcPr>
          <w:p>
            <w:pPr>
              <w:spacing w:after="0"/>
              <w:rPr>
                <w:sz w:val="19"/>
                <w:szCs w:val="19"/>
                <w:color w:val="auto"/>
              </w:rPr>
            </w:pPr>
          </w:p>
        </w:tc>
        <w:tc>
          <w:tcPr>
            <w:tcW w:w="1020" w:type="dxa"/>
            <w:vAlign w:val="bottom"/>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170.7</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570.8</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Capital expenditures</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7"/>
              </w:rPr>
              <w:t>(12.3)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5"/>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8"/>
              </w:rPr>
              <w:t>161.4</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8"/>
              </w:rPr>
              <w:t>158.4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707.7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Free cash flow margin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28.5 %</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31.4 %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198" w:lineRule="exact"/>
              <w:rPr>
                <w:sz w:val="20"/>
                <w:szCs w:val="20"/>
                <w:color w:val="auto"/>
              </w:rPr>
            </w:pPr>
            <w:r>
              <w:rPr>
                <w:rFonts w:ascii="Arial" w:cs="Arial" w:eastAsia="Arial" w:hAnsi="Arial"/>
                <w:sz w:val="18"/>
                <w:szCs w:val="18"/>
                <w:color w:val="auto"/>
              </w:rPr>
              <w:t>32.8 %</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20" w:type="dxa"/>
            <w:vAlign w:val="bottom"/>
          </w:tcPr>
          <w:p>
            <w:pPr>
              <w:ind w:left="200"/>
              <w:spacing w:after="0" w:line="173" w:lineRule="exact"/>
              <w:rPr>
                <w:sz w:val="20"/>
                <w:szCs w:val="20"/>
                <w:color w:val="auto"/>
              </w:rPr>
            </w:pPr>
            <w:r>
              <w:rPr>
                <w:rFonts w:ascii="Arial" w:cs="Arial" w:eastAsia="Arial" w:hAnsi="Arial"/>
                <w:sz w:val="18"/>
                <w:szCs w:val="18"/>
                <w:color w:val="auto"/>
                <w:w w:val="98"/>
              </w:rPr>
              <w:t>Key employee holdback payments related to the</w:t>
            </w:r>
          </w:p>
        </w:tc>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ind w:right="131"/>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5"/>
                <w:szCs w:val="15"/>
                <w:color w:val="auto"/>
              </w:rPr>
            </w:pPr>
          </w:p>
        </w:tc>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ind w:right="1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380" w:type="dxa"/>
            <w:vAlign w:val="bottom"/>
            <w:vMerge w:val="restart"/>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5"/>
                <w:szCs w:val="15"/>
                <w:color w:val="auto"/>
              </w:rPr>
            </w:pPr>
          </w:p>
        </w:tc>
        <w:tc>
          <w:tcPr>
            <w:tcW w:w="560" w:type="dxa"/>
            <w:vAlign w:val="bottom"/>
            <w:vMerge w:val="restart"/>
          </w:tcPr>
          <w:p>
            <w:pPr>
              <w:jc w:val="right"/>
              <w:ind w:right="371"/>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ind w:right="13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4"/>
        </w:trPr>
        <w:tc>
          <w:tcPr>
            <w:tcW w:w="4020" w:type="dxa"/>
            <w:vAlign w:val="bottom"/>
          </w:tcPr>
          <w:p>
            <w:pPr>
              <w:ind w:left="200"/>
              <w:spacing w:after="0" w:line="199" w:lineRule="exact"/>
              <w:rPr>
                <w:sz w:val="20"/>
                <w:szCs w:val="20"/>
                <w:color w:val="auto"/>
              </w:rPr>
            </w:pPr>
            <w:r>
              <w:rPr>
                <w:rFonts w:ascii="Arial" w:cs="Arial" w:eastAsia="Arial" w:hAnsi="Arial"/>
                <w:sz w:val="18"/>
                <w:szCs w:val="18"/>
                <w:color w:val="auto"/>
              </w:rPr>
              <w:t>acquisition of HelloSign</w:t>
            </w:r>
            <w:r>
              <w:rPr>
                <w:rFonts w:ascii="Arial" w:cs="Arial" w:eastAsia="Arial" w:hAnsi="Arial"/>
                <w:sz w:val="23"/>
                <w:szCs w:val="23"/>
                <w:color w:val="auto"/>
                <w:vertAlign w:val="superscript"/>
              </w:rPr>
              <w:t>(1)</w:t>
            </w:r>
          </w:p>
        </w:tc>
        <w:tc>
          <w:tcPr>
            <w:tcW w:w="10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20" w:type="dxa"/>
            <w:vAlign w:val="bottom"/>
            <w:shd w:val="clear" w:color="auto" w:fill="CCEEFF"/>
          </w:tcPr>
          <w:p>
            <w:pPr>
              <w:ind w:left="200"/>
              <w:spacing w:after="0" w:line="219" w:lineRule="exact"/>
              <w:rPr>
                <w:sz w:val="20"/>
                <w:szCs w:val="20"/>
                <w:color w:val="auto"/>
              </w:rPr>
            </w:pPr>
            <w:r>
              <w:rPr>
                <w:rFonts w:ascii="Arial" w:cs="Arial" w:eastAsia="Arial" w:hAnsi="Arial"/>
                <w:sz w:val="18"/>
                <w:szCs w:val="18"/>
                <w:color w:val="auto"/>
              </w:rPr>
              <w:t>Payments related to workforce reduction</w:t>
            </w:r>
            <w:r>
              <w:rPr>
                <w:rFonts w:ascii="Arial" w:cs="Arial" w:eastAsia="Arial" w:hAnsi="Arial"/>
                <w:sz w:val="23"/>
                <w:szCs w:val="23"/>
                <w:color w:val="auto"/>
                <w:vertAlign w:val="superscript"/>
              </w:rPr>
              <w:t>(2)</w:t>
            </w:r>
          </w:p>
        </w:tc>
        <w:tc>
          <w:tcPr>
            <w:tcW w:w="102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 w:firstLine="6"/>
        <w:spacing w:after="0" w:line="270" w:lineRule="auto"/>
        <w:tabs>
          <w:tab w:leader="none" w:pos="154"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As part of our acquisition of HelloSign in 2019, we have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first quarter of 2020, and will be paid evenly in quarterly installments over the remaining required service period.</w:t>
      </w:r>
    </w:p>
    <w:p>
      <w:pPr>
        <w:spacing w:after="0" w:line="198" w:lineRule="exact"/>
        <w:rPr>
          <w:rFonts w:ascii="Arial" w:cs="Arial" w:eastAsia="Arial" w:hAnsi="Arial"/>
          <w:sz w:val="18"/>
          <w:szCs w:val="18"/>
          <w:color w:val="auto"/>
          <w:vertAlign w:val="superscript"/>
        </w:rPr>
      </w:pPr>
    </w:p>
    <w:p>
      <w:pPr>
        <w:ind w:left="154" w:hanging="154"/>
        <w:spacing w:after="0"/>
        <w:tabs>
          <w:tab w:leader="none" w:pos="154"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payments made related to workforce reduction such as severance, benefits, and other related items.</w:t>
      </w:r>
    </w:p>
    <w:p>
      <w:pPr>
        <w:sectPr>
          <w:pgSz w:w="11900" w:h="16838" w:orient="portrait"/>
          <w:cols w:equalWidth="0" w:num="1">
            <w:col w:w="11154"/>
          </w:cols>
          <w:pgMar w:left="326" w:top="874"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51"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impairment charges related to real estate assets, and expenses related to our reduction in force. Non-GAAP net income also excludes net gains and losses on equity investments and lease termination, and includes the income tax effect of the aforementioned adjustments, as well as the income tax benefit from the release of a valuation allowance on our Irish deferred tax assets. FCF differs from GAAP net cash provided by operating activities in that it treats capital expenditures as a reduction to net cash provided by operating activities. Free cash flow margin is calculated as FCF divided by revenue. For periods that we are in a GAAP net income position, the weighted average shares used in the computation are the same as the shares used in our non-GAAP diluted net income per share computation. In order to present revenue on a constant currency basis for the quarter ended December 31, 2021,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200" w:lineRule="exact"/>
        <w:rPr>
          <w:sz w:val="20"/>
          <w:szCs w:val="20"/>
          <w:color w:val="auto"/>
        </w:rPr>
      </w:pPr>
    </w:p>
    <w:p>
      <w:pPr>
        <w:spacing w:after="0" w:line="20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1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2"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reduction in workforce and key employee holdback payments related to the acquisition of HelloSign.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20"/>
          </w:cols>
          <w:pgMar w:left="320" w:top="87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Kern Kapoor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Alissa Stewart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press@dropbox.com</w:t>
      </w:r>
    </w:p>
    <w:sectPr>
      <w:pgSz w:w="11900" w:h="16838" w:orient="portrait"/>
      <w:cols w:equalWidth="0" w:num="1">
        <w:col w:w="10139"/>
      </w:cols>
      <w:pgMar w:left="320" w:top="8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lvl>
    <w:lvl w:ilvl="1">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2022-02-17T15:20:06Z</dcterms:created>
  <dcterms:modified xsi:type="dcterms:W3CDTF">2022-02-17T15:20:06Z</dcterms:modified>
</cp:coreProperties>
</file>