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746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4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8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9"/>
                </w:rPr>
                <w:t>Ferdowsi Arash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9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DROPBOX,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DBX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40" w:type="dxa"/>
            <w:vAlign w:val="bottom"/>
            <w:gridSpan w:val="6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03/19/2020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1800 OWENS STREET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94158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8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4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03/19/2020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C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19,360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19,360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03/19/2020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(3)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19,360</w:t>
            </w: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 xml:space="preserve">D  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17.0574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7"/>
                <w:vertAlign w:val="superscript"/>
              </w:rPr>
              <w:t>(4)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2C2C2C"/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  <w:tcBorders>
              <w:top w:val="single" w:sz="8" w:color="2C2C2C"/>
              <w:bottom w:val="single" w:sz="8" w:color="2C2C2C"/>
            </w:tcBorders>
            <w:gridSpan w:val="4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03/19/2020</w:t>
            </w:r>
          </w:p>
        </w:tc>
        <w:tc>
          <w:tcPr>
            <w:tcW w:w="1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6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(5)</w:t>
            </w:r>
          </w:p>
        </w:tc>
        <w:tc>
          <w:tcPr>
            <w:tcW w:w="8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4,400,000</w:t>
            </w:r>
          </w:p>
        </w:tc>
        <w:tc>
          <w:tcPr>
            <w:tcW w:w="5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0.00</w:t>
            </w:r>
          </w:p>
        </w:tc>
        <w:tc>
          <w:tcPr>
            <w:tcW w:w="92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of (D)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left="9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19,360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03/19/2020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19,360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28,485,483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-3783965</wp:posOffset>
            </wp:positionV>
            <wp:extent cx="7033895" cy="37871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787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19,360 shares of Class B Common Stock were converted into 19,360 shares of Class A Common Stock at the election of the Reporting Person and had no expiration date.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by the Arash Ferdowsi Revocable Trust u/a/d 4/20/2012, for which the Reporting Person serves as trustee.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were sold pursuant to a Rule 10b5-1 trading plan entered into by the Reporting Person.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$17.00 to $17.16.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50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 connection with the termination of the reporting person as an officer of the issuer, the reporting person has disposed 4,400,000 shares to the issuer pursuant to the terms of a restricted stock agreement between the issuer and the reporting person.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Issuer's Class B Common Stock is convertible into the Issuer's Class A Common Stock on a one-for-one basis at the Reporting Person's election and has no expiration date.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Mary Anne Becking,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03/23/2020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Attorney-In-Fact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4434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2020-03-23T20:36:28Z</dcterms:created>
  <dcterms:modified xsi:type="dcterms:W3CDTF">2020-03-23T20:36:28Z</dcterms:modified>
</cp:coreProperties>
</file>