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February 22, 2023</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-146685</wp:posOffset>
            </wp:positionH>
            <wp:positionV relativeFrom="paragraph">
              <wp:posOffset>59055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76200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2621280</wp:posOffset>
            </wp:positionH>
            <wp:positionV relativeFrom="paragraph">
              <wp:posOffset>38735</wp:posOffset>
            </wp:positionV>
            <wp:extent cx="1594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S-8</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2621280</wp:posOffset>
            </wp:positionH>
            <wp:positionV relativeFrom="paragraph">
              <wp:posOffset>26035</wp:posOffset>
            </wp:positionV>
            <wp:extent cx="15944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DROPBOX,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2621280</wp:posOffset>
            </wp:positionH>
            <wp:positionV relativeFrom="paragraph">
              <wp:posOffset>33020</wp:posOffset>
            </wp:positionV>
            <wp:extent cx="15944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ectPr>
          <w:pgSz w:w="11900" w:h="16838" w:orient="portrait"/>
          <w:cols w:equalWidth="0" w:num="1">
            <w:col w:w="10760"/>
          </w:cols>
          <w:pgMar w:left="560" w:top="533" w:right="579" w:bottom="1440" w:gutter="0" w:footer="0" w:header="0"/>
        </w:sectPr>
      </w:pPr>
    </w:p>
    <w:p>
      <w:pPr>
        <w:spacing w:after="0" w:line="184"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26-0138832</w:t>
      </w:r>
    </w:p>
    <w:p>
      <w:pPr>
        <w:spacing w:after="0" w:line="28" w:lineRule="exact"/>
        <w:rPr>
          <w:sz w:val="24"/>
          <w:szCs w:val="24"/>
          <w:color w:val="auto"/>
        </w:rPr>
      </w:pPr>
    </w:p>
    <w:p>
      <w:pPr>
        <w:sectPr>
          <w:pgSz w:w="11900" w:h="16838" w:orient="portrait"/>
          <w:cols w:equalWidth="0" w:num="2">
            <w:col w:w="8240" w:space="720"/>
            <w:col w:w="1800"/>
          </w:cols>
          <w:pgMar w:left="560" w:top="533" w:right="579"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12"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4" w:lineRule="exact"/>
        <w:rPr>
          <w:sz w:val="24"/>
          <w:szCs w:val="24"/>
          <w:color w:val="auto"/>
        </w:rPr>
      </w:pPr>
    </w:p>
    <w:p>
      <w:pPr>
        <w:sectPr>
          <w:pgSz w:w="11900" w:h="16838" w:orient="portrait"/>
          <w:cols w:equalWidth="0" w:num="2">
            <w:col w:w="8140" w:space="720"/>
            <w:col w:w="1900"/>
          </w:cols>
          <w:pgMar w:left="560" w:top="533" w:right="57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Dropbox, Inc.</w:t>
      </w:r>
    </w:p>
    <w:p>
      <w:pPr>
        <w:jc w:val="center"/>
        <w:spacing w:after="0" w:line="211" w:lineRule="auto"/>
        <w:rPr>
          <w:sz w:val="20"/>
          <w:szCs w:val="20"/>
          <w:color w:val="auto"/>
        </w:rPr>
      </w:pPr>
      <w:r>
        <w:rPr>
          <w:rFonts w:ascii="Times New Roman" w:cs="Times New Roman" w:eastAsia="Times New Roman" w:hAnsi="Times New Roman"/>
          <w:sz w:val="16"/>
          <w:szCs w:val="16"/>
          <w:b w:val="1"/>
          <w:bCs w:val="1"/>
          <w:color w:val="auto"/>
        </w:rPr>
        <w:t>1800 Owens Street</w:t>
      </w:r>
    </w:p>
    <w:p>
      <w:pPr>
        <w:jc w:val="center"/>
        <w:spacing w:after="0" w:line="211" w:lineRule="auto"/>
        <w:rPr>
          <w:sz w:val="20"/>
          <w:szCs w:val="20"/>
          <w:color w:val="auto"/>
        </w:rPr>
      </w:pPr>
      <w:r>
        <w:rPr>
          <w:rFonts w:ascii="Times New Roman" w:cs="Times New Roman" w:eastAsia="Times New Roman" w:hAnsi="Times New Roman"/>
          <w:sz w:val="16"/>
          <w:szCs w:val="16"/>
          <w:b w:val="1"/>
          <w:bCs w:val="1"/>
          <w:color w:val="auto"/>
        </w:rPr>
        <w:t>San Francisco, California 94158</w:t>
      </w:r>
    </w:p>
    <w:p>
      <w:pPr>
        <w:jc w:val="center"/>
        <w:spacing w:after="0"/>
        <w:rPr>
          <w:sz w:val="20"/>
          <w:szCs w:val="20"/>
          <w:color w:val="auto"/>
        </w:rPr>
      </w:pPr>
      <w:r>
        <w:rPr>
          <w:rFonts w:ascii="Times New Roman" w:cs="Times New Roman" w:eastAsia="Times New Roman" w:hAnsi="Times New Roman"/>
          <w:sz w:val="16"/>
          <w:szCs w:val="16"/>
          <w:b w:val="1"/>
          <w:bCs w:val="1"/>
          <w:color w:val="auto"/>
        </w:rPr>
        <w:t>(415) 857-6800</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including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2621280</wp:posOffset>
            </wp:positionH>
            <wp:positionV relativeFrom="paragraph">
              <wp:posOffset>45085</wp:posOffset>
            </wp:positionV>
            <wp:extent cx="15944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ectPr>
          <w:pgSz w:w="11900" w:h="16838" w:orient="portrait"/>
          <w:cols w:equalWidth="0" w:num="1">
            <w:col w:w="10760"/>
          </w:cols>
          <w:pgMar w:left="560" w:top="533" w:right="579" w:bottom="1440" w:gutter="0" w:footer="0" w:header="0"/>
          <w:type w:val="continuous"/>
        </w:sectPr>
      </w:pP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2018 Equity Incentive Plan</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2621280</wp:posOffset>
            </wp:positionH>
            <wp:positionV relativeFrom="paragraph">
              <wp:posOffset>34925</wp:posOffset>
            </wp:positionV>
            <wp:extent cx="1594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Andrew W. Houston</w:t>
      </w:r>
    </w:p>
    <w:p>
      <w:pPr>
        <w:jc w:val="center"/>
        <w:spacing w:after="0" w:line="211" w:lineRule="auto"/>
        <w:rPr>
          <w:sz w:val="20"/>
          <w:szCs w:val="20"/>
          <w:color w:val="auto"/>
        </w:rPr>
      </w:pPr>
      <w:r>
        <w:rPr>
          <w:rFonts w:ascii="Times New Roman" w:cs="Times New Roman" w:eastAsia="Times New Roman" w:hAnsi="Times New Roman"/>
          <w:sz w:val="16"/>
          <w:szCs w:val="16"/>
          <w:b w:val="1"/>
          <w:bCs w:val="1"/>
          <w:color w:val="auto"/>
        </w:rPr>
        <w:t>Chief Executive Officer</w:t>
      </w:r>
    </w:p>
    <w:p>
      <w:pPr>
        <w:jc w:val="center"/>
        <w:spacing w:after="0" w:line="211" w:lineRule="auto"/>
        <w:rPr>
          <w:sz w:val="20"/>
          <w:szCs w:val="20"/>
          <w:color w:val="auto"/>
        </w:rPr>
      </w:pPr>
      <w:r>
        <w:rPr>
          <w:rFonts w:ascii="Times New Roman" w:cs="Times New Roman" w:eastAsia="Times New Roman" w:hAnsi="Times New Roman"/>
          <w:sz w:val="16"/>
          <w:szCs w:val="16"/>
          <w:b w:val="1"/>
          <w:bCs w:val="1"/>
          <w:color w:val="auto"/>
        </w:rPr>
        <w:t>Dropbox, Inc.</w:t>
      </w:r>
    </w:p>
    <w:p>
      <w:pPr>
        <w:jc w:val="center"/>
        <w:spacing w:after="0" w:line="211" w:lineRule="auto"/>
        <w:rPr>
          <w:sz w:val="20"/>
          <w:szCs w:val="20"/>
          <w:color w:val="auto"/>
        </w:rPr>
      </w:pPr>
      <w:r>
        <w:rPr>
          <w:rFonts w:ascii="Times New Roman" w:cs="Times New Roman" w:eastAsia="Times New Roman" w:hAnsi="Times New Roman"/>
          <w:sz w:val="16"/>
          <w:szCs w:val="16"/>
          <w:b w:val="1"/>
          <w:bCs w:val="1"/>
          <w:color w:val="auto"/>
        </w:rPr>
        <w:t>1800 Owens Street</w:t>
      </w:r>
    </w:p>
    <w:p>
      <w:pPr>
        <w:jc w:val="center"/>
        <w:spacing w:after="0" w:line="212" w:lineRule="auto"/>
        <w:rPr>
          <w:sz w:val="20"/>
          <w:szCs w:val="20"/>
          <w:color w:val="auto"/>
        </w:rPr>
      </w:pPr>
      <w:r>
        <w:rPr>
          <w:rFonts w:ascii="Times New Roman" w:cs="Times New Roman" w:eastAsia="Times New Roman" w:hAnsi="Times New Roman"/>
          <w:sz w:val="16"/>
          <w:szCs w:val="16"/>
          <w:b w:val="1"/>
          <w:bCs w:val="1"/>
          <w:color w:val="auto"/>
        </w:rPr>
        <w:t>San Francisco, California 94158</w:t>
      </w:r>
    </w:p>
    <w:p>
      <w:pPr>
        <w:jc w:val="center"/>
        <w:spacing w:after="0"/>
        <w:rPr>
          <w:sz w:val="20"/>
          <w:szCs w:val="20"/>
          <w:color w:val="auto"/>
        </w:rPr>
      </w:pPr>
      <w:r>
        <w:rPr>
          <w:rFonts w:ascii="Times New Roman" w:cs="Times New Roman" w:eastAsia="Times New Roman" w:hAnsi="Times New Roman"/>
          <w:sz w:val="16"/>
          <w:szCs w:val="16"/>
          <w:b w:val="1"/>
          <w:bCs w:val="1"/>
          <w:color w:val="auto"/>
        </w:rPr>
        <w:t>(415) 857-6800</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2621280</wp:posOffset>
            </wp:positionH>
            <wp:positionV relativeFrom="paragraph">
              <wp:posOffset>37465</wp:posOffset>
            </wp:positionV>
            <wp:extent cx="15944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72" w:lineRule="exact"/>
        <w:rPr>
          <w:sz w:val="24"/>
          <w:szCs w:val="24"/>
          <w:color w:val="auto"/>
        </w:rPr>
      </w:pPr>
    </w:p>
    <w:tbl>
      <w:tblPr>
        <w:tblLayout w:type="fixed"/>
        <w:tblInd w:w="1080" w:type="dxa"/>
        <w:tblCellMar>
          <w:top w:w="0" w:type="dxa"/>
          <w:left w:w="0" w:type="dxa"/>
          <w:bottom w:w="0" w:type="dxa"/>
          <w:right w:w="0" w:type="dxa"/>
        </w:tblCellMar>
      </w:tblPr>
      <w:tr>
        <w:trPr>
          <w:trHeight w:val="212"/>
        </w:trPr>
        <w:tc>
          <w:tcPr>
            <w:tcW w:w="3420" w:type="dxa"/>
            <w:vAlign w:val="bottom"/>
          </w:tcPr>
          <w:p>
            <w:pPr>
              <w:spacing w:after="0"/>
              <w:rPr>
                <w:sz w:val="18"/>
                <w:szCs w:val="18"/>
                <w:color w:val="auto"/>
              </w:rPr>
            </w:pPr>
          </w:p>
        </w:tc>
        <w:tc>
          <w:tcPr>
            <w:tcW w:w="4680" w:type="dxa"/>
            <w:vAlign w:val="bottom"/>
          </w:tcPr>
          <w:p>
            <w:pPr>
              <w:ind w:left="680"/>
              <w:spacing w:after="0"/>
              <w:rPr>
                <w:sz w:val="20"/>
                <w:szCs w:val="20"/>
                <w:color w:val="auto"/>
              </w:rPr>
            </w:pPr>
            <w:r>
              <w:rPr>
                <w:rFonts w:ascii="Times New Roman" w:cs="Times New Roman" w:eastAsia="Times New Roman" w:hAnsi="Times New Roman"/>
                <w:sz w:val="16"/>
                <w:szCs w:val="16"/>
                <w:i w:val="1"/>
                <w:iCs w:val="1"/>
                <w:color w:val="auto"/>
              </w:rPr>
              <w:t>Copies to:</w:t>
            </w:r>
          </w:p>
        </w:tc>
      </w:tr>
      <w:tr>
        <w:trPr>
          <w:trHeight w:val="168"/>
        </w:trPr>
        <w:tc>
          <w:tcPr>
            <w:tcW w:w="3420" w:type="dxa"/>
            <w:vAlign w:val="bottom"/>
          </w:tcPr>
          <w:p>
            <w:pPr>
              <w:jc w:val="center"/>
              <w:ind w:right="599"/>
              <w:spacing w:after="0" w:line="168" w:lineRule="exact"/>
              <w:rPr>
                <w:sz w:val="20"/>
                <w:szCs w:val="20"/>
                <w:color w:val="auto"/>
              </w:rPr>
            </w:pPr>
            <w:r>
              <w:rPr>
                <w:rFonts w:ascii="Times New Roman" w:cs="Times New Roman" w:eastAsia="Times New Roman" w:hAnsi="Times New Roman"/>
                <w:sz w:val="16"/>
                <w:szCs w:val="16"/>
                <w:b w:val="1"/>
                <w:bCs w:val="1"/>
                <w:color w:val="auto"/>
              </w:rPr>
              <w:t>Lisa L. Stimmell, Esq.</w:t>
            </w:r>
          </w:p>
        </w:tc>
        <w:tc>
          <w:tcPr>
            <w:tcW w:w="4680" w:type="dxa"/>
            <w:vAlign w:val="bottom"/>
          </w:tcPr>
          <w:p>
            <w:pPr>
              <w:jc w:val="center"/>
              <w:ind w:left="2379"/>
              <w:spacing w:after="0" w:line="168" w:lineRule="exact"/>
              <w:rPr>
                <w:sz w:val="20"/>
                <w:szCs w:val="20"/>
                <w:color w:val="auto"/>
              </w:rPr>
            </w:pPr>
            <w:r>
              <w:rPr>
                <w:rFonts w:ascii="Times New Roman" w:cs="Times New Roman" w:eastAsia="Times New Roman" w:hAnsi="Times New Roman"/>
                <w:sz w:val="16"/>
                <w:szCs w:val="16"/>
                <w:b w:val="1"/>
                <w:bCs w:val="1"/>
                <w:color w:val="auto"/>
                <w:w w:val="98"/>
              </w:rPr>
              <w:t>Bart E. Volkmer, Esq.</w:t>
            </w:r>
          </w:p>
        </w:tc>
      </w:tr>
      <w:tr>
        <w:trPr>
          <w:trHeight w:val="162"/>
        </w:trPr>
        <w:tc>
          <w:tcPr>
            <w:tcW w:w="3420" w:type="dxa"/>
            <w:vAlign w:val="bottom"/>
          </w:tcPr>
          <w:p>
            <w:pPr>
              <w:jc w:val="center"/>
              <w:ind w:right="579"/>
              <w:spacing w:after="0" w:line="162" w:lineRule="exact"/>
              <w:rPr>
                <w:sz w:val="20"/>
                <w:szCs w:val="20"/>
                <w:color w:val="auto"/>
              </w:rPr>
            </w:pPr>
            <w:r>
              <w:rPr>
                <w:rFonts w:ascii="Times New Roman" w:cs="Times New Roman" w:eastAsia="Times New Roman" w:hAnsi="Times New Roman"/>
                <w:sz w:val="16"/>
                <w:szCs w:val="16"/>
                <w:b w:val="1"/>
                <w:bCs w:val="1"/>
                <w:color w:val="auto"/>
              </w:rPr>
              <w:t>Andrew S. Gillman, Esq.</w:t>
            </w:r>
          </w:p>
        </w:tc>
        <w:tc>
          <w:tcPr>
            <w:tcW w:w="4680" w:type="dxa"/>
            <w:vAlign w:val="bottom"/>
          </w:tcPr>
          <w:p>
            <w:pPr>
              <w:jc w:val="center"/>
              <w:ind w:left="2379"/>
              <w:spacing w:after="0" w:line="162" w:lineRule="exact"/>
              <w:rPr>
                <w:sz w:val="20"/>
                <w:szCs w:val="20"/>
                <w:color w:val="auto"/>
              </w:rPr>
            </w:pPr>
            <w:r>
              <w:rPr>
                <w:rFonts w:ascii="Times New Roman" w:cs="Times New Roman" w:eastAsia="Times New Roman" w:hAnsi="Times New Roman"/>
                <w:sz w:val="16"/>
                <w:szCs w:val="16"/>
                <w:b w:val="1"/>
                <w:bCs w:val="1"/>
                <w:color w:val="auto"/>
              </w:rPr>
              <w:t>Cara M. Angelmar, Esq.</w:t>
            </w:r>
          </w:p>
        </w:tc>
      </w:tr>
      <w:tr>
        <w:trPr>
          <w:trHeight w:val="162"/>
        </w:trPr>
        <w:tc>
          <w:tcPr>
            <w:tcW w:w="3420" w:type="dxa"/>
            <w:vAlign w:val="bottom"/>
          </w:tcPr>
          <w:p>
            <w:pPr>
              <w:jc w:val="center"/>
              <w:ind w:right="599"/>
              <w:spacing w:after="0" w:line="162" w:lineRule="exact"/>
              <w:rPr>
                <w:sz w:val="20"/>
                <w:szCs w:val="20"/>
                <w:color w:val="auto"/>
              </w:rPr>
            </w:pPr>
            <w:r>
              <w:rPr>
                <w:rFonts w:ascii="Times New Roman" w:cs="Times New Roman" w:eastAsia="Times New Roman" w:hAnsi="Times New Roman"/>
                <w:sz w:val="16"/>
                <w:szCs w:val="16"/>
                <w:b w:val="1"/>
                <w:bCs w:val="1"/>
                <w:color w:val="auto"/>
              </w:rPr>
              <w:t>Wilson Sonsini Goodrich &amp; Rosati, P.C.</w:t>
            </w:r>
          </w:p>
        </w:tc>
        <w:tc>
          <w:tcPr>
            <w:tcW w:w="4680" w:type="dxa"/>
            <w:vAlign w:val="bottom"/>
          </w:tcPr>
          <w:p>
            <w:pPr>
              <w:jc w:val="center"/>
              <w:ind w:left="2379"/>
              <w:spacing w:after="0" w:line="162" w:lineRule="exact"/>
              <w:rPr>
                <w:sz w:val="20"/>
                <w:szCs w:val="20"/>
                <w:color w:val="auto"/>
              </w:rPr>
            </w:pPr>
            <w:r>
              <w:rPr>
                <w:rFonts w:ascii="Times New Roman" w:cs="Times New Roman" w:eastAsia="Times New Roman" w:hAnsi="Times New Roman"/>
                <w:sz w:val="16"/>
                <w:szCs w:val="16"/>
                <w:b w:val="1"/>
                <w:bCs w:val="1"/>
                <w:color w:val="auto"/>
                <w:w w:val="99"/>
              </w:rPr>
              <w:t>Dropbox, Inc.</w:t>
            </w:r>
          </w:p>
        </w:tc>
      </w:tr>
      <w:tr>
        <w:trPr>
          <w:trHeight w:val="162"/>
        </w:trPr>
        <w:tc>
          <w:tcPr>
            <w:tcW w:w="3420" w:type="dxa"/>
            <w:vAlign w:val="bottom"/>
          </w:tcPr>
          <w:p>
            <w:pPr>
              <w:jc w:val="center"/>
              <w:ind w:right="579"/>
              <w:spacing w:after="0" w:line="162" w:lineRule="exact"/>
              <w:rPr>
                <w:sz w:val="20"/>
                <w:szCs w:val="20"/>
                <w:color w:val="auto"/>
              </w:rPr>
            </w:pPr>
            <w:r>
              <w:rPr>
                <w:rFonts w:ascii="Times New Roman" w:cs="Times New Roman" w:eastAsia="Times New Roman" w:hAnsi="Times New Roman"/>
                <w:sz w:val="16"/>
                <w:szCs w:val="16"/>
                <w:b w:val="1"/>
                <w:bCs w:val="1"/>
                <w:color w:val="auto"/>
              </w:rPr>
              <w:t>650 Page Mill Road</w:t>
            </w:r>
          </w:p>
        </w:tc>
        <w:tc>
          <w:tcPr>
            <w:tcW w:w="4680" w:type="dxa"/>
            <w:vAlign w:val="bottom"/>
          </w:tcPr>
          <w:p>
            <w:pPr>
              <w:jc w:val="center"/>
              <w:ind w:left="2379"/>
              <w:spacing w:after="0" w:line="162" w:lineRule="exact"/>
              <w:rPr>
                <w:sz w:val="20"/>
                <w:szCs w:val="20"/>
                <w:color w:val="auto"/>
              </w:rPr>
            </w:pPr>
            <w:r>
              <w:rPr>
                <w:rFonts w:ascii="Times New Roman" w:cs="Times New Roman" w:eastAsia="Times New Roman" w:hAnsi="Times New Roman"/>
                <w:sz w:val="16"/>
                <w:szCs w:val="16"/>
                <w:b w:val="1"/>
                <w:bCs w:val="1"/>
                <w:color w:val="auto"/>
              </w:rPr>
              <w:t>1800 Owens Street</w:t>
            </w:r>
          </w:p>
        </w:tc>
      </w:tr>
      <w:tr>
        <w:trPr>
          <w:trHeight w:val="162"/>
        </w:trPr>
        <w:tc>
          <w:tcPr>
            <w:tcW w:w="3420" w:type="dxa"/>
            <w:vAlign w:val="bottom"/>
          </w:tcPr>
          <w:p>
            <w:pPr>
              <w:jc w:val="center"/>
              <w:ind w:right="579"/>
              <w:spacing w:after="0" w:line="162" w:lineRule="exact"/>
              <w:rPr>
                <w:sz w:val="20"/>
                <w:szCs w:val="20"/>
                <w:color w:val="auto"/>
              </w:rPr>
            </w:pPr>
            <w:r>
              <w:rPr>
                <w:rFonts w:ascii="Times New Roman" w:cs="Times New Roman" w:eastAsia="Times New Roman" w:hAnsi="Times New Roman"/>
                <w:sz w:val="16"/>
                <w:szCs w:val="16"/>
                <w:b w:val="1"/>
                <w:bCs w:val="1"/>
                <w:color w:val="auto"/>
              </w:rPr>
              <w:t>Palo Alto, California 94304</w:t>
            </w:r>
          </w:p>
        </w:tc>
        <w:tc>
          <w:tcPr>
            <w:tcW w:w="4680" w:type="dxa"/>
            <w:vAlign w:val="bottom"/>
          </w:tcPr>
          <w:p>
            <w:pPr>
              <w:jc w:val="center"/>
              <w:ind w:left="2379"/>
              <w:spacing w:after="0" w:line="162" w:lineRule="exact"/>
              <w:rPr>
                <w:sz w:val="20"/>
                <w:szCs w:val="20"/>
                <w:color w:val="auto"/>
              </w:rPr>
            </w:pPr>
            <w:r>
              <w:rPr>
                <w:rFonts w:ascii="Times New Roman" w:cs="Times New Roman" w:eastAsia="Times New Roman" w:hAnsi="Times New Roman"/>
                <w:sz w:val="16"/>
                <w:szCs w:val="16"/>
                <w:b w:val="1"/>
                <w:bCs w:val="1"/>
                <w:color w:val="auto"/>
              </w:rPr>
              <w:t>San Francisco, California 94158</w:t>
            </w:r>
          </w:p>
        </w:tc>
      </w:tr>
      <w:tr>
        <w:trPr>
          <w:trHeight w:val="212"/>
        </w:trPr>
        <w:tc>
          <w:tcPr>
            <w:tcW w:w="3420" w:type="dxa"/>
            <w:vAlign w:val="bottom"/>
          </w:tcPr>
          <w:p>
            <w:pPr>
              <w:jc w:val="center"/>
              <w:ind w:right="599"/>
              <w:spacing w:after="0"/>
              <w:rPr>
                <w:sz w:val="20"/>
                <w:szCs w:val="20"/>
                <w:color w:val="auto"/>
              </w:rPr>
            </w:pPr>
            <w:r>
              <w:rPr>
                <w:rFonts w:ascii="Times New Roman" w:cs="Times New Roman" w:eastAsia="Times New Roman" w:hAnsi="Times New Roman"/>
                <w:sz w:val="16"/>
                <w:szCs w:val="16"/>
                <w:b w:val="1"/>
                <w:bCs w:val="1"/>
                <w:color w:val="auto"/>
              </w:rPr>
              <w:t>(650) 493-9300</w:t>
            </w:r>
          </w:p>
        </w:tc>
        <w:tc>
          <w:tcPr>
            <w:tcW w:w="4680" w:type="dxa"/>
            <w:vAlign w:val="bottom"/>
          </w:tcPr>
          <w:p>
            <w:pPr>
              <w:jc w:val="center"/>
              <w:ind w:left="2379"/>
              <w:spacing w:after="0"/>
              <w:rPr>
                <w:sz w:val="20"/>
                <w:szCs w:val="20"/>
                <w:color w:val="auto"/>
              </w:rPr>
            </w:pPr>
            <w:r>
              <w:rPr>
                <w:rFonts w:ascii="Times New Roman" w:cs="Times New Roman" w:eastAsia="Times New Roman" w:hAnsi="Times New Roman"/>
                <w:sz w:val="16"/>
                <w:szCs w:val="16"/>
                <w:b w:val="1"/>
                <w:bCs w:val="1"/>
                <w:color w:val="auto"/>
              </w:rPr>
              <w:t>(415) 857-6800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2621280</wp:posOffset>
            </wp:positionH>
            <wp:positionV relativeFrom="paragraph">
              <wp:posOffset>173990</wp:posOffset>
            </wp:positionV>
            <wp:extent cx="15944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379" w:lineRule="exact"/>
        <w:rPr>
          <w:sz w:val="24"/>
          <w:szCs w:val="24"/>
          <w:color w:val="auto"/>
        </w:rPr>
      </w:pPr>
    </w:p>
    <w:p>
      <w:pPr>
        <w:jc w:val="center"/>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2080" w:type="dxa"/>
        <w:tblCellMar>
          <w:top w:w="0" w:type="dxa"/>
          <w:left w:w="0" w:type="dxa"/>
          <w:bottom w:w="0" w:type="dxa"/>
          <w:right w:w="0" w:type="dxa"/>
        </w:tblCellMar>
      </w:tblPr>
      <w:tr>
        <w:trPr>
          <w:trHeight w:val="208"/>
        </w:trPr>
        <w:tc>
          <w:tcPr>
            <w:tcW w:w="3580" w:type="dxa"/>
            <w:vAlign w:val="bottom"/>
          </w:tcPr>
          <w:p>
            <w:pPr>
              <w:jc w:val="center"/>
              <w:ind w:right="1768"/>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tc>
        <w:tc>
          <w:tcPr>
            <w:tcW w:w="3960" w:type="dxa"/>
            <w:vAlign w:val="bottom"/>
          </w:tcPr>
          <w:p>
            <w:pPr>
              <w:jc w:val="center"/>
              <w:ind w:left="1730"/>
              <w:spacing w:after="0" w:line="207" w:lineRule="exact"/>
              <w:rPr>
                <w:sz w:val="20"/>
                <w:szCs w:val="20"/>
                <w:color w:val="auto"/>
              </w:rPr>
            </w:pPr>
            <w:r>
              <w:rPr>
                <w:rFonts w:ascii="Times New Roman" w:cs="Times New Roman" w:eastAsia="Times New Roman" w:hAnsi="Times New Roman"/>
                <w:sz w:val="18"/>
                <w:szCs w:val="18"/>
                <w:color w:val="auto"/>
                <w:w w:val="99"/>
              </w:rPr>
              <w:t xml:space="preserve">Accelerated filer </w:t>
            </w: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16"/>
        </w:trPr>
        <w:tc>
          <w:tcPr>
            <w:tcW w:w="3580" w:type="dxa"/>
            <w:vAlign w:val="bottom"/>
          </w:tcPr>
          <w:p>
            <w:pPr>
              <w:jc w:val="center"/>
              <w:ind w:right="1768"/>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tc>
        <w:tc>
          <w:tcPr>
            <w:tcW w:w="3960" w:type="dxa"/>
            <w:vAlign w:val="bottom"/>
            <w:vMerge w:val="restart"/>
          </w:tcPr>
          <w:p>
            <w:pPr>
              <w:jc w:val="center"/>
              <w:ind w:left="1730"/>
              <w:spacing w:after="0" w:line="207" w:lineRule="exact"/>
              <w:rPr>
                <w:sz w:val="20"/>
                <w:szCs w:val="20"/>
                <w:color w:val="auto"/>
              </w:rPr>
            </w:pPr>
            <w:r>
              <w:rPr>
                <w:rFonts w:ascii="Times New Roman" w:cs="Times New Roman" w:eastAsia="Times New Roman" w:hAnsi="Times New Roman"/>
                <w:sz w:val="18"/>
                <w:szCs w:val="18"/>
                <w:color w:val="auto"/>
                <w:w w:val="99"/>
              </w:rPr>
              <w:t xml:space="preserve">Smaller reporting company </w:t>
            </w: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58"/>
        </w:trPr>
        <w:tc>
          <w:tcPr>
            <w:tcW w:w="3580" w:type="dxa"/>
            <w:vAlign w:val="bottom"/>
            <w:vMerge w:val="restart"/>
          </w:tcPr>
          <w:p>
            <w:pPr>
              <w:jc w:val="center"/>
              <w:ind w:right="1768"/>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tc>
        <w:tc>
          <w:tcPr>
            <w:tcW w:w="3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3580" w:type="dxa"/>
            <w:vAlign w:val="bottom"/>
            <w:vMerge w:val="continue"/>
          </w:tcPr>
          <w:p>
            <w:pPr>
              <w:spacing w:after="0"/>
              <w:rPr>
                <w:sz w:val="14"/>
                <w:szCs w:val="14"/>
                <w:color w:val="auto"/>
              </w:rPr>
            </w:pPr>
          </w:p>
        </w:tc>
        <w:tc>
          <w:tcPr>
            <w:tcW w:w="39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jc w:val="center"/>
        <w:ind w:left="580" w:right="40"/>
        <w:spacing w:after="0" w:line="239"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ectPr>
          <w:pgSz w:w="11900" w:h="16838" w:orient="portrait"/>
          <w:cols w:equalWidth="0" w:num="1">
            <w:col w:w="10760"/>
          </w:cols>
          <w:pgMar w:left="560" w:top="533" w:right="57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2" w:lineRule="exact"/>
        <w:rPr>
          <w:sz w:val="20"/>
          <w:szCs w:val="20"/>
          <w:color w:val="auto"/>
        </w:rPr>
      </w:pPr>
    </w:p>
    <w:p>
      <w:pPr>
        <w:ind w:right="180" w:firstLine="648"/>
        <w:spacing w:after="0" w:line="259" w:lineRule="auto"/>
        <w:rPr>
          <w:sz w:val="20"/>
          <w:szCs w:val="20"/>
          <w:color w:val="auto"/>
        </w:rPr>
      </w:pPr>
      <w:r>
        <w:rPr>
          <w:rFonts w:ascii="Times New Roman" w:cs="Times New Roman" w:eastAsia="Times New Roman" w:hAnsi="Times New Roman"/>
          <w:sz w:val="18"/>
          <w:szCs w:val="18"/>
          <w:color w:val="auto"/>
        </w:rPr>
        <w:t>This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registers additional shares of Class A common stock of Dropbox, Inc. (the “</w:t>
      </w: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 reserved for issuance under the Registrant’s 2018 Equity Incentive Plan (the “</w:t>
      </w:r>
      <w:r>
        <w:rPr>
          <w:rFonts w:ascii="Times New Roman" w:cs="Times New Roman" w:eastAsia="Times New Roman" w:hAnsi="Times New Roman"/>
          <w:sz w:val="18"/>
          <w:szCs w:val="18"/>
          <w:b w:val="1"/>
          <w:bCs w:val="1"/>
          <w:color w:val="auto"/>
        </w:rPr>
        <w:t>2018 Plan</w:t>
      </w:r>
      <w:r>
        <w:rPr>
          <w:rFonts w:ascii="Times New Roman" w:cs="Times New Roman" w:eastAsia="Times New Roman" w:hAnsi="Times New Roman"/>
          <w:sz w:val="18"/>
          <w:szCs w:val="18"/>
          <w:color w:val="auto"/>
        </w:rPr>
        <w:t>”). The number of shares of the Registrant’s Class A common stock available for grant and issuance under the 2018 Plan is subject to an annual increase on the first day of each fiscal year starting on January 1, 2019, by an amount equal to the least of (i) 41,368,326 shares, (ii) five percent (5%) of the outstanding shares of all classes of the Registrant’s common stock on the last day of the immediately preceding fiscal year or (iii) such number of shares determined by the Registrant’s board of directors.</w:t>
      </w:r>
    </w:p>
    <w:p>
      <w:pPr>
        <w:spacing w:after="0" w:line="21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Registration Statement registers an aggregate of 17,467,605 shares of the Registrant’s Class A common stock available for grant and issuance under the 2018 Plan, all of which became available for grant and issuance under the 2018 Plan on January 1, 2023.</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PROSPECTUS</w:t>
      </w:r>
    </w:p>
    <w:p>
      <w:pPr>
        <w:spacing w:after="0" w:line="2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Form S-8 is omitted from this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spacing w:after="0" w:line="17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previously filed with the Securities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The Registrant’s Annual Report on Form 10-K for the fiscal year ended December 31, 2022, filed with the Commission on February 22,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39" w:lineRule="exact"/>
        <w:rPr>
          <w:sz w:val="20"/>
          <w:szCs w:val="20"/>
          <w:color w:val="auto"/>
        </w:rPr>
      </w:pPr>
    </w:p>
    <w:p>
      <w:pPr>
        <w:ind w:right="400" w:firstLine="656"/>
        <w:spacing w:after="0" w:line="266" w:lineRule="auto"/>
        <w:tabs>
          <w:tab w:leader="none" w:pos="90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Class A Common Stock filed as Exhibit 4.1 to its Quarterly Report on Form 10-Q for the fiscal quarter ended June 30, 2020, filed with the Commission on August 7, 2020, and any subsequent amendment or report filed for the purpose of updating such descriptions.</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documents filed by the Registrant pursuant to Sections 13(a), 13(c), 14 and 15(d) of the Securities Exchange Act of 1934, as amended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on or after the date of this Registration Statement and prior to the filing of a post-effective amendment to this Registration Statement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indicates that all securities offered have been sold or that deregisters all securities then remaining unsold shall be deemed to be incorporated by reference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Registration Statement and to be part hereof from the date of filing of such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documents or information deemed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been furnished and not filed in accordance with the rules of the Commission shall not be deemed incorporated by reference into this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Any statement contained in a document incorporated or deemed to be incorporated by reference herein shall be deemed to be modified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superseded for purposes of this Registration Statement to the extent that a statement contained herein or in any subsequently filed document which also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to be incorporated by reference herein modifies or supersedes such statement. Any such statement so modified or superseded shall not be 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so modified or superseded, to constitute a part of this Registration Statement.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0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Registrant’s amended and restated certificate of incorporation contains provisions that limit the liability of its directors for monetary damages to the fullest extent permitted by Delaware law. Consequently, the Registrant’s directors will not be personally liable to the Registrant or its stockholders for monetary damages for any breach of fiduciary duties as directors, except liability for the following:</w:t>
      </w:r>
    </w:p>
    <w:p>
      <w:pPr>
        <w:spacing w:after="0" w:line="176"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the Registrant or its stockholders;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25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Delaware General Corporation Law; or</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w:t>
      </w:r>
    </w:p>
    <w:p>
      <w:pPr>
        <w:spacing w:after="0" w:line="225"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the Registrant’s directors will be further limited to the greatest extent permitted by the Delaware General Corporation Law.</w:t>
      </w:r>
    </w:p>
    <w:p>
      <w:pPr>
        <w:spacing w:after="0" w:line="207"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In addition, the Registrant’s amended and restated bylaws will indemnify, to the fullest extent permitted by law, any person who is or was a party or is threatened to be made a party to any action, suit, or proceeding by reason of the fact that he or she is or was one of the Registrant’s directors or officers or is or was serving at the Registrant’s request as a director or officer of another corporation, partnership, joint venture, trust, or other enterprise. The Registrant’s amended and restated bylaws provide that the Registrant may indemnify to the fullest extent permitted by law any person who is or was a party or is threatened to be made a party to any action, suit, or proceeding by reason of the fact that he or she is or was one of the Registrant’s employees or agents or is or was serving at the Registrant’s request as an employee or agent of another corporation, partnership, joint venture, trust, or other enterprise. The Registrant’s amended and restated bylaws will also provide that the Registrant must advance expenses incurred by or on behalf of a director or officer in advance of the final disposition of any action or proceeding, subject to limited exceptions.</w:t>
      </w:r>
    </w:p>
    <w:p>
      <w:pPr>
        <w:spacing w:after="0" w:line="192" w:lineRule="exact"/>
        <w:rPr>
          <w:sz w:val="20"/>
          <w:szCs w:val="20"/>
          <w:color w:val="auto"/>
        </w:rPr>
      </w:pPr>
    </w:p>
    <w:p>
      <w:pPr>
        <w:ind w:right="140" w:firstLine="441"/>
        <w:spacing w:after="0" w:line="256" w:lineRule="auto"/>
        <w:rPr>
          <w:sz w:val="20"/>
          <w:szCs w:val="20"/>
          <w:color w:val="auto"/>
        </w:rPr>
      </w:pPr>
      <w:r>
        <w:rPr>
          <w:rFonts w:ascii="Times New Roman" w:cs="Times New Roman" w:eastAsia="Times New Roman" w:hAnsi="Times New Roman"/>
          <w:sz w:val="18"/>
          <w:szCs w:val="18"/>
          <w:color w:val="auto"/>
        </w:rPr>
        <w:t>Further, the Registrant has entered into indemnification agreements with each of its directors and executive officers that may be broader than the specific indemnification provisions contained in the Delaware General Corporation Law. These indemnification agreements require the Registrant, among other things, to indemnify its directors and executive officers against liabilities that may arise by reason of their status or service. These indemnification agreements also require the Registrant to advance all expenses incurred by the directors and executive officers in investigating or defending any such action, suit, or proceeding. The Registrant believes that these agreements are necessary to attract and retain qualified individuals to serve as directors and executive officers.</w:t>
      </w:r>
    </w:p>
    <w:p>
      <w:pPr>
        <w:spacing w:after="0" w:line="187" w:lineRule="exact"/>
        <w:rPr>
          <w:sz w:val="20"/>
          <w:szCs w:val="20"/>
          <w:color w:val="auto"/>
        </w:rPr>
      </w:pPr>
    </w:p>
    <w:p>
      <w:pPr>
        <w:ind w:right="100" w:firstLine="441"/>
        <w:spacing w:after="0" w:line="273" w:lineRule="auto"/>
        <w:rPr>
          <w:sz w:val="20"/>
          <w:szCs w:val="20"/>
          <w:color w:val="auto"/>
        </w:rPr>
      </w:pPr>
      <w:r>
        <w:rPr>
          <w:rFonts w:ascii="Times New Roman" w:cs="Times New Roman" w:eastAsia="Times New Roman" w:hAnsi="Times New Roman"/>
          <w:sz w:val="17"/>
          <w:szCs w:val="17"/>
          <w:color w:val="auto"/>
        </w:rPr>
        <w:t>The limitation of liability and indemnification provisions in the Registrant’s amended and restated certificate of incorporation, amended and restated bylaws, and the indemnification agreements that the Registrant has entered into with its directors and executive officers may discourage stockholders from bringing a lawsuit against the Registrant’s directors and executive officers for breach of their fiduciary duties. They may also reduce the likelihood of derivative litigation against the Registrant’s directors and executive officers, even though an action, if successful, might benefit the Registrant and other stockholders. Further, a stockholder’s investment may be adversely affected to the extent that the Registrant pays the costs of settlement and damage awards against directors and executive officers as required by these indemnification provisions. At present, the Registrant is not aware of any pending litigation or proceeding involving any person who is or was one of the Registrant’s directors, officers, employees, or other agents or is or was serving at its</w:t>
      </w:r>
    </w:p>
    <w:p>
      <w:pPr>
        <w:sectPr>
          <w:pgSz w:w="11900" w:h="16838" w:orient="portrait"/>
          <w:cols w:equalWidth="0" w:num="1">
            <w:col w:w="11240"/>
          </w:cols>
          <w:pgMar w:left="320" w:top="1292" w:right="339" w:bottom="1440" w:gutter="0" w:footer="0" w:header="0"/>
        </w:sectPr>
      </w:pPr>
    </w:p>
    <w:bookmarkStart w:id="3" w:name="page4"/>
    <w:bookmarkEnd w:id="3"/>
    <w:p>
      <w:pPr>
        <w:ind w:right="260"/>
        <w:spacing w:after="0" w:line="282" w:lineRule="auto"/>
        <w:rPr>
          <w:sz w:val="20"/>
          <w:szCs w:val="20"/>
          <w:color w:val="auto"/>
        </w:rPr>
      </w:pPr>
      <w:r>
        <w:rPr>
          <w:rFonts w:ascii="Times New Roman" w:cs="Times New Roman" w:eastAsia="Times New Roman" w:hAnsi="Times New Roman"/>
          <w:sz w:val="18"/>
          <w:szCs w:val="18"/>
          <w:color w:val="auto"/>
        </w:rPr>
        <w:t>request as a director, officer, employee, or agent of another corporation, partnership, joint venture, trust, or other enterprise, for which indemnification is sought, and the Registrant is not aware of any threatened litigation that may result in claims for indemnification.</w:t>
      </w:r>
    </w:p>
    <w:p>
      <w:pPr>
        <w:spacing w:after="0" w:line="162"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The Registrant has obtained insurance policies under which, subject to the limitations of the policies, coverage is provided to the Registrant’s directors and executive officers against loss arising from claims made by reason of breach of fiduciary duty or other wrongful acts as a director or executive officer, including claims relating to public securities matters, and to the Registrant with respect to payments that may be made by the Registrant to these directors and executive officers pursuant to its indemnification obligations or otherwise as a matter of law.</w:t>
      </w:r>
    </w:p>
    <w:p>
      <w:pPr>
        <w:spacing w:after="0" w:line="180" w:lineRule="exact"/>
        <w:rPr>
          <w:sz w:val="20"/>
          <w:szCs w:val="20"/>
          <w:color w:val="auto"/>
        </w:rPr>
      </w:pPr>
    </w:p>
    <w:p>
      <w:pPr>
        <w:ind w:right="480" w:firstLine="441"/>
        <w:spacing w:after="0" w:line="282" w:lineRule="auto"/>
        <w:rPr>
          <w:sz w:val="20"/>
          <w:szCs w:val="20"/>
          <w:color w:val="auto"/>
        </w:rPr>
      </w:pPr>
      <w:r>
        <w:rPr>
          <w:rFonts w:ascii="Times New Roman" w:cs="Times New Roman" w:eastAsia="Times New Roman" w:hAnsi="Times New Roman"/>
          <w:sz w:val="18"/>
          <w:szCs w:val="18"/>
          <w:color w:val="auto"/>
        </w:rPr>
        <w:t>Certain of the Registrant’s non-employee directors may, through their relationships with their employers, be insured and/or indemnified against certain liabilities incurred in their capacity as members of the Registrant’s Board of Directors.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460" w:type="dxa"/>
            <w:vAlign w:val="bottom"/>
          </w:tcPr>
          <w:p>
            <w:pPr>
              <w:jc w:val="center"/>
              <w:spacing w:after="0" w:line="210" w:lineRule="exact"/>
              <w:rPr>
                <w:sz w:val="20"/>
                <w:szCs w:val="20"/>
                <w:color w:val="auto"/>
              </w:rPr>
            </w:pPr>
            <w:r>
              <w:rPr>
                <w:rFonts w:ascii="Times New Roman" w:cs="Times New Roman" w:eastAsia="Times New Roman" w:hAnsi="Times New Roman"/>
                <w:sz w:val="18"/>
                <w:szCs w:val="18"/>
                <w:color w:val="auto"/>
                <w:w w:val="89"/>
              </w:rPr>
              <w:t>4.1</w:t>
            </w:r>
            <w:r>
              <w:rPr>
                <w:rFonts w:ascii="Times New Roman" w:cs="Times New Roman" w:eastAsia="Times New Roman" w:hAnsi="Times New Roman"/>
                <w:sz w:val="23"/>
                <w:szCs w:val="23"/>
                <w:color w:val="auto"/>
                <w:w w:val="89"/>
                <w:vertAlign w:val="superscript"/>
              </w:rPr>
              <w:t>(1)</w:t>
            </w:r>
          </w:p>
        </w:tc>
        <w:tc>
          <w:tcPr>
            <w:tcW w:w="20" w:type="dxa"/>
            <w:vAlign w:val="bottom"/>
          </w:tcPr>
          <w:p>
            <w:pPr>
              <w:spacing w:after="0"/>
              <w:rPr>
                <w:sz w:val="18"/>
                <w:szCs w:val="18"/>
                <w:color w:val="auto"/>
              </w:rPr>
            </w:pPr>
          </w:p>
        </w:tc>
        <w:tc>
          <w:tcPr>
            <w:tcW w:w="7100" w:type="dxa"/>
            <w:vAlign w:val="bottom"/>
            <w:gridSpan w:val="6"/>
          </w:tcPr>
          <w:p>
            <w:pPr>
              <w:spacing w:after="0"/>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Form of Class A common stock certificate.</w:t>
              </w:r>
            </w:hyperlink>
          </w:p>
        </w:tc>
        <w:tc>
          <w:tcPr>
            <w:tcW w:w="0" w:type="dxa"/>
            <w:vAlign w:val="bottom"/>
          </w:tcPr>
          <w:p>
            <w:pPr>
              <w:spacing w:after="0"/>
              <w:rPr>
                <w:sz w:val="1"/>
                <w:szCs w:val="1"/>
                <w:color w:val="auto"/>
              </w:rPr>
            </w:pPr>
          </w:p>
        </w:tc>
      </w:tr>
      <w:tr>
        <w:trPr>
          <w:trHeight w:val="20"/>
        </w:trPr>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9"/>
              </w:rPr>
              <w:t>4.2</w:t>
            </w:r>
            <w:r>
              <w:rPr>
                <w:rFonts w:ascii="Times New Roman" w:cs="Times New Roman" w:eastAsia="Times New Roman" w:hAnsi="Times New Roman"/>
                <w:sz w:val="23"/>
                <w:szCs w:val="23"/>
                <w:color w:val="auto"/>
                <w:w w:val="89"/>
                <w:vertAlign w:val="superscript"/>
              </w:rPr>
              <w:t>(2)</w:t>
            </w:r>
          </w:p>
        </w:tc>
        <w:tc>
          <w:tcPr>
            <w:tcW w:w="20" w:type="dxa"/>
            <w:vAlign w:val="bottom"/>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7100" w:type="dxa"/>
            <w:vAlign w:val="bottom"/>
            <w:gridSpan w:val="6"/>
          </w:tcPr>
          <w:p>
            <w:pPr>
              <w:spacing w:after="0"/>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Dropbox, Inc. 2018 Equity Incentive Plan and related form agreements.</w:t>
              </w:r>
            </w:hyperlink>
          </w:p>
        </w:tc>
        <w:tc>
          <w:tcPr>
            <w:tcW w:w="0" w:type="dxa"/>
            <w:vAlign w:val="bottom"/>
          </w:tcPr>
          <w:p>
            <w:pPr>
              <w:spacing w:after="0"/>
              <w:rPr>
                <w:sz w:val="1"/>
                <w:szCs w:val="1"/>
                <w:color w:val="auto"/>
              </w:rPr>
            </w:pPr>
          </w:p>
        </w:tc>
      </w:tr>
      <w:tr>
        <w:trPr>
          <w:trHeight w:val="25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20" w:type="dxa"/>
            <w:vAlign w:val="bottom"/>
          </w:tcPr>
          <w:p>
            <w:pPr>
              <w:spacing w:after="0"/>
              <w:rPr>
                <w:sz w:val="21"/>
                <w:szCs w:val="21"/>
                <w:color w:val="auto"/>
              </w:rPr>
            </w:pPr>
          </w:p>
        </w:tc>
        <w:tc>
          <w:tcPr>
            <w:tcW w:w="51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Opinion of Wilson Sonsini Goodrich &amp; Rosati, P.C.</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18"/>
                <w:szCs w:val="18"/>
                <w:color w:val="auto"/>
              </w:rPr>
            </w:pPr>
          </w:p>
        </w:tc>
        <w:tc>
          <w:tcPr>
            <w:tcW w:w="71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23.2</w:t>
            </w:r>
          </w:p>
        </w:tc>
        <w:tc>
          <w:tcPr>
            <w:tcW w:w="20" w:type="dxa"/>
            <w:vAlign w:val="bottom"/>
          </w:tcPr>
          <w:p>
            <w:pPr>
              <w:spacing w:after="0"/>
              <w:rPr>
                <w:sz w:val="24"/>
                <w:szCs w:val="24"/>
                <w:color w:val="auto"/>
              </w:rPr>
            </w:pPr>
          </w:p>
        </w:tc>
        <w:tc>
          <w:tcPr>
            <w:tcW w:w="71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21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tcPr>
          <w:p>
            <w:pPr>
              <w:spacing w:after="0"/>
              <w:rPr>
                <w:sz w:val="18"/>
                <w:szCs w:val="18"/>
                <w:color w:val="auto"/>
              </w:rPr>
            </w:pPr>
          </w:p>
        </w:tc>
        <w:tc>
          <w:tcPr>
            <w:tcW w:w="71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Power of Attorney (contained on signature page hereto).</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1480" w:hanging="878"/>
        <w:spacing w:after="0"/>
        <w:tabs>
          <w:tab w:leader="none" w:pos="14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Filing Fee Table.</w:t>
      </w:r>
    </w:p>
    <w:p>
      <w:pPr>
        <w:spacing w:after="0" w:line="373" w:lineRule="exact"/>
        <w:rPr>
          <w:rFonts w:ascii="Times New Roman" w:cs="Times New Roman" w:eastAsia="Times New Roman" w:hAnsi="Times New Roman"/>
          <w:sz w:val="18"/>
          <w:szCs w:val="18"/>
          <w:color w:val="auto"/>
        </w:rPr>
      </w:pPr>
    </w:p>
    <w:p>
      <w:pPr>
        <w:ind w:left="180" w:right="120" w:hanging="172"/>
        <w:spacing w:after="0" w:line="241" w:lineRule="auto"/>
        <w:tabs>
          <w:tab w:leader="none" w:pos="183"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Incorporated by reference to Exhibit 4.1 filed with the Registrant’s Registration Statement on Form S-1/A (Registration No. 333-223182), filed with the Commission on March 12, 2018.</w:t>
      </w:r>
    </w:p>
    <w:p>
      <w:pPr>
        <w:ind w:left="180" w:hanging="172"/>
        <w:spacing w:after="0" w:line="204" w:lineRule="auto"/>
        <w:tabs>
          <w:tab w:leader="none" w:pos="18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Incorporated by reference to Exhibit 10.2 filed with the Registrant’s Annual Report on Form 10-K, filed with the Commission on February 19, 2021.</w:t>
      </w:r>
    </w:p>
    <w:p>
      <w:pPr>
        <w:sectPr>
          <w:pgSz w:w="11900" w:h="16838" w:orient="portrait"/>
          <w:cols w:equalWidth="0" w:num="1">
            <w:col w:w="11240"/>
          </w:cols>
          <w:pgMar w:left="320" w:top="130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02"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90"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76"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90" w:lineRule="exact"/>
        <w:rPr>
          <w:rFonts w:ascii="Times New Roman" w:cs="Times New Roman" w:eastAsia="Times New Roman" w:hAnsi="Times New Roman"/>
          <w:sz w:val="18"/>
          <w:szCs w:val="18"/>
          <w:color w:val="auto"/>
        </w:rPr>
      </w:pPr>
    </w:p>
    <w:p>
      <w:pPr>
        <w:ind w:left="1960" w:hanging="656"/>
        <w:spacing w:after="0" w:line="273" w:lineRule="auto"/>
        <w:tabs>
          <w:tab w:leader="none" w:pos="1708" w:val="left"/>
        </w:tabs>
        <w:numPr>
          <w:ilvl w:val="2"/>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22" w:lineRule="exact"/>
        <w:rPr>
          <w:rFonts w:ascii="Times New Roman" w:cs="Times New Roman" w:eastAsia="Times New Roman" w:hAnsi="Times New Roman"/>
          <w:sz w:val="17"/>
          <w:szCs w:val="17"/>
          <w:color w:val="auto"/>
        </w:rPr>
      </w:pPr>
    </w:p>
    <w:p>
      <w:pPr>
        <w:ind w:left="1960" w:right="100" w:hanging="656"/>
        <w:spacing w:after="0" w:line="282" w:lineRule="auto"/>
        <w:tabs>
          <w:tab w:leader="none" w:pos="1758"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reports filed with or furnished to the Commission by the Registrant pursuant to Section 13 or Section 15(d) of the Exchange Act that are incorporated by reference in this Registration Statement.</w:t>
      </w:r>
    </w:p>
    <w:p>
      <w:pPr>
        <w:spacing w:after="0" w:line="27" w:lineRule="exact"/>
        <w:rPr>
          <w:sz w:val="20"/>
          <w:szCs w:val="20"/>
          <w:color w:val="auto"/>
        </w:rPr>
      </w:pPr>
    </w:p>
    <w:p>
      <w:pPr>
        <w:ind w:left="1140" w:right="360" w:hanging="484"/>
        <w:spacing w:after="0" w:line="266" w:lineRule="auto"/>
        <w:tabs>
          <w:tab w:leader="none" w:pos="10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40" w:lineRule="exact"/>
        <w:rPr>
          <w:rFonts w:ascii="Times New Roman" w:cs="Times New Roman" w:eastAsia="Times New Roman" w:hAnsi="Times New Roman"/>
          <w:sz w:val="18"/>
          <w:szCs w:val="18"/>
          <w:color w:val="auto"/>
        </w:rPr>
      </w:pPr>
    </w:p>
    <w:p>
      <w:pPr>
        <w:ind w:left="1140" w:right="200" w:hanging="484"/>
        <w:spacing w:after="0" w:line="282" w:lineRule="auto"/>
        <w:tabs>
          <w:tab w:leader="none" w:pos="10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660" w:hanging="652"/>
        <w:spacing w:after="0" w:line="258" w:lineRule="auto"/>
        <w:tabs>
          <w:tab w:leader="none" w:pos="3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ind w:left="660" w:right="20" w:hanging="652"/>
        <w:spacing w:after="0" w:line="254" w:lineRule="auto"/>
        <w:tabs>
          <w:tab w:leader="none" w:pos="3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180"/>
          </w:cols>
          <w:pgMar w:left="320" w:top="1292" w:right="399" w:bottom="1440" w:gutter="0" w:footer="0" w:header="0"/>
        </w:sectPr>
      </w:pPr>
    </w:p>
    <w:bookmarkStart w:id="5" w:name="page6"/>
    <w:bookmarkEnd w:id="5"/>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400" w:firstLine="648"/>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Francisco, State of California, on the 22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day of February, 2023.</w:t>
      </w:r>
    </w:p>
    <w:p>
      <w:pPr>
        <w:spacing w:after="0" w:line="8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0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3050540</wp:posOffset>
            </wp:positionH>
            <wp:positionV relativeFrom="paragraph">
              <wp:posOffset>-7620</wp:posOffset>
            </wp:positionV>
            <wp:extent cx="10623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62355" cy="8890"/>
                    </a:xfrm>
                    <a:prstGeom prst="rect">
                      <a:avLst/>
                    </a:prstGeom>
                    <a:noFill/>
                  </pic:spPr>
                </pic:pic>
              </a:graphicData>
            </a:graphic>
          </wp:anchor>
        </w:drawing>
      </w:r>
    </w:p>
    <w:p>
      <w:pPr>
        <w:ind w:left="4720"/>
        <w:spacing w:after="0"/>
        <w:rPr>
          <w:sz w:val="20"/>
          <w:szCs w:val="20"/>
          <w:color w:val="auto"/>
        </w:rPr>
      </w:pPr>
      <w:r>
        <w:rPr>
          <w:rFonts w:ascii="Times New Roman" w:cs="Times New Roman" w:eastAsia="Times New Roman" w:hAnsi="Times New Roman"/>
          <w:sz w:val="18"/>
          <w:szCs w:val="18"/>
          <w:color w:val="auto"/>
        </w:rPr>
        <w:t>Timothy J. Regan</w:t>
      </w:r>
    </w:p>
    <w:p>
      <w:pPr>
        <w:ind w:left="47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Andrew W. Houston, Timothy J. Regan, and Bart E. Volkmer, and each of them, as such individual’s true and lawful attorney in fact and agent with full power of substitution, for such individual in any and all capacities, to sign any and all amendments to this Registration Statement on Form S-8 (including post-effective amendments), and to file the same, with all exhibits thereto and other documents in connection therewith, with the Securities and Exchange Commission, granting unto said attorney in fact, proxy and agent full power and authority to do and perform each and every act and thing requisite and necessary to be done in connection therewith, as fully for all intents and purposes as he might or could do in person, hereby ratifying and confirming all that said attorney in fact, proxy and agent, or the individual’s substitute, may lawfully do or cause to be done by virtue hereof.</w:t>
      </w:r>
    </w:p>
    <w:p>
      <w:pPr>
        <w:sectPr>
          <w:pgSz w:w="11900" w:h="16838" w:orient="portrait"/>
          <w:cols w:equalWidth="0" w:num="1">
            <w:col w:w="11220"/>
          </w:cols>
          <w:pgMar w:left="320" w:top="1440" w:right="359" w:bottom="1440" w:gutter="0" w:footer="0" w:header="0"/>
        </w:sectPr>
      </w:pPr>
    </w:p>
    <w:bookmarkStart w:id="6" w:name="page7"/>
    <w:bookmarkEnd w:id="6"/>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Form S-8 has been signed by the following persons in the capacities and on the dates indicated:</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3620" w:type="dxa"/>
            <w:vAlign w:val="bottom"/>
            <w:gridSpan w:val="17"/>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468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668"/>
        </w:trPr>
        <w:tc>
          <w:tcPr>
            <w:tcW w:w="20" w:type="dxa"/>
            <w:vAlign w:val="bottom"/>
          </w:tcPr>
          <w:p>
            <w:pPr>
              <w:spacing w:after="0"/>
              <w:rPr>
                <w:sz w:val="24"/>
                <w:szCs w:val="24"/>
                <w:color w:val="auto"/>
              </w:rPr>
            </w:pPr>
          </w:p>
        </w:tc>
        <w:tc>
          <w:tcPr>
            <w:tcW w:w="43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/s/ Andrew W. Houston</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February 22, 2023</w:t>
            </w:r>
          </w:p>
        </w:tc>
      </w:tr>
      <w:tr>
        <w:trPr>
          <w:trHeight w:val="169"/>
        </w:trPr>
        <w:tc>
          <w:tcPr>
            <w:tcW w:w="20" w:type="dxa"/>
            <w:vAlign w:val="bottom"/>
          </w:tcPr>
          <w:p>
            <w:pPr>
              <w:spacing w:after="0"/>
              <w:rPr>
                <w:sz w:val="14"/>
                <w:szCs w:val="14"/>
                <w:color w:val="auto"/>
              </w:rPr>
            </w:pPr>
          </w:p>
        </w:tc>
        <w:tc>
          <w:tcPr>
            <w:tcW w:w="2060" w:type="dxa"/>
            <w:vAlign w:val="bottom"/>
            <w:tcBorders>
              <w:top w:val="single" w:sz="8" w:color="auto"/>
            </w:tcBorders>
            <w:gridSpan w:val="17"/>
          </w:tcPr>
          <w:p>
            <w:pPr>
              <w:spacing w:after="0" w:line="169" w:lineRule="exact"/>
              <w:rPr>
                <w:sz w:val="20"/>
                <w:szCs w:val="20"/>
                <w:color w:val="auto"/>
              </w:rPr>
            </w:pPr>
            <w:r>
              <w:rPr>
                <w:rFonts w:ascii="Times New Roman" w:cs="Times New Roman" w:eastAsia="Times New Roman" w:hAnsi="Times New Roman"/>
                <w:sz w:val="18"/>
                <w:szCs w:val="18"/>
                <w:color w:val="auto"/>
              </w:rPr>
              <w:t>Andrew W. Houston</w:t>
            </w:r>
          </w:p>
        </w:tc>
        <w:tc>
          <w:tcPr>
            <w:tcW w:w="2320" w:type="dxa"/>
            <w:vAlign w:val="bottom"/>
          </w:tcPr>
          <w:p>
            <w:pPr>
              <w:spacing w:after="0"/>
              <w:rPr>
                <w:sz w:val="14"/>
                <w:szCs w:val="14"/>
                <w:color w:val="auto"/>
              </w:rPr>
            </w:pPr>
          </w:p>
        </w:tc>
        <w:tc>
          <w:tcPr>
            <w:tcW w:w="50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43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/s/ Timothy J. Regan</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February 22, 2023</w:t>
            </w:r>
          </w:p>
        </w:tc>
      </w:tr>
      <w:tr>
        <w:trPr>
          <w:trHeight w:val="169"/>
        </w:trPr>
        <w:tc>
          <w:tcPr>
            <w:tcW w:w="20" w:type="dxa"/>
            <w:vAlign w:val="bottom"/>
          </w:tcPr>
          <w:p>
            <w:pPr>
              <w:spacing w:after="0"/>
              <w:rPr>
                <w:sz w:val="14"/>
                <w:szCs w:val="14"/>
                <w:color w:val="auto"/>
              </w:rPr>
            </w:pPr>
          </w:p>
        </w:tc>
        <w:tc>
          <w:tcPr>
            <w:tcW w:w="1880" w:type="dxa"/>
            <w:vAlign w:val="bottom"/>
            <w:tcBorders>
              <w:top w:val="single" w:sz="8" w:color="auto"/>
            </w:tcBorders>
            <w:gridSpan w:val="16"/>
          </w:tcPr>
          <w:p>
            <w:pPr>
              <w:spacing w:after="0" w:line="169" w:lineRule="exact"/>
              <w:rPr>
                <w:sz w:val="20"/>
                <w:szCs w:val="20"/>
                <w:color w:val="auto"/>
              </w:rPr>
            </w:pPr>
            <w:r>
              <w:rPr>
                <w:rFonts w:ascii="Times New Roman" w:cs="Times New Roman" w:eastAsia="Times New Roman" w:hAnsi="Times New Roman"/>
                <w:sz w:val="18"/>
                <w:szCs w:val="18"/>
                <w:color w:val="auto"/>
              </w:rPr>
              <w:t>Timothy J. Regan</w:t>
            </w:r>
          </w:p>
        </w:tc>
        <w:tc>
          <w:tcPr>
            <w:tcW w:w="2500" w:type="dxa"/>
            <w:vAlign w:val="bottom"/>
            <w:gridSpan w:val="2"/>
          </w:tcPr>
          <w:p>
            <w:pPr>
              <w:spacing w:after="0"/>
              <w:rPr>
                <w:sz w:val="14"/>
                <w:szCs w:val="14"/>
                <w:color w:val="auto"/>
              </w:rPr>
            </w:pPr>
          </w:p>
        </w:tc>
        <w:tc>
          <w:tcPr>
            <w:tcW w:w="50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i w:val="1"/>
                <w:iCs w:val="1"/>
                <w:color w:val="auto"/>
              </w:rPr>
              <w:t>(Principal Accounting and Financial Officer)</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506"/>
        </w:trPr>
        <w:tc>
          <w:tcPr>
            <w:tcW w:w="20" w:type="dxa"/>
            <w:vAlign w:val="bottom"/>
          </w:tcPr>
          <w:p>
            <w:pPr>
              <w:spacing w:after="0"/>
              <w:rPr>
                <w:sz w:val="24"/>
                <w:szCs w:val="24"/>
                <w:color w:val="auto"/>
              </w:rPr>
            </w:pPr>
          </w:p>
        </w:tc>
        <w:tc>
          <w:tcPr>
            <w:tcW w:w="43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/s/ Donald W. Blair</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February 22, 2023</w:t>
            </w:r>
          </w:p>
        </w:tc>
      </w:tr>
      <w:tr>
        <w:trPr>
          <w:trHeight w:val="169"/>
        </w:trPr>
        <w:tc>
          <w:tcPr>
            <w:tcW w:w="20" w:type="dxa"/>
            <w:vAlign w:val="bottom"/>
          </w:tcPr>
          <w:p>
            <w:pPr>
              <w:spacing w:after="0"/>
              <w:rPr>
                <w:sz w:val="14"/>
                <w:szCs w:val="14"/>
                <w:color w:val="auto"/>
              </w:rPr>
            </w:pPr>
          </w:p>
        </w:tc>
        <w:tc>
          <w:tcPr>
            <w:tcW w:w="1760" w:type="dxa"/>
            <w:vAlign w:val="bottom"/>
            <w:tcBorders>
              <w:top w:val="single" w:sz="8" w:color="auto"/>
            </w:tcBorders>
            <w:gridSpan w:val="11"/>
          </w:tcPr>
          <w:p>
            <w:pPr>
              <w:spacing w:after="0" w:line="169" w:lineRule="exact"/>
              <w:rPr>
                <w:sz w:val="20"/>
                <w:szCs w:val="20"/>
                <w:color w:val="auto"/>
              </w:rPr>
            </w:pPr>
            <w:r>
              <w:rPr>
                <w:rFonts w:ascii="Times New Roman" w:cs="Times New Roman" w:eastAsia="Times New Roman" w:hAnsi="Times New Roman"/>
                <w:sz w:val="18"/>
                <w:szCs w:val="18"/>
                <w:color w:val="auto"/>
              </w:rPr>
              <w:t>Donald W. Blair</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3"/>
          </w:tcPr>
          <w:p>
            <w:pPr>
              <w:spacing w:after="0"/>
              <w:rPr>
                <w:sz w:val="14"/>
                <w:szCs w:val="14"/>
                <w:color w:val="auto"/>
              </w:rPr>
            </w:pPr>
          </w:p>
        </w:tc>
        <w:tc>
          <w:tcPr>
            <w:tcW w:w="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43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/s/ Lisa Campbell</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February 22, 2023</w:t>
            </w:r>
          </w:p>
        </w:tc>
      </w:tr>
      <w:tr>
        <w:trPr>
          <w:trHeight w:val="169"/>
        </w:trPr>
        <w:tc>
          <w:tcPr>
            <w:tcW w:w="20" w:type="dxa"/>
            <w:vAlign w:val="bottom"/>
          </w:tcPr>
          <w:p>
            <w:pPr>
              <w:spacing w:after="0"/>
              <w:rPr>
                <w:sz w:val="14"/>
                <w:szCs w:val="14"/>
                <w:color w:val="auto"/>
              </w:rPr>
            </w:pPr>
          </w:p>
        </w:tc>
        <w:tc>
          <w:tcPr>
            <w:tcW w:w="1080" w:type="dxa"/>
            <w:vAlign w:val="bottom"/>
            <w:tcBorders>
              <w:top w:val="single" w:sz="8" w:color="auto"/>
              <w:bottom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color w:val="auto"/>
              </w:rPr>
              <w:t>Lisa Campbell</w:t>
            </w:r>
          </w:p>
        </w:tc>
        <w:tc>
          <w:tcPr>
            <w:tcW w:w="780" w:type="dxa"/>
            <w:vAlign w:val="bottom"/>
            <w:tcBorders>
              <w:top w:val="single" w:sz="8" w:color="auto"/>
            </w:tcBorders>
            <w:gridSpan w:val="11"/>
          </w:tcPr>
          <w:p>
            <w:pPr>
              <w:spacing w:after="0"/>
              <w:rPr>
                <w:sz w:val="14"/>
                <w:szCs w:val="14"/>
                <w:color w:val="auto"/>
              </w:rPr>
            </w:pPr>
          </w:p>
        </w:tc>
        <w:tc>
          <w:tcPr>
            <w:tcW w:w="2520" w:type="dxa"/>
            <w:vAlign w:val="bottom"/>
            <w:gridSpan w:val="3"/>
          </w:tcPr>
          <w:p>
            <w:pPr>
              <w:spacing w:after="0"/>
              <w:rPr>
                <w:sz w:val="14"/>
                <w:szCs w:val="14"/>
                <w:color w:val="auto"/>
              </w:rPr>
            </w:pPr>
          </w:p>
        </w:tc>
        <w:tc>
          <w:tcPr>
            <w:tcW w:w="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20"/>
        </w:trPr>
        <w:tc>
          <w:tcPr>
            <w:tcW w:w="20" w:type="dxa"/>
            <w:vAlign w:val="bottom"/>
          </w:tcPr>
          <w:p>
            <w:pPr>
              <w:spacing w:after="0"/>
              <w:rPr>
                <w:sz w:val="24"/>
                <w:szCs w:val="24"/>
                <w:color w:val="auto"/>
              </w:rPr>
            </w:pPr>
          </w:p>
        </w:tc>
        <w:tc>
          <w:tcPr>
            <w:tcW w:w="43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/s/ Paul E. Jacobs</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February 22, 2023</w:t>
            </w:r>
          </w:p>
        </w:tc>
      </w:tr>
      <w:tr>
        <w:trPr>
          <w:trHeight w:val="169"/>
        </w:trPr>
        <w:tc>
          <w:tcPr>
            <w:tcW w:w="20" w:type="dxa"/>
            <w:vAlign w:val="bottom"/>
          </w:tcPr>
          <w:p>
            <w:pPr>
              <w:spacing w:after="0"/>
              <w:rPr>
                <w:sz w:val="14"/>
                <w:szCs w:val="14"/>
                <w:color w:val="auto"/>
              </w:rPr>
            </w:pPr>
          </w:p>
        </w:tc>
        <w:tc>
          <w:tcPr>
            <w:tcW w:w="1060" w:type="dxa"/>
            <w:vAlign w:val="bottom"/>
            <w:tcBorders>
              <w:top w:val="single" w:sz="8" w:color="auto"/>
              <w:bottom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auto"/>
                <w:w w:val="99"/>
              </w:rPr>
              <w:t>Paul E. Jacobs</w:t>
            </w:r>
          </w:p>
        </w:tc>
        <w:tc>
          <w:tcPr>
            <w:tcW w:w="780" w:type="dxa"/>
            <w:vAlign w:val="bottom"/>
            <w:tcBorders>
              <w:top w:val="single" w:sz="8" w:color="auto"/>
            </w:tcBorders>
            <w:gridSpan w:val="11"/>
          </w:tcPr>
          <w:p>
            <w:pPr>
              <w:spacing w:after="0"/>
              <w:rPr>
                <w:sz w:val="14"/>
                <w:szCs w:val="14"/>
                <w:color w:val="auto"/>
              </w:rPr>
            </w:pPr>
          </w:p>
        </w:tc>
        <w:tc>
          <w:tcPr>
            <w:tcW w:w="2540" w:type="dxa"/>
            <w:vAlign w:val="bottom"/>
            <w:gridSpan w:val="4"/>
          </w:tcPr>
          <w:p>
            <w:pPr>
              <w:spacing w:after="0"/>
              <w:rPr>
                <w:sz w:val="14"/>
                <w:szCs w:val="14"/>
                <w:color w:val="auto"/>
              </w:rPr>
            </w:pPr>
          </w:p>
        </w:tc>
        <w:tc>
          <w:tcPr>
            <w:tcW w:w="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06"/>
        </w:trPr>
        <w:tc>
          <w:tcPr>
            <w:tcW w:w="20" w:type="dxa"/>
            <w:vAlign w:val="bottom"/>
          </w:tcPr>
          <w:p>
            <w:pPr>
              <w:spacing w:after="0"/>
              <w:rPr>
                <w:sz w:val="24"/>
                <w:szCs w:val="24"/>
                <w:color w:val="auto"/>
              </w:rPr>
            </w:pPr>
          </w:p>
        </w:tc>
        <w:tc>
          <w:tcPr>
            <w:tcW w:w="43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/s/ Sara Mathew</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February 22, 2023</w:t>
            </w:r>
          </w:p>
        </w:tc>
      </w:tr>
      <w:tr>
        <w:trPr>
          <w:trHeight w:val="169"/>
        </w:trPr>
        <w:tc>
          <w:tcPr>
            <w:tcW w:w="20" w:type="dxa"/>
            <w:vAlign w:val="bottom"/>
          </w:tcPr>
          <w:p>
            <w:pPr>
              <w:spacing w:after="0"/>
              <w:rPr>
                <w:sz w:val="14"/>
                <w:szCs w:val="14"/>
                <w:color w:val="auto"/>
              </w:rPr>
            </w:pPr>
          </w:p>
        </w:tc>
        <w:tc>
          <w:tcPr>
            <w:tcW w:w="1820" w:type="dxa"/>
            <w:vAlign w:val="bottom"/>
            <w:tcBorders>
              <w:top w:val="single" w:sz="8" w:color="auto"/>
            </w:tcBorders>
            <w:gridSpan w:val="13"/>
          </w:tcPr>
          <w:p>
            <w:pPr>
              <w:spacing w:after="0" w:line="169" w:lineRule="exact"/>
              <w:rPr>
                <w:sz w:val="20"/>
                <w:szCs w:val="20"/>
                <w:color w:val="auto"/>
              </w:rPr>
            </w:pPr>
            <w:r>
              <w:rPr>
                <w:rFonts w:ascii="Times New Roman" w:cs="Times New Roman" w:eastAsia="Times New Roman" w:hAnsi="Times New Roman"/>
                <w:sz w:val="18"/>
                <w:szCs w:val="18"/>
                <w:color w:val="auto"/>
              </w:rPr>
              <w:t>Sara Mathew</w:t>
            </w:r>
          </w:p>
        </w:tc>
        <w:tc>
          <w:tcPr>
            <w:tcW w:w="2560" w:type="dxa"/>
            <w:vAlign w:val="bottom"/>
            <w:gridSpan w:val="5"/>
          </w:tcPr>
          <w:p>
            <w:pPr>
              <w:spacing w:after="0"/>
              <w:rPr>
                <w:sz w:val="14"/>
                <w:szCs w:val="14"/>
                <w:color w:val="auto"/>
              </w:rPr>
            </w:pPr>
          </w:p>
        </w:tc>
        <w:tc>
          <w:tcPr>
            <w:tcW w:w="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43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/s/ Abhay Parasnis</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February 22, 2023</w:t>
            </w:r>
          </w:p>
        </w:tc>
      </w:tr>
      <w:tr>
        <w:trPr>
          <w:trHeight w:val="169"/>
        </w:trPr>
        <w:tc>
          <w:tcPr>
            <w:tcW w:w="20" w:type="dxa"/>
            <w:vAlign w:val="bottom"/>
          </w:tcPr>
          <w:p>
            <w:pPr>
              <w:spacing w:after="0"/>
              <w:rPr>
                <w:sz w:val="14"/>
                <w:szCs w:val="14"/>
                <w:color w:val="auto"/>
              </w:rPr>
            </w:pPr>
          </w:p>
        </w:tc>
        <w:tc>
          <w:tcPr>
            <w:tcW w:w="1180" w:type="dxa"/>
            <w:vAlign w:val="bottom"/>
            <w:tcBorders>
              <w:top w:val="single" w:sz="8" w:color="auto"/>
              <w:bottom w:val="single" w:sz="8" w:color="auto"/>
            </w:tcBorders>
            <w:gridSpan w:val="6"/>
          </w:tcPr>
          <w:p>
            <w:pPr>
              <w:spacing w:after="0" w:line="169" w:lineRule="exact"/>
              <w:rPr>
                <w:sz w:val="20"/>
                <w:szCs w:val="20"/>
                <w:color w:val="auto"/>
              </w:rPr>
            </w:pPr>
            <w:r>
              <w:rPr>
                <w:rFonts w:ascii="Times New Roman" w:cs="Times New Roman" w:eastAsia="Times New Roman" w:hAnsi="Times New Roman"/>
                <w:sz w:val="18"/>
                <w:szCs w:val="18"/>
                <w:color w:val="auto"/>
              </w:rPr>
              <w:t>Abhay Parasnis</w:t>
            </w:r>
          </w:p>
        </w:tc>
        <w:tc>
          <w:tcPr>
            <w:tcW w:w="620" w:type="dxa"/>
            <w:vAlign w:val="bottom"/>
            <w:tcBorders>
              <w:top w:val="single" w:sz="8" w:color="auto"/>
            </w:tcBorders>
            <w:gridSpan w:val="6"/>
          </w:tcPr>
          <w:p>
            <w:pPr>
              <w:spacing w:after="0"/>
              <w:rPr>
                <w:sz w:val="14"/>
                <w:szCs w:val="14"/>
                <w:color w:val="auto"/>
              </w:rPr>
            </w:pPr>
          </w:p>
        </w:tc>
        <w:tc>
          <w:tcPr>
            <w:tcW w:w="2580" w:type="dxa"/>
            <w:vAlign w:val="bottom"/>
            <w:gridSpan w:val="6"/>
          </w:tcPr>
          <w:p>
            <w:pPr>
              <w:spacing w:after="0"/>
              <w:rPr>
                <w:sz w:val="14"/>
                <w:szCs w:val="14"/>
                <w:color w:val="auto"/>
              </w:rPr>
            </w:pPr>
          </w:p>
        </w:tc>
        <w:tc>
          <w:tcPr>
            <w:tcW w:w="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07"/>
        </w:trPr>
        <w:tc>
          <w:tcPr>
            <w:tcW w:w="20" w:type="dxa"/>
            <w:vAlign w:val="bottom"/>
          </w:tcPr>
          <w:p>
            <w:pPr>
              <w:spacing w:after="0"/>
              <w:rPr>
                <w:sz w:val="24"/>
                <w:szCs w:val="24"/>
                <w:color w:val="auto"/>
              </w:rPr>
            </w:pPr>
          </w:p>
        </w:tc>
        <w:tc>
          <w:tcPr>
            <w:tcW w:w="43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/s/ Karen Peacock</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February 22, 2023</w:t>
            </w:r>
          </w:p>
        </w:tc>
      </w:tr>
      <w:tr>
        <w:trPr>
          <w:trHeight w:val="169"/>
        </w:trPr>
        <w:tc>
          <w:tcPr>
            <w:tcW w:w="20" w:type="dxa"/>
            <w:vAlign w:val="bottom"/>
          </w:tcPr>
          <w:p>
            <w:pPr>
              <w:spacing w:after="0"/>
              <w:rPr>
                <w:sz w:val="14"/>
                <w:szCs w:val="14"/>
                <w:color w:val="auto"/>
              </w:rPr>
            </w:pPr>
          </w:p>
        </w:tc>
        <w:tc>
          <w:tcPr>
            <w:tcW w:w="1100" w:type="dxa"/>
            <w:vAlign w:val="bottom"/>
            <w:tcBorders>
              <w:top w:val="single" w:sz="8" w:color="auto"/>
              <w:bottom w:val="single" w:sz="8" w:color="auto"/>
            </w:tcBorders>
            <w:gridSpan w:val="5"/>
          </w:tcPr>
          <w:p>
            <w:pPr>
              <w:spacing w:after="0" w:line="169" w:lineRule="exact"/>
              <w:rPr>
                <w:sz w:val="20"/>
                <w:szCs w:val="20"/>
                <w:color w:val="auto"/>
              </w:rPr>
            </w:pPr>
            <w:r>
              <w:rPr>
                <w:rFonts w:ascii="Times New Roman" w:cs="Times New Roman" w:eastAsia="Times New Roman" w:hAnsi="Times New Roman"/>
                <w:sz w:val="18"/>
                <w:szCs w:val="18"/>
                <w:color w:val="auto"/>
                <w:w w:val="99"/>
              </w:rPr>
              <w:t>Karen Peacock</w:t>
            </w:r>
          </w:p>
        </w:tc>
        <w:tc>
          <w:tcPr>
            <w:tcW w:w="560" w:type="dxa"/>
            <w:vAlign w:val="bottom"/>
            <w:tcBorders>
              <w:top w:val="single" w:sz="8" w:color="auto"/>
            </w:tcBorders>
            <w:gridSpan w:val="4"/>
          </w:tcPr>
          <w:p>
            <w:pPr>
              <w:spacing w:after="0"/>
              <w:rPr>
                <w:sz w:val="14"/>
                <w:szCs w:val="14"/>
                <w:color w:val="auto"/>
              </w:rPr>
            </w:pPr>
          </w:p>
        </w:tc>
        <w:tc>
          <w:tcPr>
            <w:tcW w:w="20" w:type="dxa"/>
            <w:vAlign w:val="bottom"/>
          </w:tcPr>
          <w:p>
            <w:pPr>
              <w:spacing w:after="0"/>
              <w:rPr>
                <w:sz w:val="14"/>
                <w:szCs w:val="14"/>
                <w:color w:val="auto"/>
              </w:rPr>
            </w:pPr>
          </w:p>
        </w:tc>
        <w:tc>
          <w:tcPr>
            <w:tcW w:w="2700" w:type="dxa"/>
            <w:vAlign w:val="bottom"/>
            <w:gridSpan w:val="8"/>
          </w:tcPr>
          <w:p>
            <w:pPr>
              <w:spacing w:after="0"/>
              <w:rPr>
                <w:sz w:val="14"/>
                <w:szCs w:val="14"/>
                <w:color w:val="auto"/>
              </w:rPr>
            </w:pPr>
          </w:p>
        </w:tc>
        <w:tc>
          <w:tcPr>
            <w:tcW w:w="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20"/>
        </w:trPr>
        <w:tc>
          <w:tcPr>
            <w:tcW w:w="20" w:type="dxa"/>
            <w:vAlign w:val="bottom"/>
          </w:tcPr>
          <w:p>
            <w:pPr>
              <w:spacing w:after="0"/>
              <w:rPr>
                <w:sz w:val="24"/>
                <w:szCs w:val="24"/>
                <w:color w:val="auto"/>
              </w:rPr>
            </w:pPr>
          </w:p>
        </w:tc>
        <w:tc>
          <w:tcPr>
            <w:tcW w:w="43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/s/ Michael Seibel</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February 22, 2023</w:t>
            </w:r>
          </w:p>
        </w:tc>
      </w:tr>
      <w:tr>
        <w:trPr>
          <w:trHeight w:val="169"/>
        </w:trPr>
        <w:tc>
          <w:tcPr>
            <w:tcW w:w="20" w:type="dxa"/>
            <w:vAlign w:val="bottom"/>
          </w:tcPr>
          <w:p>
            <w:pPr>
              <w:spacing w:after="0"/>
              <w:rPr>
                <w:sz w:val="14"/>
                <w:szCs w:val="14"/>
                <w:color w:val="auto"/>
              </w:rPr>
            </w:pPr>
          </w:p>
        </w:tc>
        <w:tc>
          <w:tcPr>
            <w:tcW w:w="1100" w:type="dxa"/>
            <w:vAlign w:val="bottom"/>
            <w:tcBorders>
              <w:top w:val="single" w:sz="8" w:color="auto"/>
              <w:bottom w:val="single" w:sz="8" w:color="auto"/>
            </w:tcBorders>
            <w:gridSpan w:val="5"/>
          </w:tcPr>
          <w:p>
            <w:pPr>
              <w:spacing w:after="0" w:line="169" w:lineRule="exact"/>
              <w:rPr>
                <w:sz w:val="20"/>
                <w:szCs w:val="20"/>
                <w:color w:val="auto"/>
              </w:rPr>
            </w:pPr>
            <w:r>
              <w:rPr>
                <w:rFonts w:ascii="Times New Roman" w:cs="Times New Roman" w:eastAsia="Times New Roman" w:hAnsi="Times New Roman"/>
                <w:sz w:val="18"/>
                <w:szCs w:val="18"/>
                <w:color w:val="auto"/>
                <w:w w:val="99"/>
              </w:rPr>
              <w:t>Michael Seibel</w:t>
            </w:r>
          </w:p>
        </w:tc>
        <w:tc>
          <w:tcPr>
            <w:tcW w:w="580" w:type="dxa"/>
            <w:vAlign w:val="bottom"/>
            <w:tcBorders>
              <w:top w:val="single" w:sz="8" w:color="auto"/>
            </w:tcBorders>
            <w:gridSpan w:val="5"/>
          </w:tcPr>
          <w:p>
            <w:pPr>
              <w:spacing w:after="0"/>
              <w:rPr>
                <w:sz w:val="14"/>
                <w:szCs w:val="14"/>
                <w:color w:val="auto"/>
              </w:rPr>
            </w:pPr>
          </w:p>
        </w:tc>
        <w:tc>
          <w:tcPr>
            <w:tcW w:w="2700" w:type="dxa"/>
            <w:vAlign w:val="bottom"/>
            <w:gridSpan w:val="8"/>
          </w:tcPr>
          <w:p>
            <w:pPr>
              <w:spacing w:after="0"/>
              <w:rPr>
                <w:sz w:val="14"/>
                <w:szCs w:val="14"/>
                <w:color w:val="auto"/>
              </w:rPr>
            </w:pPr>
          </w:p>
        </w:tc>
        <w:tc>
          <w:tcPr>
            <w:tcW w:w="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ectPr>
          <w:pgSz w:w="11900" w:h="16838" w:orient="portrait"/>
          <w:cols w:equalWidth="0" w:num="1">
            <w:col w:w="10780"/>
          </w:cols>
          <w:pgMar w:left="320" w:top="1440" w:right="7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b w:val="1"/>
          <w:bCs w:val="1"/>
          <w:color w:val="auto"/>
        </w:rPr>
        <w:t>Exhibit 107</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S-8</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Dropbox, Inc.</w:t>
      </w: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0"/>
          <w:szCs w:val="20"/>
          <w:color w:val="auto"/>
        </w:rPr>
      </w:pPr>
    </w:p>
    <w:p>
      <w:pPr>
        <w:spacing w:after="0" w:line="31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color w:val="auto"/>
        </w:rPr>
        <w:t>Table 1 – Newly Registered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32385</wp:posOffset>
            </wp:positionV>
            <wp:extent cx="68319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83196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08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Fee</w:t>
            </w:r>
          </w:p>
        </w:tc>
        <w:tc>
          <w:tcPr>
            <w:tcW w:w="1560" w:type="dxa"/>
            <w:vAlign w:val="bottom"/>
            <w:vMerge w:val="restart"/>
          </w:tcPr>
          <w:p>
            <w:pPr>
              <w:jc w:val="center"/>
              <w:ind w:left="508"/>
              <w:spacing w:after="0"/>
              <w:rPr>
                <w:sz w:val="20"/>
                <w:szCs w:val="20"/>
                <w:color w:val="auto"/>
              </w:rPr>
            </w:pPr>
            <w:r>
              <w:rPr>
                <w:rFonts w:ascii="Times New Roman" w:cs="Times New Roman" w:eastAsia="Times New Roman" w:hAnsi="Times New Roman"/>
                <w:sz w:val="14"/>
                <w:szCs w:val="14"/>
                <w:color w:val="auto"/>
              </w:rPr>
              <w:t>Amount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Proposed Maximum</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Maximum</w:t>
            </w:r>
          </w:p>
        </w:tc>
        <w:tc>
          <w:tcPr>
            <w:tcW w:w="880" w:type="dxa"/>
            <w:vAlign w:val="bottom"/>
          </w:tcPr>
          <w:p>
            <w:pPr>
              <w:spacing w:after="0"/>
              <w:rPr>
                <w:sz w:val="13"/>
                <w:szCs w:val="13"/>
                <w:color w:val="auto"/>
              </w:rPr>
            </w:pPr>
          </w:p>
        </w:tc>
        <w:tc>
          <w:tcPr>
            <w:tcW w:w="10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Amount of</w:t>
            </w:r>
          </w:p>
        </w:tc>
        <w:tc>
          <w:tcPr>
            <w:tcW w:w="0" w:type="dxa"/>
            <w:vAlign w:val="bottom"/>
          </w:tcPr>
          <w:p>
            <w:pPr>
              <w:spacing w:after="0"/>
              <w:rPr>
                <w:sz w:val="1"/>
                <w:szCs w:val="1"/>
                <w:color w:val="auto"/>
              </w:rPr>
            </w:pPr>
          </w:p>
        </w:tc>
      </w:tr>
      <w:tr>
        <w:trPr>
          <w:trHeight w:val="144"/>
        </w:trPr>
        <w:tc>
          <w:tcPr>
            <w:tcW w:w="160" w:type="dxa"/>
            <w:vAlign w:val="bottom"/>
          </w:tcPr>
          <w:p>
            <w:pPr>
              <w:spacing w:after="0"/>
              <w:rPr>
                <w:sz w:val="12"/>
                <w:szCs w:val="12"/>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Security Type</w:t>
            </w:r>
          </w:p>
        </w:tc>
        <w:tc>
          <w:tcPr>
            <w:tcW w:w="2920" w:type="dxa"/>
            <w:vAlign w:val="bottom"/>
            <w:vMerge w:val="restart"/>
          </w:tcPr>
          <w:p>
            <w:pPr>
              <w:ind w:left="1120"/>
              <w:spacing w:after="0"/>
              <w:rPr>
                <w:sz w:val="20"/>
                <w:szCs w:val="20"/>
                <w:color w:val="auto"/>
              </w:rPr>
            </w:pPr>
            <w:r>
              <w:rPr>
                <w:rFonts w:ascii="Times New Roman" w:cs="Times New Roman" w:eastAsia="Times New Roman" w:hAnsi="Times New Roman"/>
                <w:sz w:val="14"/>
                <w:szCs w:val="14"/>
                <w:color w:val="auto"/>
              </w:rPr>
              <w:t>Security Class Type</w:t>
            </w:r>
          </w:p>
        </w:tc>
        <w:tc>
          <w:tcPr>
            <w:tcW w:w="1080" w:type="dxa"/>
            <w:vAlign w:val="bottom"/>
          </w:tcPr>
          <w:p>
            <w:pPr>
              <w:jc w:val="center"/>
              <w:ind w:left="148"/>
              <w:spacing w:after="0" w:line="145" w:lineRule="exact"/>
              <w:rPr>
                <w:sz w:val="20"/>
                <w:szCs w:val="20"/>
                <w:color w:val="auto"/>
              </w:rPr>
            </w:pPr>
            <w:r>
              <w:rPr>
                <w:rFonts w:ascii="Times New Roman" w:cs="Times New Roman" w:eastAsia="Times New Roman" w:hAnsi="Times New Roman"/>
                <w:sz w:val="14"/>
                <w:szCs w:val="14"/>
                <w:color w:val="auto"/>
              </w:rPr>
              <w:t>Calculation</w:t>
            </w:r>
          </w:p>
        </w:tc>
        <w:tc>
          <w:tcPr>
            <w:tcW w:w="1560" w:type="dxa"/>
            <w:vAlign w:val="bottom"/>
            <w:vMerge w:val="continue"/>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Offering Price Per</w:t>
            </w:r>
          </w:p>
        </w:tc>
        <w:tc>
          <w:tcPr>
            <w:tcW w:w="12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Aggregate Offering</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Fee Rate</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920" w:type="dxa"/>
            <w:vAlign w:val="bottom"/>
            <w:vMerge w:val="continue"/>
          </w:tcPr>
          <w:p>
            <w:pPr>
              <w:spacing w:after="0"/>
              <w:rPr>
                <w:sz w:val="12"/>
                <w:szCs w:val="12"/>
                <w:color w:val="auto"/>
              </w:rPr>
            </w:pPr>
          </w:p>
        </w:tc>
        <w:tc>
          <w:tcPr>
            <w:tcW w:w="1080" w:type="dxa"/>
            <w:vAlign w:val="bottom"/>
          </w:tcPr>
          <w:p>
            <w:pPr>
              <w:jc w:val="center"/>
              <w:ind w:left="148"/>
              <w:spacing w:after="0" w:line="129" w:lineRule="exact"/>
              <w:rPr>
                <w:sz w:val="20"/>
                <w:szCs w:val="20"/>
                <w:color w:val="auto"/>
              </w:rPr>
            </w:pPr>
            <w:r>
              <w:rPr>
                <w:rFonts w:ascii="Times New Roman" w:cs="Times New Roman" w:eastAsia="Times New Roman" w:hAnsi="Times New Roman"/>
                <w:sz w:val="14"/>
                <w:szCs w:val="14"/>
                <w:color w:val="auto"/>
                <w:w w:val="98"/>
              </w:rPr>
              <w:t>Rule</w:t>
            </w:r>
          </w:p>
        </w:tc>
        <w:tc>
          <w:tcPr>
            <w:tcW w:w="1560" w:type="dxa"/>
            <w:vAlign w:val="bottom"/>
          </w:tcPr>
          <w:p>
            <w:pPr>
              <w:jc w:val="center"/>
              <w:ind w:left="508"/>
              <w:spacing w:after="0" w:line="129" w:lineRule="exact"/>
              <w:rPr>
                <w:sz w:val="20"/>
                <w:szCs w:val="20"/>
                <w:color w:val="auto"/>
              </w:rPr>
            </w:pPr>
            <w:r>
              <w:rPr>
                <w:rFonts w:ascii="Times New Roman" w:cs="Times New Roman" w:eastAsia="Times New Roman" w:hAnsi="Times New Roman"/>
                <w:sz w:val="14"/>
                <w:szCs w:val="14"/>
                <w:color w:val="auto"/>
              </w:rPr>
              <w:t>Registered (1)</w:t>
            </w:r>
          </w:p>
        </w:tc>
        <w:tc>
          <w:tcPr>
            <w:tcW w:w="1360" w:type="dxa"/>
            <w:vAlign w:val="bottom"/>
          </w:tcPr>
          <w:p>
            <w:pPr>
              <w:jc w:val="center"/>
              <w:ind w:left="8"/>
              <w:spacing w:after="0" w:line="129" w:lineRule="exact"/>
              <w:rPr>
                <w:sz w:val="20"/>
                <w:szCs w:val="20"/>
                <w:color w:val="auto"/>
              </w:rPr>
            </w:pPr>
            <w:r>
              <w:rPr>
                <w:rFonts w:ascii="Times New Roman" w:cs="Times New Roman" w:eastAsia="Times New Roman" w:hAnsi="Times New Roman"/>
                <w:sz w:val="14"/>
                <w:szCs w:val="14"/>
                <w:color w:val="auto"/>
              </w:rPr>
              <w:t>Share</w:t>
            </w:r>
          </w:p>
        </w:tc>
        <w:tc>
          <w:tcPr>
            <w:tcW w:w="12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Price</w:t>
            </w:r>
          </w:p>
        </w:tc>
        <w:tc>
          <w:tcPr>
            <w:tcW w:w="880" w:type="dxa"/>
            <w:vAlign w:val="bottom"/>
            <w:vMerge w:val="continue"/>
          </w:tcPr>
          <w:p>
            <w:pPr>
              <w:spacing w:after="0"/>
              <w:rPr>
                <w:sz w:val="12"/>
                <w:szCs w:val="12"/>
                <w:color w:val="auto"/>
              </w:rPr>
            </w:pPr>
          </w:p>
        </w:tc>
        <w:tc>
          <w:tcPr>
            <w:tcW w:w="108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color w:val="auto"/>
              </w:rPr>
              <w:t>Registration Fee</w:t>
            </w:r>
          </w:p>
        </w:tc>
        <w:tc>
          <w:tcPr>
            <w:tcW w:w="0" w:type="dxa"/>
            <w:vAlign w:val="bottom"/>
          </w:tcPr>
          <w:p>
            <w:pPr>
              <w:spacing w:after="0"/>
              <w:rPr>
                <w:sz w:val="1"/>
                <w:szCs w:val="1"/>
                <w:color w:val="auto"/>
              </w:rPr>
            </w:pPr>
          </w:p>
        </w:tc>
      </w:tr>
      <w:tr>
        <w:trPr>
          <w:trHeight w:val="34"/>
        </w:trPr>
        <w:tc>
          <w:tcPr>
            <w:tcW w:w="16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2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Class A Common Stock, $0.00001 par value</w:t>
            </w:r>
          </w:p>
        </w:tc>
        <w:tc>
          <w:tcPr>
            <w:tcW w:w="10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per share, reserved for issuance pursuant to</w:t>
            </w:r>
          </w:p>
        </w:tc>
        <w:tc>
          <w:tcPr>
            <w:tcW w:w="10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the 2018 Equity Incentive Plan the 2018</w:t>
            </w:r>
          </w:p>
        </w:tc>
        <w:tc>
          <w:tcPr>
            <w:tcW w:w="10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Incentive Plan</w:t>
            </w:r>
          </w:p>
        </w:tc>
        <w:tc>
          <w:tcPr>
            <w:tcW w:w="10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17,467,605(2)</w:t>
            </w:r>
          </w:p>
        </w:tc>
        <w:tc>
          <w:tcPr>
            <w:tcW w:w="1360" w:type="dxa"/>
            <w:vAlign w:val="bottom"/>
            <w:tcBorders>
              <w:bottom w:val="single" w:sz="8" w:color="CCEEFF"/>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$ 23.98 (3)</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$418,873,167.90</w:t>
            </w:r>
          </w:p>
        </w:tc>
        <w:tc>
          <w:tcPr>
            <w:tcW w:w="8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0.00011020</w:t>
            </w:r>
          </w:p>
        </w:tc>
        <w:tc>
          <w:tcPr>
            <w:tcW w:w="1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$ 46,160.00</w:t>
            </w:r>
          </w:p>
        </w:tc>
        <w:tc>
          <w:tcPr>
            <w:tcW w:w="0" w:type="dxa"/>
            <w:vAlign w:val="bottom"/>
          </w:tcPr>
          <w:p>
            <w:pPr>
              <w:spacing w:after="0"/>
              <w:rPr>
                <w:sz w:val="1"/>
                <w:szCs w:val="1"/>
                <w:color w:val="auto"/>
              </w:rPr>
            </w:pPr>
          </w:p>
        </w:tc>
      </w:tr>
      <w:tr>
        <w:trPr>
          <w:trHeight w:val="196"/>
        </w:trPr>
        <w:tc>
          <w:tcPr>
            <w:tcW w:w="40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Total Offering Amounts</w:t>
            </w:r>
          </w:p>
        </w:tc>
        <w:tc>
          <w:tcPr>
            <w:tcW w:w="1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$418,873,167.90</w:t>
            </w:r>
          </w:p>
        </w:tc>
        <w:tc>
          <w:tcPr>
            <w:tcW w:w="880" w:type="dxa"/>
            <w:vAlign w:val="bottom"/>
          </w:tcPr>
          <w:p>
            <w:pPr>
              <w:spacing w:after="0"/>
              <w:rPr>
                <w:sz w:val="17"/>
                <w:szCs w:val="17"/>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$ 46,160.00</w:t>
            </w:r>
          </w:p>
        </w:tc>
        <w:tc>
          <w:tcPr>
            <w:tcW w:w="0" w:type="dxa"/>
            <w:vAlign w:val="bottom"/>
          </w:tcPr>
          <w:p>
            <w:pPr>
              <w:spacing w:after="0"/>
              <w:rPr>
                <w:sz w:val="1"/>
                <w:szCs w:val="1"/>
                <w:color w:val="auto"/>
              </w:rPr>
            </w:pPr>
          </w:p>
        </w:tc>
      </w:tr>
      <w:tr>
        <w:trPr>
          <w:trHeight w:val="209"/>
        </w:trPr>
        <w:tc>
          <w:tcPr>
            <w:tcW w:w="1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Fee Offsets</w:t>
            </w:r>
          </w:p>
        </w:tc>
        <w:tc>
          <w:tcPr>
            <w:tcW w:w="2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Net Fee Due</w:t>
            </w:r>
          </w:p>
        </w:tc>
        <w:tc>
          <w:tcPr>
            <w:tcW w:w="2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$ 46,160.00</w:t>
            </w:r>
          </w:p>
        </w:tc>
        <w:tc>
          <w:tcPr>
            <w:tcW w:w="0" w:type="dxa"/>
            <w:vAlign w:val="bottom"/>
          </w:tcPr>
          <w:p>
            <w:pPr>
              <w:spacing w:after="0"/>
              <w:rPr>
                <w:sz w:val="1"/>
                <w:szCs w:val="1"/>
                <w:color w:val="auto"/>
              </w:rPr>
            </w:pPr>
          </w:p>
        </w:tc>
      </w:tr>
    </w:tbl>
    <w:p>
      <w:pPr>
        <w:spacing w:after="0" w:line="331" w:lineRule="exact"/>
        <w:rPr>
          <w:sz w:val="20"/>
          <w:szCs w:val="20"/>
          <w:color w:val="auto"/>
        </w:rPr>
      </w:pPr>
    </w:p>
    <w:p>
      <w:pPr>
        <w:ind w:firstLine="8"/>
        <w:spacing w:after="0" w:line="269" w:lineRule="auto"/>
        <w:tabs>
          <w:tab w:leader="none" w:pos="165"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Pursuant to Rule 416(a) of the Securities Act of 1933, as amended, this Registration Statement covers any additional shares of the Registrant’s Class A common stock (“Class A Common Stock”) that become issuable under the Registrant’s 2018 Equity Incentive Plan (the “2018 Plan”) by reason of any stock dividend, stock split, recapitalization or other similar transaction effected without the Registrant’s receipt of consideration which results in an increase in the number of the outstanding shares of Class A Common Stock.</w:t>
      </w:r>
    </w:p>
    <w:p>
      <w:pPr>
        <w:spacing w:after="0" w:line="190" w:lineRule="exact"/>
        <w:rPr>
          <w:rFonts w:ascii="Times New Roman" w:cs="Times New Roman" w:eastAsia="Times New Roman" w:hAnsi="Times New Roman"/>
          <w:sz w:val="20"/>
          <w:szCs w:val="20"/>
          <w:color w:val="auto"/>
          <w:vertAlign w:val="superscript"/>
        </w:rPr>
      </w:pPr>
    </w:p>
    <w:p>
      <w:pPr>
        <w:ind w:right="60" w:firstLine="8"/>
        <w:spacing w:after="0" w:line="269" w:lineRule="auto"/>
        <w:tabs>
          <w:tab w:leader="none" w:pos="165"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Represents an automatic increase of 17,467,605 shares of the Registrant’s Class A common stock reserved for issuance under, and which annual increase is provided for, in the 2018 Plan.</w:t>
      </w:r>
    </w:p>
    <w:p>
      <w:pPr>
        <w:spacing w:after="0" w:line="197" w:lineRule="exact"/>
        <w:rPr>
          <w:rFonts w:ascii="Times New Roman" w:cs="Times New Roman" w:eastAsia="Times New Roman" w:hAnsi="Times New Roman"/>
          <w:sz w:val="20"/>
          <w:szCs w:val="20"/>
          <w:color w:val="auto"/>
          <w:vertAlign w:val="superscript"/>
        </w:rPr>
      </w:pPr>
    </w:p>
    <w:p>
      <w:pPr>
        <w:ind w:right="300" w:firstLine="8"/>
        <w:spacing w:after="0" w:line="269" w:lineRule="auto"/>
        <w:tabs>
          <w:tab w:leader="none" w:pos="165"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Estimated in accordance with Rule 457(h) solely for the purpose of calculating the registration fee on the basis of $23.98 per share, the average of the high and low sale prices of the Registrant’s Class A common stock as reported on the NASDAQ Global Select Stock Market on February 15, 2023.</w:t>
      </w:r>
    </w:p>
    <w:p>
      <w:pPr>
        <w:sectPr>
          <w:pgSz w:w="11900" w:h="16838" w:orient="portrait"/>
          <w:cols w:equalWidth="0" w:num="1">
            <w:col w:w="11240"/>
          </w:cols>
          <w:pgMar w:left="320" w:top="1409"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913765</wp:posOffset>
            </wp:positionV>
            <wp:extent cx="1097280"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0972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20"/>
        <w:spacing w:after="0"/>
        <w:rPr>
          <w:sz w:val="20"/>
          <w:szCs w:val="20"/>
          <w:color w:val="auto"/>
        </w:rPr>
      </w:pPr>
      <w:r>
        <w:rPr>
          <w:rFonts w:ascii="Georgia" w:cs="Georgia" w:eastAsia="Georgia" w:hAnsi="Georgia"/>
          <w:sz w:val="14"/>
          <w:szCs w:val="14"/>
          <w:color w:val="003D4C"/>
        </w:rPr>
        <w:t>Wilson Sonsini Goodrich &amp; Rosati</w:t>
      </w:r>
    </w:p>
    <w:p>
      <w:pPr>
        <w:spacing w:after="0" w:line="16" w:lineRule="exact"/>
        <w:rPr>
          <w:sz w:val="20"/>
          <w:szCs w:val="20"/>
          <w:color w:val="auto"/>
        </w:rPr>
      </w:pPr>
    </w:p>
    <w:p>
      <w:pPr>
        <w:jc w:val="right"/>
        <w:ind w:right="20"/>
        <w:spacing w:after="0"/>
        <w:rPr>
          <w:sz w:val="20"/>
          <w:szCs w:val="20"/>
          <w:color w:val="auto"/>
        </w:rPr>
      </w:pPr>
      <w:r>
        <w:rPr>
          <w:rFonts w:ascii="Georgia" w:cs="Georgia" w:eastAsia="Georgia" w:hAnsi="Georgia"/>
          <w:sz w:val="14"/>
          <w:szCs w:val="14"/>
          <w:color w:val="003D4C"/>
        </w:rPr>
        <w:t>Professional Corporation 650 Page Mill Road</w:t>
      </w:r>
    </w:p>
    <w:p>
      <w:pPr>
        <w:spacing w:after="0" w:line="16" w:lineRule="exact"/>
        <w:rPr>
          <w:sz w:val="20"/>
          <w:szCs w:val="20"/>
          <w:color w:val="auto"/>
        </w:rPr>
      </w:pPr>
    </w:p>
    <w:p>
      <w:pPr>
        <w:jc w:val="right"/>
        <w:ind w:right="20"/>
        <w:spacing w:after="0"/>
        <w:rPr>
          <w:sz w:val="20"/>
          <w:szCs w:val="20"/>
          <w:color w:val="auto"/>
        </w:rPr>
      </w:pPr>
      <w:r>
        <w:rPr>
          <w:rFonts w:ascii="Georgia" w:cs="Georgia" w:eastAsia="Georgia" w:hAnsi="Georgia"/>
          <w:sz w:val="14"/>
          <w:szCs w:val="14"/>
          <w:color w:val="003D4C"/>
        </w:rPr>
        <w:t>Palo Alto, CA 94304-1050 o: 650.493.9300</w:t>
      </w:r>
    </w:p>
    <w:p>
      <w:pPr>
        <w:spacing w:after="0" w:line="3" w:lineRule="exact"/>
        <w:rPr>
          <w:sz w:val="20"/>
          <w:szCs w:val="20"/>
          <w:color w:val="auto"/>
        </w:rPr>
      </w:pPr>
    </w:p>
    <w:p>
      <w:pPr>
        <w:jc w:val="right"/>
        <w:ind w:right="20"/>
        <w:spacing w:after="0"/>
        <w:rPr>
          <w:sz w:val="20"/>
          <w:szCs w:val="20"/>
          <w:color w:val="auto"/>
        </w:rPr>
      </w:pPr>
      <w:r>
        <w:rPr>
          <w:rFonts w:ascii="Georgia" w:cs="Georgia" w:eastAsia="Georgia" w:hAnsi="Georgia"/>
          <w:sz w:val="14"/>
          <w:szCs w:val="14"/>
          <w:color w:val="003D4C"/>
        </w:rPr>
        <w:t>f: 650.493.6811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February 22, 2023</w:t>
      </w:r>
    </w:p>
    <w:p>
      <w:pPr>
        <w:spacing w:after="0" w:line="204" w:lineRule="auto"/>
        <w:rPr>
          <w:sz w:val="20"/>
          <w:szCs w:val="20"/>
          <w:color w:val="auto"/>
        </w:rPr>
      </w:pPr>
      <w:r>
        <w:rPr>
          <w:rFonts w:ascii="Times New Roman" w:cs="Times New Roman" w:eastAsia="Times New Roman" w:hAnsi="Times New Roman"/>
          <w:sz w:val="22"/>
          <w:szCs w:val="22"/>
          <w:color w:val="auto"/>
        </w:rPr>
        <w:t>Dropbox, Inc.</w:t>
      </w:r>
    </w:p>
    <w:p>
      <w:pPr>
        <w:spacing w:after="0" w:line="205" w:lineRule="auto"/>
        <w:rPr>
          <w:sz w:val="20"/>
          <w:szCs w:val="20"/>
          <w:color w:val="auto"/>
        </w:rPr>
      </w:pPr>
      <w:r>
        <w:rPr>
          <w:rFonts w:ascii="Times New Roman" w:cs="Times New Roman" w:eastAsia="Times New Roman" w:hAnsi="Times New Roman"/>
          <w:sz w:val="22"/>
          <w:szCs w:val="22"/>
          <w:color w:val="auto"/>
        </w:rPr>
        <w:t>1800 Owens Street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Re: Registration Statement on Form S-8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189"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We have examined the Registration Statement on Form S-8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to be filed by Dropbox,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with the Securities and Exchange Commission on or about the date hereof, relating to the registration under the Securities Act of 1933, as amended, of 17,467,605 shares of the Company’s Class A common stock, par value $0.00001 per share (the “</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reserved for issuance pursuant to the Dropbox, Inc. 2018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right="220" w:firstLine="648"/>
        <w:spacing w:after="0" w:line="244" w:lineRule="auto"/>
        <w:rPr>
          <w:sz w:val="20"/>
          <w:szCs w:val="20"/>
          <w:color w:val="auto"/>
        </w:rPr>
      </w:pPr>
      <w:r>
        <w:rPr>
          <w:rFonts w:ascii="Times New Roman" w:cs="Times New Roman" w:eastAsia="Times New Roman" w:hAnsi="Times New Roman"/>
          <w:sz w:val="22"/>
          <w:szCs w:val="22"/>
          <w:color w:val="auto"/>
        </w:rPr>
        <w:t>On the basis of the foregoing, and in reliance thereon, we are of the opinion that the Shares, when issued and sold in the manner referred to in the Plan and pursuant to the agreements that accompany the Plan, will be legally and validly issued, fully paid, and nonassessable.</w:t>
      </w:r>
    </w:p>
    <w:p>
      <w:pPr>
        <w:spacing w:after="0" w:line="200" w:lineRule="exact"/>
        <w:rPr>
          <w:sz w:val="20"/>
          <w:szCs w:val="20"/>
          <w:color w:val="auto"/>
        </w:rPr>
      </w:pPr>
    </w:p>
    <w:p>
      <w:pPr>
        <w:ind w:right="440" w:firstLine="648"/>
        <w:spacing w:after="0" w:line="258" w:lineRule="auto"/>
        <w:rPr>
          <w:sz w:val="20"/>
          <w:szCs w:val="20"/>
          <w:color w:val="auto"/>
        </w:rPr>
      </w:pPr>
      <w:r>
        <w:rPr>
          <w:rFonts w:ascii="Times New Roman" w:cs="Times New Roman" w:eastAsia="Times New Roman" w:hAnsi="Times New Roman"/>
          <w:sz w:val="22"/>
          <w:szCs w:val="22"/>
          <w:color w:val="auto"/>
        </w:rPr>
        <w:t>We consent to the use of this opinion as an exhibit to the Registration Statement, and further consent to the use of our name wherever appearing in the Registration Statement and any amendments thereto.</w:t>
      </w:r>
    </w:p>
    <w:p>
      <w:pPr>
        <w:spacing w:after="0" w:line="200" w:lineRule="exact"/>
        <w:rPr>
          <w:sz w:val="20"/>
          <w:szCs w:val="20"/>
          <w:color w:val="auto"/>
        </w:rPr>
      </w:pPr>
    </w:p>
    <w:p>
      <w:pPr>
        <w:spacing w:after="0" w:line="25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6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WILSON SONSINI GOODRICH &amp;</w:t>
      </w:r>
    </w:p>
    <w:p>
      <w:pPr>
        <w:ind w:left="4500"/>
        <w:spacing w:after="0" w:line="204" w:lineRule="auto"/>
        <w:rPr>
          <w:sz w:val="20"/>
          <w:szCs w:val="20"/>
          <w:color w:val="auto"/>
        </w:rPr>
      </w:pPr>
      <w:r>
        <w:rPr>
          <w:rFonts w:ascii="Times New Roman" w:cs="Times New Roman" w:eastAsia="Times New Roman" w:hAnsi="Times New Roman"/>
          <w:sz w:val="22"/>
          <w:szCs w:val="22"/>
          <w:color w:val="auto"/>
        </w:rPr>
        <w:t>ROSATI</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Professional Corporation</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 Wilson Sonsini Goodrich &amp; Rosati</w:t>
      </w:r>
    </w:p>
    <w:p>
      <w:pPr>
        <w:sectPr>
          <w:pgSz w:w="11900" w:h="16838" w:orient="portrait"/>
          <w:cols w:equalWidth="0" w:num="1">
            <w:col w:w="11240"/>
          </w:cols>
          <w:pgMar w:left="320" w:top="122"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33333"/>
        </w:rPr>
        <w:t>Consent of Independent Registered Public Accounting Firm</w:t>
      </w:r>
    </w:p>
    <w:p>
      <w:pPr>
        <w:spacing w:after="0" w:line="22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333333"/>
        </w:rPr>
        <w:t>We consent to the incorporation by reference in the Registration Statement (Form S-8) pertaining to the 2018 Equity Incentive Plan of Dropbox, Inc. of our reports dated February 22, 2023, with respect to the consolidated financial statements of Dropbox, Inc. and the effectiveness of internal control over financial reporting of Dropbox, Inc. included in its Annual Report (Form 10-K) for the year ended December 31, 2022, filed with the Securities and Exchange Commission.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 Ernst &amp; Young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San Francisco, California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February 22, 2023</w:t>
      </w:r>
    </w:p>
    <w:sectPr>
      <w:pgSz w:w="11900" w:h="16838" w:orient="portrait"/>
      <w:cols w:equalWidth="0" w:num="1">
        <w:col w:w="11240"/>
      </w:cols>
      <w:pgMar w:left="320" w:top="14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lvl w:ilvl="1">
      <w:lvlJc w:val="left"/>
      <w:lvlText w:val="%2"/>
      <w:numFmt w:val="decimal"/>
      <w:start w:val="107"/>
    </w:lvl>
  </w:abstractNum>
  <w:abstractNum w:abstractNumId="3">
    <w:nsid w:val="507ED7AB"/>
    <w:multiLevelType w:val="hybridMultilevel"/>
    <w:lvl w:ilvl="0">
      <w:lvlJc w:val="left"/>
      <w:lvlText w:val="(%1)"/>
      <w:numFmt w:val="decimal"/>
      <w:start w:val="1"/>
    </w:lvl>
    <w:lvl w:ilvl="1">
      <w:lvlJc w:val="left"/>
      <w:lvlText w:val="%2"/>
      <w:numFmt w:val="decimal"/>
      <w:start w:val="1"/>
    </w:lvl>
  </w:abstractNum>
  <w:abstractNum w:abstractNumId="4">
    <w:nsid w:val="2EB141F2"/>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5">
    <w:nsid w:val="41B71EFB"/>
    <w:multiLevelType w:val="hybridMultilevel"/>
    <w:lvl w:ilvl="0">
      <w:lvlJc w:val="left"/>
      <w:lvlText w:val="%1"/>
      <w:numFmt w:val="upperLetter"/>
      <w:start w:val="1"/>
    </w:lvl>
    <w:lvl w:ilvl="1">
      <w:lvlJc w:val="left"/>
      <w:lvlText w:val="(%2)"/>
      <w:numFmt w:val="decimal"/>
      <w:start w:val="2"/>
    </w:lvl>
  </w:abstractNum>
  <w:abstractNum w:abstractNumId="6">
    <w:nsid w:val="79E2A9E3"/>
    <w:multiLevelType w:val="hybridMultilevel"/>
    <w:lvl w:ilvl="0">
      <w:lvlJc w:val="left"/>
      <w:lvlText w:val="%1."/>
      <w:numFmt w:val="upperLetter"/>
      <w:start w:val="2"/>
    </w:lvl>
    <w:lvl w:ilvl="1">
      <w:lvlJc w:val="left"/>
      <w:lvlText w:val="%2"/>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jpeg"/><Relationship Id="rId17" Type="http://schemas.openxmlformats.org/officeDocument/2006/relationships/hyperlink" Target="https://www.sec.gov/Archives/edgar/data/1467623/000119312518078140/d451946dex41.htm" TargetMode="External"/><Relationship Id="rId18" Type="http://schemas.openxmlformats.org/officeDocument/2006/relationships/hyperlink" Target="https://www.sec.gov/Archives/edgar/data/1467623/000146762321000012/dbx202010-k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2023-02-23T05:20:42Z</dcterms:created>
  <dcterms:modified xsi:type="dcterms:W3CDTF">2023-02-23T05:20:42Z</dcterms:modified>
</cp:coreProperties>
</file>