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295910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and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313690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Dropbox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26210C104</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304800</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Schedule is filed pursuant to Rule 13d-1(b)</w:t>
      </w:r>
    </w:p>
    <w:p>
      <w:pPr>
        <w:spacing w:after="0" w:line="225"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(except any items to which the form provides a cross-reference)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7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u w:val="single" w:color="auto"/>
          <w:color w:val="auto"/>
        </w:rPr>
        <w:t>26210C104</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6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4440" w:type="dxa"/>
            <w:vAlign w:val="bottom"/>
            <w:tcBorders>
              <w:top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6180" w:type="dxa"/>
            <w:vAlign w:val="bottom"/>
            <w:tcBorders>
              <w:top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Ameriprise Financial, Inc.</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44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S.S. or I.R.S. Identification No. of Above Person</w:t>
            </w:r>
          </w:p>
        </w:tc>
        <w:tc>
          <w:tcPr>
            <w:tcW w:w="618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IRS No. 13-3180631</w:t>
            </w:r>
          </w:p>
        </w:tc>
        <w:tc>
          <w:tcPr>
            <w:tcW w:w="0" w:type="dxa"/>
            <w:vAlign w:val="bottom"/>
          </w:tcPr>
          <w:p>
            <w:pPr>
              <w:spacing w:after="0"/>
              <w:rPr>
                <w:sz w:val="1"/>
                <w:szCs w:val="1"/>
                <w:color w:val="auto"/>
              </w:rPr>
            </w:pPr>
          </w:p>
        </w:tc>
      </w:tr>
      <w:tr>
        <w:trPr>
          <w:trHeight w:val="169"/>
        </w:trPr>
        <w:tc>
          <w:tcPr>
            <w:tcW w:w="4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right w:val="single" w:sz="8" w:color="auto"/>
            </w:tcBorders>
          </w:tcPr>
          <w:p>
            <w:pPr>
              <w:spacing w:after="0"/>
              <w:rPr>
                <w:sz w:val="14"/>
                <w:szCs w:val="14"/>
                <w:color w:val="auto"/>
              </w:rPr>
            </w:pPr>
          </w:p>
        </w:tc>
        <w:tc>
          <w:tcPr>
            <w:tcW w:w="444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6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(b)</w:t>
            </w:r>
          </w:p>
        </w:tc>
        <w:tc>
          <w:tcPr>
            <w:tcW w:w="316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c>
          <w:tcPr>
            <w:tcW w:w="6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  This filing describes the reporting person’s relationship with other persons, but the reporting person does not affirm the existence of a group.</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bottom w:val="single" w:sz="8" w:color="auto"/>
            </w:tcBorders>
          </w:tcPr>
          <w:p>
            <w:pPr>
              <w:spacing w:after="0"/>
              <w:rPr>
                <w:sz w:val="22"/>
                <w:szCs w:val="22"/>
                <w:color w:val="auto"/>
              </w:rPr>
            </w:pPr>
          </w:p>
        </w:tc>
        <w:tc>
          <w:tcPr>
            <w:tcW w:w="60" w:type="dxa"/>
            <w:vAlign w:val="bottom"/>
            <w:tcBorders>
              <w:bottom w:val="single" w:sz="8" w:color="auto"/>
              <w:right w:val="single" w:sz="8" w:color="auto"/>
            </w:tcBorders>
          </w:tcPr>
          <w:p>
            <w:pPr>
              <w:spacing w:after="0"/>
              <w:rPr>
                <w:sz w:val="22"/>
                <w:szCs w:val="22"/>
                <w:color w:val="auto"/>
              </w:rPr>
            </w:pPr>
          </w:p>
        </w:tc>
        <w:tc>
          <w:tcPr>
            <w:tcW w:w="1020" w:type="dxa"/>
            <w:vAlign w:val="bottom"/>
            <w:tcBorders>
              <w:bottom w:val="single" w:sz="8" w:color="auto"/>
            </w:tcBorders>
            <w:gridSpan w:val="2"/>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tcPr>
          <w:p>
            <w:pPr>
              <w:spacing w:after="0"/>
              <w:rPr>
                <w:sz w:val="22"/>
                <w:szCs w:val="22"/>
                <w:color w:val="auto"/>
              </w:rPr>
            </w:pPr>
          </w:p>
        </w:tc>
        <w:tc>
          <w:tcPr>
            <w:tcW w:w="61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right w:val="single" w:sz="8" w:color="auto"/>
            </w:tcBorders>
          </w:tcPr>
          <w:p>
            <w:pPr>
              <w:spacing w:after="0"/>
              <w:rPr>
                <w:sz w:val="19"/>
                <w:szCs w:val="19"/>
                <w:color w:val="auto"/>
              </w:rPr>
            </w:pPr>
          </w:p>
        </w:tc>
        <w:tc>
          <w:tcPr>
            <w:tcW w:w="1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1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6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right w:val="single" w:sz="8" w:color="auto"/>
            </w:tcBorders>
          </w:tcPr>
          <w:p>
            <w:pPr>
              <w:spacing w:after="0"/>
              <w:rPr>
                <w:sz w:val="19"/>
                <w:szCs w:val="19"/>
                <w:color w:val="auto"/>
              </w:rPr>
            </w:pPr>
          </w:p>
        </w:tc>
        <w:tc>
          <w:tcPr>
            <w:tcW w:w="44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6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3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6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500" w:type="dxa"/>
            <w:vAlign w:val="bottom"/>
            <w:tcBorders>
              <w:left w:val="single" w:sz="8" w:color="auto"/>
            </w:tcBorders>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NUMBER OF</w:t>
            </w:r>
          </w:p>
        </w:tc>
        <w:tc>
          <w:tcPr>
            <w:tcW w:w="40" w:type="dxa"/>
            <w:vAlign w:val="bottom"/>
            <w:tcBorders>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6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spacing w:after="0"/>
              <w:rPr>
                <w:sz w:val="20"/>
                <w:szCs w:val="20"/>
                <w:color w:val="auto"/>
              </w:rPr>
            </w:pPr>
          </w:p>
        </w:tc>
        <w:tc>
          <w:tcPr>
            <w:tcW w:w="104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40" w:type="dxa"/>
            <w:vAlign w:val="bottom"/>
            <w:tcBorders>
              <w:right w:val="single" w:sz="8" w:color="auto"/>
            </w:tcBorders>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20"/>
                <w:szCs w:val="20"/>
                <w:color w:val="auto"/>
              </w:rPr>
            </w:pPr>
          </w:p>
        </w:tc>
        <w:tc>
          <w:tcPr>
            <w:tcW w:w="3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6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7"/>
              </w:rPr>
              <w:t>BENEFICIALLY</w:t>
            </w:r>
          </w:p>
        </w:tc>
        <w:tc>
          <w:tcPr>
            <w:tcW w:w="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0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13,956,634</w:t>
            </w:r>
          </w:p>
        </w:tc>
        <w:tc>
          <w:tcPr>
            <w:tcW w:w="6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tcBorders>
              <w:left w:val="single" w:sz="8" w:color="auto"/>
            </w:tcBorders>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OWNED BY</w:t>
            </w:r>
          </w:p>
        </w:tc>
        <w:tc>
          <w:tcPr>
            <w:tcW w:w="4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060" w:type="dxa"/>
            <w:vAlign w:val="bottom"/>
            <w:tcBorders>
              <w:bottom w:val="single" w:sz="8" w:color="auto"/>
            </w:tcBorders>
            <w:vMerge w:val="continue"/>
          </w:tcPr>
          <w:p>
            <w:pPr>
              <w:spacing w:after="0"/>
              <w:rPr>
                <w:sz w:val="20"/>
                <w:szCs w:val="20"/>
                <w:color w:val="auto"/>
              </w:rPr>
            </w:pPr>
          </w:p>
        </w:tc>
        <w:tc>
          <w:tcPr>
            <w:tcW w:w="6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6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center"/>
              <w:ind w:right="25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0" w:type="dxa"/>
            <w:vAlign w:val="bottom"/>
            <w:tcBorders>
              <w:right w:val="single" w:sz="8" w:color="auto"/>
            </w:tcBorders>
          </w:tcPr>
          <w:p>
            <w:pPr>
              <w:spacing w:after="0"/>
              <w:rPr>
                <w:sz w:val="15"/>
                <w:szCs w:val="15"/>
                <w:color w:val="auto"/>
              </w:rPr>
            </w:pPr>
          </w:p>
        </w:tc>
        <w:tc>
          <w:tcPr>
            <w:tcW w:w="2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15"/>
                <w:szCs w:val="15"/>
                <w:color w:val="auto"/>
              </w:rPr>
            </w:pPr>
          </w:p>
        </w:tc>
        <w:tc>
          <w:tcPr>
            <w:tcW w:w="306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6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tcBorders>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8"/>
              </w:rPr>
              <w:t>REPORTING</w:t>
            </w:r>
          </w:p>
        </w:tc>
        <w:tc>
          <w:tcPr>
            <w:tcW w:w="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060" w:type="dxa"/>
            <w:vAlign w:val="bottom"/>
          </w:tcPr>
          <w:p>
            <w:pPr>
              <w:spacing w:after="0"/>
              <w:rPr>
                <w:sz w:val="18"/>
                <w:szCs w:val="18"/>
                <w:color w:val="auto"/>
              </w:rPr>
            </w:pPr>
          </w:p>
        </w:tc>
        <w:tc>
          <w:tcPr>
            <w:tcW w:w="6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Borders>
              <w:left w:val="single" w:sz="8" w:color="auto"/>
            </w:tcBorders>
          </w:tcPr>
          <w:p>
            <w:pPr>
              <w:spacing w:after="0"/>
              <w:rPr>
                <w:sz w:val="19"/>
                <w:szCs w:val="19"/>
                <w:color w:val="auto"/>
              </w:rPr>
            </w:pPr>
          </w:p>
        </w:tc>
        <w:tc>
          <w:tcPr>
            <w:tcW w:w="104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4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3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6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WITH</w:t>
            </w:r>
          </w:p>
        </w:tc>
        <w:tc>
          <w:tcPr>
            <w:tcW w:w="40" w:type="dxa"/>
            <w:vAlign w:val="bottom"/>
            <w:tcBorders>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3060" w:type="dxa"/>
            <w:vAlign w:val="bottom"/>
            <w:tcBorders>
              <w:bottom w:val="single" w:sz="8" w:color="auto"/>
            </w:tcBorders>
          </w:tcPr>
          <w:p>
            <w:pPr>
              <w:spacing w:after="0"/>
              <w:rPr>
                <w:sz w:val="5"/>
                <w:szCs w:val="5"/>
                <w:color w:val="auto"/>
              </w:rPr>
            </w:pPr>
          </w:p>
        </w:tc>
        <w:tc>
          <w:tcPr>
            <w:tcW w:w="6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6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2"/>
                <w:szCs w:val="12"/>
                <w:color w:val="auto"/>
              </w:rPr>
            </w:pPr>
          </w:p>
        </w:tc>
        <w:tc>
          <w:tcPr>
            <w:tcW w:w="30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6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3060" w:type="dxa"/>
            <w:vAlign w:val="bottom"/>
            <w:vMerge w:val="continue"/>
          </w:tcPr>
          <w:p>
            <w:pPr>
              <w:spacing w:after="0"/>
              <w:rPr>
                <w:sz w:val="7"/>
                <w:szCs w:val="7"/>
                <w:color w:val="auto"/>
              </w:rPr>
            </w:pPr>
          </w:p>
        </w:tc>
        <w:tc>
          <w:tcPr>
            <w:tcW w:w="6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16,814,632</w:t>
            </w:r>
          </w:p>
        </w:tc>
        <w:tc>
          <w:tcPr>
            <w:tcW w:w="6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6"/>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6"/>
              </w:rPr>
              <w:t>16,814,632</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6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w w:val="97"/>
              </w:rPr>
              <w:t>Not Applicable</w:t>
            </w: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6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44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6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6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right w:val="single" w:sz="8" w:color="auto"/>
            </w:tcBorders>
          </w:tcPr>
          <w:p>
            <w:pPr>
              <w:spacing w:after="0"/>
              <w:rPr>
                <w:sz w:val="20"/>
                <w:szCs w:val="20"/>
                <w:color w:val="auto"/>
              </w:rPr>
            </w:pPr>
          </w:p>
        </w:tc>
        <w:tc>
          <w:tcPr>
            <w:tcW w:w="44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6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HC</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6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270"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u w:val="single" w:color="auto"/>
          <w:color w:val="auto"/>
        </w:rPr>
        <w:t>26210C104</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6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auto"/>
              <w:right w:val="single" w:sz="8" w:color="auto"/>
            </w:tcBorders>
          </w:tcPr>
          <w:p>
            <w:pPr>
              <w:spacing w:after="0"/>
              <w:rPr>
                <w:sz w:val="18"/>
                <w:szCs w:val="18"/>
                <w:color w:val="auto"/>
              </w:rPr>
            </w:pPr>
          </w:p>
        </w:tc>
        <w:tc>
          <w:tcPr>
            <w:tcW w:w="4440" w:type="dxa"/>
            <w:vAlign w:val="bottom"/>
            <w:tcBorders>
              <w:top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6180" w:type="dxa"/>
            <w:vAlign w:val="bottom"/>
            <w:tcBorders>
              <w:top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Columbia Management</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61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Investment Advisers, LLC</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44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S.S. or I.R.S. Identification No. of Above Person</w:t>
            </w:r>
          </w:p>
        </w:tc>
        <w:tc>
          <w:tcPr>
            <w:tcW w:w="618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IRS No. 41-1533211</w:t>
            </w:r>
          </w:p>
        </w:tc>
        <w:tc>
          <w:tcPr>
            <w:tcW w:w="0" w:type="dxa"/>
            <w:vAlign w:val="bottom"/>
          </w:tcPr>
          <w:p>
            <w:pPr>
              <w:spacing w:after="0"/>
              <w:rPr>
                <w:sz w:val="1"/>
                <w:szCs w:val="1"/>
                <w:color w:val="auto"/>
              </w:rPr>
            </w:pPr>
          </w:p>
        </w:tc>
      </w:tr>
      <w:tr>
        <w:trPr>
          <w:trHeight w:val="169"/>
        </w:trPr>
        <w:tc>
          <w:tcPr>
            <w:tcW w:w="4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right w:val="single" w:sz="8" w:color="auto"/>
            </w:tcBorders>
          </w:tcPr>
          <w:p>
            <w:pPr>
              <w:spacing w:after="0"/>
              <w:rPr>
                <w:sz w:val="14"/>
                <w:szCs w:val="14"/>
                <w:color w:val="auto"/>
              </w:rPr>
            </w:pPr>
          </w:p>
        </w:tc>
        <w:tc>
          <w:tcPr>
            <w:tcW w:w="444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6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(b)</w:t>
            </w:r>
          </w:p>
        </w:tc>
        <w:tc>
          <w:tcPr>
            <w:tcW w:w="316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c>
          <w:tcPr>
            <w:tcW w:w="6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  This filing describes the reporting person’s relationship with other persons, but the reporting person does not affirm the existence of a group.</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bottom w:val="single" w:sz="8" w:color="auto"/>
            </w:tcBorders>
          </w:tcPr>
          <w:p>
            <w:pPr>
              <w:spacing w:after="0"/>
              <w:rPr>
                <w:sz w:val="22"/>
                <w:szCs w:val="22"/>
                <w:color w:val="auto"/>
              </w:rPr>
            </w:pPr>
          </w:p>
        </w:tc>
        <w:tc>
          <w:tcPr>
            <w:tcW w:w="60" w:type="dxa"/>
            <w:vAlign w:val="bottom"/>
            <w:tcBorders>
              <w:bottom w:val="single" w:sz="8" w:color="auto"/>
              <w:right w:val="single" w:sz="8" w:color="auto"/>
            </w:tcBorders>
          </w:tcPr>
          <w:p>
            <w:pPr>
              <w:spacing w:after="0"/>
              <w:rPr>
                <w:sz w:val="22"/>
                <w:szCs w:val="22"/>
                <w:color w:val="auto"/>
              </w:rPr>
            </w:pPr>
          </w:p>
        </w:tc>
        <w:tc>
          <w:tcPr>
            <w:tcW w:w="1020" w:type="dxa"/>
            <w:vAlign w:val="bottom"/>
            <w:tcBorders>
              <w:bottom w:val="single" w:sz="8" w:color="auto"/>
            </w:tcBorders>
            <w:gridSpan w:val="2"/>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tcPr>
          <w:p>
            <w:pPr>
              <w:spacing w:after="0"/>
              <w:rPr>
                <w:sz w:val="22"/>
                <w:szCs w:val="22"/>
                <w:color w:val="auto"/>
              </w:rPr>
            </w:pPr>
          </w:p>
        </w:tc>
        <w:tc>
          <w:tcPr>
            <w:tcW w:w="61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right w:val="single" w:sz="8" w:color="auto"/>
            </w:tcBorders>
          </w:tcPr>
          <w:p>
            <w:pPr>
              <w:spacing w:after="0"/>
              <w:rPr>
                <w:sz w:val="19"/>
                <w:szCs w:val="19"/>
                <w:color w:val="auto"/>
              </w:rPr>
            </w:pPr>
          </w:p>
        </w:tc>
        <w:tc>
          <w:tcPr>
            <w:tcW w:w="1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1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6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right w:val="single" w:sz="8" w:color="auto"/>
            </w:tcBorders>
          </w:tcPr>
          <w:p>
            <w:pPr>
              <w:spacing w:after="0"/>
              <w:rPr>
                <w:sz w:val="19"/>
                <w:szCs w:val="19"/>
                <w:color w:val="auto"/>
              </w:rPr>
            </w:pPr>
          </w:p>
        </w:tc>
        <w:tc>
          <w:tcPr>
            <w:tcW w:w="44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Minnesota</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6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3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6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500" w:type="dxa"/>
            <w:vAlign w:val="bottom"/>
            <w:tcBorders>
              <w:left w:val="single" w:sz="8" w:color="auto"/>
            </w:tcBorders>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NUMBER OF</w:t>
            </w:r>
          </w:p>
        </w:tc>
        <w:tc>
          <w:tcPr>
            <w:tcW w:w="40" w:type="dxa"/>
            <w:vAlign w:val="bottom"/>
            <w:tcBorders>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6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spacing w:after="0"/>
              <w:rPr>
                <w:sz w:val="20"/>
                <w:szCs w:val="20"/>
                <w:color w:val="auto"/>
              </w:rPr>
            </w:pPr>
          </w:p>
        </w:tc>
        <w:tc>
          <w:tcPr>
            <w:tcW w:w="104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40" w:type="dxa"/>
            <w:vAlign w:val="bottom"/>
            <w:tcBorders>
              <w:right w:val="single" w:sz="8" w:color="auto"/>
            </w:tcBorders>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20"/>
                <w:szCs w:val="20"/>
                <w:color w:val="auto"/>
              </w:rPr>
            </w:pPr>
          </w:p>
        </w:tc>
        <w:tc>
          <w:tcPr>
            <w:tcW w:w="3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6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7"/>
              </w:rPr>
              <w:t>BENEFICIALLY</w:t>
            </w:r>
          </w:p>
        </w:tc>
        <w:tc>
          <w:tcPr>
            <w:tcW w:w="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0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13,947,293</w:t>
            </w:r>
          </w:p>
        </w:tc>
        <w:tc>
          <w:tcPr>
            <w:tcW w:w="6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tcBorders>
              <w:left w:val="single" w:sz="8" w:color="auto"/>
            </w:tcBorders>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OWNED BY</w:t>
            </w:r>
          </w:p>
        </w:tc>
        <w:tc>
          <w:tcPr>
            <w:tcW w:w="4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060" w:type="dxa"/>
            <w:vAlign w:val="bottom"/>
            <w:tcBorders>
              <w:bottom w:val="single" w:sz="8" w:color="auto"/>
            </w:tcBorders>
            <w:vMerge w:val="continue"/>
          </w:tcPr>
          <w:p>
            <w:pPr>
              <w:spacing w:after="0"/>
              <w:rPr>
                <w:sz w:val="20"/>
                <w:szCs w:val="20"/>
                <w:color w:val="auto"/>
              </w:rPr>
            </w:pPr>
          </w:p>
        </w:tc>
        <w:tc>
          <w:tcPr>
            <w:tcW w:w="6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6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center"/>
              <w:ind w:right="25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0" w:type="dxa"/>
            <w:vAlign w:val="bottom"/>
            <w:tcBorders>
              <w:right w:val="single" w:sz="8" w:color="auto"/>
            </w:tcBorders>
          </w:tcPr>
          <w:p>
            <w:pPr>
              <w:spacing w:after="0"/>
              <w:rPr>
                <w:sz w:val="15"/>
                <w:szCs w:val="15"/>
                <w:color w:val="auto"/>
              </w:rPr>
            </w:pPr>
          </w:p>
        </w:tc>
        <w:tc>
          <w:tcPr>
            <w:tcW w:w="2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15"/>
                <w:szCs w:val="15"/>
                <w:color w:val="auto"/>
              </w:rPr>
            </w:pPr>
          </w:p>
        </w:tc>
        <w:tc>
          <w:tcPr>
            <w:tcW w:w="306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6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tcBorders>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8"/>
              </w:rPr>
              <w:t>REPORTING</w:t>
            </w:r>
          </w:p>
        </w:tc>
        <w:tc>
          <w:tcPr>
            <w:tcW w:w="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060" w:type="dxa"/>
            <w:vAlign w:val="bottom"/>
          </w:tcPr>
          <w:p>
            <w:pPr>
              <w:spacing w:after="0"/>
              <w:rPr>
                <w:sz w:val="18"/>
                <w:szCs w:val="18"/>
                <w:color w:val="auto"/>
              </w:rPr>
            </w:pPr>
          </w:p>
        </w:tc>
        <w:tc>
          <w:tcPr>
            <w:tcW w:w="6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Borders>
              <w:left w:val="single" w:sz="8" w:color="auto"/>
            </w:tcBorders>
          </w:tcPr>
          <w:p>
            <w:pPr>
              <w:spacing w:after="0"/>
              <w:rPr>
                <w:sz w:val="19"/>
                <w:szCs w:val="19"/>
                <w:color w:val="auto"/>
              </w:rPr>
            </w:pPr>
          </w:p>
        </w:tc>
        <w:tc>
          <w:tcPr>
            <w:tcW w:w="104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4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3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6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WITH</w:t>
            </w:r>
          </w:p>
        </w:tc>
        <w:tc>
          <w:tcPr>
            <w:tcW w:w="40" w:type="dxa"/>
            <w:vAlign w:val="bottom"/>
            <w:tcBorders>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3060" w:type="dxa"/>
            <w:vAlign w:val="bottom"/>
            <w:tcBorders>
              <w:bottom w:val="single" w:sz="8" w:color="auto"/>
            </w:tcBorders>
          </w:tcPr>
          <w:p>
            <w:pPr>
              <w:spacing w:after="0"/>
              <w:rPr>
                <w:sz w:val="5"/>
                <w:szCs w:val="5"/>
                <w:color w:val="auto"/>
              </w:rPr>
            </w:pPr>
          </w:p>
        </w:tc>
        <w:tc>
          <w:tcPr>
            <w:tcW w:w="6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6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2"/>
                <w:szCs w:val="12"/>
                <w:color w:val="auto"/>
              </w:rPr>
            </w:pPr>
          </w:p>
        </w:tc>
        <w:tc>
          <w:tcPr>
            <w:tcW w:w="30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6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3060" w:type="dxa"/>
            <w:vAlign w:val="bottom"/>
            <w:vMerge w:val="continue"/>
          </w:tcPr>
          <w:p>
            <w:pPr>
              <w:spacing w:after="0"/>
              <w:rPr>
                <w:sz w:val="7"/>
                <w:szCs w:val="7"/>
                <w:color w:val="auto"/>
              </w:rPr>
            </w:pPr>
          </w:p>
        </w:tc>
        <w:tc>
          <w:tcPr>
            <w:tcW w:w="6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16,211,780</w:t>
            </w:r>
          </w:p>
        </w:tc>
        <w:tc>
          <w:tcPr>
            <w:tcW w:w="6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6"/>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6"/>
              </w:rPr>
              <w:t>16,211,780</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6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w w:val="97"/>
              </w:rPr>
              <w:t>Not Applicable</w:t>
            </w: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6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44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6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5.78%</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6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right w:val="single" w:sz="8" w:color="auto"/>
            </w:tcBorders>
          </w:tcPr>
          <w:p>
            <w:pPr>
              <w:spacing w:after="0"/>
              <w:rPr>
                <w:sz w:val="20"/>
                <w:szCs w:val="20"/>
                <w:color w:val="auto"/>
              </w:rPr>
            </w:pPr>
          </w:p>
        </w:tc>
        <w:tc>
          <w:tcPr>
            <w:tcW w:w="44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6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IA</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6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270" w:right="4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1(a)</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Name of Issuer:</w:t>
            </w:r>
          </w:p>
        </w:tc>
        <w:tc>
          <w:tcPr>
            <w:tcW w:w="3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Dropbox Inc</w:t>
            </w:r>
          </w:p>
        </w:tc>
      </w:tr>
      <w:tr>
        <w:trPr>
          <w:trHeight w:val="30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1(b)</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Address of Issuer’s Principal</w:t>
            </w:r>
          </w:p>
        </w:tc>
        <w:tc>
          <w:tcPr>
            <w:tcW w:w="3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1800 Owens St.</w:t>
            </w:r>
          </w:p>
        </w:tc>
      </w:tr>
      <w:tr>
        <w:trPr>
          <w:trHeight w:val="234"/>
        </w:trPr>
        <w:tc>
          <w:tcPr>
            <w:tcW w:w="380" w:type="dxa"/>
            <w:vAlign w:val="bottom"/>
          </w:tcPr>
          <w:p>
            <w:pPr>
              <w:spacing w:after="0"/>
              <w:rPr>
                <w:sz w:val="20"/>
                <w:szCs w:val="20"/>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Offices:</w:t>
            </w:r>
          </w:p>
        </w:tc>
        <w:tc>
          <w:tcPr>
            <w:tcW w:w="3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San Francisco, California 94158</w:t>
            </w:r>
          </w:p>
        </w:tc>
      </w:tr>
      <w:tr>
        <w:trPr>
          <w:trHeight w:val="30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2(a)</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Name of Person Filing:</w:t>
            </w:r>
          </w:p>
        </w:tc>
        <w:tc>
          <w:tcPr>
            <w:tcW w:w="3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 Ameriprise Financial, Inc. (“AFI”)</w:t>
            </w:r>
          </w:p>
        </w:tc>
      </w:tr>
      <w:tr>
        <w:trPr>
          <w:trHeight w:val="216"/>
        </w:trPr>
        <w:tc>
          <w:tcPr>
            <w:tcW w:w="3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(b) Columbia Management Investment</w:t>
            </w:r>
          </w:p>
        </w:tc>
      </w:tr>
      <w:tr>
        <w:trPr>
          <w:trHeight w:val="234"/>
        </w:trPr>
        <w:tc>
          <w:tcPr>
            <w:tcW w:w="3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Advisers, LLC (“CMIA”)</w:t>
            </w:r>
          </w:p>
        </w:tc>
      </w:tr>
      <w:tr>
        <w:trPr>
          <w:trHeight w:val="30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2(b)</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Address of Principal Business Office:</w:t>
            </w:r>
          </w:p>
        </w:tc>
        <w:tc>
          <w:tcPr>
            <w:tcW w:w="3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 Ameriprise Financial, Inc.</w:t>
            </w:r>
          </w:p>
        </w:tc>
      </w:tr>
      <w:tr>
        <w:trPr>
          <w:trHeight w:val="216"/>
        </w:trPr>
        <w:tc>
          <w:tcPr>
            <w:tcW w:w="3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145 Ameriprise Financial Center</w:t>
            </w:r>
          </w:p>
        </w:tc>
      </w:tr>
      <w:tr>
        <w:trPr>
          <w:trHeight w:val="216"/>
        </w:trPr>
        <w:tc>
          <w:tcPr>
            <w:tcW w:w="3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Minneapolis, MN 55474</w:t>
            </w:r>
          </w:p>
        </w:tc>
      </w:tr>
      <w:tr>
        <w:trPr>
          <w:trHeight w:val="216"/>
        </w:trPr>
        <w:tc>
          <w:tcPr>
            <w:tcW w:w="3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 290 Congress Street</w:t>
            </w:r>
          </w:p>
        </w:tc>
      </w:tr>
      <w:tr>
        <w:trPr>
          <w:trHeight w:val="234"/>
        </w:trPr>
        <w:tc>
          <w:tcPr>
            <w:tcW w:w="3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Boston, MA 02210</w:t>
            </w:r>
          </w:p>
        </w:tc>
      </w:tr>
      <w:tr>
        <w:trPr>
          <w:trHeight w:val="30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2(c)</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Citizenship:</w:t>
            </w:r>
          </w:p>
        </w:tc>
        <w:tc>
          <w:tcPr>
            <w:tcW w:w="3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 Delaware</w:t>
            </w:r>
          </w:p>
        </w:tc>
      </w:tr>
      <w:tr>
        <w:trPr>
          <w:trHeight w:val="234"/>
        </w:trPr>
        <w:tc>
          <w:tcPr>
            <w:tcW w:w="3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 Minnesota</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2(d)</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 of Class of Securities:</w:t>
            </w:r>
          </w:p>
        </w:tc>
        <w:tc>
          <w:tcPr>
            <w:tcW w:w="3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Class A Common Stock</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2(e)</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Cusip Number:</w:t>
            </w:r>
          </w:p>
        </w:tc>
        <w:tc>
          <w:tcPr>
            <w:tcW w:w="3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26210C104</w:t>
            </w:r>
          </w:p>
        </w:tc>
      </w:tr>
      <w:tr>
        <w:trPr>
          <w:trHeight w:val="459"/>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6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Information if statement is filed pursuant to Rules 13d-1(b) or 13d-2(b):</w:t>
            </w:r>
          </w:p>
        </w:tc>
      </w:tr>
      <w:tr>
        <w:trPr>
          <w:trHeight w:val="324"/>
        </w:trPr>
        <w:tc>
          <w:tcPr>
            <w:tcW w:w="380" w:type="dxa"/>
            <w:vAlign w:val="bottom"/>
          </w:tcPr>
          <w:p>
            <w:pPr>
              <w:spacing w:after="0"/>
              <w:rPr>
                <w:sz w:val="24"/>
                <w:szCs w:val="24"/>
                <w:color w:val="auto"/>
              </w:rPr>
            </w:pPr>
          </w:p>
        </w:tc>
        <w:tc>
          <w:tcPr>
            <w:tcW w:w="32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 Ameriprise Financial, Inc.</w:t>
            </w:r>
          </w:p>
        </w:tc>
        <w:tc>
          <w:tcPr>
            <w:tcW w:w="3240" w:type="dxa"/>
            <w:vAlign w:val="bottom"/>
          </w:tcPr>
          <w:p>
            <w:pPr>
              <w:spacing w:after="0"/>
              <w:rPr>
                <w:sz w:val="24"/>
                <w:szCs w:val="24"/>
                <w:color w:val="auto"/>
              </w:rPr>
            </w:pPr>
          </w:p>
        </w:tc>
      </w:tr>
    </w:tbl>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parent holding company in accordance with Rule 13d-1(b)(1)(ii)(G). (Note: See Item 7)</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 Columbia Management Investment Advisers, LLC</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 investment adviser in accordance with Rule 13d-1(b)(1)(ii)(E).</w:t>
      </w:r>
    </w:p>
    <w:p>
      <w:pPr>
        <w:spacing w:after="0" w:line="131" w:lineRule="exact"/>
        <w:rPr>
          <w:sz w:val="20"/>
          <w:szCs w:val="20"/>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Items (5)-(9) and (11) of the cover page pertaining to each reporting person.</w:t>
      </w:r>
    </w:p>
    <w:p>
      <w:pPr>
        <w:spacing w:after="0" w:line="117" w:lineRule="exact"/>
        <w:rPr>
          <w:rFonts w:ascii="Times New Roman" w:cs="Times New Roman" w:eastAsia="Times New Roman" w:hAnsi="Times New Roman"/>
          <w:sz w:val="18"/>
          <w:szCs w:val="18"/>
          <w:color w:val="auto"/>
        </w:rPr>
      </w:pPr>
    </w:p>
    <w:p>
      <w:pPr>
        <w:ind w:left="4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AFI, as the parent company of CMIA, may be deemed to beneficially own the shares reported herein by CMIA. Accordingly, the shares reported herein by AFI include those shares separately reported herein by CMIA.</w:t>
      </w:r>
    </w:p>
    <w:p>
      <w:pPr>
        <w:spacing w:after="0" w:line="53"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AFI and CMIA disclaims beneficial ownership of any shares reported on this Schedule.</w:t>
      </w:r>
    </w:p>
    <w:p>
      <w:pPr>
        <w:spacing w:after="0" w:line="131"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5% or Less of a Class: Not Applicable</w:t>
      </w:r>
    </w:p>
    <w:p>
      <w:pPr>
        <w:spacing w:after="0" w:line="131"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more than 5% on Behalf of Another Person: Not Applicable</w:t>
      </w:r>
    </w:p>
    <w:p>
      <w:pPr>
        <w:sectPr>
          <w:pgSz w:w="11900" w:h="16838" w:orient="portrait"/>
          <w:cols w:equalWidth="0" w:num="1">
            <w:col w:w="10880"/>
          </w:cols>
          <w:pgMar w:left="320" w:top="270" w:right="699" w:bottom="1440" w:gutter="0" w:footer="0" w:header="0"/>
        </w:sectPr>
      </w:pPr>
    </w:p>
    <w:bookmarkStart w:id="4" w:name="page5"/>
    <w:bookmarkEnd w:id="4"/>
    <w:p>
      <w:pPr>
        <w:ind w:left="1012" w:right="920" w:hanging="1012"/>
        <w:spacing w:after="0" w:line="383" w:lineRule="auto"/>
        <w:tabs>
          <w:tab w:leader="none" w:pos="4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Identification and Classification of the Subsidiary Which Acquired the Security Being Reported on by the Parent Holding Company: AFI: See Exhibit I</w:t>
      </w:r>
    </w:p>
    <w:p>
      <w:pPr>
        <w:spacing w:after="0" w:line="1" w:lineRule="exact"/>
        <w:rPr>
          <w:sz w:val="20"/>
          <w:szCs w:val="20"/>
          <w:color w:val="auto"/>
        </w:rPr>
      </w:pPr>
    </w:p>
    <w:p>
      <w:pPr>
        <w:ind w:left="1012" w:right="6240" w:hanging="1012"/>
        <w:spacing w:after="0" w:line="383" w:lineRule="auto"/>
        <w:tabs>
          <w:tab w:leader="none" w:pos="44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Classification of Members of the Group: Not Applicable</w:t>
      </w:r>
    </w:p>
    <w:p>
      <w:pPr>
        <w:spacing w:after="0" w:line="1" w:lineRule="exact"/>
        <w:rPr>
          <w:sz w:val="20"/>
          <w:szCs w:val="20"/>
          <w:color w:val="auto"/>
        </w:rPr>
      </w:pPr>
    </w:p>
    <w:p>
      <w:pPr>
        <w:ind w:left="1012" w:right="8180" w:hanging="1012"/>
        <w:spacing w:after="0" w:line="383" w:lineRule="auto"/>
        <w:tabs>
          <w:tab w:leader="none" w:pos="4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Dissolution of Group: Not Applicable</w:t>
      </w:r>
    </w:p>
    <w:p>
      <w:pPr>
        <w:spacing w:after="0" w:line="1" w:lineRule="exact"/>
        <w:rPr>
          <w:sz w:val="20"/>
          <w:szCs w:val="20"/>
          <w:color w:val="auto"/>
        </w:rPr>
      </w:pPr>
    </w:p>
    <w:p>
      <w:pPr>
        <w:ind w:left="452" w:hanging="452"/>
        <w:spacing w:after="0"/>
        <w:tabs>
          <w:tab w:leader="none" w:pos="4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w:t>
      </w:r>
    </w:p>
    <w:p>
      <w:pPr>
        <w:spacing w:after="0" w:line="117" w:lineRule="exact"/>
        <w:rPr>
          <w:rFonts w:ascii="Times New Roman" w:cs="Times New Roman" w:eastAsia="Times New Roman" w:hAnsi="Times New Roman"/>
          <w:sz w:val="18"/>
          <w:szCs w:val="18"/>
          <w:color w:val="auto"/>
        </w:rPr>
      </w:pPr>
    </w:p>
    <w:p>
      <w:pPr>
        <w:ind w:left="45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ectPr>
          <w:pgSz w:w="11900" w:h="16838" w:orient="portrait"/>
          <w:cols w:equalWidth="0" w:num="1">
            <w:col w:w="10932"/>
          </w:cols>
          <w:pgMar w:left="328" w:top="270"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2023</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Ameriprise Financial,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Michael G.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4485005</wp:posOffset>
            </wp:positionH>
            <wp:positionV relativeFrom="paragraph">
              <wp:posOffset>-7620</wp:posOffset>
            </wp:positionV>
            <wp:extent cx="22688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68855"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Michael G. Clarke</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Senior Vice President, Head of Global</w:t>
      </w:r>
    </w:p>
    <w:p>
      <w:pPr>
        <w:spacing w:after="0" w:line="9"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Operations</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Columbia Management Investment Advisers, LLC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Michael G.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4485005</wp:posOffset>
            </wp:positionH>
            <wp:positionV relativeFrom="paragraph">
              <wp:posOffset>-7620</wp:posOffset>
            </wp:positionV>
            <wp:extent cx="22117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Michael G. Clarke</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Senior Vice President, Head of Global</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Operations</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Contact Information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Mark D. Braley</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Vice President</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Head of Reporting and Data Management |</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Global Operations and Investor Services</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Telephone: (617) 747-0663</w:t>
      </w:r>
    </w:p>
    <w:p>
      <w:pPr>
        <w:sectPr>
          <w:pgSz w:w="11900" w:h="16838" w:orient="portrait"/>
          <w:cols w:equalWidth="0" w:num="1">
            <w:col w:w="11060"/>
          </w:cols>
          <w:pgMar w:left="320" w:top="270" w:right="519" w:bottom="1440" w:gutter="0" w:footer="0" w:header="0"/>
        </w:sectPr>
      </w:pPr>
    </w:p>
    <w:bookmarkStart w:id="6" w:name="page7"/>
    <w:bookmarkEnd w:id="6"/>
    <w:p>
      <w:pPr>
        <w:ind w:left="51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I</w:t>
      </w:r>
      <w:r>
        <w:rPr>
          <w:sz w:val="20"/>
          <w:szCs w:val="20"/>
          <w:color w:val="auto"/>
        </w:rPr>
        <w:tab/>
      </w:r>
      <w:r>
        <w:rPr>
          <w:rFonts w:ascii="Times New Roman" w:cs="Times New Roman" w:eastAsia="Times New Roman" w:hAnsi="Times New Roman"/>
          <w:sz w:val="17"/>
          <w:szCs w:val="17"/>
          <w:color w:val="auto"/>
        </w:rPr>
        <w:t>Identification and Classification of the Subsidiary which Acquired the Security Being Reported on by the Parent Holding Company.</w:t>
      </w:r>
    </w:p>
    <w:p>
      <w:pPr>
        <w:spacing w:after="0" w:line="11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II</w:t>
      </w:r>
      <w:r>
        <w:rPr>
          <w:sz w:val="20"/>
          <w:szCs w:val="20"/>
          <w:color w:val="auto"/>
        </w:rPr>
        <w:tab/>
      </w:r>
      <w:r>
        <w:rPr>
          <w:rFonts w:ascii="Times New Roman" w:cs="Times New Roman" w:eastAsia="Times New Roman" w:hAnsi="Times New Roman"/>
          <w:sz w:val="18"/>
          <w:szCs w:val="18"/>
          <w:color w:val="auto"/>
        </w:rPr>
        <w:t>Joint Filing Agreement</w:t>
      </w:r>
    </w:p>
    <w:p>
      <w:pPr>
        <w:sectPr>
          <w:pgSz w:w="11900" w:h="16838" w:orient="portrait"/>
          <w:cols w:equalWidth="0" w:num="1">
            <w:col w:w="10640"/>
          </w:cols>
          <w:pgMar w:left="320" w:top="270" w:right="939" w:bottom="1440" w:gutter="0" w:footer="0" w:header="0"/>
        </w:sectPr>
      </w:pPr>
    </w:p>
    <w:bookmarkStart w:id="7" w:name="page8"/>
    <w:bookmarkEnd w:id="7"/>
    <w:p>
      <w:pPr>
        <w:jc w:val="center"/>
        <w:ind w:right="-13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to</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Schedule 13G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Ameriprise Financial, Inc., a Delaware Corporation, is a parent holding company. The classification and identity of the relevant subsidiaries is as follows: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Investment Adviser – Columbia Management Investment Advisers, LLC is an investment adviser registered under section 203 of the Investment Advisers Act of 1940.</w:t>
      </w:r>
    </w:p>
    <w:p>
      <w:pPr>
        <w:sectPr>
          <w:pgSz w:w="11900" w:h="16838" w:orient="portrait"/>
          <w:cols w:equalWidth="0" w:num="1">
            <w:col w:w="11100"/>
          </w:cols>
          <w:pgMar w:left="320" w:top="121" w:right="47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color w:val="auto"/>
        </w:rPr>
        <w:t>Exhibit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13G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undersigned persons agree and consent to the joint filing on their behalf of this Schedule 13G dated February 14, 2023 in connection with their beneficial ownership of Dropbox Inc. Columbia Management Investment Advisers, LLC authorizes Ameriprise Financial, Inc. to execute the Schedule 13G to which this Exhibit is attached and make any necessary amendments thereto.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Ameriprise Financial,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G.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17145</wp:posOffset>
            </wp:positionV>
            <wp:extent cx="26142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Michael G. Clarke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Senior Vice President, Head of Global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Columbia Management Investment Advisers,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G.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17145</wp:posOffset>
            </wp:positionV>
            <wp:extent cx="26142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Michael G. Clarke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Senior Vice President, Head of Global Operations</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4"/>
      <w:numFmt w:val="bullet"/>
      <w:start w:val="1"/>
    </w:lvl>
  </w:abstractNum>
  <w:abstractNum w:abstractNumId="1">
    <w:nsid w:val="238E1F29"/>
    <w:multiLevelType w:val="hybridMultilevel"/>
    <w:lvl w:ilvl="0">
      <w:lvlJc w:val="left"/>
      <w:lvlText w:val="5"/>
      <w:numFmt w:val="bullet"/>
      <w:start w:val="1"/>
    </w:lvl>
  </w:abstractNum>
  <w:abstractNum w:abstractNumId="2">
    <w:nsid w:val="46E87CCD"/>
    <w:multiLevelType w:val="hybridMultilevel"/>
    <w:lvl w:ilvl="0">
      <w:lvlJc w:val="left"/>
      <w:lvlText w:val="6"/>
      <w:numFmt w:val="bullet"/>
      <w:start w:val="1"/>
    </w:lvl>
  </w:abstractNum>
  <w:abstractNum w:abstractNumId="3">
    <w:nsid w:val="3D1B58BA"/>
    <w:multiLevelType w:val="hybridMultilevel"/>
    <w:lvl w:ilvl="0">
      <w:lvlJc w:val="left"/>
      <w:lvlText w:val="7"/>
      <w:numFmt w:val="bullet"/>
      <w:start w:val="1"/>
    </w:lvl>
  </w:abstractNum>
  <w:abstractNum w:abstractNumId="4">
    <w:nsid w:val="507ED7AB"/>
    <w:multiLevelType w:val="hybridMultilevel"/>
    <w:lvl w:ilvl="0">
      <w:lvlJc w:val="left"/>
      <w:lvlText w:val="8"/>
      <w:numFmt w:val="bullet"/>
      <w:start w:val="1"/>
    </w:lvl>
  </w:abstractNum>
  <w:abstractNum w:abstractNumId="5">
    <w:nsid w:val="2EB141F2"/>
    <w:multiLevelType w:val="hybridMultilevel"/>
    <w:lvl w:ilvl="0">
      <w:lvlJc w:val="left"/>
      <w:lvlText w:val="9"/>
      <w:numFmt w:val="bullet"/>
      <w:start w:val="1"/>
    </w:lvl>
  </w:abstractNum>
  <w:abstractNum w:abstractNumId="6">
    <w:nsid w:val="41B71EFB"/>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2023-02-14T09:24:52Z</dcterms:created>
  <dcterms:modified xsi:type="dcterms:W3CDTF">2023-02-14T09:24:52Z</dcterms:modified>
</cp:coreProperties>
</file>