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115570</wp:posOffset>
            </wp:positionV>
            <wp:extent cx="1750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132715</wp:posOffset>
            </wp:positionV>
            <wp:extent cx="1750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7" w:lineRule="exact"/>
        <w:rPr>
          <w:sz w:val="24"/>
          <w:szCs w:val="24"/>
          <w:color w:val="auto"/>
        </w:rPr>
      </w:pPr>
    </w:p>
    <w:p>
      <w:pPr>
        <w:ind w:left="3980" w:right="2020" w:hanging="3975"/>
        <w:spacing w:after="0" w:line="279" w:lineRule="auto"/>
        <w:tabs>
          <w:tab w:leader="none" w:pos="32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QUARTERLY REPORT PURSUANT TO SECTION 13 OR 15(d) OF THE SECURITIES EXCHANGE ACT OF 1934 </w:t>
      </w:r>
      <w:r>
        <w:rPr>
          <w:rFonts w:ascii="Times New Roman" w:cs="Times New Roman" w:eastAsia="Times New Roman" w:hAnsi="Times New Roman"/>
          <w:sz w:val="17"/>
          <w:szCs w:val="17"/>
          <w:color w:val="auto"/>
        </w:rPr>
        <w:t>For the quarterly period ended March 31, 2025</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9" w:lineRule="exact"/>
        <w:rPr>
          <w:sz w:val="24"/>
          <w:szCs w:val="24"/>
          <w:color w:val="auto"/>
        </w:rPr>
      </w:pPr>
    </w:p>
    <w:p>
      <w:pPr>
        <w:ind w:left="3720" w:right="2000" w:hanging="3715"/>
        <w:spacing w:after="0" w:line="279" w:lineRule="auto"/>
        <w:tabs>
          <w:tab w:leader="none" w:pos="32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from________to________</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71120</wp:posOffset>
            </wp:positionV>
            <wp:extent cx="2962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117475</wp:posOffset>
            </wp:positionV>
            <wp:extent cx="296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71" w:lineRule="exact"/>
        <w:rPr>
          <w:sz w:val="24"/>
          <w:szCs w:val="24"/>
          <w:color w:val="auto"/>
        </w:rPr>
      </w:pPr>
    </w:p>
    <w:p>
      <w:pPr>
        <w:ind w:left="2100"/>
        <w:spacing w:after="0"/>
        <w:tabs>
          <w:tab w:leader="none" w:pos="9260" w:val="left"/>
        </w:tabs>
        <w:rPr>
          <w:sz w:val="20"/>
          <w:szCs w:val="20"/>
          <w:color w:val="auto"/>
        </w:rPr>
      </w:pPr>
      <w:r>
        <w:rPr>
          <w:rFonts w:ascii="Times New Roman" w:cs="Times New Roman" w:eastAsia="Times New Roman" w:hAnsi="Times New Roman"/>
          <w:sz w:val="14"/>
          <w:szCs w:val="14"/>
          <w:b w:val="1"/>
          <w:bCs w:val="1"/>
          <w:color w:val="auto"/>
        </w:rPr>
        <w:t>Nevada</w:t>
      </w:r>
      <w:r>
        <w:rPr>
          <w:sz w:val="20"/>
          <w:szCs w:val="20"/>
          <w:color w:val="auto"/>
        </w:rPr>
        <w:tab/>
      </w:r>
      <w:r>
        <w:rPr>
          <w:rFonts w:ascii="Times New Roman" w:cs="Times New Roman" w:eastAsia="Times New Roman" w:hAnsi="Times New Roman"/>
          <w:sz w:val="14"/>
          <w:szCs w:val="14"/>
          <w:b w:val="1"/>
          <w:bCs w:val="1"/>
          <w:color w:val="auto"/>
        </w:rPr>
        <w:t>26-0138832</w:t>
      </w:r>
    </w:p>
    <w:p>
      <w:pPr>
        <w:spacing w:after="0" w:line="35" w:lineRule="exact"/>
        <w:rPr>
          <w:sz w:val="24"/>
          <w:szCs w:val="24"/>
          <w:color w:val="auto"/>
        </w:rPr>
      </w:pPr>
    </w:p>
    <w:p>
      <w:pPr>
        <w:ind w:left="520"/>
        <w:spacing w:after="0"/>
        <w:tabs>
          <w:tab w:leader="none" w:pos="83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137160</wp:posOffset>
            </wp:positionV>
            <wp:extent cx="296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1800 Owens Street</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San Francisco, California 94158</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(415) 930-7766</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116840</wp:posOffset>
            </wp:positionV>
            <wp:extent cx="296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36830</wp:posOffset>
            </wp:positionV>
            <wp:extent cx="6257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7290" cy="8255"/>
                    </a:xfrm>
                    <a:prstGeom prst="rect">
                      <a:avLst/>
                    </a:prstGeom>
                    <a:noFill/>
                  </pic:spPr>
                </pic:pic>
              </a:graphicData>
            </a:graphic>
          </wp:anchor>
        </w:drawing>
      </w:r>
    </w:p>
    <w:p>
      <w:pPr>
        <w:spacing w:after="0" w:line="73"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6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080" w:type="dxa"/>
            <w:vAlign w:val="bottom"/>
            <w:gridSpan w:val="2"/>
          </w:tcPr>
          <w:p>
            <w:pPr>
              <w:jc w:val="center"/>
              <w:ind w:left="730"/>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r>
      <w:tr>
        <w:trPr>
          <w:trHeight w:val="20"/>
        </w:trPr>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05"/>
        </w:trPr>
        <w:tc>
          <w:tcPr>
            <w:tcW w:w="3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w w:val="99"/>
              </w:rPr>
              <w:t>Class A Common Stock, par value $0.00001 per share</w:t>
            </w:r>
          </w:p>
        </w:tc>
        <w:tc>
          <w:tcPr>
            <w:tcW w:w="620" w:type="dxa"/>
            <w:vAlign w:val="bottom"/>
          </w:tcPr>
          <w:p>
            <w:pPr>
              <w:spacing w:after="0"/>
              <w:rPr>
                <w:sz w:val="17"/>
                <w:szCs w:val="17"/>
                <w:color w:val="auto"/>
              </w:rPr>
            </w:pPr>
          </w:p>
        </w:tc>
        <w:tc>
          <w:tcPr>
            <w:tcW w:w="18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DBX</w:t>
            </w: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196"/>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(Nasdaq Global Select Market)</w:t>
            </w:r>
          </w:p>
        </w:tc>
      </w:tr>
    </w:tbl>
    <w:p>
      <w:pPr>
        <w:spacing w:after="0" w:line="367" w:lineRule="exact"/>
        <w:rPr>
          <w:sz w:val="24"/>
          <w:szCs w:val="24"/>
          <w:color w:val="auto"/>
        </w:rPr>
      </w:pPr>
    </w:p>
    <w:p>
      <w:pPr>
        <w:ind w:right="22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ind w:right="10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9" w:right="379" w:bottom="1440" w:gutter="0" w:footer="0" w:header="0"/>
        </w:sectPr>
      </w:pPr>
    </w:p>
    <w:p>
      <w:pPr>
        <w:spacing w:after="0" w:line="189" w:lineRule="exact"/>
        <w:rPr>
          <w:sz w:val="24"/>
          <w:szCs w:val="24"/>
          <w:color w:val="auto"/>
        </w:rPr>
      </w:pPr>
    </w:p>
    <w:p>
      <w:pPr>
        <w:ind w:firstLine="314"/>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1"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53"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158"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9" w:lineRule="exact"/>
        <w:rPr>
          <w:sz w:val="24"/>
          <w:szCs w:val="24"/>
          <w:color w:val="auto"/>
        </w:rPr>
      </w:pPr>
    </w:p>
    <w:p>
      <w:pPr>
        <w:sectPr>
          <w:pgSz w:w="11900" w:h="16838" w:orient="portrait"/>
          <w:cols w:equalWidth="0" w:num="2">
            <w:col w:w="10760" w:space="300"/>
            <w:col w:w="140"/>
          </w:cols>
          <w:pgMar w:left="320" w:top="969" w:right="379" w:bottom="1440" w:gutter="0" w:footer="0" w:header="0"/>
          <w:type w:val="continuous"/>
        </w:sectPr>
      </w:pPr>
    </w:p>
    <w:p>
      <w:pPr>
        <w:spacing w:after="0" w:line="136" w:lineRule="exact"/>
        <w:rPr>
          <w:sz w:val="24"/>
          <w:szCs w:val="24"/>
          <w:color w:val="auto"/>
        </w:rPr>
      </w:pPr>
    </w:p>
    <w:p>
      <w:pPr>
        <w:ind w:right="320"/>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9" w:lineRule="exact"/>
        <w:rPr>
          <w:sz w:val="24"/>
          <w:szCs w:val="24"/>
          <w:color w:val="auto"/>
        </w:rPr>
      </w:pPr>
    </w:p>
    <w:p>
      <w:pPr>
        <w:spacing w:after="0" w:line="161" w:lineRule="exact"/>
        <w:tabs>
          <w:tab w:leader="none" w:pos="68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75" w:lineRule="exact"/>
        <w:rPr>
          <w:sz w:val="24"/>
          <w:szCs w:val="24"/>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As of May 5, 2025, there were 204,571,028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89,705 shares of Class A common stock subject to restricted stock awards that were granted to other Dropbox executives and vest upon the satisfaction of a service condition and as applicable, achievement of certain stock price goals), 76,921,620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824865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242"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99" w:lineRule="exact"/>
        <w:rPr>
          <w:sz w:val="20"/>
          <w:szCs w:val="20"/>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paying users;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users or convert registered users to paying users;</w:t>
      </w:r>
    </w:p>
    <w:p>
      <w:pPr>
        <w:spacing w:after="0" w:line="248" w:lineRule="exact"/>
        <w:rPr>
          <w:rFonts w:ascii="Times New Roman" w:cs="Times New Roman" w:eastAsia="Times New Roman" w:hAnsi="Times New Roman"/>
          <w:sz w:val="17"/>
          <w:szCs w:val="17"/>
          <w:color w:val="auto"/>
        </w:rPr>
      </w:pPr>
    </w:p>
    <w:p>
      <w:pPr>
        <w:ind w:left="720" w:right="1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security breaches and our liability or other potential legal, regulatory, or reputational consequences of any unauthorized access to our data or our customer data;</w:t>
      </w:r>
    </w:p>
    <w:p>
      <w:pPr>
        <w:spacing w:after="0" w:line="172" w:lineRule="exact"/>
        <w:rPr>
          <w:rFonts w:ascii="Times New Roman" w:cs="Times New Roman" w:eastAsia="Times New Roman" w:hAnsi="Times New Roman"/>
          <w:sz w:val="17"/>
          <w:szCs w:val="17"/>
          <w:color w:val="auto"/>
        </w:rPr>
      </w:pPr>
    </w:p>
    <w:p>
      <w:pPr>
        <w:ind w:left="720" w:right="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59"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general economic, political, and market trends and their respective impacts on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in competitive markets;</w:t>
      </w:r>
    </w:p>
    <w:p>
      <w:pPr>
        <w:spacing w:after="0" w:line="235" w:lineRule="exact"/>
        <w:rPr>
          <w:rFonts w:ascii="Times New Roman" w:cs="Times New Roman" w:eastAsia="Times New Roman" w:hAnsi="Times New Roman"/>
          <w:sz w:val="17"/>
          <w:szCs w:val="17"/>
          <w:color w:val="auto"/>
        </w:rPr>
      </w:pPr>
    </w:p>
    <w:p>
      <w:pPr>
        <w:ind w:left="720" w:right="40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impacts of permanent global remote or distributed work, on our business, the business of our customers, suppliers and partners, and the economy;</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platform or for content collaboration solutions in general;</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integrate our platform with others;</w:t>
      </w:r>
    </w:p>
    <w:p>
      <w:pPr>
        <w:spacing w:after="0" w:line="235" w:lineRule="exact"/>
        <w:rPr>
          <w:rFonts w:ascii="Times New Roman" w:cs="Times New Roman" w:eastAsia="Times New Roman" w:hAnsi="Times New Roman"/>
          <w:sz w:val="17"/>
          <w:szCs w:val="17"/>
          <w:color w:val="auto"/>
        </w:rPr>
      </w:pPr>
    </w:p>
    <w:p>
      <w:pPr>
        <w:ind w:left="720" w:right="18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or maintain profitability;</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around future growth;</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introduce new products and features;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invest in the development of new products and technologies;</w:t>
      </w:r>
    </w:p>
    <w:p>
      <w:pPr>
        <w:spacing w:after="0" w:line="248" w:lineRule="exact"/>
        <w:rPr>
          <w:rFonts w:ascii="Times New Roman" w:cs="Times New Roman" w:eastAsia="Times New Roman" w:hAnsi="Times New Roman"/>
          <w:sz w:val="17"/>
          <w:szCs w:val="17"/>
          <w:color w:val="auto"/>
        </w:rPr>
      </w:pPr>
    </w:p>
    <w:p>
      <w:pPr>
        <w:ind w:left="720" w:right="24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integrate, and manage key and other highly qualified personnel, including in light of our workforce reductions and as a result of our Virtual First model with an increasingly distributed workforce;</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allocation plans, including expected allocations of cash and timing for our share repurchases and other investments;</w:t>
      </w:r>
    </w:p>
    <w:p>
      <w:pPr>
        <w:spacing w:after="0" w:line="248" w:lineRule="exact"/>
        <w:rPr>
          <w:rFonts w:ascii="Times New Roman" w:cs="Times New Roman" w:eastAsia="Times New Roman" w:hAnsi="Times New Roman"/>
          <w:sz w:val="17"/>
          <w:szCs w:val="17"/>
          <w:color w:val="auto"/>
        </w:rPr>
      </w:pPr>
    </w:p>
    <w:p>
      <w:pPr>
        <w:ind w:left="720" w:right="42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new or modified laws, policies, taxes, and regulations on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700" w:hanging="303"/>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and cash equivalents to meet our liquidity needs; and</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of companies and assets.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caution you that the foregoing list may not contain all of the forward-looking statements made in this Quarterly Report on Form 10-Q.</w:t>
      </w:r>
    </w:p>
    <w:p>
      <w:pPr>
        <w:spacing w:after="0" w:line="223" w:lineRule="exact"/>
        <w:rPr>
          <w:sz w:val="20"/>
          <w:szCs w:val="20"/>
          <w:color w:val="auto"/>
        </w:rPr>
      </w:pPr>
    </w:p>
    <w:p>
      <w:pPr>
        <w:ind w:right="80" w:firstLine="431"/>
        <w:spacing w:after="0" w:line="262"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5" w:lineRule="exact"/>
        <w:rPr>
          <w:sz w:val="20"/>
          <w:szCs w:val="20"/>
          <w:color w:val="auto"/>
        </w:rPr>
      </w:pPr>
    </w:p>
    <w:p>
      <w:pPr>
        <w:ind w:firstLine="431"/>
        <w:spacing w:after="0" w:line="265"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51"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197" w:lineRule="exact"/>
        <w:rPr>
          <w:sz w:val="20"/>
          <w:szCs w:val="20"/>
          <w:color w:val="auto"/>
        </w:rPr>
      </w:pPr>
    </w:p>
    <w:p>
      <w:pPr>
        <w:ind w:left="720" w:right="2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our ability to retain and upgrade paying users, and any decline in renewals or upgrades could adversely affect our future results of operations.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growth could be harmed if we fail to attract new users or convert registered users to paying users.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 the past and may continue to experience privacy and data security breaches or incidents.</w:t>
      </w:r>
    </w:p>
    <w:p>
      <w:pPr>
        <w:spacing w:after="0" w:line="248" w:lineRule="exact"/>
        <w:rPr>
          <w:rFonts w:ascii="Times New Roman" w:cs="Times New Roman" w:eastAsia="Times New Roman" w:hAnsi="Times New Roman"/>
          <w:sz w:val="17"/>
          <w:szCs w:val="17"/>
          <w:color w:val="auto"/>
        </w:rPr>
      </w:pPr>
    </w:p>
    <w:p>
      <w:pPr>
        <w:ind w:left="720" w:right="44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growth has declined and we have experienced negative growth in past periods. If we do not successfully execute our plan for future growth, our growth rate may continue to decline and we may experience negative growth in future periods.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harmed by any significant disruption of service on our platform or loss of content.</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competitive markets, and we must continue to compete effectively.</w:t>
      </w:r>
    </w:p>
    <w:p>
      <w:pPr>
        <w:spacing w:after="0" w:line="248" w:lineRule="exact"/>
        <w:rPr>
          <w:rFonts w:ascii="Times New Roman" w:cs="Times New Roman" w:eastAsia="Times New Roman" w:hAnsi="Times New Roman"/>
          <w:sz w:val="17"/>
          <w:szCs w:val="17"/>
          <w:color w:val="auto"/>
        </w:rPr>
      </w:pPr>
    </w:p>
    <w:p>
      <w:pPr>
        <w:ind w:left="720" w:right="6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respond to rapid technological changes, extend our platform, or develop new features or products may harm our ability to compete effectively, which would adversely affect our business.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upon the interoperability of our platform across devices, operating systems, and third-party applications that we do not control.</w:t>
      </w:r>
    </w:p>
    <w:p>
      <w:pPr>
        <w:spacing w:after="0" w:line="248" w:lineRule="exact"/>
        <w:rPr>
          <w:rFonts w:ascii="Times New Roman" w:cs="Times New Roman" w:eastAsia="Times New Roman" w:hAnsi="Times New Roman"/>
          <w:sz w:val="17"/>
          <w:szCs w:val="17"/>
          <w:color w:val="auto"/>
        </w:rPr>
      </w:pPr>
    </w:p>
    <w:p>
      <w:pPr>
        <w:ind w:left="720" w:right="4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significantly impacted by a change in general economic, political, and market conditions, including any resulting effect on consumer or business spending.</w:t>
      </w:r>
    </w:p>
    <w:p>
      <w:pPr>
        <w:spacing w:after="0" w:line="172" w:lineRule="exact"/>
        <w:rPr>
          <w:rFonts w:ascii="Times New Roman" w:cs="Times New Roman" w:eastAsia="Times New Roman" w:hAnsi="Times New Roman"/>
          <w:sz w:val="17"/>
          <w:szCs w:val="17"/>
          <w:color w:val="auto"/>
        </w:rPr>
      </w:pPr>
    </w:p>
    <w:p>
      <w:pPr>
        <w:ind w:left="720" w:right="2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 revenue from sales of subscriptions to our platform, and declines in demand for our platform, or for content collaboration solutions in general, could negatively impact our business.</w:t>
      </w:r>
    </w:p>
    <w:p>
      <w:pPr>
        <w:spacing w:after="0" w:line="172" w:lineRule="exact"/>
        <w:rPr>
          <w:rFonts w:ascii="Times New Roman" w:cs="Times New Roman" w:eastAsia="Times New Roman" w:hAnsi="Times New Roman"/>
          <w:sz w:val="17"/>
          <w:szCs w:val="17"/>
          <w:color w:val="auto"/>
        </w:rPr>
      </w:pPr>
    </w:p>
    <w:p>
      <w:pPr>
        <w:ind w:left="720" w:right="16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with a Virtual First workforce and the long-term impact of this model on our financial results and business operations remains uncertain.</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a significant outbound sales force may limit the potential growth of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growth rate has declined in recent periods and may continue to slow in the future.</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increase expenses in the future, and we may not be able to achieve or maintain profitability in future periods.</w:t>
      </w:r>
    </w:p>
    <w:p>
      <w:pPr>
        <w:spacing w:after="0" w:line="248" w:lineRule="exact"/>
        <w:rPr>
          <w:rFonts w:ascii="Times New Roman" w:cs="Times New Roman" w:eastAsia="Times New Roman" w:hAnsi="Times New Roman"/>
          <w:sz w:val="17"/>
          <w:szCs w:val="17"/>
          <w:color w:val="auto"/>
        </w:rPr>
      </w:pPr>
    </w:p>
    <w:p>
      <w:pPr>
        <w:ind w:left="720" w:hanging="323"/>
        <w:spacing w:after="0" w:line="276"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indebtedness under our term loan facility, 2026 Notes and 2028 Notes (as defined below) may require a significant amount of cash, and we may not have sufficient cash flow or the ability to raise the funds necessary to satisfy our obligations under the term loan facility, 2026 Notes, or 2028 Notes.</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40" w:type="dxa"/>
            <w:vAlign w:val="bottom"/>
            <w:gridSpan w:val="12"/>
          </w:tcPr>
          <w:p>
            <w:pPr>
              <w:jc w:val="center"/>
              <w:ind w:right="2740"/>
              <w:spacing w:after="0"/>
              <w:rPr>
                <w:sz w:val="20"/>
                <w:szCs w:val="20"/>
                <w:color w:val="auto"/>
              </w:rPr>
            </w:pPr>
            <w:r>
              <w:rPr>
                <w:rFonts w:ascii="Times New Roman" w:cs="Times New Roman" w:eastAsia="Times New Roman" w:hAnsi="Times New Roman"/>
                <w:sz w:val="16"/>
                <w:szCs w:val="16"/>
                <w:color w:val="0000FF"/>
                <w:w w:val="95"/>
              </w:rPr>
              <w:t>PART I. FINANCIAL INFORMATION</w:t>
            </w:r>
          </w:p>
        </w:tc>
        <w:tc>
          <w:tcPr>
            <w:tcW w:w="1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Financial Statements (Unaudited)</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March 31, 2025 and December 31, 2024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6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Operations for the Three Months Ended March 31, 2025 and 2024</w:t>
            </w:r>
          </w:p>
        </w:tc>
        <w:tc>
          <w:tcPr>
            <w:tcW w:w="2100" w:type="dxa"/>
            <w:vAlign w:val="bottom"/>
            <w:gridSpan w:val="4"/>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r>
      <w:tr>
        <w:trPr>
          <w:trHeight w:val="189"/>
        </w:trPr>
        <w:tc>
          <w:tcPr>
            <w:tcW w:w="840" w:type="dxa"/>
            <w:vAlign w:val="bottom"/>
          </w:tcPr>
          <w:p>
            <w:pPr>
              <w:spacing w:after="0"/>
              <w:rPr>
                <w:sz w:val="16"/>
                <w:szCs w:val="16"/>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for the Three Months Ended March 31, 2025 and 2024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w:t>
            </w:r>
          </w:p>
        </w:tc>
      </w:tr>
      <w:tr>
        <w:trPr>
          <w:trHeight w:val="189"/>
        </w:trPr>
        <w:tc>
          <w:tcPr>
            <w:tcW w:w="840" w:type="dxa"/>
            <w:vAlign w:val="bottom"/>
          </w:tcPr>
          <w:p>
            <w:pPr>
              <w:spacing w:after="0"/>
              <w:rPr>
                <w:sz w:val="16"/>
                <w:szCs w:val="16"/>
                <w:color w:val="auto"/>
              </w:rPr>
            </w:pPr>
          </w:p>
        </w:tc>
        <w:tc>
          <w:tcPr>
            <w:tcW w:w="730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Stockholders' Deficit for the Three Months Ended March 31, 2025 and 2024</w:t>
            </w:r>
          </w:p>
        </w:tc>
        <w:tc>
          <w:tcPr>
            <w:tcW w:w="160" w:type="dxa"/>
            <w:vAlign w:val="bottom"/>
            <w:tcBorders>
              <w:top w:val="single" w:sz="8" w:color="0000FF"/>
            </w:tcBorders>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9</w:t>
            </w:r>
          </w:p>
        </w:tc>
      </w:tr>
      <w:tr>
        <w:trPr>
          <w:trHeight w:val="189"/>
        </w:trPr>
        <w:tc>
          <w:tcPr>
            <w:tcW w:w="840" w:type="dxa"/>
            <w:vAlign w:val="bottom"/>
          </w:tcPr>
          <w:p>
            <w:pPr>
              <w:spacing w:after="0"/>
              <w:rPr>
                <w:sz w:val="16"/>
                <w:szCs w:val="16"/>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Three Months Ended March 31, 2025 and 2024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10</w:t>
            </w:r>
          </w:p>
        </w:tc>
      </w:tr>
      <w:tr>
        <w:trPr>
          <w:trHeight w:val="189"/>
        </w:trPr>
        <w:tc>
          <w:tcPr>
            <w:tcW w:w="840" w:type="dxa"/>
            <w:vAlign w:val="bottom"/>
          </w:tcPr>
          <w:p>
            <w:pPr>
              <w:spacing w:after="0"/>
              <w:rPr>
                <w:sz w:val="16"/>
                <w:szCs w:val="16"/>
                <w:color w:val="auto"/>
              </w:rPr>
            </w:pPr>
          </w:p>
        </w:tc>
        <w:tc>
          <w:tcPr>
            <w:tcW w:w="34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7"/>
              </w:rPr>
              <w:t>Notes to Condensed Consolidated Financial Statements</w:t>
            </w:r>
          </w:p>
        </w:tc>
        <w:tc>
          <w:tcPr>
            <w:tcW w:w="3220" w:type="dxa"/>
            <w:vAlign w:val="bottom"/>
            <w:tcBorders>
              <w:top w:val="single" w:sz="8" w:color="0000FF"/>
            </w:tcBorders>
            <w:gridSpan w:val="10"/>
          </w:tcPr>
          <w:p>
            <w:pPr>
              <w:spacing w:after="0"/>
              <w:rPr>
                <w:sz w:val="16"/>
                <w:szCs w:val="16"/>
                <w:color w:val="auto"/>
              </w:rPr>
            </w:pPr>
          </w:p>
        </w:tc>
        <w:tc>
          <w:tcPr>
            <w:tcW w:w="2060" w:type="dxa"/>
            <w:vAlign w:val="bottom"/>
            <w:gridSpan w:val="3"/>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11</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5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7"/>
              </w:rPr>
              <w:t>Management's Discussion and Analysis of Financial Condition and Results of Operations</w:t>
            </w:r>
          </w:p>
        </w:tc>
        <w:tc>
          <w:tcPr>
            <w:tcW w:w="3140" w:type="dxa"/>
            <w:vAlign w:val="bottom"/>
            <w:gridSpan w:val="7"/>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37</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7"/>
              </w:rPr>
              <w:t>Quantitative and Qualitative Disclosures About Market Risk</w:t>
            </w:r>
          </w:p>
        </w:tc>
        <w:tc>
          <w:tcPr>
            <w:tcW w:w="4960" w:type="dxa"/>
            <w:vAlign w:val="bottom"/>
            <w:gridSpan w:val="9"/>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53</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54</w:t>
            </w:r>
          </w:p>
        </w:tc>
      </w:tr>
      <w:tr>
        <w:trPr>
          <w:trHeight w:val="437"/>
        </w:trPr>
        <w:tc>
          <w:tcPr>
            <w:tcW w:w="8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4"/>
              </w:rPr>
              <w:t>PART II. OTHER INFORMATION</w:t>
            </w:r>
          </w:p>
        </w:tc>
        <w:tc>
          <w:tcPr>
            <w:tcW w:w="2860" w:type="dxa"/>
            <w:vAlign w:val="bottom"/>
            <w:gridSpan w:val="6"/>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55</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600" w:type="dxa"/>
            <w:vAlign w:val="bottom"/>
            <w:gridSpan w:val="15"/>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56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15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86</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37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4980" w:type="dxa"/>
            <w:vAlign w:val="bottom"/>
            <w:gridSpan w:val="10"/>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85</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Exhibits</w:t>
            </w:r>
          </w:p>
        </w:tc>
        <w:tc>
          <w:tcPr>
            <w:tcW w:w="7620" w:type="dxa"/>
            <w:vAlign w:val="bottom"/>
            <w:gridSpan w:val="16"/>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900" w:type="dxa"/>
            <w:vAlign w:val="bottom"/>
            <w:gridSpan w:val="17"/>
          </w:tcPr>
          <w:p>
            <w:pPr>
              <w:spacing w:after="0" w:line="20" w:lineRule="exact"/>
              <w:rPr>
                <w:sz w:val="1"/>
                <w:szCs w:val="1"/>
                <w:color w:val="auto"/>
              </w:rPr>
            </w:pPr>
          </w:p>
        </w:tc>
        <w:tc>
          <w:tcPr>
            <w:tcW w:w="15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5"/>
              </w:rPr>
              <w:t>Exhibit Index</w:t>
            </w:r>
          </w:p>
        </w:tc>
        <w:tc>
          <w:tcPr>
            <w:tcW w:w="7900" w:type="dxa"/>
            <w:vAlign w:val="bottom"/>
            <w:gridSpan w:val="17"/>
          </w:tcPr>
          <w:p>
            <w:pPr>
              <w:spacing w:after="0"/>
              <w:rPr>
                <w:sz w:val="16"/>
                <w:szCs w:val="16"/>
                <w:color w:val="auto"/>
              </w:rPr>
            </w:pPr>
          </w:p>
        </w:tc>
        <w:tc>
          <w:tcPr>
            <w:tcW w:w="152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87</w:t>
            </w:r>
          </w:p>
        </w:tc>
      </w:tr>
      <w:tr>
        <w:trPr>
          <w:trHeight w:val="189"/>
        </w:trPr>
        <w:tc>
          <w:tcPr>
            <w:tcW w:w="840" w:type="dxa"/>
            <w:vAlign w:val="bottom"/>
          </w:tcPr>
          <w:p>
            <w:pPr>
              <w:spacing w:after="0"/>
              <w:rPr>
                <w:sz w:val="16"/>
                <w:szCs w:val="16"/>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88</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FINANCIAL STATEMENTS</w:t>
      </w:r>
    </w:p>
    <w:p>
      <w:pPr>
        <w:spacing w:after="0" w:line="2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00" w:type="dxa"/>
            <w:vAlign w:val="bottom"/>
            <w:tcBorders>
              <w:bottom w:val="single" w:sz="8" w:color="auto"/>
            </w:tcBorders>
          </w:tcPr>
          <w:p>
            <w:pPr>
              <w:spacing w:after="0"/>
              <w:rPr>
                <w:sz w:val="19"/>
                <w:szCs w:val="19"/>
                <w:color w:val="auto"/>
              </w:rPr>
            </w:pPr>
          </w:p>
        </w:tc>
      </w:tr>
      <w:tr>
        <w:trPr>
          <w:trHeight w:val="215"/>
        </w:trPr>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40" w:type="dxa"/>
            <w:vAlign w:val="bottom"/>
          </w:tcPr>
          <w:p>
            <w:pPr>
              <w:spacing w:after="0"/>
              <w:rPr>
                <w:sz w:val="18"/>
                <w:szCs w:val="18"/>
                <w:color w:val="auto"/>
              </w:rPr>
            </w:pPr>
          </w:p>
        </w:tc>
        <w:tc>
          <w:tcPr>
            <w:tcW w:w="1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0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1,328.3</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265.9</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and other receivables, net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1,738.4</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442.8</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466.7</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3,325.2</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8"/>
        </w:trPr>
        <w:tc>
          <w:tcPr>
            <w:tcW w:w="6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 obligation</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Convertible senior notes, net, current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 loan, net, current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727.7</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1,210.8</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 non-current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 net, non-current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1,381.6</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 non-current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962.9</w:t>
            </w:r>
          </w:p>
        </w:tc>
      </w:tr>
      <w:tr>
        <w:trPr>
          <w:trHeight w:val="22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4,077.6</w:t>
            </w:r>
          </w:p>
        </w:tc>
      </w:tr>
      <w:tr>
        <w:trPr>
          <w:trHeight w:val="20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2,404.2</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(3,146.5)</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(752.4)</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3,325.2</w:t>
            </w: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ectPr>
          <w:pgSz w:w="11900" w:h="16838" w:orient="portrait"/>
          <w:cols w:equalWidth="0" w:num="1">
            <w:col w:w="10940"/>
          </w:cols>
          <w:pgMar w:left="320" w:top="119" w:right="6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5"/>
        </w:trPr>
        <w:tc>
          <w:tcPr>
            <w:tcW w:w="1320" w:type="dxa"/>
            <w:vAlign w:val="bottom"/>
            <w:tcBorders>
              <w:top w:val="single" w:sz="8" w:color="0000FF"/>
            </w:tcBorders>
          </w:tcPr>
          <w:p>
            <w:pPr>
              <w:spacing w:after="0"/>
              <w:rPr>
                <w:sz w:val="24"/>
                <w:szCs w:val="24"/>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7480" w:type="dxa"/>
            <w:vAlign w:val="bottom"/>
            <w:gridSpan w:val="2"/>
          </w:tcPr>
          <w:p>
            <w:pPr>
              <w:jc w:val="center"/>
              <w:ind w:left="105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i w:val="1"/>
                <w:iCs w:val="1"/>
                <w:color w:val="auto"/>
              </w:rPr>
              <w:t>(In millions, except per share data)</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4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3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w:t>
            </w:r>
          </w:p>
        </w:tc>
        <w:tc>
          <w:tcPr>
            <w:tcW w:w="0" w:type="dxa"/>
            <w:vAlign w:val="bottom"/>
          </w:tcPr>
          <w:p>
            <w:pPr>
              <w:spacing w:after="0"/>
              <w:rPr>
                <w:sz w:val="1"/>
                <w:szCs w:val="1"/>
                <w:color w:val="auto"/>
              </w:rPr>
            </w:pPr>
          </w:p>
        </w:tc>
      </w:tr>
      <w:tr>
        <w:trPr>
          <w:trHeight w:val="222"/>
        </w:trPr>
        <w:tc>
          <w:tcPr>
            <w:tcW w:w="7620" w:type="dxa"/>
            <w:vAlign w:val="bottom"/>
            <w:tcBorders>
              <w:bottom w:val="single" w:sz="8" w:color="CCEEFF"/>
            </w:tcBorders>
            <w:gridSpan w:val="2"/>
          </w:tcPr>
          <w:p>
            <w:pPr>
              <w:ind w:left="26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525.5</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2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0" w:type="dxa"/>
            <w:vAlign w:val="bottom"/>
          </w:tcPr>
          <w:p>
            <w:pPr>
              <w:spacing w:after="0"/>
              <w:rPr>
                <w:sz w:val="1"/>
                <w:szCs w:val="1"/>
                <w:color w:val="auto"/>
              </w:rPr>
            </w:pP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Net income per share-basic and diluted:</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 attributable to common stockholders,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62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290.3</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0" w:type="dxa"/>
            <w:vAlign w:val="bottom"/>
          </w:tcPr>
          <w:p>
            <w:pPr>
              <w:spacing w:after="0"/>
              <w:rPr>
                <w:sz w:val="1"/>
                <w:szCs w:val="1"/>
                <w:color w:val="auto"/>
              </w:rPr>
            </w:pPr>
          </w:p>
        </w:tc>
      </w:tr>
      <w:tr>
        <w:trPr>
          <w:trHeight w:val="209"/>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6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Weighted-average shares used in computing net income per share attributable to common stockholders,</w:t>
            </w: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340.7</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40" w:hanging="135"/>
        <w:spacing w:after="0"/>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7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2"/>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22"/>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2"/>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40" w:firstLine="5"/>
        <w:spacing w:after="0" w:line="306" w:lineRule="auto"/>
        <w:tabs>
          <w:tab w:leader="none" w:pos="144"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the Company's 2024 reduction in workforce such as severance, benefits and other related items during the three months ended March 31, 2025. See Note 1, "Description of the Business and Summary of Significant Accounting Policies - Reduction in Workforce"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705"/>
        </w:trPr>
        <w:tc>
          <w:tcPr>
            <w:tcW w:w="1320" w:type="dxa"/>
            <w:vAlign w:val="bottom"/>
            <w:tcBorders>
              <w:top w:val="single" w:sz="8" w:color="0000FF"/>
            </w:tcBorders>
          </w:tcPr>
          <w:p>
            <w:pPr>
              <w:spacing w:after="0"/>
              <w:rPr>
                <w:sz w:val="24"/>
                <w:szCs w:val="24"/>
                <w:color w:val="auto"/>
              </w:rPr>
            </w:pPr>
          </w:p>
        </w:tc>
        <w:tc>
          <w:tcPr>
            <w:tcW w:w="6340" w:type="dxa"/>
            <w:vAlign w:val="bottom"/>
          </w:tcPr>
          <w:p>
            <w:pPr>
              <w:jc w:val="center"/>
              <w:ind w:left="217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9"/>
        </w:trPr>
        <w:tc>
          <w:tcPr>
            <w:tcW w:w="1320" w:type="dxa"/>
            <w:vAlign w:val="bottom"/>
          </w:tcPr>
          <w:p>
            <w:pPr>
              <w:spacing w:after="0"/>
              <w:rPr>
                <w:sz w:val="18"/>
                <w:szCs w:val="18"/>
                <w:color w:val="auto"/>
              </w:rPr>
            </w:pPr>
          </w:p>
        </w:tc>
        <w:tc>
          <w:tcPr>
            <w:tcW w:w="7580" w:type="dxa"/>
            <w:vAlign w:val="bottom"/>
            <w:gridSpan w:val="2"/>
          </w:tcPr>
          <w:p>
            <w:pPr>
              <w:jc w:val="center"/>
              <w:ind w:left="93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6340" w:type="dxa"/>
            <w:vAlign w:val="bottom"/>
          </w:tcPr>
          <w:p>
            <w:pPr>
              <w:jc w:val="center"/>
              <w:ind w:left="219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9"/>
        </w:trPr>
        <w:tc>
          <w:tcPr>
            <w:tcW w:w="1320" w:type="dxa"/>
            <w:vAlign w:val="bottom"/>
          </w:tcPr>
          <w:p>
            <w:pPr>
              <w:spacing w:after="0"/>
              <w:rPr>
                <w:sz w:val="19"/>
                <w:szCs w:val="19"/>
                <w:color w:val="auto"/>
              </w:rPr>
            </w:pPr>
          </w:p>
        </w:tc>
        <w:tc>
          <w:tcPr>
            <w:tcW w:w="6340" w:type="dxa"/>
            <w:vAlign w:val="bottom"/>
          </w:tcPr>
          <w:p>
            <w:pPr>
              <w:jc w:val="center"/>
              <w:ind w:left="2173"/>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88"/>
        </w:trPr>
        <w:tc>
          <w:tcPr>
            <w:tcW w:w="13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0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24"/>
                <w:szCs w:val="24"/>
                <w:color w:val="auto"/>
              </w:rPr>
            </w:pPr>
          </w:p>
        </w:tc>
      </w:tr>
      <w:tr>
        <w:trPr>
          <w:trHeight w:val="232"/>
        </w:trPr>
        <w:tc>
          <w:tcPr>
            <w:tcW w:w="13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80" w:type="dxa"/>
            <w:vAlign w:val="bottom"/>
            <w:tcBorders>
              <w:bottom w:val="single" w:sz="8" w:color="auto"/>
            </w:tcBorders>
          </w:tcPr>
          <w:p>
            <w:pPr>
              <w:spacing w:after="0"/>
              <w:rPr>
                <w:sz w:val="20"/>
                <w:szCs w:val="20"/>
                <w:color w:val="auto"/>
              </w:rPr>
            </w:pPr>
          </w:p>
        </w:tc>
      </w:tr>
      <w:tr>
        <w:trPr>
          <w:trHeight w:val="218"/>
        </w:trPr>
        <w:tc>
          <w:tcPr>
            <w:tcW w:w="1320" w:type="dxa"/>
            <w:vAlign w:val="bottom"/>
            <w:tcBorders>
              <w:bottom w:val="single" w:sz="8" w:color="CCEEFF"/>
            </w:tcBorders>
          </w:tcPr>
          <w:p>
            <w:pPr>
              <w:spacing w:after="0"/>
              <w:rPr>
                <w:sz w:val="18"/>
                <w:szCs w:val="18"/>
                <w:color w:val="auto"/>
              </w:rPr>
            </w:pPr>
          </w:p>
        </w:tc>
        <w:tc>
          <w:tcPr>
            <w:tcW w:w="63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w:t>
            </w:r>
          </w:p>
        </w:tc>
      </w:tr>
      <w:tr>
        <w:trPr>
          <w:trHeight w:val="222"/>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2"/>
        </w:trPr>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foreign currency translation adjustments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7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Change in net unrealized gains and losses on short-term investments</w:t>
            </w: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w:t>
            </w:r>
          </w:p>
        </w:tc>
        <w:tc>
          <w:tcPr>
            <w:tcW w:w="124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w:t>
            </w:r>
          </w:p>
        </w:tc>
      </w:tr>
      <w:tr>
        <w:trPr>
          <w:trHeight w:val="20"/>
        </w:trPr>
        <w:tc>
          <w:tcPr>
            <w:tcW w:w="13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37" w:lineRule="exact"/>
        <w:rPr>
          <w:sz w:val="20"/>
          <w:szCs w:val="20"/>
          <w:color w:val="auto"/>
        </w:rPr>
      </w:pPr>
    </w:p>
    <w:tbl>
      <w:tblPr>
        <w:tblLayout w:type="fixed"/>
        <w:tblInd w:w="1000" w:type="dxa"/>
        <w:tblCellMar>
          <w:top w:w="0" w:type="dxa"/>
          <w:left w:w="0" w:type="dxa"/>
          <w:bottom w:w="0" w:type="dxa"/>
          <w:right w:w="0" w:type="dxa"/>
        </w:tblCellMar>
      </w:tblPr>
      <w:tr>
        <w:trPr>
          <w:trHeight w:val="209"/>
        </w:trPr>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Class B</w:t>
            </w: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Class B common</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160" w:type="dxa"/>
            <w:vAlign w:val="bottom"/>
            <w:vMerge w:val="continue"/>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0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60" w:type="dxa"/>
            <w:vAlign w:val="bottom"/>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102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7"/>
        </w:trPr>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Common Stock</w:t>
            </w: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5"/>
              </w:rPr>
              <w:t>stock</w:t>
            </w:r>
          </w:p>
        </w:tc>
        <w:tc>
          <w:tcPr>
            <w:tcW w:w="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160" w:type="dxa"/>
            <w:vAlign w:val="bottom"/>
            <w:tcBorders>
              <w:bottom w:val="single" w:sz="8" w:color="auto"/>
            </w:tcBorders>
          </w:tcPr>
          <w:p>
            <w:pPr>
              <w:spacing w:after="0"/>
              <w:rPr>
                <w:sz w:val="4"/>
                <w:szCs w:val="4"/>
                <w:color w:val="auto"/>
              </w:rPr>
            </w:pPr>
          </w:p>
        </w:tc>
        <w:tc>
          <w:tcPr>
            <w:tcW w:w="88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00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60" w:type="dxa"/>
            <w:vAlign w:val="bottom"/>
            <w:gridSpan w:val="2"/>
            <w:vMerge w:val="restart"/>
          </w:tcPr>
          <w:p>
            <w:pPr>
              <w:jc w:val="center"/>
              <w:ind w:right="4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160" w:type="dxa"/>
            <w:vAlign w:val="bottom"/>
            <w:tcBorders>
              <w:bottom w:val="single" w:sz="8" w:color="auto"/>
            </w:tcBorders>
          </w:tcPr>
          <w:p>
            <w:pPr>
              <w:spacing w:after="0"/>
              <w:rPr>
                <w:sz w:val="4"/>
                <w:szCs w:val="4"/>
                <w:color w:val="auto"/>
              </w:rPr>
            </w:pPr>
          </w:p>
        </w:tc>
        <w:tc>
          <w:tcPr>
            <w:tcW w:w="8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Shares  Amount</w:t>
            </w:r>
          </w:p>
        </w:tc>
        <w:tc>
          <w:tcPr>
            <w:tcW w:w="8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deficit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160" w:type="dxa"/>
            <w:vAlign w:val="bottom"/>
            <w:vMerge w:val="continue"/>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97725" cy="332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725" cy="33210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tbl>
      <w:tblPr>
        <w:tblLayout w:type="fixed"/>
        <w:tblInd w:w="20" w:type="dxa"/>
        <w:tblCellMar>
          <w:top w:w="0" w:type="dxa"/>
          <w:left w:w="0" w:type="dxa"/>
          <w:bottom w:w="0" w:type="dxa"/>
          <w:right w:w="0" w:type="dxa"/>
        </w:tblCellMar>
      </w:tblPr>
      <w:tr>
        <w:trPr>
          <w:trHeight w:val="140"/>
        </w:trPr>
        <w:tc>
          <w:tcPr>
            <w:tcW w:w="98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295.9</w:t>
            </w:r>
          </w:p>
        </w:tc>
        <w:tc>
          <w:tcPr>
            <w:tcW w:w="80" w:type="dxa"/>
            <w:vAlign w:val="bottom"/>
          </w:tcPr>
          <w:p>
            <w:pPr>
              <w:spacing w:after="0"/>
              <w:rPr>
                <w:sz w:val="13"/>
                <w:szCs w:val="13"/>
                <w:color w:val="auto"/>
              </w:rPr>
            </w:pPr>
          </w:p>
        </w:tc>
        <w:tc>
          <w:tcPr>
            <w:tcW w:w="22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2,404.2</w:t>
            </w:r>
          </w:p>
        </w:tc>
        <w:tc>
          <w:tcPr>
            <w:tcW w:w="80" w:type="dxa"/>
            <w:vAlign w:val="bottom"/>
          </w:tcPr>
          <w:p>
            <w:pPr>
              <w:spacing w:after="0"/>
              <w:rPr>
                <w:sz w:val="13"/>
                <w:szCs w:val="13"/>
                <w:color w:val="auto"/>
              </w:rPr>
            </w:pP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(3,146.5)</w:t>
            </w:r>
          </w:p>
        </w:tc>
        <w:tc>
          <w:tcPr>
            <w:tcW w:w="80" w:type="dxa"/>
            <w:vAlign w:val="bottom"/>
          </w:tcPr>
          <w:p>
            <w:pPr>
              <w:spacing w:after="0"/>
              <w:rPr>
                <w:sz w:val="13"/>
                <w:szCs w:val="13"/>
                <w:color w:val="auto"/>
              </w:rPr>
            </w:pPr>
          </w:p>
        </w:tc>
        <w:tc>
          <w:tcPr>
            <w:tcW w:w="3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of common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stock options</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and awards</w:t>
            </w: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9"/>
              </w:rPr>
              <w:t>comprehensive</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line="143"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279.4</w:t>
            </w:r>
          </w:p>
        </w:tc>
        <w:tc>
          <w:tcPr>
            <w:tcW w:w="80" w:type="dxa"/>
            <w:vAlign w:val="bottom"/>
          </w:tcPr>
          <w:p>
            <w:pPr>
              <w:spacing w:after="0"/>
              <w:rPr>
                <w:sz w:val="12"/>
                <w:szCs w:val="12"/>
                <w:color w:val="auto"/>
              </w:rPr>
            </w:pPr>
          </w:p>
        </w:tc>
        <w:tc>
          <w:tcPr>
            <w:tcW w:w="22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2,267.0</w:t>
            </w:r>
          </w:p>
        </w:tc>
        <w:tc>
          <w:tcPr>
            <w:tcW w:w="8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(3,335.7)</w:t>
            </w:r>
          </w:p>
        </w:tc>
        <w:tc>
          <w:tcPr>
            <w:tcW w:w="80" w:type="dxa"/>
            <w:vAlign w:val="bottom"/>
          </w:tcPr>
          <w:p>
            <w:pPr>
              <w:spacing w:after="0"/>
              <w:rPr>
                <w:sz w:val="12"/>
                <w:szCs w:val="12"/>
                <w:color w:val="auto"/>
              </w:rPr>
            </w:pPr>
          </w:p>
        </w:tc>
        <w:tc>
          <w:tcPr>
            <w:tcW w:w="3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20"/>
        <w:spacing w:after="0"/>
        <w:tabs>
          <w:tab w:leader="none" w:pos="740" w:val="left"/>
          <w:tab w:leader="none" w:pos="1240" w:val="left"/>
          <w:tab w:leader="none" w:pos="1600" w:val="left"/>
          <w:tab w:leader="none" w:pos="1920" w:val="left"/>
          <w:tab w:leader="none" w:pos="2120" w:val="left"/>
          <w:tab w:leader="none" w:pos="2740" w:val="left"/>
          <w:tab w:leader="none" w:pos="3060" w:val="left"/>
          <w:tab w:leader="none" w:pos="3760" w:val="left"/>
          <w:tab w:leader="none" w:pos="4380" w:val="left"/>
          <w:tab w:leader="none" w:pos="4880" w:val="left"/>
          <w:tab w:leader="none" w:pos="5300" w:val="left"/>
        </w:tabs>
        <w:rPr>
          <w:sz w:val="20"/>
          <w:szCs w:val="20"/>
          <w:color w:val="auto"/>
        </w:rPr>
      </w:pPr>
      <w:r>
        <w:rPr>
          <w:rFonts w:ascii="Times New Roman" w:cs="Times New Roman" w:eastAsia="Times New Roman" w:hAnsi="Times New Roman"/>
          <w:sz w:val="16"/>
          <w:szCs w:val="16"/>
          <w:color w:val="auto"/>
        </w:rPr>
        <w:t>(752.4)</w:t>
        <w:tab/>
        <w:t>336.7</w:t>
        <w:tab/>
        <w:t>$</w:t>
      </w:r>
      <w:r>
        <w:rPr>
          <w:sz w:val="20"/>
          <w:szCs w:val="20"/>
          <w:color w:val="auto"/>
        </w:rPr>
        <w:tab/>
      </w:r>
      <w:r>
        <w:rPr>
          <w:rFonts w:ascii="Times New Roman" w:cs="Times New Roman" w:eastAsia="Times New Roman" w:hAnsi="Times New Roman"/>
          <w:sz w:val="16"/>
          <w:szCs w:val="16"/>
          <w:color w:val="auto"/>
        </w:rPr>
        <w:t>—</w:t>
        <w:tab/>
        <w:t>$</w:t>
        <w:tab/>
        <w:t>2,598.0</w:t>
        <w:tab/>
        <w:t>$</w:t>
        <w:tab/>
        <w:t>(2,742.3)</w:t>
        <w:tab/>
        <w:t>$</w:t>
      </w:r>
      <w:r>
        <w:rPr>
          <w:sz w:val="20"/>
          <w:szCs w:val="20"/>
          <w:color w:val="auto"/>
        </w:rPr>
        <w:tab/>
      </w:r>
      <w:r>
        <w:rPr>
          <w:rFonts w:ascii="Times New Roman" w:cs="Times New Roman" w:eastAsia="Times New Roman" w:hAnsi="Times New Roman"/>
          <w:sz w:val="16"/>
          <w:szCs w:val="16"/>
          <w:color w:val="auto"/>
        </w:rPr>
        <w:t>(21.5)</w:t>
        <w:tab/>
        <w:t>$</w:t>
      </w:r>
      <w:r>
        <w:rPr>
          <w:sz w:val="20"/>
          <w:szCs w:val="20"/>
          <w:color w:val="auto"/>
        </w:rPr>
        <w:tab/>
      </w:r>
      <w:r>
        <w:rPr>
          <w:rFonts w:ascii="Times New Roman" w:cs="Times New Roman" w:eastAsia="Times New Roman" w:hAnsi="Times New Roman"/>
          <w:sz w:val="15"/>
          <w:szCs w:val="15"/>
          <w:color w:val="auto"/>
        </w:rPr>
        <w:t>(165.8)</w:t>
      </w:r>
    </w:p>
    <w:p>
      <w:pPr>
        <w:spacing w:after="0" w:line="200" w:lineRule="exact"/>
        <w:rPr>
          <w:sz w:val="20"/>
          <w:szCs w:val="20"/>
          <w:color w:val="auto"/>
        </w:rPr>
      </w:pPr>
    </w:p>
    <w:p>
      <w:pPr>
        <w:spacing w:after="0" w:line="296" w:lineRule="exact"/>
        <w:rPr>
          <w:sz w:val="20"/>
          <w:szCs w:val="20"/>
          <w:color w:val="auto"/>
        </w:rPr>
      </w:pPr>
    </w:p>
    <w:p>
      <w:pPr>
        <w:ind w:left="380"/>
        <w:spacing w:after="0"/>
        <w:tabs>
          <w:tab w:leader="none" w:pos="880" w:val="left"/>
          <w:tab w:leader="none" w:pos="1600" w:val="left"/>
          <w:tab w:leader="none" w:pos="2420" w:val="left"/>
          <w:tab w:leader="none" w:pos="3440" w:val="left"/>
          <w:tab w:leader="none" w:pos="4560" w:val="left"/>
          <w:tab w:leader="none" w:pos="55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3.4</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16510</wp:posOffset>
            </wp:positionV>
            <wp:extent cx="7197725" cy="829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725" cy="82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523"/>
        </w:trPr>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(504.0)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w:t>
            </w:r>
          </w:p>
        </w:tc>
      </w:tr>
      <w:tr>
        <w:trPr>
          <w:trHeight w:val="523"/>
        </w:trPr>
        <w:tc>
          <w:tcPr>
            <w:tcW w:w="6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66"/>
        </w:trPr>
        <w:tc>
          <w:tcPr>
            <w:tcW w:w="6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67.1</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523"/>
        </w:trPr>
        <w:tc>
          <w:tcPr>
            <w:tcW w:w="6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3.1</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6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150.3</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r>
      <w:tr>
        <w:trPr>
          <w:trHeight w:val="320"/>
        </w:trPr>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1"/>
              </w:rPr>
              <w:t>(1,075.7)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8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  2,554.8</w:t>
            </w:r>
          </w:p>
        </w:tc>
        <w:tc>
          <w:tcPr>
            <w:tcW w:w="6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(2,811.6)</w:t>
            </w:r>
          </w:p>
        </w:tc>
        <w:tc>
          <w:tcPr>
            <w:tcW w:w="80" w:type="dxa"/>
            <w:vAlign w:val="bottom"/>
          </w:tcPr>
          <w:p>
            <w:pPr>
              <w:spacing w:after="0"/>
              <w:rPr>
                <w:sz w:val="24"/>
                <w:szCs w:val="24"/>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r>
      <w:tr>
        <w:trPr>
          <w:trHeight w:val="22"/>
        </w:trPr>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-1277620</wp:posOffset>
            </wp:positionV>
            <wp:extent cx="7197725" cy="332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725" cy="33210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-713105</wp:posOffset>
            </wp:positionV>
            <wp:extent cx="7197725" cy="332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725" cy="33210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-248285</wp:posOffset>
            </wp:positionV>
            <wp:extent cx="719772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725"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240"/>
            <w:col w:w="5800"/>
          </w:cols>
          <w:pgMar w:left="320" w:top="1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30"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on equity investments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 and loan commitment fees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against term loan facility</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19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1,360.5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0" w:type="dxa"/>
            <w:vAlign w:val="bottom"/>
          </w:tcPr>
          <w:p>
            <w:pPr>
              <w:spacing w:after="0"/>
              <w:rPr>
                <w:sz w:val="1"/>
                <w:szCs w:val="1"/>
                <w:color w:val="auto"/>
              </w:rPr>
            </w:pPr>
          </w:p>
        </w:tc>
      </w:tr>
      <w:tr>
        <w:trPr>
          <w:trHeight w:val="22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end of period</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Reconciliation of cash, cash equivalents, and restricted cash to amounts on condensed consolidated balance sheets - end</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 current, included in prepaid expenses and other current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cash, non-current, included in other assets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tcBorders>
              <w:bottom w:val="single" w:sz="8" w:color="CCEEFF"/>
            </w:tcBorders>
            <w:vMerge w:val="continue"/>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the Business and Summary of Significant Accounting Policies</w:t>
      </w: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w:t>
      </w:r>
    </w:p>
    <w:p>
      <w:pPr>
        <w:spacing w:after="0" w:line="122"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Dropbox, Inc. (the “Company” or “Dropbox”) helps keep life organized and work moving. The Company was incorporated in May 2007 as Evenflow, Inc., a Delaware corporation, and changed its name to Dropbox, Inc. in October 2009. In March 2025, the Company reincorporated in the state of Nevada. The Company is headquartered in San Francisco, California.</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122"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95"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The condensed consolidated balance sheet as of December 31, 2024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2025 or any future period.</w:t>
      </w:r>
    </w:p>
    <w:p>
      <w:pPr>
        <w:spacing w:after="0" w:line="195"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The unaudited condensed consolidated financial statements should be read in conjunction with the audited consolidated financial statements and the related notes thereto as of and for the year ended December 31, 2024, included in the Company's Annual Report on Form 10-K on file with the SEC ("Annual Report").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2"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95"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The Company’s most significant estimates and judgments are related to the valuation of right-of-use and other lease related property and equipment assets as well as income taxes.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Financial information about segments and geographic areas</w:t>
      </w:r>
    </w:p>
    <w:p>
      <w:pPr>
        <w:spacing w:after="0" w:line="122" w:lineRule="exact"/>
        <w:rPr>
          <w:sz w:val="20"/>
          <w:szCs w:val="20"/>
          <w:color w:val="auto"/>
        </w:rPr>
      </w:pPr>
    </w:p>
    <w:p>
      <w:pPr>
        <w:ind w:right="380" w:firstLine="431"/>
        <w:spacing w:after="0" w:line="295" w:lineRule="auto"/>
        <w:rPr>
          <w:sz w:val="20"/>
          <w:szCs w:val="20"/>
          <w:color w:val="auto"/>
        </w:rPr>
      </w:pPr>
      <w:r>
        <w:rPr>
          <w:rFonts w:ascii="Times New Roman" w:cs="Times New Roman" w:eastAsia="Times New Roman" w:hAnsi="Times New Roman"/>
          <w:sz w:val="17"/>
          <w:szCs w:val="17"/>
          <w:color w:val="auto"/>
        </w:rPr>
        <w:t>The Company manages its operations and allocates resources as a single operating segment. Further, the Company manages, monitors, and reports its financial information as a single reportable segment. See Note 14 "Segment Information and Geographic Areas" for additional information.</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transactions</w:t>
      </w:r>
    </w:p>
    <w:p>
      <w:pPr>
        <w:spacing w:after="0" w:line="122"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spacing w:after="0" w:line="188" w:lineRule="exact"/>
        <w:rPr>
          <w:sz w:val="20"/>
          <w:szCs w:val="20"/>
          <w:color w:val="auto"/>
        </w:rPr>
      </w:pPr>
    </w:p>
    <w:p>
      <w:pPr>
        <w:jc w:val="both"/>
        <w:ind w:right="160" w:firstLine="392"/>
        <w:spacing w:after="0" w:line="269" w:lineRule="auto"/>
        <w:rPr>
          <w:sz w:val="20"/>
          <w:szCs w:val="20"/>
          <w:color w:val="auto"/>
        </w:rPr>
      </w:pPr>
      <w:r>
        <w:rPr>
          <w:rFonts w:ascii="Times New Roman" w:cs="Times New Roman" w:eastAsia="Times New Roman" w:hAnsi="Times New Roman"/>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Foreign currency transaction gains or losses were immaterial during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2" w:lineRule="exact"/>
        <w:rPr>
          <w:sz w:val="20"/>
          <w:szCs w:val="20"/>
          <w:color w:val="auto"/>
        </w:rPr>
      </w:pPr>
    </w:p>
    <w:p>
      <w:pPr>
        <w:jc w:val="both"/>
        <w:ind w:right="300" w:firstLine="392"/>
        <w:spacing w:after="0" w:line="276" w:lineRule="auto"/>
        <w:rPr>
          <w:sz w:val="20"/>
          <w:szCs w:val="20"/>
          <w:color w:val="auto"/>
        </w:rPr>
      </w:pPr>
      <w:r>
        <w:rPr>
          <w:rFonts w:ascii="Times New Roman" w:cs="Times New Roman" w:eastAsia="Times New Roman" w:hAnsi="Times New Roman"/>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57" w:lineRule="exact"/>
        <w:rPr>
          <w:sz w:val="20"/>
          <w:szCs w:val="20"/>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49"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w:t>
      </w:r>
    </w:p>
    <w:p>
      <w:pPr>
        <w:spacing w:after="0" w:line="197"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spacing w:after="0" w:line="188" w:lineRule="exact"/>
        <w:rPr>
          <w:sz w:val="20"/>
          <w:szCs w:val="20"/>
          <w:color w:val="auto"/>
        </w:rPr>
      </w:pPr>
    </w:p>
    <w:p>
      <w:pPr>
        <w:ind w:right="520" w:firstLine="392"/>
        <w:spacing w:after="0" w:line="295" w:lineRule="auto"/>
        <w:rPr>
          <w:sz w:val="20"/>
          <w:szCs w:val="20"/>
          <w:color w:val="auto"/>
        </w:rPr>
      </w:pPr>
      <w:r>
        <w:rPr>
          <w:rFonts w:ascii="Times New Roman" w:cs="Times New Roman" w:eastAsia="Times New Roman" w:hAnsi="Times New Roman"/>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3" w:lineRule="exact"/>
        <w:rPr>
          <w:sz w:val="20"/>
          <w:szCs w:val="20"/>
          <w:color w:val="auto"/>
        </w:rPr>
      </w:pPr>
    </w:p>
    <w:p>
      <w:pPr>
        <w:jc w:val="both"/>
        <w:ind w:right="160" w:firstLine="392"/>
        <w:spacing w:after="0" w:line="276" w:lineRule="auto"/>
        <w:rPr>
          <w:sz w:val="20"/>
          <w:szCs w:val="20"/>
          <w:color w:val="auto"/>
        </w:rPr>
      </w:pPr>
      <w:r>
        <w:rPr>
          <w:rFonts w:ascii="Times New Roman" w:cs="Times New Roman" w:eastAsia="Times New Roman" w:hAnsi="Times New Roman"/>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8"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The Company recognized $344.6 million and $346.5 million of revenue during the three months ended March 31, 2025 and 2024, respectively, that was included in the deferred revenue balances at the beginning of their respective periods.</w:t>
      </w:r>
    </w:p>
    <w:p>
      <w:pPr>
        <w:spacing w:after="0" w:line="173"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As of March 31, 2025, future estimated revenue related to performance obligations that were unsatisfied or partially unsatisfied was $813.2 million. The substantial majority of the unsatisfied performance obligations will be satisfied over the next twelve months.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2"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awards to its employees, with the exception of awards granted to its co-founder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spacing w:after="0" w:line="200"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80" w:firstLine="392"/>
        <w:spacing w:after="0" w:line="263" w:lineRule="auto"/>
        <w:rPr>
          <w:sz w:val="20"/>
          <w:szCs w:val="20"/>
          <w:color w:val="auto"/>
        </w:rPr>
      </w:pPr>
      <w:r>
        <w:rPr>
          <w:rFonts w:ascii="Times New Roman" w:cs="Times New Roman" w:eastAsia="Times New Roman" w:hAnsi="Times New Roman"/>
          <w:sz w:val="17"/>
          <w:szCs w:val="17"/>
          <w:color w:val="auto"/>
        </w:rPr>
        <w:t>In December 2017, the Board of Directors approved a Co-Founder Grant of 10.3 million shares of Class A Common Stock in the form of restricted stock awards (“RSAs”) to Drew Houston, the Company's co-founder and Chief Executive Officer (the “Co-Founder Grant”). The grant is subject to service-based, market-based, and performance-based vesting conditions and is excluded from issued and outstanding Class A Common Stock until vesting. The Company estimated the grant date fair value using a Monte Carlo simulation model that incorporated the probability of not meeting stock price targets. The first tranche vested in the fourth quarter of 2021. Stock-based compensation expense for the Co-Founder Grant was recognized using the accelerated attribution method over the derived service period and will not be reversed if market conditions are unmet. As of December 31, 2024, the Company had fully recognized all related stock-based compensation expense. See Note 11, "Stockholders' Deficit," for additional information.</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2"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Reduction in Workforce</w:t>
      </w:r>
    </w:p>
    <w:p>
      <w:pPr>
        <w:spacing w:after="0" w:line="174"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In October 2024, the Company announced a global workforce reduction of approximately 20% to streamline its team structure and better align with long-term growth and profitability objectives. The Company estimates that it will make total related cash expenditures of approximately $65 million, which included the pro rata fiscal year 2024 annual employee bonus through October 30, 2024. As of March 31, 2025, the Company has paid $62.2 million in associated cash expenditures, the majority of which were paid in the fourth quarter of 2024 with $10.2 million paid during the three months ended March 31, 2025. The Company expects to recognize approximately $51 million in incremental expenses, primarily consisting of severance, employee benefits, and related costs. As of March 31, 2025, $49.5 million of these expenses have been recognized, with the majority incurred in the fourth quarter of 2024 and $2.3 million recognized during the three months ended March 31, 2025.</w:t>
      </w:r>
    </w:p>
    <w:p>
      <w:pPr>
        <w:spacing w:after="0" w:line="304"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These severance and related charges are included within the Company's consolidated statement of operations for the three months ended March 31, 2025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2"/>
        </w:trPr>
        <w:tc>
          <w:tcPr>
            <w:tcW w:w="9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2"/>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0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2"/>
        </w:trPr>
        <w:tc>
          <w:tcPr>
            <w:tcW w:w="9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4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Charges</w:t>
            </w: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the three months ended March 31, 2025, changes in liabilities resulting from the severance charges and related costs were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Severance and Related</w:t>
            </w:r>
          </w:p>
        </w:tc>
      </w:tr>
      <w:tr>
        <w:trPr>
          <w:trHeight w:val="232"/>
        </w:trPr>
        <w:tc>
          <w:tcPr>
            <w:tcW w:w="9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Costs</w:t>
            </w:r>
          </w:p>
        </w:tc>
      </w:tr>
      <w:tr>
        <w:trPr>
          <w:trHeight w:val="218"/>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7"/>
                <w:szCs w:val="17"/>
                <w:color w:val="auto"/>
              </w:rPr>
              <w:t>7.3</w:t>
            </w:r>
          </w:p>
        </w:tc>
      </w:tr>
      <w:tr>
        <w:trPr>
          <w:trHeight w:val="222"/>
        </w:trPr>
        <w:tc>
          <w:tcPr>
            <w:tcW w:w="9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Charges</w:t>
            </w:r>
          </w:p>
        </w:tc>
        <w:tc>
          <w:tcPr>
            <w:tcW w:w="180" w:type="dxa"/>
            <w:vAlign w:val="bottom"/>
          </w:tcPr>
          <w:p>
            <w:pPr>
              <w:spacing w:after="0"/>
              <w:rPr>
                <w:sz w:val="19"/>
                <w:szCs w:val="19"/>
                <w:color w:val="auto"/>
              </w:rPr>
            </w:pPr>
          </w:p>
        </w:tc>
        <w:tc>
          <w:tcPr>
            <w:tcW w:w="1980" w:type="dxa"/>
            <w:vAlign w:val="bottom"/>
          </w:tcPr>
          <w:p>
            <w:pPr>
              <w:jc w:val="center"/>
              <w:ind w:left="1553"/>
              <w:spacing w:after="0"/>
              <w:rPr>
                <w:sz w:val="20"/>
                <w:szCs w:val="20"/>
                <w:color w:val="auto"/>
              </w:rPr>
            </w:pPr>
            <w:r>
              <w:rPr>
                <w:rFonts w:ascii="Times New Roman" w:cs="Times New Roman" w:eastAsia="Times New Roman" w:hAnsi="Times New Roman"/>
                <w:sz w:val="17"/>
                <w:szCs w:val="17"/>
                <w:color w:val="auto"/>
              </w:rPr>
              <w:t>2.3</w:t>
            </w:r>
          </w:p>
        </w:tc>
      </w:tr>
      <w:tr>
        <w:trPr>
          <w:trHeight w:val="222"/>
        </w:trPr>
        <w:tc>
          <w:tcPr>
            <w:tcW w:w="908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Cash payments</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3"/>
              <w:spacing w:after="0"/>
              <w:rPr>
                <w:sz w:val="20"/>
                <w:szCs w:val="20"/>
                <w:color w:val="auto"/>
              </w:rPr>
            </w:pPr>
            <w:r>
              <w:rPr>
                <w:rFonts w:ascii="Times New Roman" w:cs="Times New Roman" w:eastAsia="Times New Roman" w:hAnsi="Times New Roman"/>
                <w:sz w:val="17"/>
                <w:szCs w:val="17"/>
                <w:color w:val="auto"/>
              </w:rPr>
              <w:t>(8.4)</w:t>
            </w:r>
          </w:p>
        </w:tc>
      </w:tr>
      <w:tr>
        <w:trPr>
          <w:trHeight w:val="215"/>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March 31,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auto"/>
            </w:tcBorders>
          </w:tcPr>
          <w:p>
            <w:pPr>
              <w:jc w:val="center"/>
              <w:ind w:left="1553"/>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140" w:hanging="135"/>
        <w:spacing w:after="0"/>
        <w:tabs>
          <w:tab w:leader="none" w:pos="14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three months ended March 31, 2025, total cash payments were $10.2 million when including the pro rata amount of the fiscal year 2024 annual employee bonus.</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22" w:lineRule="exact"/>
        <w:rPr>
          <w:sz w:val="20"/>
          <w:szCs w:val="20"/>
          <w:color w:val="auto"/>
        </w:rPr>
      </w:pPr>
    </w:p>
    <w:p>
      <w:pPr>
        <w:ind w:right="180" w:firstLine="431"/>
        <w:spacing w:after="0" w:line="276" w:lineRule="auto"/>
        <w:rPr>
          <w:sz w:val="20"/>
          <w:szCs w:val="20"/>
          <w:color w:val="auto"/>
        </w:rPr>
      </w:pPr>
      <w:r>
        <w:rPr>
          <w:rFonts w:ascii="Times New Roman" w:cs="Times New Roman" w:eastAsia="Times New Roman" w:hAnsi="Times New Roman"/>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8" w:lineRule="exact"/>
        <w:rPr>
          <w:sz w:val="20"/>
          <w:szCs w:val="20"/>
          <w:color w:val="auto"/>
        </w:rPr>
      </w:pPr>
    </w:p>
    <w:p>
      <w:pPr>
        <w:ind w:right="260" w:firstLine="431"/>
        <w:spacing w:after="0" w:line="295" w:lineRule="auto"/>
        <w:rPr>
          <w:sz w:val="20"/>
          <w:szCs w:val="20"/>
          <w:color w:val="auto"/>
        </w:rPr>
      </w:pPr>
      <w:r>
        <w:rPr>
          <w:rFonts w:ascii="Times New Roman" w:cs="Times New Roman" w:eastAsia="Times New Roman" w:hAnsi="Times New Roman"/>
          <w:sz w:val="17"/>
          <w:szCs w:val="17"/>
          <w:color w:val="auto"/>
        </w:rPr>
        <w:t>Restricted cash relates to cash collateral used to secure outstanding letters of credit primarily for the Company’s office lease agreements. The Company had restricted cash of $32.7 million and $32.2 million as of March 31, 2025 and December 31, 2024, respectively.</w:t>
      </w:r>
    </w:p>
    <w:p>
      <w:pPr>
        <w:spacing w:after="0" w:line="173" w:lineRule="exact"/>
        <w:rPr>
          <w:sz w:val="20"/>
          <w:szCs w:val="20"/>
          <w:color w:val="auto"/>
        </w:rPr>
      </w:pPr>
    </w:p>
    <w:p>
      <w:pPr>
        <w:ind w:right="80" w:firstLine="431"/>
        <w:spacing w:after="0" w:line="295" w:lineRule="auto"/>
        <w:rPr>
          <w:sz w:val="20"/>
          <w:szCs w:val="20"/>
          <w:color w:val="auto"/>
        </w:rPr>
      </w:pPr>
      <w:r>
        <w:rPr>
          <w:rFonts w:ascii="Times New Roman" w:cs="Times New Roman" w:eastAsia="Times New Roman" w:hAnsi="Times New Roman"/>
          <w:sz w:val="17"/>
          <w:szCs w:val="17"/>
          <w:color w:val="auto"/>
        </w:rPr>
        <w:t>The Company monitors its credit risk by considering factors such as historical experience, credit ratings, current economic conditions, and reasonable and supportable forecasts.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122"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0"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(loss),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months ended March 31, 2025 and 2024. As of March 31, 2025 and December 31, 2024, no allowance for credit losses in short-term investments was recorded.</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22"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spacing w:after="0" w:line="195"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Trade accounts receivable are typically unsecured and are derived from revenue earned from customers located around the world. Two distribution partners accounted for 10% and 48% of total trade and other receivables, net as of March 31, 2025. Two distribution partners accounted for 11% and 48% of total trade and other receivables, net as of December 31, 2024. No customer accounted for more than 10% of the Company’s revenue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431"/>
        <w:spacing w:after="0" w:line="269" w:lineRule="auto"/>
        <w:rPr>
          <w:sz w:val="20"/>
          <w:szCs w:val="20"/>
          <w:color w:val="auto"/>
        </w:rPr>
      </w:pPr>
      <w:r>
        <w:rPr>
          <w:rFonts w:ascii="Times New Roman" w:cs="Times New Roman" w:eastAsia="Times New Roman" w:hAnsi="Times New Roman"/>
          <w:sz w:val="17"/>
          <w:szCs w:val="17"/>
          <w:color w:val="auto"/>
        </w:rPr>
        <w:t>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Deferred commissions, net</w:t>
      </w:r>
    </w:p>
    <w:p>
      <w:pPr>
        <w:spacing w:after="0" w:line="122"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$5.0 million and $7.6 million during the three months ended March 31, 2025 and 2024, respectively.</w:t>
      </w:r>
    </w:p>
    <w:p>
      <w:pPr>
        <w:spacing w:after="0" w:line="197" w:lineRule="exact"/>
        <w:rPr>
          <w:sz w:val="20"/>
          <w:szCs w:val="20"/>
          <w:color w:val="auto"/>
        </w:rPr>
      </w:pPr>
    </w:p>
    <w:p>
      <w:pPr>
        <w:jc w:val="both"/>
        <w:ind w:right="420" w:firstLine="392"/>
        <w:spacing w:after="0" w:line="276" w:lineRule="auto"/>
        <w:rPr>
          <w:sz w:val="20"/>
          <w:szCs w:val="20"/>
          <w:color w:val="auto"/>
        </w:rPr>
      </w:pPr>
      <w:r>
        <w:rPr>
          <w:rFonts w:ascii="Times New Roman" w:cs="Times New Roman" w:eastAsia="Times New Roman" w:hAnsi="Times New Roman"/>
          <w:sz w:val="17"/>
          <w:szCs w:val="17"/>
          <w:color w:val="auto"/>
        </w:rPr>
        <w:t>Deferred commissions, net included in prepaid and other current assets were $19.8 million and $21.3 million as of March 31, 2025 and December 31, 2024, respectively. Deferred commissions, net included in other assets were $21.2 million and $21.9 million as of March 31, 2025 and December 31, 2024, respectively.</w:t>
      </w:r>
    </w:p>
    <w:p>
      <w:pPr>
        <w:spacing w:after="0" w:line="188" w:lineRule="exact"/>
        <w:rPr>
          <w:sz w:val="20"/>
          <w:szCs w:val="20"/>
          <w:color w:val="auto"/>
        </w:rPr>
      </w:pPr>
    </w:p>
    <w:p>
      <w:pPr>
        <w:ind w:right="40" w:firstLine="392"/>
        <w:spacing w:after="0" w:line="265" w:lineRule="auto"/>
        <w:rPr>
          <w:sz w:val="20"/>
          <w:szCs w:val="20"/>
          <w:color w:val="auto"/>
        </w:rPr>
      </w:pPr>
      <w:r>
        <w:rPr>
          <w:rFonts w:ascii="Times New Roman" w:cs="Times New Roman" w:eastAsia="Times New Roman" w:hAnsi="Times New Roman"/>
          <w:sz w:val="17"/>
          <w:szCs w:val="17"/>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$7.2 million and $7.5 million for the three months ended March 31, 2025 and 2024, respectively. Amortization of deferred commissions costs are included in sales and marketing expense in the accompanying condensed consolidated statements of operations. There was no impairment loss in relation to the deferred costs for any period presented.</w:t>
      </w:r>
    </w:p>
    <w:p>
      <w:pPr>
        <w:spacing w:after="0" w:line="200" w:lineRule="exact"/>
        <w:rPr>
          <w:sz w:val="20"/>
          <w:szCs w:val="20"/>
          <w:color w:val="auto"/>
        </w:rPr>
      </w:pP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2"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The following table presents the estimated useful lives of property and equipment:</w:t>
            </w:r>
          </w:p>
        </w:tc>
        <w:tc>
          <w:tcPr>
            <w:tcW w:w="4900" w:type="dxa"/>
            <w:vAlign w:val="bottom"/>
          </w:tcPr>
          <w:p>
            <w:pPr>
              <w:spacing w:after="0"/>
              <w:rPr>
                <w:sz w:val="19"/>
                <w:szCs w:val="19"/>
                <w:color w:val="auto"/>
              </w:rPr>
            </w:pPr>
          </w:p>
        </w:tc>
      </w:tr>
      <w:tr>
        <w:trPr>
          <w:trHeight w:val="484"/>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215"/>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3 to 5 years</w:t>
            </w:r>
          </w:p>
        </w:tc>
      </w:tr>
      <w:tr>
        <w:trPr>
          <w:trHeight w:val="222"/>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Office equipment and other</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color w:val="auto"/>
              </w:rPr>
              <w:t>3 to 7 years</w:t>
            </w:r>
          </w:p>
        </w:tc>
      </w:tr>
      <w:tr>
        <w:trPr>
          <w:trHeight w:val="222"/>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4900" w:type="dxa"/>
            <w:vAlign w:val="bottom"/>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Lesser of estimated useful life or remaining lease term</w:t>
            </w:r>
          </w:p>
        </w:tc>
      </w:tr>
    </w:tbl>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Lease obligations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leases office space, datacenters, and equipment under non-cancelable finance and operating leases with various expiration dates through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2036. The Company determines if an arrangement contains a lease at inception.</w:t>
      </w:r>
    </w:p>
    <w:p>
      <w:pPr>
        <w:spacing w:after="0" w:line="231"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95"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 non-cancelable, lease term when recognizing the lease assets and liabilities, unless it is reasonably certain that the option will be exercised.</w:t>
      </w:r>
    </w:p>
    <w:p>
      <w:pPr>
        <w:spacing w:after="0" w:line="249" w:lineRule="exact"/>
        <w:rPr>
          <w:sz w:val="20"/>
          <w:szCs w:val="20"/>
          <w:color w:val="auto"/>
        </w:rPr>
      </w:pPr>
    </w:p>
    <w:p>
      <w:pPr>
        <w:ind w:right="300" w:firstLine="431"/>
        <w:spacing w:after="0" w:line="295" w:lineRule="auto"/>
        <w:rPr>
          <w:sz w:val="20"/>
          <w:szCs w:val="20"/>
          <w:color w:val="auto"/>
        </w:rPr>
      </w:pPr>
      <w:r>
        <w:rPr>
          <w:rFonts w:ascii="Times New Roman" w:cs="Times New Roman" w:eastAsia="Times New Roman" w:hAnsi="Times New Roman"/>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73" w:lineRule="exact"/>
        <w:rPr>
          <w:sz w:val="20"/>
          <w:szCs w:val="20"/>
          <w:color w:val="auto"/>
        </w:rPr>
      </w:pPr>
    </w:p>
    <w:p>
      <w:pPr>
        <w:jc w:val="both"/>
        <w:ind w:right="160" w:firstLine="431"/>
        <w:spacing w:after="0" w:line="276" w:lineRule="auto"/>
        <w:rPr>
          <w:sz w:val="20"/>
          <w:szCs w:val="20"/>
          <w:color w:val="auto"/>
        </w:rPr>
      </w:pPr>
      <w:r>
        <w:rPr>
          <w:rFonts w:ascii="Times New Roman" w:cs="Times New Roman" w:eastAsia="Times New Roman" w:hAnsi="Times New Roman"/>
          <w:sz w:val="17"/>
          <w:szCs w:val="17"/>
          <w:color w:val="auto"/>
        </w:rPr>
        <w:t>As part of the Company's Virtual First strategy, Dropbox has retained a portion of its office space for in-person collaboration while the remainder will be subleased. During the three months ended March 31, 2025 and 2024, the Company did not recognize any impairment charge related to right-of-use assets and other lease related property and equipment assets. See Note 8 "Leases" for additional information.</w:t>
      </w:r>
    </w:p>
    <w:p>
      <w:pPr>
        <w:spacing w:after="0" w:line="188" w:lineRule="exact"/>
        <w:rPr>
          <w:sz w:val="20"/>
          <w:szCs w:val="20"/>
          <w:color w:val="auto"/>
        </w:rPr>
      </w:pPr>
    </w:p>
    <w:p>
      <w:pPr>
        <w:ind w:right="100" w:firstLine="431"/>
        <w:spacing w:after="0" w:line="266" w:lineRule="auto"/>
        <w:rPr>
          <w:sz w:val="20"/>
          <w:szCs w:val="20"/>
          <w:color w:val="auto"/>
        </w:rPr>
      </w:pPr>
      <w:r>
        <w:rPr>
          <w:rFonts w:ascii="Times New Roman" w:cs="Times New Roman" w:eastAsia="Times New Roman" w:hAnsi="Times New Roman"/>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pacing w:after="0" w:line="197" w:lineRule="exact"/>
        <w:rPr>
          <w:sz w:val="20"/>
          <w:szCs w:val="20"/>
          <w:color w:val="auto"/>
        </w:rPr>
      </w:pPr>
    </w:p>
    <w:p>
      <w:pPr>
        <w:ind w:right="220" w:firstLine="431"/>
        <w:spacing w:after="0" w:line="276" w:lineRule="auto"/>
        <w:rPr>
          <w:sz w:val="20"/>
          <w:szCs w:val="20"/>
          <w:color w:val="auto"/>
        </w:rPr>
      </w:pPr>
      <w:r>
        <w:rPr>
          <w:rFonts w:ascii="Times New Roman" w:cs="Times New Roman" w:eastAsia="Times New Roman" w:hAnsi="Times New Roman"/>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2"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 including goodwill and other acquired intangible assets, net</w:t>
      </w:r>
    </w:p>
    <w:p>
      <w:pPr>
        <w:spacing w:after="0" w:line="122"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97"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3" w:lineRule="exact"/>
        <w:rPr>
          <w:sz w:val="20"/>
          <w:szCs w:val="20"/>
          <w:color w:val="auto"/>
        </w:rPr>
      </w:pPr>
    </w:p>
    <w:p>
      <w:pPr>
        <w:ind w:right="280" w:firstLine="392"/>
        <w:spacing w:after="0" w:line="295" w:lineRule="auto"/>
        <w:rPr>
          <w:sz w:val="20"/>
          <w:szCs w:val="20"/>
          <w:color w:val="auto"/>
        </w:rPr>
      </w:pPr>
      <w:r>
        <w:rPr>
          <w:rFonts w:ascii="Times New Roman" w:cs="Times New Roman" w:eastAsia="Times New Roman" w:hAnsi="Times New Roman"/>
          <w:sz w:val="17"/>
          <w:szCs w:val="17"/>
          <w:color w:val="auto"/>
        </w:rPr>
        <w:t>The Company has not recorded impairment charges on goodwill or intangible assets for the periods presented in these condensed consolidated financial statements.</w:t>
      </w:r>
    </w:p>
    <w:p>
      <w:pPr>
        <w:spacing w:after="0" w:line="173"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2025 and 2024, respectively, the Company did not recognize any impairment charge related to right-of-use assets and other lease related property and equipment assets.</w:t>
      </w:r>
    </w:p>
    <w:p>
      <w:pPr>
        <w:spacing w:after="0" w:line="173" w:lineRule="exact"/>
        <w:rPr>
          <w:sz w:val="20"/>
          <w:szCs w:val="20"/>
          <w:color w:val="auto"/>
        </w:rPr>
      </w:pPr>
    </w:p>
    <w:p>
      <w:pPr>
        <w:ind w:right="100" w:firstLine="431"/>
        <w:spacing w:after="0" w:line="269" w:lineRule="auto"/>
        <w:rPr>
          <w:sz w:val="20"/>
          <w:szCs w:val="20"/>
          <w:color w:val="auto"/>
        </w:rPr>
      </w:pPr>
      <w:r>
        <w:rPr>
          <w:rFonts w:ascii="Times New Roman" w:cs="Times New Roman" w:eastAsia="Times New Roman" w:hAnsi="Times New Roman"/>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2"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8"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95" w:lineRule="exact"/>
        <w:rPr>
          <w:sz w:val="20"/>
          <w:szCs w:val="20"/>
          <w:color w:val="auto"/>
        </w:rPr>
      </w:pPr>
    </w:p>
    <w:p>
      <w:pPr>
        <w:ind w:right="340" w:firstLine="392"/>
        <w:spacing w:after="0" w:line="269" w:lineRule="auto"/>
        <w:rPr>
          <w:sz w:val="20"/>
          <w:szCs w:val="20"/>
          <w:color w:val="auto"/>
        </w:rPr>
      </w:pPr>
      <w:r>
        <w:rPr>
          <w:rFonts w:ascii="Times New Roman" w:cs="Times New Roman" w:eastAsia="Times New Roman" w:hAnsi="Times New Roman"/>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95"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73" w:lineRule="exact"/>
        <w:rPr>
          <w:sz w:val="20"/>
          <w:szCs w:val="20"/>
          <w:color w:val="auto"/>
        </w:rPr>
      </w:pPr>
    </w:p>
    <w:p>
      <w:pPr>
        <w:ind w:right="20" w:firstLine="392"/>
        <w:spacing w:after="0" w:line="295" w:lineRule="auto"/>
        <w:rPr>
          <w:sz w:val="20"/>
          <w:szCs w:val="20"/>
          <w:color w:val="auto"/>
        </w:rPr>
      </w:pPr>
      <w:r>
        <w:rPr>
          <w:rFonts w:ascii="Times New Roman" w:cs="Times New Roman" w:eastAsia="Times New Roman" w:hAnsi="Times New Roman"/>
          <w:sz w:val="17"/>
          <w:szCs w:val="17"/>
          <w:color w:val="auto"/>
        </w:rPr>
        <w:t>The Tax Cuts and Jobs Act of 2017 ("TCJA") subjects a U.S. shareholder to current tax on global intangible low-taxed income ("GILTI") earned by foreign subsidiaries. The Company accounts for GILTI as a period cost as incurred.</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22"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—Quoted prices in active markets for identical assets or liabilities.</w:t>
      </w:r>
    </w:p>
    <w:p>
      <w:pPr>
        <w:spacing w:after="0" w:line="118" w:lineRule="exact"/>
        <w:rPr>
          <w:sz w:val="20"/>
          <w:szCs w:val="20"/>
          <w:color w:val="auto"/>
        </w:rPr>
      </w:pPr>
    </w:p>
    <w:p>
      <w:pPr>
        <w:jc w:val="both"/>
        <w:ind w:left="480" w:right="280"/>
        <w:spacing w:after="0" w:line="277"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in inactive markets, or other inputs that are observable or can be corroborated by observable market data for substantially the full term of the assets or liabilities.</w:t>
      </w:r>
    </w:p>
    <w:p>
      <w:pPr>
        <w:spacing w:after="0" w:line="55" w:lineRule="exact"/>
        <w:rPr>
          <w:sz w:val="20"/>
          <w:szCs w:val="20"/>
          <w:color w:val="auto"/>
        </w:rPr>
      </w:pPr>
    </w:p>
    <w:p>
      <w:pPr>
        <w:ind w:left="480" w:right="60"/>
        <w:spacing w:after="0" w:line="298"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—Inputs that are generally unobservable and typically reflect management’s estimate of assumptions that market participants would use in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 or liability.</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72" w:lineRule="exact"/>
        <w:rPr>
          <w:sz w:val="20"/>
          <w:szCs w:val="20"/>
          <w:color w:val="auto"/>
        </w:rPr>
      </w:pPr>
    </w:p>
    <w:p>
      <w:pPr>
        <w:ind w:right="340" w:firstLine="431"/>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2023-09, </w:t>
      </w:r>
      <w:r>
        <w:rPr>
          <w:rFonts w:ascii="Times New Roman" w:cs="Times New Roman" w:eastAsia="Times New Roman" w:hAnsi="Times New Roman"/>
          <w:sz w:val="17"/>
          <w:szCs w:val="17"/>
          <w:i w:val="1"/>
          <w:iCs w:val="1"/>
          <w:color w:val="auto"/>
        </w:rPr>
        <w:t>Income Taxes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740): Improvements to Income Tax Disclosures</w:t>
      </w:r>
      <w:r>
        <w:rPr>
          <w:rFonts w:ascii="Times New Roman" w:cs="Times New Roman" w:eastAsia="Times New Roman" w:hAnsi="Times New Roman"/>
          <w:sz w:val="17"/>
          <w:szCs w:val="17"/>
          <w:color w:val="auto"/>
        </w:rPr>
        <w:t>, to enhance income tax disclosures primarily through changes in rate reconciliation and income taxes paid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disclosures. The amendments in ASU 2023-09 are effective for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annual periods beginning after December 15, 2024 on a prospective basis. Early adoption is permitted. The Company is currently evaluating the impact of this standard on the Company's consolidated financial statement disclosures.</w:t>
      </w:r>
    </w:p>
    <w:p>
      <w:pPr>
        <w:spacing w:after="0" w:line="171" w:lineRule="exact"/>
        <w:rPr>
          <w:sz w:val="20"/>
          <w:szCs w:val="20"/>
          <w:color w:val="auto"/>
        </w:rPr>
      </w:pPr>
    </w:p>
    <w:p>
      <w:pPr>
        <w:ind w:right="60" w:firstLine="431"/>
        <w:spacing w:after="0" w:line="264"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which requires disclosure of disaggregated information about the types of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employee compensation, depreciation, and amortization) in commonly presented expense captions in the statement of operations, as well as the total amount of selling expenses and, in annual periods, an entity’s definition of selling expenses. The amendments in ASU 2024-03 are effective for annual periods beginning after December 15, 2026, and interim periods beginning after December 15, 2027, with early adoption permitted. The Company is currently evaluating the impact of this standard on the Company's consolidated financial statement disclosures.</w:t>
      </w:r>
    </w:p>
    <w:p>
      <w:pPr>
        <w:spacing w:after="0" w:line="200" w:lineRule="exact"/>
        <w:rPr>
          <w:sz w:val="20"/>
          <w:szCs w:val="20"/>
          <w:color w:val="auto"/>
        </w:rPr>
      </w:pPr>
    </w:p>
    <w:p>
      <w:pPr>
        <w:ind w:firstLine="431"/>
        <w:spacing w:after="0" w:line="267"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2024-04, </w:t>
      </w:r>
      <w:r>
        <w:rPr>
          <w:rFonts w:ascii="Times New Roman" w:cs="Times New Roman" w:eastAsia="Times New Roman" w:hAnsi="Times New Roman"/>
          <w:sz w:val="17"/>
          <w:szCs w:val="17"/>
          <w:i w:val="1"/>
          <w:iCs w:val="1"/>
          <w:color w:val="auto"/>
        </w:rPr>
        <w:t>Debt - Debt with Conversion and Other Options (Subtopic 470-20): Induced Conversions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Convertible Debt Instruments</w:t>
      </w:r>
      <w:r>
        <w:rPr>
          <w:rFonts w:ascii="Times New Roman" w:cs="Times New Roman" w:eastAsia="Times New Roman" w:hAnsi="Times New Roman"/>
          <w:sz w:val="17"/>
          <w:szCs w:val="17"/>
          <w:color w:val="auto"/>
        </w:rPr>
        <w:t>, which clarifies the requirements for determining whether certain settlements of convertible debt instruments should be accounted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as an induced conversion. The amendments in ASU 2024-04 are effective for annual periods beginning after December 15, 2025, and interim periods within those annual reporting periods. Early adoption is permitted for all entities that have adopted the amendments in ASU 2020-06. The Company is currently evaluating the impact of this standard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Cash, Cash Equivalents and Short-Term Investments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amortized cost, unrealized gains and losses and estimated fair value of the Company's cash, cash equivalents and short-term investments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 and December 31, 2024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7"/>
                <w:szCs w:val="17"/>
                <w:b w:val="1"/>
                <w:bCs w:val="1"/>
                <w:color w:val="auto"/>
              </w:rPr>
              <w:t>As of March 31, 2025</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852.7</w:t>
            </w: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942.2</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8"/>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w:t>
            </w:r>
          </w:p>
        </w:tc>
      </w:tr>
      <w:tr>
        <w:trPr>
          <w:trHeight w:val="24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1,230.0</w:t>
            </w: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1,328.3</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8"/>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265.9</w:t>
            </w:r>
          </w:p>
        </w:tc>
      </w:tr>
      <w:tr>
        <w:trPr>
          <w:trHeight w:val="24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Included in cash and cash equivalents is cash in transit from payment processors for credit and debit card transactions of $13.0 million and $9.9 million as of March 31, 2025 and December 31, 2024, respectively.</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short-term investments were designated as available-for-sale securities as of March 31, 2025 and December 31, 2024.</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the contractual maturities of the Company’s short-term investments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4540" w:type="dxa"/>
            <w:vAlign w:val="bottom"/>
            <w:tcBorders>
              <w:bottom w:val="single" w:sz="8" w:color="auto"/>
            </w:tcBorders>
            <w:gridSpan w:val="5"/>
          </w:tcPr>
          <w:p>
            <w:pPr>
              <w:jc w:val="right"/>
              <w:ind w:right="1393"/>
              <w:spacing w:after="0"/>
              <w:rPr>
                <w:sz w:val="20"/>
                <w:szCs w:val="20"/>
                <w:color w:val="auto"/>
              </w:rPr>
            </w:pPr>
            <w:r>
              <w:rPr>
                <w:rFonts w:ascii="Times New Roman" w:cs="Times New Roman" w:eastAsia="Times New Roman" w:hAnsi="Times New Roman"/>
                <w:sz w:val="17"/>
                <w:szCs w:val="17"/>
                <w:b w:val="1"/>
                <w:bCs w:val="1"/>
                <w:color w:val="auto"/>
              </w:rPr>
              <w:t>As of March 31, 2025</w:t>
            </w:r>
          </w:p>
        </w:tc>
      </w:tr>
      <w:tr>
        <w:trPr>
          <w:trHeight w:val="215"/>
        </w:trPr>
        <w:tc>
          <w:tcPr>
            <w:tcW w:w="67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within one year</w:t>
            </w:r>
          </w:p>
        </w:tc>
        <w:tc>
          <w:tcPr>
            <w:tcW w:w="1720" w:type="dxa"/>
            <w:vAlign w:val="bottom"/>
            <w:shd w:val="clear" w:color="auto" w:fill="CCEEFF"/>
          </w:tcPr>
          <w:p>
            <w:pPr>
              <w:jc w:val="right"/>
              <w:ind w:right="15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between one to three years</w:t>
            </w:r>
          </w:p>
        </w:tc>
        <w:tc>
          <w:tcPr>
            <w:tcW w:w="1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three years</w:t>
            </w:r>
          </w:p>
        </w:tc>
        <w:tc>
          <w:tcPr>
            <w:tcW w:w="17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bottom w:val="single" w:sz="8" w:color="auto"/>
            </w:tcBorders>
          </w:tcPr>
          <w:p>
            <w:pPr>
              <w:jc w:val="right"/>
              <w:ind w:right="15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w:t>
            </w:r>
          </w:p>
        </w:tc>
      </w:tr>
      <w:tr>
        <w:trPr>
          <w:trHeight w:val="20"/>
        </w:trPr>
        <w:tc>
          <w:tcPr>
            <w:tcW w:w="6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The Company had 147 short-term investments in unrealized loss positions as of March 31, 2025. There were no material gains or losses from short-term investments that were reclassified out of accumulated other comprehensive loss for the three months ended March 31, 2025 and 2024.</w:t>
      </w:r>
    </w:p>
    <w:p>
      <w:pPr>
        <w:spacing w:after="0" w:line="173" w:lineRule="exact"/>
        <w:rPr>
          <w:sz w:val="20"/>
          <w:szCs w:val="20"/>
          <w:color w:val="auto"/>
        </w:rPr>
      </w:pPr>
    </w:p>
    <w:p>
      <w:pPr>
        <w:ind w:firstLine="392"/>
        <w:spacing w:after="0" w:line="273" w:lineRule="auto"/>
        <w:rPr>
          <w:sz w:val="20"/>
          <w:szCs w:val="20"/>
          <w:color w:val="auto"/>
        </w:rPr>
      </w:pPr>
      <w:r>
        <w:rPr>
          <w:rFonts w:ascii="Times New Roman" w:cs="Times New Roman" w:eastAsia="Times New Roman" w:hAnsi="Times New Roman"/>
          <w:sz w:val="17"/>
          <w:szCs w:val="17"/>
          <w:color w:val="auto"/>
        </w:rPr>
        <w:t>As of March 31, 2025, the Company’s short-term investments portfolio consisted of six security types, all of which were in an unrealized loss position. The Company’s short-term investments had unrealized losses of approximately $5.1 million as of March 31, 2025. The following tables present the breakdown of the short-term investments that have been in a continuous unrealized loss position aggregated by investment category, as of March 31, 2025 and December 31, 2024:</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As of March 31, 2025</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4"/>
                <w:szCs w:val="14"/>
                <w:color w:val="auto"/>
              </w:rPr>
            </w:pPr>
          </w:p>
        </w:tc>
        <w:tc>
          <w:tcPr>
            <w:tcW w:w="108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obligations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4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9"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9"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7"/>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5"/>
                <w:szCs w:val="15"/>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5"/>
                <w:szCs w:val="15"/>
                <w:color w:val="auto"/>
              </w:rPr>
            </w:pPr>
          </w:p>
        </w:tc>
        <w:tc>
          <w:tcPr>
            <w:tcW w:w="1080" w:type="dxa"/>
            <w:vAlign w:val="bottom"/>
          </w:tcPr>
          <w:p>
            <w:pPr>
              <w:jc w:val="center"/>
              <w:ind w:right="113"/>
              <w:spacing w:after="0" w:line="17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obligations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4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right="100" w:firstLine="392"/>
        <w:spacing w:after="0" w:line="276" w:lineRule="auto"/>
        <w:rPr>
          <w:sz w:val="20"/>
          <w:szCs w:val="20"/>
          <w:color w:val="auto"/>
        </w:rPr>
      </w:pPr>
      <w:r>
        <w:rPr>
          <w:rFonts w:ascii="Times New Roman" w:cs="Times New Roman" w:eastAsia="Times New Roman" w:hAnsi="Times New Roman"/>
          <w:sz w:val="17"/>
          <w:szCs w:val="17"/>
          <w:color w:val="auto"/>
        </w:rPr>
        <w:t>Unrealized losses on short-term investments have not been recorded into income because management does not intend to sell nor will it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88" w:lineRule="exact"/>
        <w:rPr>
          <w:sz w:val="20"/>
          <w:szCs w:val="20"/>
          <w:color w:val="auto"/>
        </w:rPr>
      </w:pPr>
    </w:p>
    <w:p>
      <w:pPr>
        <w:ind w:right="340" w:firstLine="392"/>
        <w:spacing w:after="0" w:line="295" w:lineRule="auto"/>
        <w:rPr>
          <w:sz w:val="20"/>
          <w:szCs w:val="20"/>
          <w:color w:val="auto"/>
        </w:rPr>
      </w:pPr>
      <w:r>
        <w:rPr>
          <w:rFonts w:ascii="Times New Roman" w:cs="Times New Roman" w:eastAsia="Times New Roman" w:hAnsi="Times New Roman"/>
          <w:sz w:val="17"/>
          <w:szCs w:val="17"/>
          <w:color w:val="auto"/>
        </w:rPr>
        <w:t>The Company recorded interest income from its cash, cash equivalents, and short-term investments of $12.7 million and $11.9 million during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Fair Value Measurements</w:t>
      </w:r>
    </w:p>
    <w:p>
      <w:pPr>
        <w:spacing w:after="0" w:line="251" w:lineRule="exact"/>
        <w:rPr>
          <w:sz w:val="20"/>
          <w:szCs w:val="20"/>
          <w:color w:val="auto"/>
        </w:rPr>
      </w:pPr>
    </w:p>
    <w:p>
      <w:pPr>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Company measures its financial instruments at fair value each reporting period using a fair value hierarchy that prioritizes the use of observable inputs and minimizes the use of unobservable inputs. A financial instrument’s classification within the fair value hierarchy is based upon the lowest level of input that is significant to the fair value measurement.</w:t>
      </w:r>
    </w:p>
    <w:p>
      <w:pPr>
        <w:spacing w:after="0" w:line="18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financial instruments that are measured at fair value on a recurring basis using the input categories discussed in Note 1:</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As of March 31, 2025</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2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2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26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1,230.0</w:t>
            </w:r>
          </w:p>
        </w:tc>
        <w:tc>
          <w:tcPr>
            <w:tcW w:w="120" w:type="dxa"/>
            <w:vAlign w:val="bottom"/>
          </w:tcPr>
          <w:p>
            <w:pPr>
              <w:spacing w:after="0"/>
              <w:rPr>
                <w:sz w:val="19"/>
                <w:szCs w:val="19"/>
                <w:color w:val="auto"/>
              </w:rPr>
            </w:pP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260" w:type="dxa"/>
            <w:vAlign w:val="bottom"/>
            <w:tcBorders>
              <w:top w:val="single" w:sz="8" w:color="auto"/>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1,230.0</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had no transfers between levels of the fair value hierarchy during the periods presented.</w:t>
      </w:r>
    </w:p>
    <w:p>
      <w:pPr>
        <w:spacing w:after="0" w:line="249" w:lineRule="exact"/>
        <w:rPr>
          <w:sz w:val="20"/>
          <w:szCs w:val="20"/>
          <w:color w:val="auto"/>
        </w:rPr>
      </w:pPr>
    </w:p>
    <w:p>
      <w:pPr>
        <w:ind w:right="820" w:firstLine="392"/>
        <w:spacing w:after="0" w:line="295" w:lineRule="auto"/>
        <w:rPr>
          <w:sz w:val="20"/>
          <w:szCs w:val="20"/>
          <w:color w:val="auto"/>
        </w:rPr>
      </w:pPr>
      <w:r>
        <w:rPr>
          <w:rFonts w:ascii="Times New Roman" w:cs="Times New Roman" w:eastAsia="Times New Roman" w:hAnsi="Times New Roman"/>
          <w:sz w:val="17"/>
          <w:szCs w:val="17"/>
          <w:color w:val="auto"/>
        </w:rPr>
        <w:t>The carrying amounts of certain financial instruments, including cash and restricted cash held at banks, accounts receivable and accounts payable approximate fair value due to their short-term maturities and are excluded from the fair value table above.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jc w:val="both"/>
        <w:ind w:right="380" w:firstLine="392"/>
        <w:spacing w:after="0" w:line="276" w:lineRule="auto"/>
        <w:rPr>
          <w:sz w:val="20"/>
          <w:szCs w:val="20"/>
          <w:color w:val="auto"/>
        </w:rPr>
      </w:pPr>
      <w:r>
        <w:rPr>
          <w:rFonts w:ascii="Times New Roman" w:cs="Times New Roman" w:eastAsia="Times New Roman" w:hAnsi="Times New Roman"/>
          <w:sz w:val="17"/>
          <w:szCs w:val="17"/>
          <w:color w:val="auto"/>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March 31, 2025. See Note 7 "Debt" for additional information.</w:t>
      </w:r>
    </w:p>
    <w:p>
      <w:pPr>
        <w:spacing w:after="0" w:line="188" w:lineRule="exact"/>
        <w:rPr>
          <w:sz w:val="20"/>
          <w:szCs w:val="20"/>
          <w:color w:val="auto"/>
        </w:rPr>
      </w:pPr>
    </w:p>
    <w:p>
      <w:pPr>
        <w:jc w:val="both"/>
        <w:ind w:right="180" w:firstLine="392"/>
        <w:spacing w:after="0" w:line="276" w:lineRule="auto"/>
        <w:rPr>
          <w:sz w:val="20"/>
          <w:szCs w:val="20"/>
          <w:color w:val="auto"/>
        </w:rPr>
      </w:pPr>
      <w:r>
        <w:rPr>
          <w:rFonts w:ascii="Times New Roman" w:cs="Times New Roman" w:eastAsia="Times New Roman" w:hAnsi="Times New Roman"/>
          <w:sz w:val="17"/>
          <w:szCs w:val="17"/>
          <w:color w:val="auto"/>
        </w:rPr>
        <w:t>The estimated fair value of the 2026 Notes and the 2028 Notes, based on a market approach as of March 31, 2025 was approximately $684.3 million and $683.0 million, respectively. The Notes were categorized as Level 2 instruments as the estimated fair value was determined based on the trading activity of the Notes in an over-the-counter market on the last business day of the period.</w:t>
      </w:r>
    </w:p>
    <w:p>
      <w:pPr>
        <w:spacing w:after="0" w:line="188" w:lineRule="exact"/>
        <w:rPr>
          <w:sz w:val="20"/>
          <w:szCs w:val="20"/>
          <w:color w:val="auto"/>
        </w:rPr>
      </w:pPr>
    </w:p>
    <w:p>
      <w:pPr>
        <w:ind w:right="140" w:firstLine="431"/>
        <w:spacing w:after="0" w:line="269" w:lineRule="auto"/>
        <w:rPr>
          <w:sz w:val="20"/>
          <w:szCs w:val="20"/>
          <w:color w:val="auto"/>
        </w:rPr>
      </w:pPr>
      <w:r>
        <w:rPr>
          <w:rFonts w:ascii="Times New Roman" w:cs="Times New Roman" w:eastAsia="Times New Roman" w:hAnsi="Times New Roman"/>
          <w:sz w:val="17"/>
          <w:szCs w:val="17"/>
          <w:color w:val="auto"/>
        </w:rPr>
        <w:t>The Company had $997.5 million of term loans outstanding with a carrying value of $971.7 million as of March 31, 2025. See Note 7 "Debt" for additional information. As of March 31, 2025, the fair value of the term loan approximated its carrying value as of such date. The term loans are categorized as Level 2 instruments as the estimated fair value was determined based on the borrowing rates currently available to the Company for bank loans with similar terms and maturities.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4. Property and Equipment, Net</w:t>
            </w: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4"/>
        </w:trPr>
        <w:tc>
          <w:tcPr>
            <w:tcW w:w="40" w:type="dxa"/>
            <w:vAlign w:val="bottom"/>
          </w:tcPr>
          <w:p>
            <w:pPr>
              <w:spacing w:after="0"/>
              <w:rPr>
                <w:sz w:val="24"/>
                <w:szCs w:val="24"/>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4"/>
        </w:trPr>
        <w:tc>
          <w:tcPr>
            <w:tcW w:w="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15"/>
        </w:trPr>
        <w:tc>
          <w:tcPr>
            <w:tcW w:w="4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830.2</w:t>
            </w:r>
          </w:p>
        </w:tc>
      </w:tr>
      <w:tr>
        <w:trPr>
          <w:trHeight w:val="222"/>
        </w:trPr>
        <w:tc>
          <w:tcPr>
            <w:tcW w:w="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2"/>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5"/>
        </w:trPr>
        <w:tc>
          <w:tcPr>
            <w:tcW w:w="4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943.0</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(584.2)</w:t>
            </w:r>
          </w:p>
        </w:tc>
      </w:tr>
      <w:tr>
        <w:trPr>
          <w:trHeight w:val="240"/>
        </w:trPr>
        <w:tc>
          <w:tcPr>
            <w:tcW w:w="4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r>
      <w:tr>
        <w:trPr>
          <w:trHeight w:val="20"/>
        </w:trPr>
        <w:tc>
          <w:tcPr>
            <w:tcW w:w="4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The Company leases certain infrastructure and computer equipment from various third parties, through equipment finance leases. Infrastructure assets as of March 31, 2025 and December 31, 2024 included a total of $516.3 million and $501.1 million, respectively, of assets acquired under finance lease agreements. These leases are capitalized in property and equipment, and the related depreciation of assets under finance leases is included in depreciation expense. The accumulated depreciation of the equipment under finance leases totaled $226.1 million and $223.3 million as of March 31, 2025 and December 31, 2024, respectively.</w:t>
      </w:r>
    </w:p>
    <w:p>
      <w:pPr>
        <w:spacing w:after="0" w:line="197"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Depreciation expense related to property and equipment was $31.7 million and $24.8 million for the three months ended March 31, 2025 and 2024,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Intangible assets consisted of the following:</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useful life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180" w:type="dxa"/>
            <w:vAlign w:val="bottom"/>
          </w:tcPr>
          <w:p>
            <w:pPr>
              <w:spacing w:after="0"/>
              <w:rPr>
                <w:sz w:val="15"/>
                <w:szCs w:val="15"/>
                <w:color w:val="auto"/>
              </w:rPr>
            </w:pPr>
          </w:p>
        </w:tc>
        <w:tc>
          <w:tcPr>
            <w:tcW w:w="1780" w:type="dxa"/>
            <w:vAlign w:val="bottom"/>
            <w:vMerge w:val="restart"/>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Software</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Licenses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Assembled workforce in asset acquisitions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1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intangibles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amortization</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(123.7)</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Amortization expense was $6.4 million and $6.7 million for the three months ended March 31, 2025 and 2024, respectively.</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Expected future amortization expense for intangible assets as of March 31, 2025 is as follows: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84"/>
        </w:trPr>
        <w:tc>
          <w:tcPr>
            <w:tcW w:w="90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Intangible assets</w:t>
            </w: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2025</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40"/>
        </w:trPr>
        <w:tc>
          <w:tcPr>
            <w:tcW w:w="9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Goodwill</w:t>
      </w:r>
    </w:p>
    <w:p>
      <w:pPr>
        <w:spacing w:after="0" w:line="251" w:lineRule="exact"/>
        <w:rPr>
          <w:sz w:val="20"/>
          <w:szCs w:val="20"/>
          <w:color w:val="auto"/>
        </w:rPr>
      </w:pPr>
    </w:p>
    <w:p>
      <w:pPr>
        <w:ind w:right="480" w:firstLine="392"/>
        <w:spacing w:after="0" w:line="295" w:lineRule="auto"/>
        <w:rPr>
          <w:sz w:val="20"/>
          <w:szCs w:val="20"/>
          <w:color w:val="auto"/>
        </w:rPr>
      </w:pPr>
      <w:r>
        <w:rPr>
          <w:rFonts w:ascii="Times New Roman" w:cs="Times New Roman" w:eastAsia="Times New Roman" w:hAnsi="Times New Roman"/>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442.8</w:t>
            </w:r>
          </w:p>
        </w:tc>
      </w:tr>
      <w:tr>
        <w:trPr>
          <w:trHeight w:val="222"/>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currency translation</w:t>
            </w:r>
          </w:p>
        </w:tc>
        <w:tc>
          <w:tcPr>
            <w:tcW w:w="14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4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2025</w:t>
            </w: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620" w:firstLine="392"/>
        <w:spacing w:after="0" w:line="295" w:lineRule="auto"/>
        <w:rPr>
          <w:sz w:val="20"/>
          <w:szCs w:val="20"/>
          <w:color w:val="auto"/>
        </w:rPr>
      </w:pPr>
      <w:r>
        <w:rPr>
          <w:rFonts w:ascii="Times New Roman" w:cs="Times New Roman" w:eastAsia="Times New Roman" w:hAnsi="Times New Roman"/>
          <w:sz w:val="17"/>
          <w:szCs w:val="17"/>
          <w:color w:val="auto"/>
        </w:rPr>
        <w:t>Goodwill amounts are not amortized, but tested for impairment on an annual basis. There was no impairment of goodwill during the periods ended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Debt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Term loan facility</w:t>
      </w:r>
    </w:p>
    <w:p>
      <w:pPr>
        <w:spacing w:after="0" w:line="253"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During the fourth quarter of 2024, the Company entered into a Credit and Guaranty Agreement (the “Credit Agreement”), with certain counterparties which provided for, among other things, a secured five-year term loan facility in an aggregate principal amount of up to $2.0 billion, consisting of initial term loans and delayed draw term loan commitments each in an aggregate principal amount of up to $1.0 billion, respectively. The Credit Agreement also provides for a secured letter of credit facility in an aggregate amount of up to $35.0 million. The Company’s obligations under the Credit Agreement are guaranteed by certain material subsidiaries of the Company and are secured by substantially all of the assets of the Company and such subsidiary guarantors. In December 2024, the Company borrowed $1.0 billion of term loans under its term loan facility, measured at amortized cost. In accounting for the term loans, issuance costs of $27.6 million were deducted from the carrying value of the term loan in the consolidated balance sheet. Issuance costs are amortized and recognized as a component of interest expense over the five-year term using the effective interest method. Furthermore, there were $22.6 million and $0.2 million of deferred issuance costs related to the delayed draw term loan commitments and secured letter of credit facility, respectively, which will be recognized initially as deferred assets and subsequently reclassified and presented as a direct deduction to the carrying value of the related debt upon an eventual draw, and amortized over the remaining term on an effective interest method basis from the time of draw.</w:t>
      </w:r>
    </w:p>
    <w:p>
      <w:pPr>
        <w:spacing w:after="0" w:line="206" w:lineRule="exact"/>
        <w:rPr>
          <w:sz w:val="20"/>
          <w:szCs w:val="20"/>
          <w:color w:val="auto"/>
        </w:rPr>
      </w:pPr>
    </w:p>
    <w:p>
      <w:pPr>
        <w:ind w:firstLine="431"/>
        <w:spacing w:after="0" w:line="263" w:lineRule="auto"/>
        <w:rPr>
          <w:sz w:val="20"/>
          <w:szCs w:val="20"/>
          <w:color w:val="auto"/>
        </w:rPr>
      </w:pPr>
      <w:r>
        <w:rPr>
          <w:rFonts w:ascii="Times New Roman" w:cs="Times New Roman" w:eastAsia="Times New Roman" w:hAnsi="Times New Roman"/>
          <w:sz w:val="17"/>
          <w:szCs w:val="17"/>
          <w:color w:val="auto"/>
        </w:rPr>
        <w:t>The delayed draw term loan commitments of $1.0 billion may be borrowed, subject to the satisfaction of certain conditions, from the closing date of the Credit Agreement through December 11, 2026, provided that the delayed draw term loan commitments shall be reduced to $500.0 million as of December 11, 2025, if the undrawn delayed draw term loan commitments exceed $500.0 million at that date. The delayed draw term loan commitments can be drawn in increments of $5.0 million or greater and up to ten draws can be made. The initial term loans and the delayed draw term loans (if and when funded) shall have the same terms and shall be treated as a single fungible class of term loans for all purposes under the Credit Agreement, except that interest on any delayed draw term loan shall commence from the applicable date of draw. As of March 31, 2025, no amounts were outstanding on the delayed draw term loan commitments and no letters of credit were issued under the letter of credit facility.</w:t>
      </w:r>
    </w:p>
    <w:p>
      <w:pPr>
        <w:spacing w:after="0" w:line="199" w:lineRule="exact"/>
        <w:rPr>
          <w:sz w:val="20"/>
          <w:szCs w:val="20"/>
          <w:color w:val="auto"/>
        </w:rPr>
      </w:pPr>
    </w:p>
    <w:p>
      <w:pPr>
        <w:ind w:right="100" w:firstLine="431"/>
        <w:spacing w:after="0" w:line="269" w:lineRule="auto"/>
        <w:rPr>
          <w:sz w:val="20"/>
          <w:szCs w:val="20"/>
          <w:color w:val="auto"/>
        </w:rPr>
      </w:pPr>
      <w:r>
        <w:rPr>
          <w:rFonts w:ascii="Times New Roman" w:cs="Times New Roman" w:eastAsia="Times New Roman" w:hAnsi="Times New Roman"/>
          <w:sz w:val="17"/>
          <w:szCs w:val="17"/>
          <w:color w:val="auto"/>
        </w:rPr>
        <w:t>Pursuant to the terms of the Credit Agreement, the Company is required to pay a quarterly commitment fee that accrues at a rate of 1.00% per annum on the unused portion of the delayed draw term loan commitments. The 1.00% fee will be capitalized each reporting period, as the draw is probable as of the issuance date, and reclassified against the carrying value of the debt upon draw and amortized over the debt term on an effective interest method basis from the time of draw. As of March 31, 2025, the deferred issuance asset related to the commitment fee was $3.1 million.</w:t>
      </w:r>
    </w:p>
    <w:p>
      <w:pPr>
        <w:spacing w:after="0" w:line="195" w:lineRule="exact"/>
        <w:rPr>
          <w:sz w:val="20"/>
          <w:szCs w:val="20"/>
          <w:color w:val="auto"/>
        </w:rPr>
      </w:pPr>
    </w:p>
    <w:p>
      <w:pPr>
        <w:ind w:firstLine="431"/>
        <w:spacing w:after="0" w:line="262" w:lineRule="auto"/>
        <w:rPr>
          <w:sz w:val="20"/>
          <w:szCs w:val="20"/>
          <w:color w:val="auto"/>
        </w:rPr>
      </w:pPr>
      <w:r>
        <w:rPr>
          <w:rFonts w:ascii="Times New Roman" w:cs="Times New Roman" w:eastAsia="Times New Roman" w:hAnsi="Times New Roman"/>
          <w:sz w:val="17"/>
          <w:szCs w:val="17"/>
          <w:color w:val="auto"/>
        </w:rPr>
        <w:t>The term loans have a maturity date of December 11, 2029. Quarterly principal payments began on March 31, 2025 and will continue on the last business day of each quarter thereafter, equal to 0.25% of the original principal amount of such term loans. In addition, the term loans are subject to mandatory prepayments upon the occurrence of certain events as defined in the Credit Agreement, including excess cash flows generated by the Company's operating activities, the proceeds of certain asset sales and the incurrence of certain indebtedness. The Company believes the occurrence of any such events is remote as of the three months ended March 31, 2025. The Company is permitted to prepay the term loans at any time in whole or in part, subject to a prepayment premium equal to 2.00% of the aggregate principal amount prepaid on or prior to the first anniversary of the closing date and 1.00% of the aggregate principal amount prepaid after the first anniversary of the closing date but on or prior to the second anniversary of the closing date. Term loans repaid or prepaid may not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following is a summary of the term loan facility as of March 31, 2025 and December 31, 2024.</w:t>
            </w:r>
          </w:p>
        </w:tc>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84"/>
        </w:trPr>
        <w:tc>
          <w:tcPr>
            <w:tcW w:w="79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b w:val="1"/>
                <w:bCs w:val="1"/>
                <w:color w:val="auto"/>
              </w:rPr>
              <w:t>Term Loan</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6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r>
      <w:tr>
        <w:trPr>
          <w:trHeight w:val="22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997.5</w:t>
            </w: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66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1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971.7</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228"/>
        </w:trPr>
        <w:tc>
          <w:tcPr>
            <w:tcW w:w="7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2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2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6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40" w:firstLine="431"/>
        <w:spacing w:after="0" w:line="265" w:lineRule="auto"/>
        <w:rPr>
          <w:sz w:val="20"/>
          <w:szCs w:val="20"/>
          <w:color w:val="auto"/>
        </w:rPr>
      </w:pPr>
      <w:r>
        <w:rPr>
          <w:rFonts w:ascii="Times New Roman" w:cs="Times New Roman" w:eastAsia="Times New Roman" w:hAnsi="Times New Roman"/>
          <w:sz w:val="17"/>
          <w:szCs w:val="17"/>
          <w:color w:val="auto"/>
        </w:rPr>
        <w:t>Borrowings under the term loan facility bear interest, at the Company’s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Interest is payable quarterly in arrears with respect to borrowings bearing interest at the alternative base rate on the last business day of an interest period, but at most monthly and at least quarterly, with respect to overnight and term SOFR rate borrowings.</w:t>
      </w:r>
    </w:p>
    <w:p>
      <w:pPr>
        <w:spacing w:after="0" w:line="200" w:lineRule="exact"/>
        <w:rPr>
          <w:sz w:val="20"/>
          <w:szCs w:val="20"/>
          <w:color w:val="auto"/>
        </w:rPr>
      </w:pPr>
    </w:p>
    <w:p>
      <w:pPr>
        <w:spacing w:after="0" w:line="211" w:lineRule="exact"/>
        <w:rPr>
          <w:sz w:val="20"/>
          <w:szCs w:val="20"/>
          <w:color w:val="auto"/>
        </w:rPr>
      </w:pPr>
    </w:p>
    <w:p>
      <w:pPr>
        <w:ind w:right="320" w:firstLine="431"/>
        <w:spacing w:after="0" w:line="295" w:lineRule="auto"/>
        <w:rPr>
          <w:sz w:val="20"/>
          <w:szCs w:val="20"/>
          <w:color w:val="auto"/>
        </w:rPr>
      </w:pPr>
      <w:r>
        <w:rPr>
          <w:rFonts w:ascii="Times New Roman" w:cs="Times New Roman" w:eastAsia="Times New Roman" w:hAnsi="Times New Roman"/>
          <w:sz w:val="17"/>
          <w:szCs w:val="17"/>
          <w:color w:val="auto"/>
        </w:rPr>
        <w:t>Interest expense associated with the term loans for the three months ended March 31, 2025 was $21.6 million, with such interest expense consisting of interest expense on the outstanding principal of the term loans and amortization of issuance costs.</w:t>
      </w:r>
    </w:p>
    <w:p>
      <w:pPr>
        <w:spacing w:after="0" w:line="173" w:lineRule="exact"/>
        <w:rPr>
          <w:sz w:val="20"/>
          <w:szCs w:val="20"/>
          <w:color w:val="auto"/>
        </w:rPr>
      </w:pPr>
    </w:p>
    <w:p>
      <w:pPr>
        <w:ind w:right="100" w:firstLine="431"/>
        <w:spacing w:after="0" w:line="266" w:lineRule="auto"/>
        <w:rPr>
          <w:sz w:val="20"/>
          <w:szCs w:val="20"/>
          <w:color w:val="auto"/>
        </w:rPr>
      </w:pPr>
      <w:r>
        <w:rPr>
          <w:rFonts w:ascii="Times New Roman" w:cs="Times New Roman" w:eastAsia="Times New Roman" w:hAnsi="Times New Roman"/>
          <w:sz w:val="17"/>
          <w:szCs w:val="17"/>
          <w:color w:val="auto"/>
        </w:rPr>
        <w:t>The Credit Agreement permits the Company, subject to satisfaction of certain conditions, including obtaining commitments from new or existing lenders, to add new term loan facilities or increase the term loan commitments under the Credit Agreement, in each case, subject to certain limits. Additionally, the term loan agreement contains customary representations and warranties, customary affirmative and negative covenants, and customary events of default. Failure to comply with these covenants may result in a portion of the outstanding term loan debt becoming due immediately. The Company was in compliance with all covenants under the term loan facility as of March 31,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Maturities on the Company's term loan debt are as follows:</w:t>
            </w: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Term Loan</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960.0</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53" w:lineRule="exact"/>
        <w:rPr>
          <w:sz w:val="20"/>
          <w:szCs w:val="20"/>
          <w:color w:val="auto"/>
        </w:rPr>
      </w:pPr>
    </w:p>
    <w:p>
      <w:pPr>
        <w:jc w:val="both"/>
        <w:ind w:right="40" w:firstLine="392"/>
        <w:spacing w:after="0" w:line="276" w:lineRule="auto"/>
        <w:rPr>
          <w:sz w:val="20"/>
          <w:szCs w:val="20"/>
          <w:color w:val="auto"/>
        </w:rPr>
      </w:pPr>
      <w:r>
        <w:rPr>
          <w:rFonts w:ascii="Times New Roman" w:cs="Times New Roman" w:eastAsia="Times New Roman" w:hAnsi="Times New Roman"/>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 of 1933. The net proceeds from the sale of the Notes were approximately $1.4 billion after deducting offering and issuance costs related to the Notes.</w:t>
      </w:r>
    </w:p>
    <w:p>
      <w:pPr>
        <w:spacing w:after="0" w:line="249" w:lineRule="exact"/>
        <w:rPr>
          <w:sz w:val="20"/>
          <w:szCs w:val="20"/>
          <w:color w:val="auto"/>
        </w:rPr>
      </w:pPr>
    </w:p>
    <w:p>
      <w:pPr>
        <w:ind w:right="100" w:firstLine="392"/>
        <w:spacing w:after="0" w:line="273" w:lineRule="auto"/>
        <w:rPr>
          <w:sz w:val="20"/>
          <w:szCs w:val="20"/>
          <w:color w:val="auto"/>
        </w:rPr>
      </w:pPr>
      <w:r>
        <w:rPr>
          <w:rFonts w:ascii="Times New Roman" w:cs="Times New Roman" w:eastAsia="Times New Roman" w:hAnsi="Times New Roman"/>
          <w:sz w:val="17"/>
          <w:szCs w:val="17"/>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March 31, 2025. The 2026 Notes will mature on March 1, 2026, and the 2028 Notes will mature on March 1, 2028, in each case, unless earlier converted, redeemed or repurchased.</w:t>
      </w:r>
    </w:p>
    <w:p>
      <w:pPr>
        <w:spacing w:after="0" w:line="200" w:lineRule="exact"/>
        <w:rPr>
          <w:sz w:val="20"/>
          <w:szCs w:val="20"/>
          <w:color w:val="auto"/>
        </w:rPr>
      </w:pPr>
    </w:p>
    <w:p>
      <w:pPr>
        <w:spacing w:after="0" w:line="20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March 31, 2025.</w:t>
      </w:r>
    </w:p>
    <w:p>
      <w:pPr>
        <w:spacing w:after="0" w:line="200" w:lineRule="exact"/>
        <w:rPr>
          <w:sz w:val="20"/>
          <w:szCs w:val="20"/>
          <w:color w:val="auto"/>
        </w:rPr>
      </w:pPr>
    </w:p>
    <w:p>
      <w:pPr>
        <w:ind w:right="160" w:firstLine="392"/>
        <w:spacing w:after="0" w:line="268" w:lineRule="auto"/>
        <w:rPr>
          <w:sz w:val="20"/>
          <w:szCs w:val="20"/>
          <w:color w:val="auto"/>
        </w:rPr>
      </w:pPr>
      <w:r>
        <w:rPr>
          <w:rFonts w:ascii="Times New Roman" w:cs="Times New Roman" w:eastAsia="Times New Roman" w:hAnsi="Times New Roman"/>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series of Notes as of March 31, 2025. In addition, during the three months ended March 31, 2025 and 2024 the conditions allowing holders of the Notes to convert during the following fiscal quarter were not met.</w:t>
      </w:r>
    </w:p>
    <w:p>
      <w:pPr>
        <w:spacing w:after="0" w:line="200" w:lineRule="exact"/>
        <w:rPr>
          <w:sz w:val="20"/>
          <w:szCs w:val="20"/>
          <w:color w:val="auto"/>
        </w:rPr>
      </w:pPr>
    </w:p>
    <w:p>
      <w:pPr>
        <w:spacing w:after="0" w:line="208"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200"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88"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95"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95"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In accounting for the Notes, issuance costs of $11.0 million and $11.0 million for the 2026 Notes and the 2028 Notes, respectively, were deducted from the carrying value of the Notes in the consolidated balance sheet. Issuance costs will be recognized as interest expense over the five-year term and seven-year term for the 2026 Notes and the 2028 Notes, respectively.</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summary of the Notes as of March 31, 2025 and December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tcPr>
          <w:p>
            <w:pPr>
              <w:spacing w:after="0"/>
              <w:rPr>
                <w:sz w:val="19"/>
                <w:szCs w:val="19"/>
                <w:color w:val="auto"/>
              </w:rPr>
            </w:pP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693.8</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688.7</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1,382.5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49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693.2</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right="240" w:firstLine="392"/>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2025 and 2024, the Company recognized $0.4 million and $0.5 million in interest expense for the 2026 Notes and $0.3 million and $0.4 million in interest expense for the 2028 Notes, respectively, with such interest expense solely consisting of amortization of issuance costs. The effective interest rate for the 2026 Notes and the 2028 Notes was 0.32% and 0.22%, respectively, as of March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Maturities on the Company's convertible debt are as follows: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Convertible Debt</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Hedges and Warrants</w:t>
      </w:r>
    </w:p>
    <w:p>
      <w:pPr>
        <w:spacing w:after="0" w:line="253"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Concurrent with the offering of the Notes, the Company entered into convertible note hedge transactions with certain counterparties whereby the Company had the option to purchase a total of approximately 18.2 million shares for note hedges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convertible note hedge transactions was $265.3 million.</w:t>
      </w:r>
    </w:p>
    <w:p>
      <w:pPr>
        <w:spacing w:after="0" w:line="188"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series of Notes.</w:t>
      </w:r>
    </w:p>
    <w:p>
      <w:pPr>
        <w:spacing w:after="0" w:line="197"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convertible note hedge transactions are expected generally to offset the potential dilution to the Class A common stock upon conversion of the relevant series of Notes and/or reduce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March 31, 2025, the Company’s stock price was below the exercise price of the respective Note Hedges.</w:t>
      </w:r>
    </w:p>
    <w:p>
      <w:pPr>
        <w:spacing w:after="0" w:line="197"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spacing w:after="0" w:line="195"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March 31, 2025, the Company’s Class A common stock price was below the exercise price of the Warrants.</w:t>
      </w:r>
    </w:p>
    <w:p>
      <w:pPr>
        <w:spacing w:after="0" w:line="200"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188"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Leases</w:t>
      </w:r>
    </w:p>
    <w:p>
      <w:pPr>
        <w:spacing w:after="0" w:line="251"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The Company has operating leases for corporate offices, datacenters and finance leases for infrastructure and computer equipment. The Company’s leases have remaining lease terms of under 1 year to 11 years, some of which include options to extend the leases for up to 5 years.</w:t>
      </w:r>
    </w:p>
    <w:p>
      <w:pPr>
        <w:spacing w:after="0" w:line="160" w:lineRule="exact"/>
        <w:rPr>
          <w:sz w:val="20"/>
          <w:szCs w:val="20"/>
          <w:color w:val="auto"/>
        </w:rPr>
      </w:pPr>
    </w:p>
    <w:p>
      <w:pPr>
        <w:ind w:right="80" w:firstLine="392"/>
        <w:spacing w:after="0" w:line="260" w:lineRule="auto"/>
        <w:rPr>
          <w:sz w:val="20"/>
          <w:szCs w:val="20"/>
          <w:color w:val="auto"/>
        </w:rPr>
      </w:pPr>
      <w:r>
        <w:rPr>
          <w:rFonts w:ascii="Times New Roman" w:cs="Times New Roman" w:eastAsia="Times New Roman" w:hAnsi="Times New Roman"/>
          <w:sz w:val="17"/>
          <w:szCs w:val="17"/>
          <w:color w:val="auto"/>
        </w:rPr>
        <w:t>The Company also has subleases for several floors of its corporate offices. The Company classifies its subleases as operating leases. The subleases have remaining lease terms of under 1 year to 9 years, some of which include tenant options to extend the sublease for up to approximately 4 years. Sublease income, which is recorded as a reduction of rental expense, was $3.0 million and $3.5 million during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Future minimum lease payments under non-cancellable leases as of March 31, 2025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Operating leases</w:t>
            </w:r>
            <w:r>
              <w:rPr>
                <w:rFonts w:ascii="Times New Roman" w:cs="Times New Roman" w:eastAsia="Times New Roman" w:hAnsi="Times New Roman"/>
                <w:sz w:val="22"/>
                <w:szCs w:val="22"/>
                <w:b w:val="1"/>
                <w:bCs w:val="1"/>
                <w:color w:val="auto"/>
                <w:vertAlign w:val="superscript"/>
              </w:rPr>
              <w:t>(1)</w:t>
            </w:r>
          </w:p>
        </w:tc>
        <w:tc>
          <w:tcPr>
            <w:tcW w:w="300" w:type="dxa"/>
            <w:vAlign w:val="bottom"/>
          </w:tcPr>
          <w:p>
            <w:pPr>
              <w:spacing w:after="0"/>
              <w:rPr>
                <w:sz w:val="22"/>
                <w:szCs w:val="22"/>
                <w:color w:val="auto"/>
              </w:rPr>
            </w:pPr>
          </w:p>
        </w:tc>
        <w:tc>
          <w:tcPr>
            <w:tcW w:w="17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385.2</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liability</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336.7</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right="260" w:firstLine="5"/>
        <w:spacing w:after="0" w:line="306" w:lineRule="auto"/>
        <w:tabs>
          <w:tab w:leader="none" w:pos="144"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Future non-cancelable rent payments from the Company's subtenants as of March 31, 2025 were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5"/>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sublease rent payments, net</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w:t>
            </w: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420" w:firstLine="392"/>
        <w:spacing w:after="0" w:line="260" w:lineRule="auto"/>
        <w:rPr>
          <w:sz w:val="20"/>
          <w:szCs w:val="20"/>
          <w:color w:val="auto"/>
        </w:rPr>
      </w:pPr>
      <w:r>
        <w:rPr>
          <w:rFonts w:ascii="Times New Roman" w:cs="Times New Roman" w:eastAsia="Times New Roman" w:hAnsi="Times New Roman"/>
          <w:sz w:val="17"/>
          <w:szCs w:val="17"/>
          <w:color w:val="auto"/>
        </w:rPr>
        <w:t>In 2017, the Company signed a 15 year lease agreement for office space in San Francisco, California, to serve as its corporate headquarters which commenced in 2018. The Company's obligations under the lease are supported by a $17.5 million letter of credit, which is secured by cash collateral. As of March 31, 2025, the Company's remaining minimum obligation under the lease for its headquarters was $150.2 million.</w:t>
      </w:r>
    </w:p>
    <w:p>
      <w:pPr>
        <w:spacing w:after="0" w:line="201"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7"/>
          <w:szCs w:val="17"/>
          <w:color w:val="auto"/>
        </w:rPr>
        <w:t>In the fourth quarter of 2020, the Company moved to a Virtual First work model pursuant to which remote work has become the primary experience for all of its employees. As part of the Virtual First strategy, the Company retained a portion of its office space to be used for the Company’s team collaboration use and a portion was marketed for sublease. Subsequently, every quarter, the Company has evaluated its real estate portfolio for impairment under ASC 360. As part of this analysis, the Company reassesses its real estate asset groups and estimates the fair value of the office space to be subleased using current market conditions. Where the carrying value of the individual asset groups exceeds their fair value, an impairment charge will be recognized for the difference.</w:t>
      </w:r>
    </w:p>
    <w:p>
      <w:pPr>
        <w:spacing w:after="0" w:line="197"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2025 and 2024, the Company did not recognize any impairment charges related to right-of-use assets and other lease related property and equipment assets.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the fourth quarter of 2023, the Company executed an amendment to the lease ("the lease amendment") for its San Francisco, California corporate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headquarters, whereby the Company surrendered to the landlord approximately 165,000 square feet of office space and agreed to pay an aggregate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$79.0 million in termination payments. The termination fees occurred in three tranches: approximately 52,000 square feet and $28.1 million paid in October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 upon the execution of the lease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54,000 square feet and $14.9 million paid in June 2024, and the remaining 59,000 square feet and $36.0 million paid in January 2025.</w:t>
      </w:r>
    </w:p>
    <w:p>
      <w:pPr>
        <w:spacing w:after="0" w:line="249"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As of March 31, 2025, the Company had $84.3 million in commitments for leases that have not yet commenced, and therefore is not included in the right-of-use asset or lease liability. These leases will commence in 2025, with lease terms of 6 to 7 years.</w:t>
      </w:r>
    </w:p>
    <w:p>
      <w:pPr>
        <w:spacing w:after="0" w:line="200" w:lineRule="exact"/>
        <w:rPr>
          <w:sz w:val="20"/>
          <w:szCs w:val="20"/>
          <w:color w:val="auto"/>
        </w:rPr>
      </w:pPr>
    </w:p>
    <w:p>
      <w:pPr>
        <w:spacing w:after="0" w:line="20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9.</w:t>
        <w:tab/>
        <w:t>Commitments and Contingencies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matters</w:t>
      </w:r>
    </w:p>
    <w:p>
      <w:pPr>
        <w:spacing w:after="0" w:line="122"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22"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2" w:lineRule="exact"/>
        <w:rPr>
          <w:sz w:val="20"/>
          <w:szCs w:val="20"/>
          <w:color w:val="auto"/>
        </w:rPr>
      </w:pPr>
    </w:p>
    <w:p>
      <w:pPr>
        <w:jc w:val="both"/>
        <w:ind w:right="300" w:firstLine="392"/>
        <w:spacing w:after="0" w:line="276" w:lineRule="auto"/>
        <w:rPr>
          <w:sz w:val="20"/>
          <w:szCs w:val="20"/>
          <w:color w:val="auto"/>
        </w:rPr>
      </w:pPr>
      <w:r>
        <w:rPr>
          <w:rFonts w:ascii="Times New Roman" w:cs="Times New Roman" w:eastAsia="Times New Roman" w:hAnsi="Times New Roman"/>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10. Accrued and Other Current Liabilities</w:t>
            </w: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68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and other current liabilities consisted of the following:</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9"/>
        </w:trPr>
        <w:tc>
          <w:tcPr>
            <w:tcW w:w="68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5"/>
        </w:trPr>
        <w:tc>
          <w:tcPr>
            <w:tcW w:w="68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Non-income taxes payable</w:t>
            </w:r>
          </w:p>
        </w:tc>
        <w:tc>
          <w:tcPr>
            <w:tcW w:w="168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and other external fees</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indemnification holdbacks</w:t>
            </w: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and current liabilities</w:t>
            </w:r>
          </w:p>
        </w:tc>
        <w:tc>
          <w:tcPr>
            <w:tcW w:w="1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w:t>
            </w:r>
          </w:p>
        </w:tc>
      </w:tr>
      <w:tr>
        <w:trPr>
          <w:trHeight w:val="24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1680" w:type="dxa"/>
            <w:vAlign w:val="bottom"/>
            <w:tcBorders>
              <w:bottom w:val="single" w:sz="8" w:color="auto"/>
            </w:tcBorders>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11.Stockholders’ Deficit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2" w:lineRule="exact"/>
        <w:rPr>
          <w:sz w:val="20"/>
          <w:szCs w:val="20"/>
          <w:color w:val="auto"/>
        </w:rPr>
      </w:pPr>
    </w:p>
    <w:p>
      <w:pPr>
        <w:ind w:firstLine="392"/>
        <w:spacing w:after="0" w:line="268"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00" w:lineRule="exact"/>
        <w:rPr>
          <w:sz w:val="20"/>
          <w:szCs w:val="20"/>
          <w:color w:val="auto"/>
        </w:rPr>
      </w:pPr>
    </w:p>
    <w:p>
      <w:pPr>
        <w:spacing w:after="0" w:line="208"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As of March 31, 2025, the Company had authorized 2,400.0 million shares of Class A common stock, 475.0 million shares of Class B common stock, and 800.0 million shares of Class C common stock, each at par value of $0.00001. Holders of Class B common stock voluntarily converted 0.6 million and 0.7 million shares during the three months ended March 31, 2025 and 2024, respectively.</w:t>
      </w:r>
    </w:p>
    <w:p>
      <w:pPr>
        <w:spacing w:after="0" w:line="188"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As of March 31, 2025, 202.6 million shares of Class A common stock, 76.8 million shares of Class B common stock, and no shares of Class C common stock were issued and outstanding. As of December 31, 2024, 218.4 million shares of Class A common stock, 77.5 million shares of Class B common stock, and no shares of Class C common stock were issued and outstanding. Class A shares issued and outstanding as of March 31, 2025 and December 31, 2024 exclude unvested restricted stock awards granted to certain executives. Class A shares issued and outstanding also exclude 8.3 million unvested restricted stock awards granted to one of the Company's co-founders as of March 31, 2025 and December 31, 2024, respectively. See "Co-Founder Grant" section below for additional information.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3"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time-to-time by the Board of Directors.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253"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In February 2022, the Board of Directors authorized a $1.2 billion share repurchase program, which the Company completed during the three months ended March 31, 2024. In July 2023, the Board of Directors authorized an additional $1.2 billion share repurchase program, which the Company completed during the three months ended March 31, 2025. In December 2024, the Board of Directors authorized a third $1.2 billion share repurchase program, under which the Company continues to repurchase shares.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343"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2025 and 2024, the Company repurchased and subsequently retired 18.1 million and 11.1 million shares of its Class A common stock, for aggregate amounts of $504.1 million and $281.6 million, respectively. During the three months ended March 31, 2025 and 2024, the 1% excise tax imposed as part of the Inflation Reduction Act is included in the cost of treasury stock acquired pursuant to common share repurchases. Additionally, repurchases during the three months ended March 31, 2025 included repurchase execution costs incurred in connection with the Company’s share repurchase program.</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253" w:lineRule="exact"/>
        <w:rPr>
          <w:sz w:val="20"/>
          <w:szCs w:val="20"/>
          <w:color w:val="auto"/>
        </w:rPr>
      </w:pPr>
    </w:p>
    <w:p>
      <w:pPr>
        <w:ind w:right="160" w:firstLine="392"/>
        <w:spacing w:after="0" w:line="266" w:lineRule="auto"/>
        <w:rPr>
          <w:sz w:val="20"/>
          <w:szCs w:val="20"/>
          <w:color w:val="auto"/>
        </w:rPr>
      </w:pPr>
      <w:r>
        <w:rPr>
          <w:rFonts w:ascii="Times New Roman" w:cs="Times New Roman" w:eastAsia="Times New Roman" w:hAnsi="Times New Roman"/>
          <w:sz w:val="17"/>
          <w:szCs w:val="17"/>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2018 Plan, unless terminated earlier by the Company's Board of Directors. The 2018 Plan was adopted on March 22, 2018.</w:t>
      </w:r>
    </w:p>
    <w:p>
      <w:pPr>
        <w:spacing w:after="0" w:line="118"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73" w:lineRule="exact"/>
        <w:rPr>
          <w:sz w:val="20"/>
          <w:szCs w:val="20"/>
          <w:color w:val="auto"/>
        </w:rPr>
      </w:pPr>
    </w:p>
    <w:p>
      <w:pPr>
        <w:ind w:right="360" w:firstLine="392"/>
        <w:spacing w:after="0" w:line="276" w:lineRule="auto"/>
        <w:rPr>
          <w:sz w:val="20"/>
          <w:szCs w:val="20"/>
          <w:color w:val="auto"/>
        </w:rPr>
      </w:pPr>
      <w:r>
        <w:rPr>
          <w:rFonts w:ascii="Times New Roman" w:cs="Times New Roman" w:eastAsia="Times New Roman" w:hAnsi="Times New Roman"/>
          <w:sz w:val="17"/>
          <w:szCs w:val="17"/>
          <w:color w:val="auto"/>
        </w:rPr>
        <w:t>As of March 31, 2025, there were 22.5 million stock-based awards issued and outstanding and 139.3 million shares available for issuance under the Dropbox Equity Incentive Plans, Dropbox Sign's 2011 Equity Incentive Plan, DocSend's 2013 Stock Plan and DocSend's 2015 Stock Option and Grant Plan (collectively, the "Plans").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 option and restricted stock activity for the Plans was as follows for the three months ended March 31,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right="280"/>
        <w:spacing w:after="0" w:line="312" w:lineRule="auto"/>
        <w:rPr>
          <w:sz w:val="20"/>
          <w:szCs w:val="20"/>
          <w:color w:val="auto"/>
        </w:rPr>
      </w:pPr>
      <w:r>
        <w:rPr>
          <w:rFonts w:ascii="Times New Roman" w:cs="Times New Roman" w:eastAsia="Times New Roman" w:hAnsi="Times New Roman"/>
          <w:sz w:val="17"/>
          <w:szCs w:val="17"/>
          <w:color w:val="auto"/>
        </w:rPr>
        <w:t>Balance at December 31, 2024 Additional shares authorized</w:t>
      </w:r>
    </w:p>
    <w:p>
      <w:pPr>
        <w:spacing w:after="0" w:line="1" w:lineRule="exact"/>
        <w:rPr>
          <w:sz w:val="20"/>
          <w:szCs w:val="20"/>
          <w:color w:val="auto"/>
        </w:rPr>
      </w:pPr>
    </w:p>
    <w:p>
      <w:pPr>
        <w:ind w:left="20" w:right="180"/>
        <w:spacing w:after="0" w:line="247" w:lineRule="auto"/>
        <w:rPr>
          <w:sz w:val="20"/>
          <w:szCs w:val="20"/>
          <w:color w:val="auto"/>
        </w:rPr>
      </w:pPr>
      <w:r>
        <w:rPr>
          <w:rFonts w:ascii="Times New Roman" w:cs="Times New Roman" w:eastAsia="Times New Roman" w:hAnsi="Times New Roman"/>
          <w:sz w:val="17"/>
          <w:szCs w:val="17"/>
          <w:color w:val="auto"/>
        </w:rPr>
        <w:t>Options exercised and restricted stock units and awards released</w:t>
      </w:r>
    </w:p>
    <w:p>
      <w:pPr>
        <w:spacing w:after="0" w:line="3" w:lineRule="exact"/>
        <w:rPr>
          <w:sz w:val="20"/>
          <w:szCs w:val="20"/>
          <w:color w:val="auto"/>
        </w:rPr>
      </w:pPr>
    </w:p>
    <w:p>
      <w:pPr>
        <w:ind w:left="20" w:right="80"/>
        <w:spacing w:after="0" w:line="247" w:lineRule="auto"/>
        <w:rPr>
          <w:sz w:val="20"/>
          <w:szCs w:val="20"/>
          <w:color w:val="auto"/>
        </w:rPr>
      </w:pPr>
      <w:r>
        <w:rPr>
          <w:rFonts w:ascii="Times New Roman" w:cs="Times New Roman" w:eastAsia="Times New Roman" w:hAnsi="Times New Roman"/>
          <w:sz w:val="17"/>
          <w:szCs w:val="17"/>
          <w:color w:val="auto"/>
        </w:rPr>
        <w:t>Options and restricted stock units and awards canceled</w:t>
      </w:r>
    </w:p>
    <w:p>
      <w:pPr>
        <w:spacing w:after="0" w:line="3" w:lineRule="exact"/>
        <w:rPr>
          <w:sz w:val="20"/>
          <w:szCs w:val="20"/>
          <w:color w:val="auto"/>
        </w:rPr>
      </w:pPr>
    </w:p>
    <w:p>
      <w:pPr>
        <w:ind w:left="20"/>
        <w:spacing w:after="0" w:line="228" w:lineRule="auto"/>
        <w:rPr>
          <w:sz w:val="20"/>
          <w:szCs w:val="20"/>
          <w:color w:val="auto"/>
        </w:rPr>
      </w:pPr>
      <w:r>
        <w:rPr>
          <w:rFonts w:ascii="Times New Roman" w:cs="Times New Roman" w:eastAsia="Times New Roman" w:hAnsi="Times New Roman"/>
          <w:sz w:val="17"/>
          <w:szCs w:val="17"/>
          <w:color w:val="auto"/>
        </w:rPr>
        <w:t>Shares withheld related to net share settlement of restricted stock</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units and awards</w:t>
      </w:r>
    </w:p>
    <w:p>
      <w:pPr>
        <w:spacing w:after="0" w:line="12" w:lineRule="exact"/>
        <w:rPr>
          <w:sz w:val="20"/>
          <w:szCs w:val="20"/>
          <w:color w:val="auto"/>
        </w:rPr>
      </w:pPr>
    </w:p>
    <w:p>
      <w:pPr>
        <w:ind w:left="20" w:right="80"/>
        <w:spacing w:after="0" w:line="241" w:lineRule="auto"/>
        <w:rPr>
          <w:sz w:val="20"/>
          <w:szCs w:val="20"/>
          <w:color w:val="auto"/>
        </w:rPr>
      </w:pPr>
      <w:r>
        <w:rPr>
          <w:rFonts w:ascii="Times New Roman" w:cs="Times New Roman" w:eastAsia="Times New Roman" w:hAnsi="Times New Roman"/>
          <w:sz w:val="17"/>
          <w:szCs w:val="17"/>
          <w:color w:val="auto"/>
        </w:rPr>
        <w:t>Options and restricted stock units and awards granted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Options outstanding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Restricted stock</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136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7"/>
                <w:szCs w:val="17"/>
                <w:color w:val="auto"/>
              </w:rPr>
              <w:t>Number of</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rPr>
              <w:t>Weighted-</w:t>
            </w:r>
          </w:p>
        </w:tc>
        <w:tc>
          <w:tcPr>
            <w:tcW w:w="124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7"/>
                <w:szCs w:val="17"/>
                <w:color w:val="auto"/>
              </w:rPr>
              <w:t>Weighted-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0"/>
        </w:trPr>
        <w:tc>
          <w:tcPr>
            <w:tcW w:w="136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w w:val="98"/>
              </w:rPr>
              <w:t>shares</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6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rPr>
              <w:t>available for</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8"/>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124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rPr>
              <w:t>remaining</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53"/>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170"/>
        </w:trPr>
        <w:tc>
          <w:tcPr>
            <w:tcW w:w="136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issuance</w:t>
            </w:r>
          </w:p>
        </w:tc>
        <w:tc>
          <w:tcPr>
            <w:tcW w:w="11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color w:val="auto"/>
              </w:rPr>
              <w:t>exercise</w:t>
            </w:r>
          </w:p>
        </w:tc>
        <w:tc>
          <w:tcPr>
            <w:tcW w:w="12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contractual</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rPr>
              <w:t>Aggregate</w:t>
            </w:r>
          </w:p>
        </w:tc>
        <w:tc>
          <w:tcPr>
            <w:tcW w:w="11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3"/>
              <w:spacing w:after="0" w:line="170"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170"/>
        </w:trPr>
        <w:tc>
          <w:tcPr>
            <w:tcW w:w="136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1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color w:val="auto"/>
                <w:w w:val="99"/>
              </w:rPr>
              <w:t>price</w:t>
            </w:r>
          </w:p>
        </w:tc>
        <w:tc>
          <w:tcPr>
            <w:tcW w:w="124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term</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3"/>
              <w:spacing w:after="0" w:line="170" w:lineRule="exact"/>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35"/>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per share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years)</w:t>
            </w: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intrinsic value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per share</w:t>
            </w:r>
          </w:p>
        </w:tc>
        <w:tc>
          <w:tcPr>
            <w:tcW w:w="0" w:type="dxa"/>
            <w:vAlign w:val="bottom"/>
          </w:tcPr>
          <w:p>
            <w:pPr>
              <w:spacing w:after="0"/>
              <w:rPr>
                <w:sz w:val="1"/>
                <w:szCs w:val="1"/>
                <w:color w:val="auto"/>
              </w:rPr>
            </w:pPr>
          </w:p>
        </w:tc>
      </w:tr>
      <w:tr>
        <w:trPr>
          <w:trHeight w:val="215"/>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219"/>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0" w:type="dxa"/>
            <w:vAlign w:val="bottom"/>
          </w:tcPr>
          <w:p>
            <w:pPr>
              <w:spacing w:after="0"/>
              <w:rPr>
                <w:sz w:val="1"/>
                <w:szCs w:val="1"/>
                <w:color w:val="auto"/>
              </w:rPr>
            </w:pPr>
          </w:p>
        </w:tc>
      </w:tr>
      <w:tr>
        <w:trPr>
          <w:trHeight w:val="405"/>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0" w:type="dxa"/>
            <w:vAlign w:val="bottom"/>
          </w:tcPr>
          <w:p>
            <w:pPr>
              <w:spacing w:after="0"/>
              <w:rPr>
                <w:sz w:val="1"/>
                <w:szCs w:val="1"/>
                <w:color w:val="auto"/>
              </w:rPr>
            </w:pPr>
          </w:p>
        </w:tc>
      </w:tr>
      <w:tr>
        <w:trPr>
          <w:trHeight w:val="575"/>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3"/>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-1458595</wp:posOffset>
            </wp:positionV>
            <wp:extent cx="7136765" cy="165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-1134745</wp:posOffset>
            </wp:positionV>
            <wp:extent cx="7136765"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25717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-620395</wp:posOffset>
            </wp:positionV>
            <wp:extent cx="7136765" cy="365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3651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40" w:space="40"/>
            <w:col w:w="87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540" w:type="dxa"/>
            <w:vAlign w:val="bottom"/>
            <w:tcBorders>
              <w:top w:val="single" w:sz="8" w:color="CCEEFF"/>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CCEEFF"/>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6.13</w:t>
            </w:r>
          </w:p>
        </w:tc>
        <w:tc>
          <w:tcPr>
            <w:tcW w:w="8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3.4</w:t>
            </w:r>
          </w:p>
        </w:tc>
        <w:tc>
          <w:tcPr>
            <w:tcW w:w="540" w:type="dxa"/>
            <w:vAlign w:val="bottom"/>
            <w:tcBorders>
              <w:top w:val="single" w:sz="8" w:color="CCEEFF"/>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CCEEFF"/>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0.3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500" w:type="dxa"/>
            <w:vAlign w:val="bottom"/>
            <w:tcBorders>
              <w:top w:val="single" w:sz="8" w:color="CCEEFF"/>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at March 31, 2025</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4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0.1</w:t>
            </w:r>
          </w:p>
        </w:tc>
        <w:tc>
          <w:tcPr>
            <w:tcW w:w="540" w:type="dxa"/>
            <w:vAlign w:val="bottom"/>
          </w:tcPr>
          <w:p>
            <w:pPr>
              <w:jc w:val="right"/>
              <w:ind w:right="23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453"/>
              <w:spacing w:after="0" w:line="194" w:lineRule="exact"/>
              <w:rPr>
                <w:sz w:val="20"/>
                <w:szCs w:val="20"/>
                <w:color w:val="auto"/>
              </w:rPr>
            </w:pPr>
            <w:r>
              <w:rPr>
                <w:rFonts w:ascii="Times New Roman" w:cs="Times New Roman" w:eastAsia="Times New Roman" w:hAnsi="Times New Roman"/>
                <w:sz w:val="17"/>
                <w:szCs w:val="17"/>
                <w:color w:val="auto"/>
              </w:rPr>
              <w:t>6.13</w:t>
            </w:r>
          </w:p>
        </w:tc>
        <w:tc>
          <w:tcPr>
            <w:tcW w:w="820" w:type="dxa"/>
            <w:vAlign w:val="bottom"/>
          </w:tcPr>
          <w:p>
            <w:pPr>
              <w:ind w:left="540"/>
              <w:spacing w:after="0" w:line="194" w:lineRule="exact"/>
              <w:rPr>
                <w:sz w:val="20"/>
                <w:szCs w:val="20"/>
                <w:color w:val="auto"/>
              </w:rPr>
            </w:pPr>
            <w:r>
              <w:rPr>
                <w:rFonts w:ascii="Times New Roman" w:cs="Times New Roman" w:eastAsia="Times New Roman" w:hAnsi="Times New Roman"/>
                <w:sz w:val="17"/>
                <w:szCs w:val="17"/>
                <w:color w:val="auto"/>
              </w:rPr>
              <w:t>3.4</w:t>
            </w:r>
          </w:p>
        </w:tc>
        <w:tc>
          <w:tcPr>
            <w:tcW w:w="540" w:type="dxa"/>
            <w:vAlign w:val="bottom"/>
          </w:tcPr>
          <w:p>
            <w:pPr>
              <w:jc w:val="right"/>
              <w:ind w:right="293"/>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rPr>
              <w:t>0.3</w:t>
            </w:r>
          </w:p>
        </w:tc>
        <w:tc>
          <w:tcPr>
            <w:tcW w:w="1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213"/>
              <w:spacing w:after="0" w:line="194"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March 31, 2025</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 summarizes information about the pre-tax intrinsic value of options exercised during the three months ended March 31, 2025 and 2024:</w:t>
      </w:r>
    </w:p>
    <w:p>
      <w:pPr>
        <w:spacing w:after="0" w:line="20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15875</wp:posOffset>
            </wp:positionV>
            <wp:extent cx="2306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line="11" w:lineRule="exact"/>
        <w:rPr>
          <w:sz w:val="20"/>
          <w:szCs w:val="20"/>
          <w:color w:val="auto"/>
        </w:rPr>
      </w:pPr>
    </w:p>
    <w:p>
      <w:pPr>
        <w:ind w:left="8320"/>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p>
    <w:p>
      <w:pPr>
        <w:spacing w:after="0" w:line="34" w:lineRule="exact"/>
        <w:rPr>
          <w:sz w:val="20"/>
          <w:szCs w:val="20"/>
          <w:color w:val="auto"/>
        </w:rPr>
      </w:pPr>
    </w:p>
    <w:p>
      <w:pPr>
        <w:ind w:left="20"/>
        <w:spacing w:after="0"/>
        <w:tabs>
          <w:tab w:leader="none" w:pos="7600" w:val="left"/>
          <w:tab w:leader="none" w:pos="9120" w:val="left"/>
          <w:tab w:leader="none" w:pos="9480" w:val="left"/>
          <w:tab w:leader="none" w:pos="10940" w:val="left"/>
        </w:tabs>
        <w:rPr>
          <w:sz w:val="20"/>
          <w:szCs w:val="20"/>
          <w:color w:val="auto"/>
        </w:rPr>
      </w:pPr>
      <w:r>
        <w:rPr>
          <w:rFonts w:ascii="Times New Roman" w:cs="Times New Roman" w:eastAsia="Times New Roman" w:hAnsi="Times New Roman"/>
          <w:sz w:val="17"/>
          <w:szCs w:val="17"/>
          <w:color w:val="auto"/>
        </w:rPr>
        <w:t>Intrinsic value of options exercised</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7"/>
          <w:szCs w:val="17"/>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765" cy="149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315" w:lineRule="exact"/>
        <w:rPr>
          <w:sz w:val="20"/>
          <w:szCs w:val="20"/>
          <w:color w:val="auto"/>
        </w:rPr>
      </w:pPr>
    </w:p>
    <w:p>
      <w:pPr>
        <w:ind w:right="240" w:firstLine="392"/>
        <w:spacing w:after="0" w:line="276" w:lineRule="auto"/>
        <w:rPr>
          <w:sz w:val="20"/>
          <w:szCs w:val="20"/>
          <w:color w:val="auto"/>
        </w:rPr>
      </w:pPr>
      <w:r>
        <w:rPr>
          <w:rFonts w:ascii="Times New Roman" w:cs="Times New Roman" w:eastAsia="Times New Roman" w:hAnsi="Times New Roman"/>
          <w:sz w:val="17"/>
          <w:szCs w:val="17"/>
          <w:color w:val="auto"/>
        </w:rPr>
        <w:t>As of March 31, 2025, unamortized stock-based compensation related to unvested stock options, restricted stock awards, and RSUs was $517.2 million. The weighted-average period over which such compensation expense will be recognized if the requisite service is provided is approximately 2.5 years as of March 31, 2025.</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Co-Founder Grant</w:t>
      </w:r>
    </w:p>
    <w:p>
      <w:pPr>
        <w:spacing w:after="0" w:line="355"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In December 2017, the Board of Directors approved the Co-Founder Grant, consisting of 10.3 million shares of Class A common stock in the form of RSAs granted to Drew Houston, the Company’s co-founder and Chief Executive Officer. The Co-Founder Grant is subject to service-, market-, and performance-based vesting conditions and is excluded from issued and outstanding shares until vesting. Mr. Houston holds voting rights and rights to cumulative declared dividends prior to vesting.</w:t>
      </w:r>
    </w:p>
    <w:p>
      <w:pPr>
        <w:spacing w:after="0" w:line="195"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The Co-Founder Grant vests over ten years following the Company’s IPO, based on the achievement of stock price targets during a consecutive thirty-day trading period within the Performance Period, which began on January 1, 2019.</w:t>
      </w:r>
    </w:p>
    <w:p>
      <w:pPr>
        <w:spacing w:after="0" w:line="173"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The first tranche, or 2.1 million shares, vested in the fourth quarter of 2021. Stock-based compensation expense was recognized over the derived service period using the accelerated attribution method and will not be reversed if the market conditions are not met for the remaining tranches.</w:t>
      </w:r>
    </w:p>
    <w:p>
      <w:pPr>
        <w:spacing w:after="0" w:line="173" w:lineRule="exact"/>
        <w:rPr>
          <w:sz w:val="20"/>
          <w:szCs w:val="20"/>
          <w:color w:val="auto"/>
        </w:rPr>
      </w:pPr>
    </w:p>
    <w:p>
      <w:pPr>
        <w:ind w:right="60" w:firstLine="392"/>
        <w:spacing w:after="0" w:line="268" w:lineRule="auto"/>
        <w:rPr>
          <w:sz w:val="20"/>
          <w:szCs w:val="20"/>
          <w:color w:val="auto"/>
        </w:rPr>
      </w:pPr>
      <w:r>
        <w:rPr>
          <w:rFonts w:ascii="Times New Roman" w:cs="Times New Roman" w:eastAsia="Times New Roman" w:hAnsi="Times New Roman"/>
          <w:sz w:val="17"/>
          <w:szCs w:val="17"/>
          <w:color w:val="auto"/>
        </w:rPr>
        <w:t>The Company recognized no stock-based compensation expense related to the Co-Founder Grant during the three months ended March 31, 2025, and $1.1 million during the three months ended March 31, 2024. The stock-based compensation expense related to the Co-Founder Grant was fully recognized in the fourth quarter of 2024.</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Net Income Per Share</w:t>
      </w:r>
    </w:p>
    <w:p>
      <w:pPr>
        <w:spacing w:after="0" w:line="251"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8"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Basic net income per share is computed by dividing net income attributable to common stockholders by the weighted-average number of shares of the Class A and Class B common stock outstanding.</w:t>
      </w:r>
    </w:p>
    <w:p>
      <w:pPr>
        <w:spacing w:after="0" w:line="173"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7"/>
          <w:szCs w:val="17"/>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numerators and denominators of the basic and diluted EPS computations for the Company's common stock are calculated as follows (in millions, except for per share amounts):</w:t>
      </w:r>
    </w:p>
    <w:p>
      <w:pPr>
        <w:spacing w:after="0" w:line="206"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common share,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0.40</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Reallocation of net income as a result of conversion of Class B to Class A</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Reallocation of net income to Class B common stock</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 for diluted EPS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150.3</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39.1</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132.3</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effect of dilutive restricted stock units and awards and</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stock options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Class B to Class A common stock</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2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diluted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per common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0.51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0.51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weighted-average impact of potentially dilutive securities that were not included in the diluted per share calculations because they would be anti-dilutive was as follows:</w:t>
      </w:r>
    </w:p>
    <w:p>
      <w:pPr>
        <w:spacing w:after="0" w:line="20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56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awards</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2"/>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 to purchase shares of common stock</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Co-Founder Grant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2"/>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2"/>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15"/>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2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w:t>
            </w:r>
          </w:p>
        </w:tc>
      </w:tr>
      <w:tr>
        <w:trPr>
          <w:trHeight w:val="20"/>
        </w:trPr>
        <w:tc>
          <w:tcPr>
            <w:tcW w:w="7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251"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computed the year-to-date income tax provision by applying the estimated annual effective tax rate to the year-to-date pre-tax income and adjusting for discrete tax items in the period. The Company's provision for income taxes was $19.2 million and $18.8 million for the three months ended March 31, 2025 and 2024, respectively.</w:t>
      </w:r>
    </w:p>
    <w:p>
      <w:pPr>
        <w:spacing w:after="0" w:line="188" w:lineRule="exact"/>
        <w:rPr>
          <w:sz w:val="20"/>
          <w:szCs w:val="20"/>
          <w:color w:val="auto"/>
        </w:rPr>
      </w:pPr>
    </w:p>
    <w:p>
      <w:pPr>
        <w:ind w:right="180" w:firstLine="392"/>
        <w:spacing w:after="0" w:line="295" w:lineRule="auto"/>
        <w:rPr>
          <w:sz w:val="20"/>
          <w:szCs w:val="20"/>
          <w:color w:val="auto"/>
        </w:rPr>
      </w:pPr>
      <w:r>
        <w:rPr>
          <w:rFonts w:ascii="Times New Roman" w:cs="Times New Roman" w:eastAsia="Times New Roman" w:hAnsi="Times New Roman"/>
          <w:sz w:val="17"/>
          <w:szCs w:val="17"/>
          <w:color w:val="auto"/>
        </w:rPr>
        <w:t>For the three months ended March 31, 2025 and 2024, the difference between the U.S. statutory rate and the Company's effective tax rate was primarily due to jurisdictional mix of earnings, tax credits, and state income taxes.</w:t>
      </w:r>
    </w:p>
    <w:p>
      <w:pPr>
        <w:spacing w:after="0" w:line="173"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March 31, 2025, the Company continues to maintain valuation allowances against its deferred tax assets in certain states and one foreign jurisdiction.</w:t>
      </w:r>
    </w:p>
    <w:p>
      <w:pPr>
        <w:spacing w:after="0" w:line="195"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73" w:lineRule="exact"/>
        <w:rPr>
          <w:sz w:val="20"/>
          <w:szCs w:val="20"/>
          <w:color w:val="auto"/>
        </w:rPr>
      </w:pPr>
    </w:p>
    <w:p>
      <w:pPr>
        <w:ind w:right="240" w:firstLine="392"/>
        <w:spacing w:after="0" w:line="276" w:lineRule="auto"/>
        <w:rPr>
          <w:sz w:val="20"/>
          <w:szCs w:val="20"/>
          <w:color w:val="auto"/>
        </w:rPr>
      </w:pPr>
      <w:r>
        <w:rPr>
          <w:rFonts w:ascii="Times New Roman" w:cs="Times New Roman" w:eastAsia="Times New Roman" w:hAnsi="Times New Roman"/>
          <w:sz w:val="17"/>
          <w:szCs w:val="17"/>
          <w:color w:val="auto"/>
        </w:rPr>
        <w:t>Unrecognized tax benefits increased by $5.2 million during the three months ended March 31, 2025. The increase was driven by a gross increase in unrecognized tax benefits related to tax positions taken in the period, of which $4.1 million, if recognized, would affect the Company's effective tax rate and $1.1 million would result in adjustment to deferred tax assets with corresponding adjustments to the valuation allowance.</w:t>
      </w:r>
    </w:p>
    <w:p>
      <w:pPr>
        <w:spacing w:after="0" w:line="188" w:lineRule="exact"/>
        <w:rPr>
          <w:sz w:val="20"/>
          <w:szCs w:val="20"/>
          <w:color w:val="auto"/>
        </w:rPr>
      </w:pPr>
    </w:p>
    <w:p>
      <w:pPr>
        <w:jc w:val="both"/>
        <w:ind w:right="60" w:firstLine="392"/>
        <w:spacing w:after="0" w:line="276" w:lineRule="auto"/>
        <w:rPr>
          <w:sz w:val="20"/>
          <w:szCs w:val="20"/>
          <w:color w:val="auto"/>
        </w:rPr>
      </w:pPr>
      <w:r>
        <w:rPr>
          <w:rFonts w:ascii="Times New Roman" w:cs="Times New Roman" w:eastAsia="Times New Roman" w:hAnsi="Times New Roman"/>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Segment Information and Geographic Areas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122" w:lineRule="exact"/>
        <w:rPr>
          <w:sz w:val="20"/>
          <w:szCs w:val="20"/>
          <w:color w:val="auto"/>
        </w:rPr>
      </w:pPr>
    </w:p>
    <w:p>
      <w:pPr>
        <w:ind w:right="100" w:firstLine="431"/>
        <w:spacing w:after="0" w:line="269" w:lineRule="auto"/>
        <w:rPr>
          <w:sz w:val="20"/>
          <w:szCs w:val="20"/>
          <w:color w:val="auto"/>
        </w:rPr>
      </w:pPr>
      <w:r>
        <w:rPr>
          <w:rFonts w:ascii="Times New Roman" w:cs="Times New Roman" w:eastAsia="Times New Roman" w:hAnsi="Times New Roman"/>
          <w:sz w:val="17"/>
          <w:szCs w:val="17"/>
          <w:color w:val="auto"/>
        </w:rPr>
        <w:t>The Company’s chief operating decision-maker (“CODM”), the Chief Executive Officer, manages the Company's business activities as a single operating and reportable segment at the consolidated level. Accordingly, the CODM uses consolidated net income, as reported on the consolidated statements of operations, to allocate resources as part of the annual planning process and to assess the performance of the Company's single reportable segment, primarily by monitoring actual results versus the annual plan.</w:t>
      </w:r>
    </w:p>
    <w:p>
      <w:pPr>
        <w:spacing w:after="0" w:line="195" w:lineRule="exact"/>
        <w:rPr>
          <w:sz w:val="20"/>
          <w:szCs w:val="20"/>
          <w:color w:val="auto"/>
        </w:rPr>
      </w:pPr>
    </w:p>
    <w:p>
      <w:pPr>
        <w:ind w:right="320" w:firstLine="431"/>
        <w:spacing w:after="0" w:line="266" w:lineRule="auto"/>
        <w:rPr>
          <w:sz w:val="20"/>
          <w:szCs w:val="20"/>
          <w:color w:val="auto"/>
        </w:rPr>
      </w:pPr>
      <w:r>
        <w:rPr>
          <w:rFonts w:ascii="Times New Roman" w:cs="Times New Roman" w:eastAsia="Times New Roman" w:hAnsi="Times New Roman"/>
          <w:sz w:val="17"/>
          <w:szCs w:val="17"/>
          <w:color w:val="auto"/>
        </w:rPr>
        <w:t>The significant expenses reviewed by the CODM are cost of revenue, research and development, sales and marketing, general and administrative, and stock-based compensation, as presented in the condensed consolidated statements of operations. Cost of revenue, research and development, sales and marketing, and general and administrative expenses include depreciation and amortization expense, which are disclosed in Note 4 "Property and Equipment, Net" and Note 5 "Intangible Assets", respectively. Other segment items consist of interest (expense) income, net, other income (loss), net, and provision for income taxes, as presented in the condensed consolidated statements of operations.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CODM does not evaluate segment performance using balance sheet information.</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Geographic Areas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Long-lived assets and revenue by geographic region, based on the physical location of the operations recording the asset or the sale, are as follows:</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long-lived assets by geographic area: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760" w:type="dxa"/>
            <w:vAlign w:val="bottom"/>
            <w:tcBorders>
              <w:bottom w:val="single" w:sz="8" w:color="auto"/>
            </w:tcBorders>
          </w:tcPr>
          <w:p>
            <w:pPr>
              <w:spacing w:after="0"/>
              <w:rPr>
                <w:sz w:val="19"/>
                <w:szCs w:val="19"/>
                <w:color w:val="auto"/>
              </w:rPr>
            </w:pPr>
          </w:p>
        </w:tc>
      </w:tr>
      <w:tr>
        <w:trPr>
          <w:trHeight w:val="215"/>
        </w:trPr>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20" w:type="dxa"/>
            <w:vAlign w:val="bottom"/>
          </w:tcPr>
          <w:p>
            <w:pPr>
              <w:spacing w:after="0"/>
              <w:rPr>
                <w:sz w:val="18"/>
                <w:szCs w:val="18"/>
                <w:color w:val="auto"/>
              </w:rPr>
            </w:pPr>
          </w:p>
        </w:tc>
        <w:tc>
          <w:tcPr>
            <w:tcW w:w="17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1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w:t>
            </w:r>
          </w:p>
        </w:tc>
      </w:tr>
      <w:tr>
        <w:trPr>
          <w:trHeight w:val="222"/>
        </w:trPr>
        <w:tc>
          <w:tcPr>
            <w:tcW w:w="71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right="660" w:firstLine="5"/>
        <w:spacing w:after="0"/>
        <w:tabs>
          <w:tab w:leader="none" w:pos="16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other than the United States had a property and equipment balance greater than 10% of total property and equipment, net, as of March 31, 2025 and December 31, 2024.</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Revenue by geography is generally based on the address of the customer as defined in the Company’s subscription agreement. The following table sets forth revenue by geographic area for the three months ended March 31, 2025 and 2024.</w:t>
      </w:r>
    </w:p>
    <w:p>
      <w:pPr>
        <w:spacing w:after="0" w:line="21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w:t>
            </w:r>
          </w:p>
        </w:tc>
      </w:tr>
      <w:tr>
        <w:trPr>
          <w:trHeight w:val="222"/>
        </w:trPr>
        <w:tc>
          <w:tcPr>
            <w:tcW w:w="76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273.0</w:t>
            </w:r>
          </w:p>
        </w:tc>
      </w:tr>
      <w:tr>
        <w:trPr>
          <w:trHeight w:val="24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left="160" w:hanging="155"/>
        <w:spacing w:after="0"/>
        <w:tabs>
          <w:tab w:leader="none" w:pos="16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outside of the United States accounted for more than 10% of total revenue during the three months ended March 31, 2025 and 2024, respectively.</w:t>
      </w:r>
    </w:p>
    <w:p>
      <w:pPr>
        <w:spacing w:after="0" w:line="200" w:lineRule="exact"/>
        <w:rPr>
          <w:rFonts w:ascii="Times New Roman" w:cs="Times New Roman" w:eastAsia="Times New Roman" w:hAnsi="Times New Roman"/>
          <w:sz w:val="18"/>
          <w:szCs w:val="18"/>
          <w:color w:val="auto"/>
          <w:vertAlign w:val="superscript"/>
        </w:rPr>
      </w:pPr>
    </w:p>
    <w:p>
      <w:pPr>
        <w:spacing w:after="0" w:line="349"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right="960" w:firstLine="392"/>
        <w:spacing w:after="0" w:line="295" w:lineRule="auto"/>
        <w:rPr>
          <w:sz w:val="20"/>
          <w:szCs w:val="20"/>
          <w:color w:val="auto"/>
        </w:rPr>
      </w:pPr>
      <w:r>
        <w:rPr>
          <w:rFonts w:ascii="Times New Roman" w:cs="Times New Roman" w:eastAsia="Times New Roman" w:hAnsi="Times New Roman"/>
          <w:sz w:val="17"/>
          <w:szCs w:val="17"/>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73"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spacing w:after="0" w:line="173"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By solving these universal problems, we’ve become invaluable to our users. The popularity of our platform allows us to scale efficiently. We’ve built a thriving global business with 18.16 million paying users.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Subscription Plans</w:t>
      </w:r>
    </w:p>
    <w:p>
      <w:pPr>
        <w:spacing w:after="0" w:line="120" w:lineRule="exact"/>
        <w:rPr>
          <w:sz w:val="20"/>
          <w:szCs w:val="20"/>
          <w:color w:val="auto"/>
        </w:rPr>
      </w:pPr>
    </w:p>
    <w:p>
      <w:pPr>
        <w:ind w:right="40" w:firstLine="392"/>
        <w:spacing w:after="0" w:line="261" w:lineRule="auto"/>
        <w:rPr>
          <w:sz w:val="20"/>
          <w:szCs w:val="20"/>
          <w:color w:val="auto"/>
        </w:rPr>
      </w:pPr>
      <w:r>
        <w:rPr>
          <w:rFonts w:ascii="Times New Roman" w:cs="Times New Roman" w:eastAsia="Times New Roman" w:hAnsi="Times New Roman"/>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Professional or Essentials plan, or purchase multiple licenses through our Family plan or our Standard, Advanced, Business, Business Plus and Enterprise team plans. We also offer Dash for Business, our AI-powered universal search tool, which we offer to teams at an additional cost.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4"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Our premium subscription plans, such as Professional and Advanced, provide more functionality than our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95"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Our bundle subscription plans, such as Dropbox Essentials for solo professionals, Dropbox Business for small teams, and Dropbox Business Plus for larger teams, provide professionals and teams the ability to consolidate multiple offerings such as PDF editing, eSignature capabilities, document analytics, video collaboration tools, and advanced security functionality into a single place to manage their content.</w:t>
      </w:r>
    </w:p>
    <w:p>
      <w:pPr>
        <w:spacing w:after="0" w:line="188" w:lineRule="exact"/>
        <w:rPr>
          <w:sz w:val="20"/>
          <w:szCs w:val="20"/>
          <w:color w:val="auto"/>
        </w:rPr>
      </w:pPr>
    </w:p>
    <w:p>
      <w:pPr>
        <w:ind w:right="20" w:firstLine="431"/>
        <w:spacing w:after="0" w:line="269" w:lineRule="auto"/>
        <w:rPr>
          <w:sz w:val="20"/>
          <w:szCs w:val="20"/>
          <w:color w:val="auto"/>
        </w:rPr>
      </w:pPr>
      <w:r>
        <w:rPr>
          <w:rFonts w:ascii="Times New Roman" w:cs="Times New Roman" w:eastAsia="Times New Roman" w:hAnsi="Times New Roman"/>
          <w:sz w:val="17"/>
          <w:szCs w:val="17"/>
          <w:color w:val="auto"/>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 We made the strategic decision to significantly reduce investments in FormSwift at the beginning of 2025.</w:t>
      </w:r>
    </w:p>
    <w:p>
      <w:pPr>
        <w:spacing w:after="0" w:line="195" w:lineRule="exact"/>
        <w:rPr>
          <w:sz w:val="20"/>
          <w:szCs w:val="20"/>
          <w:color w:val="auto"/>
        </w:rPr>
      </w:pPr>
    </w:p>
    <w:p>
      <w:pPr>
        <w:jc w:val="both"/>
        <w:ind w:right="100" w:firstLine="392"/>
        <w:spacing w:after="0" w:line="276" w:lineRule="auto"/>
        <w:rPr>
          <w:sz w:val="20"/>
          <w:szCs w:val="20"/>
          <w:color w:val="auto"/>
        </w:rPr>
      </w:pPr>
      <w:r>
        <w:rPr>
          <w:rFonts w:ascii="Times New Roman" w:cs="Times New Roman" w:eastAsia="Times New Roman" w:hAnsi="Times New Roman"/>
          <w:sz w:val="17"/>
          <w:szCs w:val="17"/>
          <w:color w:val="auto"/>
        </w:rPr>
        <w:t>We also offer DocSend as our secure document sharing and analytics solution. DocSend offers paid subscription plans, including a Personal plan designed for individuals and Standard, Advanced, Advanced Data Rooms and Enterprise plans designed for business users and teams. Similar to Dropbox plans, pricing of DocSend's plans is based on the number of licenses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pacing w:after="0" w:line="188"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Dropbox Sign products are offered globally, with pricing primarily denominated in U.S. dollars.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20"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Drive new signups</w:t>
      </w:r>
    </w:p>
    <w:p>
      <w:pPr>
        <w:spacing w:after="0" w:line="253" w:lineRule="exact"/>
        <w:rPr>
          <w:sz w:val="20"/>
          <w:szCs w:val="20"/>
          <w:color w:val="auto"/>
        </w:rPr>
      </w:pPr>
    </w:p>
    <w:p>
      <w:pPr>
        <w:ind w:right="280" w:firstLine="392"/>
        <w:spacing w:after="0" w:line="276" w:lineRule="auto"/>
        <w:rPr>
          <w:sz w:val="20"/>
          <w:szCs w:val="20"/>
          <w:color w:val="auto"/>
        </w:rPr>
      </w:pPr>
      <w:r>
        <w:rPr>
          <w:rFonts w:ascii="Times New Roman" w:cs="Times New Roman" w:eastAsia="Times New Roman" w:hAnsi="Times New Roman"/>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 conversion of registered users to our paid subscription plans</w:t>
      </w:r>
    </w:p>
    <w:p>
      <w:pPr>
        <w:spacing w:after="0" w:line="25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Upgrade and expand existing customers</w:t>
      </w:r>
    </w:p>
    <w:p>
      <w:pPr>
        <w:spacing w:after="0" w:line="253" w:lineRule="exact"/>
        <w:rPr>
          <w:sz w:val="20"/>
          <w:szCs w:val="20"/>
          <w:color w:val="auto"/>
        </w:rPr>
      </w:pPr>
    </w:p>
    <w:p>
      <w:pPr>
        <w:ind w:right="20" w:firstLine="392"/>
        <w:spacing w:after="0" w:line="265" w:lineRule="auto"/>
        <w:rPr>
          <w:sz w:val="20"/>
          <w:szCs w:val="20"/>
          <w:color w:val="auto"/>
        </w:rPr>
      </w:pPr>
      <w:r>
        <w:rPr>
          <w:rFonts w:ascii="Times New Roman" w:cs="Times New Roman" w:eastAsia="Times New Roman" w:hAnsi="Times New Roman"/>
          <w:sz w:val="17"/>
          <w:szCs w:val="17"/>
          <w:color w:val="auto"/>
        </w:rPr>
        <w:t>We offer a range of paid subscription plans, from Plus, Professional, and Essentials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Reclaim.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Impact of Macroeconomic and Geopolitical Factors on our Business</w:t>
      </w:r>
    </w:p>
    <w:p>
      <w:pPr>
        <w:spacing w:after="0" w:line="253"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Our overall performance depends in part on worldwide economic and geopolitical conditions and their impact on customer behavior. Uncertain economic conditions including inflation, fluctuations in interest rates, fluctuations in foreign exchange rates, impacts of tariffs and retaliatory actions, geopolitical issues, changes in government administration policy positions, and other conditions may adversely impact our results of operations and financial performance.</w:t>
      </w:r>
    </w:p>
    <w:p>
      <w:pPr>
        <w:spacing w:after="0" w:line="188" w:lineRule="exact"/>
        <w:rPr>
          <w:sz w:val="20"/>
          <w:szCs w:val="20"/>
          <w:color w:val="auto"/>
        </w:rPr>
      </w:pPr>
    </w:p>
    <w:p>
      <w:pPr>
        <w:jc w:val="both"/>
        <w:ind w:right="200" w:firstLine="392"/>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2025, our overall performance was in line with expectations, with mixed results across our portfolio. We saw strength in our Individual plans, while elevated churn and down-sell pressure in our Teams plans, partially offset these gains. DocSend delivered solid growth, whereas Sign continued to face a challenging competitive</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environment. Additionally, our strategic decision to significantly reduce investment in FormSwift placed downward pressure on growth.</w:t>
      </w:r>
    </w:p>
    <w:p>
      <w:pPr>
        <w:spacing w:after="0" w:line="249"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II, Item 1A. of this report.</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Reduction in Workforce</w:t>
      </w:r>
    </w:p>
    <w:p>
      <w:pPr>
        <w:spacing w:after="0" w:line="253"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In October 2024, we announced a reduction of our global workforce by approximately 20% to streamline our team structure to better align with our long-term growth and profitability objectives. During the three months ended March 31, 2025, we incurred $2.3 million of expenses related to severance, benefits, and other related items. See Note 1 "Description of the Business and Summary of Significant Accounting Policies - Reduction in Workforce" for additional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51"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Total annual recurring revenue</w:t>
      </w:r>
    </w:p>
    <w:p>
      <w:pPr>
        <w:spacing w:after="0" w:line="122"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197"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spacing w:after="0" w:line="195"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Our ARR fluctuates and may decrease in some periods as compared to prior periods. In the near term, ARR may experience a slight decline, reflecting our strategic decision to significantly reduce investments in FormSwift at the beginning of 2025.</w:t>
      </w:r>
    </w:p>
    <w:p>
      <w:pPr>
        <w:spacing w:after="0" w:line="173"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Total ARR decreased for the period ended March 31, 2025, compared to the periods ended December 31, 2024 and March 31, 2024, primarily driven by our strategic decision to significantly reduce our investment in FormSwift at the beginning of 2025 and upsell weakness in Teams plans.</w:t>
      </w:r>
    </w:p>
    <w:p>
      <w:pPr>
        <w:spacing w:after="0" w:line="173"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The below tables set forth our Total ARR using the exchange rates set at the beginning of the applicable year, as well as on a constant currency basis relative to the exchange rates used in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4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jc w:val="center"/>
              <w:ind w:right="2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$2,552</w:t>
            </w:r>
          </w:p>
        </w:tc>
        <w:tc>
          <w:tcPr>
            <w:tcW w:w="2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$2,574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40" w:type="dxa"/>
            <w:vAlign w:val="bottom"/>
          </w:tcPr>
          <w:p>
            <w:pPr>
              <w:spacing w:after="0"/>
              <w:rPr>
                <w:sz w:val="19"/>
                <w:szCs w:val="19"/>
                <w:color w:val="auto"/>
              </w:rPr>
            </w:pPr>
          </w:p>
        </w:tc>
      </w:tr>
      <w:tr>
        <w:trPr>
          <w:trHeight w:val="575"/>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Constant Currency</w:t>
            </w:r>
          </w:p>
        </w:tc>
        <w:tc>
          <w:tcPr>
            <w:tcW w:w="2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4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jc w:val="center"/>
              <w:ind w:right="2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$2,552</w:t>
            </w:r>
          </w:p>
        </w:tc>
        <w:tc>
          <w:tcPr>
            <w:tcW w:w="2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$2,571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$2,553</w:t>
            </w:r>
          </w:p>
        </w:tc>
        <w:tc>
          <w:tcPr>
            <w:tcW w:w="40" w:type="dxa"/>
            <w:vAlign w:val="bottom"/>
          </w:tcPr>
          <w:p>
            <w:pPr>
              <w:spacing w:after="0"/>
              <w:rPr>
                <w:sz w:val="19"/>
                <w:szCs w:val="19"/>
                <w:color w:val="auto"/>
              </w:rPr>
            </w:pPr>
          </w:p>
        </w:tc>
      </w:tr>
      <w:tr>
        <w:trPr>
          <w:trHeight w:val="849"/>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140" w:type="dxa"/>
            <w:vAlign w:val="bottom"/>
          </w:tcPr>
          <w:p>
            <w:pPr>
              <w:jc w:val="right"/>
              <w:ind w:right="1433"/>
              <w:spacing w:after="0"/>
              <w:rPr>
                <w:sz w:val="20"/>
                <w:szCs w:val="20"/>
                <w:color w:val="auto"/>
              </w:rPr>
            </w:pPr>
            <w:r>
              <w:rPr>
                <w:rFonts w:ascii="Times New Roman" w:cs="Times New Roman" w:eastAsia="Times New Roman" w:hAnsi="Times New Roman"/>
                <w:sz w:val="17"/>
                <w:szCs w:val="17"/>
                <w:color w:val="auto"/>
              </w:rPr>
              <w:t>39</w:t>
            </w:r>
          </w:p>
        </w:tc>
        <w:tc>
          <w:tcPr>
            <w:tcW w:w="2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Paying users</w:t>
      </w:r>
    </w:p>
    <w:p>
      <w:pPr>
        <w:spacing w:after="0" w:line="109" w:lineRule="exact"/>
        <w:rPr>
          <w:sz w:val="20"/>
          <w:szCs w:val="20"/>
          <w:color w:val="auto"/>
        </w:rPr>
      </w:pPr>
    </w:p>
    <w:p>
      <w:pPr>
        <w:ind w:firstLine="392"/>
        <w:spacing w:after="0" w:line="251" w:lineRule="auto"/>
        <w:rPr>
          <w:sz w:val="20"/>
          <w:szCs w:val="20"/>
          <w:color w:val="auto"/>
        </w:rPr>
      </w:pPr>
      <w:r>
        <w:rPr>
          <w:rFonts w:ascii="Times New Roman" w:cs="Times New Roman" w:eastAsia="Times New Roman" w:hAnsi="Times New Roman"/>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spacing w:after="0" w:line="200" w:lineRule="exact"/>
        <w:rPr>
          <w:sz w:val="20"/>
          <w:szCs w:val="20"/>
          <w:color w:val="auto"/>
        </w:rPr>
      </w:pPr>
    </w:p>
    <w:p>
      <w:pPr>
        <w:spacing w:after="0" w:line="211" w:lineRule="exact"/>
        <w:rPr>
          <w:sz w:val="20"/>
          <w:szCs w:val="20"/>
          <w:color w:val="auto"/>
        </w:rPr>
      </w:pPr>
    </w:p>
    <w:p>
      <w:pPr>
        <w:ind w:right="280" w:firstLine="392"/>
        <w:spacing w:after="0" w:line="295" w:lineRule="auto"/>
        <w:rPr>
          <w:sz w:val="20"/>
          <w:szCs w:val="20"/>
          <w:color w:val="auto"/>
        </w:rPr>
      </w:pPr>
      <w:r>
        <w:rPr>
          <w:rFonts w:ascii="Times New Roman" w:cs="Times New Roman" w:eastAsia="Times New Roman" w:hAnsi="Times New Roman"/>
          <w:sz w:val="17"/>
          <w:szCs w:val="17"/>
          <w:color w:val="auto"/>
        </w:rPr>
        <w:t>For DocSend, FormSwift and Reclaim, we define paying users as the number of users who have active paid licenses for access to our platform as of the end of the period.</w:t>
      </w:r>
    </w:p>
    <w:p>
      <w:pPr>
        <w:spacing w:after="0" w:line="173"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7"/>
          <w:szCs w:val="17"/>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97"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The number of paying users as of March 31, 2025 declined as compared to December 31, 2024, largely from a decrease in paying users due to our strategic decision to significantly reduce our investments in FormSwift at the beginning of 2025 and a challenging operating environment across our Teams plans, but remained flat as compared to March 31, 2024 as a result of an increase in paying users from our Individual plans and from our acquisition of Reclaim offset by a decrease in paying users from FormSwift. We expect that the total number of paying users will continue to fluctuate from period to period and may decrease in some periods as compared to prior periods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below table sets forth the number of paying users as of March 31, 2025, December 31, 2024, and March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60" w:type="dxa"/>
            <w:vAlign w:val="bottom"/>
            <w:tcBorders>
              <w:bottom w:val="single" w:sz="8" w:color="auto"/>
            </w:tcBorders>
          </w:tcPr>
          <w:p>
            <w:pPr>
              <w:spacing w:after="0"/>
              <w:rPr>
                <w:sz w:val="19"/>
                <w:szCs w:val="19"/>
                <w:color w:val="auto"/>
              </w:rPr>
            </w:pPr>
          </w:p>
        </w:tc>
      </w:tr>
      <w:tr>
        <w:trPr>
          <w:trHeight w:val="215"/>
        </w:trPr>
        <w:tc>
          <w:tcPr>
            <w:tcW w:w="5080" w:type="dxa"/>
            <w:vAlign w:val="bottom"/>
          </w:tcPr>
          <w:p>
            <w:pPr>
              <w:spacing w:after="0"/>
              <w:rPr>
                <w:sz w:val="18"/>
                <w:szCs w:val="18"/>
                <w:color w:val="auto"/>
              </w:rPr>
            </w:pPr>
          </w:p>
        </w:tc>
        <w:tc>
          <w:tcPr>
            <w:tcW w:w="2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2024</w:t>
            </w:r>
          </w:p>
        </w:tc>
      </w:tr>
      <w:tr>
        <w:trPr>
          <w:trHeight w:val="215"/>
        </w:trPr>
        <w:tc>
          <w:tcPr>
            <w:tcW w:w="5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40" w:type="dxa"/>
            <w:vAlign w:val="bottom"/>
          </w:tcPr>
          <w:p>
            <w:pPr>
              <w:jc w:val="center"/>
              <w:ind w:right="1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60" w:type="dxa"/>
            <w:vAlign w:val="bottom"/>
          </w:tcPr>
          <w:p>
            <w:pPr>
              <w:spacing w:after="0"/>
              <w:rPr>
                <w:sz w:val="18"/>
                <w:szCs w:val="18"/>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Paying users</w:t>
            </w:r>
          </w:p>
        </w:tc>
        <w:tc>
          <w:tcPr>
            <w:tcW w:w="2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18.16</w:t>
            </w:r>
          </w:p>
        </w:tc>
        <w:tc>
          <w:tcPr>
            <w:tcW w:w="2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18.22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r>
    </w:tbl>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Average revenue per paying user</w:t>
      </w:r>
    </w:p>
    <w:p>
      <w:pPr>
        <w:spacing w:after="0" w:line="122"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300" w:lineRule="exact"/>
        <w:rPr>
          <w:sz w:val="20"/>
          <w:szCs w:val="20"/>
          <w:color w:val="auto"/>
        </w:rPr>
      </w:pPr>
    </w:p>
    <w:p>
      <w:pPr>
        <w:ind w:firstLine="431"/>
        <w:spacing w:after="0" w:line="276" w:lineRule="auto"/>
        <w:rPr>
          <w:sz w:val="20"/>
          <w:szCs w:val="20"/>
          <w:color w:val="auto"/>
        </w:rPr>
      </w:pPr>
      <w:r>
        <w:rPr>
          <w:rFonts w:ascii="Times New Roman" w:cs="Times New Roman" w:eastAsia="Times New Roman" w:hAnsi="Times New Roman"/>
          <w:sz w:val="17"/>
          <w:szCs w:val="17"/>
          <w:color w:val="auto"/>
        </w:rPr>
        <w:t>As a result of the unfavorable impact of changes in foreign exchange rates across multiple currencies relative to the U.S. dollar and our strategic decision to significantly reduce our investment in FormSwift, partially offset by the favorable impact of an increased mix of sales towards our higher priced plans, we experienced a decrease in our average revenue per paying user for the three months ended March 31, 2025, compared to the three months ended March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20" w:type="dxa"/>
            <w:vAlign w:val="bottom"/>
            <w:gridSpan w:val="3"/>
          </w:tcPr>
          <w:p>
            <w:pPr>
              <w:jc w:val="right"/>
              <w:ind w:right="993"/>
              <w:spacing w:after="0"/>
              <w:rPr>
                <w:sz w:val="20"/>
                <w:szCs w:val="20"/>
                <w:color w:val="auto"/>
              </w:rPr>
            </w:pPr>
            <w:r>
              <w:rPr>
                <w:rFonts w:ascii="Times New Roman" w:cs="Times New Roman" w:eastAsia="Times New Roman" w:hAnsi="Times New Roman"/>
                <w:sz w:val="17"/>
                <w:szCs w:val="17"/>
                <w:color w:val="auto"/>
              </w:rPr>
              <w:t>The below table sets forth our ARPU for the three months ended March 31, 2025 and 2024</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2"/>
        </w:trPr>
        <w:tc>
          <w:tcPr>
            <w:tcW w:w="30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520" w:type="dxa"/>
            <w:vAlign w:val="bottom"/>
          </w:tcPr>
          <w:p>
            <w:pPr>
              <w:spacing w:after="0"/>
              <w:rPr>
                <w:sz w:val="17"/>
                <w:szCs w:val="17"/>
                <w:color w:val="auto"/>
              </w:rPr>
            </w:pPr>
          </w:p>
        </w:tc>
      </w:tr>
      <w:tr>
        <w:trPr>
          <w:trHeight w:val="229"/>
        </w:trPr>
        <w:tc>
          <w:tcPr>
            <w:tcW w:w="30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520" w:type="dxa"/>
            <w:vAlign w:val="bottom"/>
            <w:tcBorders>
              <w:bottom w:val="single" w:sz="8" w:color="auto"/>
            </w:tcBorders>
          </w:tcPr>
          <w:p>
            <w:pPr>
              <w:spacing w:after="0"/>
              <w:rPr>
                <w:sz w:val="19"/>
                <w:szCs w:val="19"/>
                <w:color w:val="auto"/>
              </w:rPr>
            </w:pPr>
          </w:p>
        </w:tc>
      </w:tr>
      <w:tr>
        <w:trPr>
          <w:trHeight w:val="215"/>
        </w:trPr>
        <w:tc>
          <w:tcPr>
            <w:tcW w:w="30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ARPU</w:t>
            </w:r>
          </w:p>
        </w:tc>
        <w:tc>
          <w:tcPr>
            <w:tcW w:w="3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139.59</w:t>
            </w:r>
          </w:p>
        </w:tc>
      </w:tr>
      <w:tr>
        <w:trPr>
          <w:trHeight w:val="836"/>
        </w:trPr>
        <w:tc>
          <w:tcPr>
            <w:tcW w:w="3020" w:type="dxa"/>
            <w:vAlign w:val="bottom"/>
          </w:tcPr>
          <w:p>
            <w:pPr>
              <w:spacing w:after="0"/>
              <w:rPr>
                <w:sz w:val="24"/>
                <w:szCs w:val="24"/>
                <w:color w:val="auto"/>
              </w:rPr>
            </w:pPr>
          </w:p>
        </w:tc>
        <w:tc>
          <w:tcPr>
            <w:tcW w:w="324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40</w:t>
            </w: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1"/>
        </w:trPr>
        <w:tc>
          <w:tcPr>
            <w:tcW w:w="302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w:t>
      </w:r>
    </w:p>
    <w:p>
      <w:pPr>
        <w:spacing w:after="0" w:line="251"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2"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6" w:lineRule="exact"/>
        <w:rPr>
          <w:sz w:val="20"/>
          <w:szCs w:val="20"/>
          <w:color w:val="auto"/>
        </w:rPr>
      </w:pPr>
    </w:p>
    <w:p>
      <w:pPr>
        <w:jc w:val="both"/>
        <w:ind w:right="40" w:firstLine="392"/>
        <w:spacing w:after="0" w:line="260" w:lineRule="auto"/>
        <w:rPr>
          <w:sz w:val="20"/>
          <w:szCs w:val="20"/>
          <w:color w:val="auto"/>
        </w:rPr>
      </w:pPr>
      <w:r>
        <w:rPr>
          <w:rFonts w:ascii="Times New Roman" w:cs="Times New Roman" w:eastAsia="Times New Roman" w:hAnsi="Times New Roman"/>
          <w:sz w:val="17"/>
          <w:szCs w:val="17"/>
          <w:color w:val="auto"/>
        </w:rPr>
        <w:t>Our FCF decreased for the three months ended March 31, 2025, compared to the three months ended March 31, 2024, primarily due to the payment for the third tranche termination fee for the partial termination of our lease for our San Francisco, California corporate headquarters (See Note 8 "Leases" for additional information) and payments associated with our 2024 workforce reduction.</w:t>
      </w:r>
    </w:p>
    <w:p>
      <w:pPr>
        <w:spacing w:after="0" w:line="188" w:lineRule="exact"/>
        <w:rPr>
          <w:sz w:val="20"/>
          <w:szCs w:val="20"/>
          <w:color w:val="auto"/>
        </w:rPr>
      </w:pPr>
    </w:p>
    <w:p>
      <w:pPr>
        <w:ind w:right="60" w:firstLine="392"/>
        <w:spacing w:after="0" w:line="253" w:lineRule="auto"/>
        <w:rPr>
          <w:sz w:val="20"/>
          <w:szCs w:val="20"/>
          <w:color w:val="auto"/>
        </w:rPr>
      </w:pPr>
      <w:r>
        <w:rPr>
          <w:rFonts w:ascii="Times New Roman" w:cs="Times New Roman" w:eastAsia="Times New Roman" w:hAnsi="Times New Roman"/>
          <w:sz w:val="17"/>
          <w:szCs w:val="17"/>
          <w:color w:val="auto"/>
        </w:rPr>
        <w:t>We expect our FCF to generally increase in the near term as we drive operating efficiencies, partly due to our 2024 reduction in workforce. We expect to continue to purchase infrastructure equipment to support our user base and anticipate that our capital expenditures will generally remain consistent in future periods as we continue to invest in our internal infrastructure, network and security. The timing of our operating expenses as described below, may cause FCF to vary from period to period as a percentage of revenue.</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reconciliation of FCF to the most comparable GAAP measure, net cash provided by operating activities: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gridSpan w:val="3"/>
          </w:tcPr>
          <w:p>
            <w:pPr>
              <w:jc w:val="right"/>
              <w:ind w:right="7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480" w:type="dxa"/>
            <w:vAlign w:val="bottom"/>
            <w:gridSpan w:val="2"/>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3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3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1693"/>
              <w:spacing w:after="0"/>
              <w:rPr>
                <w:sz w:val="20"/>
                <w:szCs w:val="20"/>
                <w:color w:val="auto"/>
              </w:rPr>
            </w:pPr>
            <w:r>
              <w:rPr>
                <w:rFonts w:ascii="Times New Roman" w:cs="Times New Roman" w:eastAsia="Times New Roman" w:hAnsi="Times New Roman"/>
                <w:sz w:val="17"/>
                <w:szCs w:val="17"/>
                <w:color w:val="auto"/>
              </w:rPr>
              <w:t>41</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2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generate revenue from sales of subscriptions to our platform.</w:t>
      </w:r>
    </w:p>
    <w:p>
      <w:pPr>
        <w:spacing w:after="0" w:line="249"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95"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Our revenue is driven primarily by conversions and upsells to our paid plans. We also generate revenue from transaction based products. We generate over 90% of our revenue from self-serve channels. No customer represented more than 1% of our revenue in the periods presented.</w:t>
      </w:r>
    </w:p>
    <w:p>
      <w:pPr>
        <w:spacing w:after="0" w:line="173"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Our revenue growth is impacted by both the number of paying users and our ability to increase the average revenue per paying user. Our overall paying user growth rate has declined, and we expect growth in paying users to fluctuate from period to period in the future. Given that our revenue and average revenue per paying user have declined, if we do not successfully increase the average revenue per paying user, for example, through pricing and packaging changes or increased sales of our higher-priced subscription plans, or otherwise offset slower growth or declines in paying users, we expect our revenue and revenue growth rate to continue decreasing.</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and gross margin</w:t>
      </w:r>
    </w:p>
    <w:p>
      <w:pPr>
        <w:spacing w:after="0" w:line="120"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Our cost of revenue consists primarily of expenses associated with the storage, delivery, and distribution of our platform for both paying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reduction in workforce such as severance, benefits and other related items,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spacing w:after="0" w:line="206"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both the near term and long term.</w:t>
      </w:r>
    </w:p>
    <w:p>
      <w:pPr>
        <w:spacing w:after="0" w:line="171" w:lineRule="exact"/>
        <w:rPr>
          <w:sz w:val="20"/>
          <w:szCs w:val="20"/>
          <w:color w:val="auto"/>
        </w:rPr>
      </w:pPr>
    </w:p>
    <w:p>
      <w:pPr>
        <w:ind w:right="140" w:firstLine="392"/>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Gross margin is gross profit expressed as a percentage of revenue. Our gross margin may fluctuate from period to period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timing of additional capital expenditures and the related depreciation expense, or other increases in our infrastructure costs, as well as revenue fluctuations. We expect gross margin to remain relatively constant in both the near term and long term.</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0"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Our research and development expenses consist primarily of employee-related costs for our engineering, product, and design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teams, expenses related to our reduction in workforce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202"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We expect that research and development costs will decrease in absolute dollars and as a percentage of revenue in both the near term and long term as a result of our 2024 reduction in workforce, partially offset by continued hiring for our engineering, product, and design teams in roles critical to our future growth initiatives.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60" w:firstLine="392"/>
        <w:spacing w:after="0" w:line="264"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relate to both self-serve and outbound sales activities, and consist primarily of employee-related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expenses related to our reduction in workforce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202"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expect that sales and marketing expenses will decrease in absolute dollars and as a percentage of revenue in both the near term and long term as a result of our 2024 reduction in workforce, partially offset by continued investment in sales and marketing in the long term, in order to grow our user base and increase our brand awareness. The trend and timing of sales and marketing expenses will depend in part on the timing of marketing campaigns.</w:t>
      </w:r>
    </w:p>
    <w:p>
      <w:pPr>
        <w:spacing w:after="0" w:line="186" w:lineRule="exact"/>
        <w:rPr>
          <w:sz w:val="20"/>
          <w:szCs w:val="20"/>
          <w:color w:val="auto"/>
        </w:rPr>
      </w:pPr>
    </w:p>
    <w:p>
      <w:pPr>
        <w:ind w:right="140" w:firstLine="392"/>
        <w:spacing w:after="0" w:line="270"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consist primarily of employee-related costs for our legal, finance, human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administrative teams, as well as certain executives. In addition, general and administrative expenses include expenses related to our reduction in workforce such as severance, benefits and other related items, allocated overhead, outside legal, accounting and other professional fees, and non income-based taxes.</w:t>
      </w:r>
    </w:p>
    <w:p>
      <w:pPr>
        <w:spacing w:after="0" w:line="194" w:lineRule="exact"/>
        <w:rPr>
          <w:sz w:val="20"/>
          <w:szCs w:val="20"/>
          <w:color w:val="auto"/>
        </w:rPr>
      </w:pPr>
    </w:p>
    <w:p>
      <w:pPr>
        <w:ind w:right="280" w:firstLine="392"/>
        <w:spacing w:after="0" w:line="295" w:lineRule="auto"/>
        <w:rPr>
          <w:sz w:val="20"/>
          <w:szCs w:val="20"/>
          <w:color w:val="auto"/>
        </w:rPr>
      </w:pPr>
      <w:r>
        <w:rPr>
          <w:rFonts w:ascii="Times New Roman" w:cs="Times New Roman" w:eastAsia="Times New Roman" w:hAnsi="Times New Roman"/>
          <w:sz w:val="17"/>
          <w:szCs w:val="17"/>
          <w:color w:val="auto"/>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 net</w:t>
      </w:r>
    </w:p>
    <w:p>
      <w:pPr>
        <w:spacing w:after="0" w:line="122" w:lineRule="exact"/>
        <w:rPr>
          <w:sz w:val="20"/>
          <w:szCs w:val="20"/>
          <w:color w:val="auto"/>
        </w:rPr>
      </w:pPr>
    </w:p>
    <w:p>
      <w:pPr>
        <w:ind w:right="180" w:firstLine="392"/>
        <w:spacing w:after="0" w:line="269" w:lineRule="auto"/>
        <w:rPr>
          <w:sz w:val="20"/>
          <w:szCs w:val="20"/>
          <w:color w:val="auto"/>
        </w:rPr>
      </w:pPr>
      <w:r>
        <w:rPr>
          <w:rFonts w:ascii="Times New Roman" w:cs="Times New Roman" w:eastAsia="Times New Roman" w:hAnsi="Times New Roman"/>
          <w:sz w:val="17"/>
          <w:szCs w:val="17"/>
          <w:color w:val="auto"/>
        </w:rPr>
        <w:t>Interest (expense) income, net consists primarily of interest expense related to our term loan facility, finance lease obligations for infrastructure and amortization of debt issuance costs, offset by interest income earned on our investments classified as cash and cash equivalents, and short-term investments. Subsequent to the term loan issuance in the fourth quarter of 2024, we expect interest (expense) income, net to remain relatively constant in both the near term and the long term, assuming no significant changes in market rates.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2"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Other income, net consists of other non-operating gains or losses, including those related to gains or losses on sale of assets, foreign currency transaction gains and losses, lease arrangements, which include sublease income, and gains and losses related to our short-term investments.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2" w:lineRule="exact"/>
        <w:rPr>
          <w:sz w:val="20"/>
          <w:szCs w:val="20"/>
          <w:color w:val="auto"/>
        </w:rPr>
      </w:pPr>
    </w:p>
    <w:p>
      <w:pPr>
        <w:ind w:right="300" w:firstLine="392"/>
        <w:spacing w:after="0" w:line="276" w:lineRule="auto"/>
        <w:rPr>
          <w:sz w:val="20"/>
          <w:szCs w:val="20"/>
          <w:color w:val="auto"/>
        </w:rPr>
      </w:pPr>
      <w:r>
        <w:rPr>
          <w:rFonts w:ascii="Times New Roman" w:cs="Times New Roman" w:eastAsia="Times New Roman" w:hAnsi="Times New Roman"/>
          <w:sz w:val="17"/>
          <w:szCs w:val="17"/>
          <w:color w:val="auto"/>
        </w:rPr>
        <w:t>Provision for income taxes consists of U.S. federal, state and foreign jurisdiction income taxes. For 2025 and 2024, the difference between the U.S. statutory rate and our effective tax rate is primarily due to jurisdictional mix of earnings, tax credits, state income taxes, and changes to our unrecognized tax benefits.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w:t>
      </w:r>
    </w:p>
    <w:p>
      <w:pPr>
        <w:spacing w:after="0" w:line="19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w:t>
            </w:r>
          </w:p>
        </w:tc>
      </w:tr>
      <w:tr>
        <w:trPr>
          <w:trHeight w:val="222"/>
        </w:trPr>
        <w:tc>
          <w:tcPr>
            <w:tcW w:w="7620" w:type="dxa"/>
            <w:vAlign w:val="bottom"/>
            <w:tcBorders>
              <w:bottom w:val="single" w:sz="8" w:color="CCEEFF"/>
            </w:tcBorders>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w:t>
            </w: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525.5</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7620" w:type="dxa"/>
            <w:vAlign w:val="bottom"/>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r>
      <w:tr>
        <w:trPr>
          <w:trHeight w:val="222"/>
        </w:trPr>
        <w:tc>
          <w:tcPr>
            <w:tcW w:w="7620" w:type="dxa"/>
            <w:vAlign w:val="bottom"/>
          </w:tcPr>
          <w:p>
            <w:pPr>
              <w:ind w:left="34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r>
      <w:tr>
        <w:trPr>
          <w:trHeight w:val="222"/>
        </w:trPr>
        <w:tc>
          <w:tcPr>
            <w:tcW w:w="7620" w:type="dxa"/>
            <w:vAlign w:val="bottom"/>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382.0</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w:t>
            </w:r>
          </w:p>
        </w:tc>
      </w:tr>
      <w:tr>
        <w:trPr>
          <w:trHeight w:val="20"/>
        </w:trPr>
        <w:tc>
          <w:tcPr>
            <w:tcW w:w="7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5"/>
        <w:spacing w:after="0"/>
        <w:tabs>
          <w:tab w:leader="none" w:pos="14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6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7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revenue</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2"/>
        </w:trPr>
        <w:tc>
          <w:tcPr>
            <w:tcW w:w="7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22"/>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2"/>
        </w:trPr>
        <w:tc>
          <w:tcPr>
            <w:tcW w:w="7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260" w:firstLine="5"/>
        <w:spacing w:after="0" w:line="306" w:lineRule="auto"/>
        <w:tabs>
          <w:tab w:leader="none" w:pos="144"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our 2024 reduction in workforce such as severance, benefits and other related items during the three months ended March 31, 2025. See Note 1, "Description of the Business and Summary of Significant Accounting Policies - Reduction in Workforce" for additional information.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each of the periods presented as a percentage of revenue:</w:t>
      </w:r>
    </w:p>
    <w:p>
      <w:pPr>
        <w:spacing w:after="0" w:line="19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7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1140" w:type="dxa"/>
            <w:vAlign w:val="bottom"/>
          </w:tcPr>
          <w:p>
            <w:pPr>
              <w:spacing w:after="0"/>
              <w:rPr>
                <w:sz w:val="18"/>
                <w:szCs w:val="18"/>
                <w:color w:val="auto"/>
              </w:rPr>
            </w:pP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8560" w:type="dxa"/>
            <w:vAlign w:val="bottom"/>
            <w:gridSpan w:val="2"/>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83</w:t>
            </w:r>
          </w:p>
        </w:tc>
      </w:tr>
      <w:tr>
        <w:trPr>
          <w:trHeight w:val="222"/>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60" w:type="dxa"/>
            <w:vAlign w:val="bottom"/>
            <w:gridSpan w:val="2"/>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35</w:t>
            </w:r>
          </w:p>
        </w:tc>
      </w:tr>
      <w:tr>
        <w:trPr>
          <w:trHeight w:val="222"/>
        </w:trPr>
        <w:tc>
          <w:tcPr>
            <w:tcW w:w="8560" w:type="dxa"/>
            <w:vAlign w:val="bottom"/>
            <w:gridSpan w:val="2"/>
          </w:tcPr>
          <w:p>
            <w:pPr>
              <w:ind w:left="34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w:t>
            </w:r>
          </w:p>
        </w:tc>
      </w:tr>
      <w:tr>
        <w:trPr>
          <w:trHeight w:val="222"/>
        </w:trPr>
        <w:tc>
          <w:tcPr>
            <w:tcW w:w="8560" w:type="dxa"/>
            <w:vAlign w:val="bottom"/>
            <w:gridSpan w:val="2"/>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61</w:t>
            </w: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23</w:t>
            </w:r>
          </w:p>
        </w:tc>
      </w:tr>
      <w:tr>
        <w:trPr>
          <w:trHeight w:val="222"/>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54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24</w:t>
            </w: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from income taxes</w:t>
            </w: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w:t>
            </w: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5"/>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a percentage of revenue as follows:</w:t>
      </w:r>
    </w:p>
    <w:p>
      <w:pPr>
        <w:spacing w:after="0" w:line="265"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3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7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1160" w:type="dxa"/>
            <w:vAlign w:val="bottom"/>
          </w:tcPr>
          <w:p>
            <w:pPr>
              <w:spacing w:after="0"/>
              <w:rPr>
                <w:sz w:val="18"/>
                <w:szCs w:val="18"/>
                <w:color w:val="auto"/>
              </w:rPr>
            </w:pPr>
          </w:p>
        </w:tc>
      </w:tr>
      <w:tr>
        <w:trPr>
          <w:trHeight w:val="222"/>
        </w:trPr>
        <w:tc>
          <w:tcPr>
            <w:tcW w:w="8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2"/>
        </w:trPr>
        <w:tc>
          <w:tcPr>
            <w:tcW w:w="85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8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85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260" w:firstLine="5"/>
        <w:spacing w:after="0" w:line="306" w:lineRule="auto"/>
        <w:tabs>
          <w:tab w:leader="none" w:pos="144"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our 2024 reduction in workforce such as severance, benefits and other related items during the three months ended March 31, 2025. See Note 1, "Description of the Business and Summary of Significant Accounting Policies - Reduction in Workforce" for additional information.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Percentages may not foot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512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2025 and 2024</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4"/>
        </w:trPr>
        <w:tc>
          <w:tcPr>
            <w:tcW w:w="51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0"/>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624.7</w:t>
            </w:r>
          </w:p>
        </w:tc>
        <w:tc>
          <w:tcPr>
            <w:tcW w:w="5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pacing w:after="0" w:line="295"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Revenue decreased $6.6 million or 1.0% during the three months ended March 31, 2025, as compared to the three months ended March 31, 2024 primarily due to upsell weakness and churn in Teams plans and our strategic decision to significantly reduce our investment in FormSwift, which together contributed to a decrease of $3.8 million in revenue. In addition, revenue was negatively impacted by $2.8 million from changes in foreign exchange rates across multiple currencies.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8"/>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4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9"/>
                <w:szCs w:val="19"/>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4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6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116.7</w:t>
            </w:r>
          </w:p>
        </w:tc>
        <w:tc>
          <w:tcPr>
            <w:tcW w:w="52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508.0</w:t>
            </w:r>
          </w:p>
        </w:tc>
        <w:tc>
          <w:tcPr>
            <w:tcW w:w="5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308"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Cost of revenue increased $10.9 million or 10.3% during the three months ended March 31, 2025, as compared to the three months ended March 31, 2024. This increase was primarily driven by an $11.3 million increase in infrastructure costs as we continue to add equipment in support of our datacenter refresh cycle. Additionally, we saw a smaller depreciation benefit compared to the 2024 period from the change in useful lives from four to five years of certain infrastructure and component assets which was effective January 1, 2024.</w:t>
      </w:r>
    </w:p>
    <w:p>
      <w:pPr>
        <w:spacing w:after="0" w:line="182" w:lineRule="exact"/>
        <w:rPr>
          <w:sz w:val="20"/>
          <w:szCs w:val="20"/>
          <w:color w:val="auto"/>
        </w:rPr>
      </w:pPr>
    </w:p>
    <w:p>
      <w:pPr>
        <w:ind w:right="20" w:firstLine="392"/>
        <w:spacing w:after="0" w:line="279" w:lineRule="auto"/>
        <w:rPr>
          <w:sz w:val="20"/>
          <w:szCs w:val="20"/>
          <w:color w:val="auto"/>
        </w:rPr>
      </w:pPr>
      <w:r>
        <w:rPr>
          <w:rFonts w:ascii="Times New Roman" w:cs="Times New Roman" w:eastAsia="Times New Roman" w:hAnsi="Times New Roman"/>
          <w:sz w:val="17"/>
          <w:szCs w:val="17"/>
          <w:color w:val="auto"/>
        </w:rPr>
        <w:t>Our gross margin decreased during the three months ended March 31, 2025 compared to the three months ended March 31, 2024, primarily due to a 10.3% increase in our cost of revenue, along with a 1.0% decrease in revenue during the period, as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178.4</w:t>
            </w:r>
          </w:p>
        </w:tc>
        <w:tc>
          <w:tcPr>
            <w:tcW w:w="5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r>
    </w:tbl>
    <w:p>
      <w:pPr>
        <w:spacing w:after="0" w:line="308"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Research and development expenses decreased $40.7 million or 18.6% during the three months ended March 31, 2025, as compared to the three months ended March 31, 2024, primarily due to decreases of $32.9 million in employee-related costs and $6.6 million in allocated overhead.</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51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Sales and marketing</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8"/>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20" w:type="dxa"/>
            <w:vAlign w:val="bottom"/>
            <w:gridSpan w:val="3"/>
          </w:tcPr>
          <w:p>
            <w:pPr>
              <w:jc w:val="center"/>
              <w:ind w:left="4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3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3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96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92.0</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bl>
    <w:p>
      <w:pPr>
        <w:spacing w:after="0" w:line="295" w:lineRule="exact"/>
        <w:rPr>
          <w:sz w:val="20"/>
          <w:szCs w:val="20"/>
          <w:color w:val="auto"/>
        </w:rPr>
      </w:pPr>
    </w:p>
    <w:p>
      <w:pPr>
        <w:ind w:right="220" w:firstLine="392"/>
        <w:spacing w:after="0" w:line="276" w:lineRule="auto"/>
        <w:rPr>
          <w:sz w:val="20"/>
          <w:szCs w:val="20"/>
          <w:color w:val="auto"/>
        </w:rPr>
      </w:pPr>
      <w:r>
        <w:rPr>
          <w:rFonts w:ascii="Times New Roman" w:cs="Times New Roman" w:eastAsia="Times New Roman" w:hAnsi="Times New Roman"/>
          <w:sz w:val="17"/>
          <w:szCs w:val="17"/>
          <w:color w:val="auto"/>
        </w:rPr>
        <w:t>Sales and marketing expenses decreased $16.8 million or 15.4% during the three months ended March 31, 2025, as compared to the three months ended March 31, 2024, primarily due to decreases of $9.3 million related to advertising due to our strategic decision to significantly reduce our investments in FormSwift and other marketing related expenses as well as $5.5 million in employee-related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2"/>
        </w:trPr>
        <w:tc>
          <w:tcPr>
            <w:tcW w:w="5140" w:type="dxa"/>
            <w:vAlign w:val="bottom"/>
          </w:tcPr>
          <w:p>
            <w:pPr>
              <w:spacing w:after="0"/>
              <w:rPr>
                <w:sz w:val="17"/>
                <w:szCs w:val="17"/>
                <w:color w:val="auto"/>
              </w:rPr>
            </w:pPr>
          </w:p>
        </w:tc>
        <w:tc>
          <w:tcPr>
            <w:tcW w:w="2460" w:type="dxa"/>
            <w:vAlign w:val="bottom"/>
            <w:gridSpan w:val="3"/>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51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4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53.8</w:t>
            </w:r>
          </w:p>
        </w:tc>
        <w:tc>
          <w:tcPr>
            <w:tcW w:w="10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General and administrative expenses decreased $0.3 million or 0.6% during the three months ended March 31, 2025, as compared to the three months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ended March 31, 2024, primarily due to a decrease of $2.5 million in employee-related costs, offset by increases of $1.6 million in software and outside services.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Interest (expense) income, net</w:t>
      </w:r>
    </w:p>
    <w:p>
      <w:pPr>
        <w:spacing w:after="0" w:line="251"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Interest (expense) income, net increased by $21.9 million during the three months ended March 31, 2025, as compared to the three months ended March 31, 2024, primarily due interest expense related to our term loan facility entered into in the fourth quarter of 2024.</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Other income, net remained flat during the three months ended March 31, 2025, as compared to the three months ended March 31, 2024.</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p>
      <w:pPr>
        <w:spacing w:after="0" w:line="251"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Provision for income taxes increased $0.4 million during the three months ended March 31, 2025, as compared to the three months ended March 31, 2024, primarily due to an increase in income before income taxes, offset by an increase in availability of tax credits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As of March 31, 2025, we had cash and cash equivalents of $942.2 million and short-term investments of $237.8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March 31, 2025, $314.8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spacing w:after="0" w:line="109"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We have historically financed our operations primarily through cash generated from our operations, the convertible senior notes (the "Notes") issuance, borrowings from our term loan facility,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delayed draw term loan commitments as part of the term loan facility for additional working capital flexibility, as described below.</w:t>
      </w:r>
    </w:p>
    <w:p>
      <w:pPr>
        <w:spacing w:after="0" w:line="200"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In February 2021, we issued approximately $1.4 billion in aggregate principal amount of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do not bear regular interest and the principal does not accrete. The Notes of each series may bear special interest as the remedy relating to our failure to comply with certain of our reporting obligations. These Notes can be converted or repurchased prior to maturity if certain conditions are met.</w:t>
      </w:r>
    </w:p>
    <w:p>
      <w:pPr>
        <w:spacing w:after="0" w:line="95"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In December 2024, we entered into a secured five-year term loan facility in an aggregate principal amount of up to $2.0 billion, consisting of initial term loans and delayed draw term loan commitments each in an aggregate principal amount of up to $1.0 billion, respectively. The terms of the agreement also provide for a secured letter of credit facility in an aggregate amount of up to $35.0 million. The term loans have a maturity date of December 11, 2029. Quarterly principal payments began on March 31, 2025 and will continue on the last business day of each quarter thereafter, equal to 0.25% of the original principal amount of such term loans. As of March 31, 2025, we had $997.5 million outstanding on the initial term loans, no  amounts outstanding on the delayed draw term loan commitments, and no letters of credit issued under the secured letter of credit facility.</w:t>
      </w:r>
    </w:p>
    <w:p>
      <w:pPr>
        <w:spacing w:after="0" w:line="108" w:lineRule="exact"/>
        <w:rPr>
          <w:sz w:val="20"/>
          <w:szCs w:val="20"/>
          <w:color w:val="auto"/>
        </w:rPr>
      </w:pPr>
    </w:p>
    <w:p>
      <w:pPr>
        <w:jc w:val="both"/>
        <w:ind w:right="160" w:firstLine="392"/>
        <w:spacing w:after="0" w:line="276" w:lineRule="auto"/>
        <w:rPr>
          <w:sz w:val="20"/>
          <w:szCs w:val="20"/>
          <w:color w:val="auto"/>
        </w:rPr>
      </w:pPr>
      <w:r>
        <w:rPr>
          <w:rFonts w:ascii="Times New Roman" w:cs="Times New Roman" w:eastAsia="Times New Roman" w:hAnsi="Times New Roman"/>
          <w:sz w:val="17"/>
          <w:szCs w:val="17"/>
          <w:color w:val="auto"/>
        </w:rPr>
        <w:t>Interest on borrowings under the term loan facility accrues at either an alternate base rate or a term SOFR rate (further described in Note 7 "Debt") at the Company's option. Pursuant to the terms of the term loan facility, we are required to pay a quarterly commitment fee that accrues at a rate of 1.00% per annum on the unused portion of the delayed draw term loan commitments.</w:t>
      </w:r>
    </w:p>
    <w:p>
      <w:pPr>
        <w:spacing w:after="0" w:line="188" w:lineRule="exact"/>
        <w:rPr>
          <w:sz w:val="20"/>
          <w:szCs w:val="20"/>
          <w:color w:val="auto"/>
        </w:rPr>
      </w:pPr>
    </w:p>
    <w:p>
      <w:pPr>
        <w:ind w:right="40" w:firstLine="431"/>
        <w:spacing w:after="0" w:line="266" w:lineRule="auto"/>
        <w:rPr>
          <w:sz w:val="20"/>
          <w:szCs w:val="20"/>
          <w:color w:val="auto"/>
        </w:rPr>
      </w:pPr>
      <w:r>
        <w:rPr>
          <w:rFonts w:ascii="Times New Roman" w:cs="Times New Roman" w:eastAsia="Times New Roman" w:hAnsi="Times New Roman"/>
          <w:sz w:val="17"/>
          <w:szCs w:val="17"/>
          <w:color w:val="auto"/>
        </w:rPr>
        <w:t>The term loan facility permits the Company, subject to satisfaction of certain conditions, including obtaining commitments from new or existing lenders, to add new term loan facilities or increase the term loan commitments under the term loan agreement, in each case, subject to certain limits. Additionally, the term loan agreement contains customary representations and warranties, customary affirmative and negative covenants, and customary events of default. Failure to comply with these covenants may result in a portion of the outstanding term loan debt becoming due immediately. We were in compliance with all covenants under the term loan facility as of March 31, 2025.</w:t>
      </w:r>
    </w:p>
    <w:p>
      <w:pPr>
        <w:spacing w:after="0" w:line="197"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Our Board of Directors has authorized three separate $1.2 billion Class A common stock repurchase programs since February 2022. We completed the February 2022 and July 2023 authorizations during the three months ended March 31, 2024, and March 31, 2025, respectively. We continue to repurchase shares under the December 2024 authorization.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us to repurchase any specific number of shares and has no specified time limit; it may be discontinued at any time. During the three months ended March 31, 2025, we repurchased and subsequently retired 18.1 million of our Class A common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stock for an aggregate amount of $504.1 million. This amount includes the 1% excise tax under the Inflation Reduction Act, as well as repurchase execution costs incurred in connection with our share repurchase program. The pace of our share repurchases may fluctuate due to various circumstances, including market conditions and our stock price.</w:t>
      </w:r>
    </w:p>
    <w:p>
      <w:pPr>
        <w:spacing w:after="0" w:line="97"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timing, and amount of our share repurchases. In addition, we have and may in the future enter into arrangements to acquire or invest in complementary businesses, services, and technologies, including intellectual property rights. In light of all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Our cash flow activities were as follows for the periods presented:</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79"/>
        </w:trPr>
        <w:tc>
          <w:tcPr>
            <w:tcW w:w="7500" w:type="dxa"/>
            <w:vAlign w:val="bottom"/>
          </w:tcPr>
          <w:p>
            <w:pPr>
              <w:spacing w:after="0"/>
              <w:rPr>
                <w:sz w:val="24"/>
                <w:szCs w:val="2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r>
      <w:tr>
        <w:trPr>
          <w:trHeight w:val="215"/>
        </w:trPr>
        <w:tc>
          <w:tcPr>
            <w:tcW w:w="75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5"/>
        </w:trPr>
        <w:tc>
          <w:tcPr>
            <w:tcW w:w="7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gridSpan w:val="3"/>
          </w:tcPr>
          <w:p>
            <w:pPr>
              <w:jc w:val="right"/>
              <w:ind w:right="7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80" w:type="dxa"/>
            <w:vAlign w:val="bottom"/>
          </w:tcPr>
          <w:p>
            <w:pPr>
              <w:spacing w:after="0"/>
              <w:rPr>
                <w:sz w:val="18"/>
                <w:szCs w:val="18"/>
                <w:color w:val="auto"/>
              </w:rPr>
            </w:pP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w:t>
            </w:r>
          </w:p>
        </w:tc>
      </w:tr>
      <w:tr>
        <w:trPr>
          <w:trHeight w:val="222"/>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14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61"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as well as the effect of changes in operating assets and liabilities.</w:t>
      </w:r>
    </w:p>
    <w:p>
      <w:pPr>
        <w:spacing w:after="0" w:line="78" w:lineRule="exact"/>
        <w:rPr>
          <w:sz w:val="20"/>
          <w:szCs w:val="20"/>
          <w:color w:val="auto"/>
        </w:rPr>
      </w:pPr>
    </w:p>
    <w:p>
      <w:pPr>
        <w:ind w:right="100" w:firstLine="392"/>
        <w:spacing w:after="0" w:line="248" w:lineRule="auto"/>
        <w:rPr>
          <w:sz w:val="20"/>
          <w:szCs w:val="20"/>
          <w:color w:val="auto"/>
        </w:rPr>
      </w:pPr>
      <w:r>
        <w:rPr>
          <w:rFonts w:ascii="Times New Roman" w:cs="Times New Roman" w:eastAsia="Times New Roman" w:hAnsi="Times New Roman"/>
          <w:sz w:val="17"/>
          <w:szCs w:val="17"/>
          <w:color w:val="auto"/>
        </w:rPr>
        <w:t>For the three months ended March 31, 2025, net cash provided by operating activities was $153.8 million, which primarily consisted of our net income of $150.3 million, adjusted for stock-based compensation expense of $67.1 million, depreciation and amortization expenses of $38.1 million, and net cash outflow of $119.7 million from operating assets and liabilities. The outflow from operating assets and liabilities was primarily due to the payment of our 2024 corporate bonus, the payment for the third tranche termination fee for the partial termination of our lease for our San Francisco, California corporate headquarters, and payments for our 2024 reduction in workforce, offset by an increase in deferred revenue from increased subscription sales, as a majority of our paying users are invoiced in advance.</w:t>
      </w:r>
    </w:p>
    <w:p>
      <w:pPr>
        <w:spacing w:after="0" w:line="199" w:lineRule="exact"/>
        <w:rPr>
          <w:sz w:val="20"/>
          <w:szCs w:val="20"/>
          <w:color w:val="auto"/>
        </w:rPr>
      </w:pPr>
    </w:p>
    <w:p>
      <w:pPr>
        <w:ind w:right="20" w:firstLine="392"/>
        <w:spacing w:after="0" w:line="250" w:lineRule="auto"/>
        <w:rPr>
          <w:sz w:val="20"/>
          <w:szCs w:val="20"/>
          <w:color w:val="auto"/>
        </w:rPr>
      </w:pPr>
      <w:r>
        <w:rPr>
          <w:rFonts w:ascii="Times New Roman" w:cs="Times New Roman" w:eastAsia="Times New Roman" w:hAnsi="Times New Roman"/>
          <w:sz w:val="17"/>
          <w:szCs w:val="17"/>
          <w:color w:val="auto"/>
        </w:rPr>
        <w:t>The decrease of $21.7 million in net cash provided by operating activities during the three months ended March 31, 2025, compared to the three months ended March 31, 2024, was primarily due to an increase of $34.9 million in cash outflows from changes in operating assets and liabilities driven, partially offset by an increase of $13.2 million in net income, as adjusted for stock-based compensation and depreciation and amortization expenses. The increase in cash outflows from operating assets and liabilities was primarily driven by the payment for the third tranche termination fee for the partial termination of our lease for our San Francisco, California corporate headquarters and payments for our 2024 reduction in workforce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61"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spacing w:after="0" w:line="68"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For the three months ended March 31, 2025, net cash provided by investing activities was $35.8 million, which primarily related to $30.0 million in net investment activity inflows, driven by the maturities of short-term investments.</w:t>
      </w:r>
    </w:p>
    <w:p>
      <w:pPr>
        <w:spacing w:after="0" w:line="81"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The decrease of $77.9 million in net cash provided by investing activities during the three months ended March 31, 2025, compared to the three months ended March 31, 2024, was primarily due to a decrease of $87.2 million in net investment activity inflows, offset by a decrease of $9.1 million in cash paid for capital expenditures.</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48"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Net cash used in financing activities is primarily impacted by cash used for repurchases of common stock, tax withholding obligations for the release of restricted stock units ("RSUs") and restricted stock awards ("RSAs"), principal payments on finance lease obligations for our infrastructure equipment, principal payments on amounts drawn upon the term loan facility, and payments of debt issuance costs and loan commitment fees related to the term loan facility.</w:t>
      </w:r>
    </w:p>
    <w:p>
      <w:pPr>
        <w:spacing w:after="0" w:line="97"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For the three months ended March 31, 2025, net cash used in financing activities was $578.5 million, which primarily consisted of $499.1 million for the repurchase of our common stock, $39.8 million for the satisfaction of tax withholding obligations for the release of restricted stock units and awards, $33.8 million in principal payments on finance lease obligations, and $2.5 million for the principal payment against the term loan facility.</w:t>
      </w:r>
    </w:p>
    <w:p>
      <w:pPr>
        <w:spacing w:after="0" w:line="97"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The increase of $225.8 million in net cash used in financing activities during the three months ended March 31, 2025, compared to the three months ended March 31, 2024, was primarily due to an increase of $219.7 million in repurchases of our common stock, an increase of $2.5 million in principal payment against the term loan facility, and an increase of $1.5 million in cash paid for the satisfaction of tax withholding obligations for the release of restricted stock units and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See Part II, Item 7, “Critical Accounting Estimates” in our Annual Report on Form 10-K for the year ended December 31, 2024. There have been no material changes to our critical accounting policies and estimates since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60"/>
          </w:cols>
          <w:pgMar w:left="320" w:top="119" w:right="8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1"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See Note 1 “Description of the Business and Summary of Significant Accounting Policies” to our condensed consolidated financial statements included elsewhere in this Quarterly Report on Form 10-Q for recently issued accounting pronouncements not yet adopted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61"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We had cash and cash equivalents of $942.2 million and short-term investments of $237.8 million as of March 31, 2025.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08" w:lineRule="exact"/>
        <w:rPr>
          <w:sz w:val="20"/>
          <w:szCs w:val="20"/>
          <w:color w:val="auto"/>
        </w:rPr>
      </w:pPr>
    </w:p>
    <w:p>
      <w:pPr>
        <w:ind w:right="580" w:firstLine="392"/>
        <w:spacing w:after="0" w:line="295" w:lineRule="auto"/>
        <w:rPr>
          <w:sz w:val="20"/>
          <w:szCs w:val="20"/>
          <w:color w:val="auto"/>
        </w:rPr>
      </w:pPr>
      <w:r>
        <w:rPr>
          <w:rFonts w:ascii="Times New Roman" w:cs="Times New Roman" w:eastAsia="Times New Roman" w:hAnsi="Times New Roman"/>
          <w:sz w:val="17"/>
          <w:szCs w:val="17"/>
          <w:color w:val="auto"/>
        </w:rPr>
        <w:t>As of March 31, 2025, a hypothetical increase in interest rates by 100 basis points would have had an immaterial impact on the market value of our investment portfolio. This estimate is based on a sensitivity model that measures market value changes when changes in interest rates occur.</w:t>
      </w:r>
    </w:p>
    <w:p>
      <w:pPr>
        <w:spacing w:after="0" w:line="68"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Any borrowings under the term loan facility bear interest, at our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As of March 31, 2025, we had $997.5 million outstanding under the term loan facility. We do not have any other long-term debt or financial liabilities with floating interest rates that would subject us to interest rate fluctuations. For the three months ended March 31, 2025, a hypothetical 100 basis point increase or decrease in interest rates would have resulted in a $2.2 million change in interest expense related to the term loan facility.</w:t>
      </w: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48"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Our results of operations and cash flows are subject to fluctuations due to changes in foreign currency exchange rates relative to U.S. dollars, our reporting currency.</w:t>
      </w:r>
    </w:p>
    <w:p>
      <w:pPr>
        <w:spacing w:after="0" w:line="81"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Most of our revenue is generated in U.S. dollars, with the remainder generated in Euros, British pounds sterling, Australian dollars, Canadian dollars, and Japanese yen.</w:t>
      </w:r>
    </w:p>
    <w:p>
      <w:pPr>
        <w:spacing w:after="0" w:line="81"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1"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three months ended March 31, 2025, 26%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200" w:lineRule="exact"/>
        <w:rPr>
          <w:sz w:val="20"/>
          <w:szCs w:val="20"/>
          <w:color w:val="auto"/>
        </w:rPr>
      </w:pPr>
    </w:p>
    <w:p>
      <w:pPr>
        <w:spacing w:after="0" w:line="213" w:lineRule="exact"/>
        <w:rPr>
          <w:sz w:val="20"/>
          <w:szCs w:val="20"/>
          <w:color w:val="auto"/>
        </w:rPr>
      </w:pPr>
    </w:p>
    <w:p>
      <w:pPr>
        <w:ind w:right="360" w:firstLine="431"/>
        <w:spacing w:after="0" w:line="295" w:lineRule="auto"/>
        <w:rPr>
          <w:sz w:val="20"/>
          <w:szCs w:val="20"/>
          <w:color w:val="auto"/>
        </w:rPr>
      </w:pPr>
      <w:r>
        <w:rPr>
          <w:rFonts w:ascii="Times New Roman" w:cs="Times New Roman" w:eastAsia="Times New Roman" w:hAnsi="Times New Roman"/>
          <w:sz w:val="17"/>
          <w:szCs w:val="17"/>
          <w:color w:val="auto"/>
        </w:rPr>
        <w:t>Foreign currency transaction gains or losses were immaterial during the three months ended March 31, 2025 and 2024. A hypothetical 10% change in foreign currency rates would not have resulted in material gains or losses for the three months ended March 31, 2025 and 2024.</w:t>
      </w:r>
    </w:p>
    <w:p>
      <w:pPr>
        <w:spacing w:after="0" w:line="81"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1" w:lineRule="exact"/>
        <w:rPr>
          <w:sz w:val="20"/>
          <w:szCs w:val="20"/>
          <w:color w:val="auto"/>
        </w:rPr>
      </w:pPr>
    </w:p>
    <w:p>
      <w:pPr>
        <w:jc w:val="both"/>
        <w:ind w:right="60" w:firstLine="392"/>
        <w:spacing w:after="0" w:line="269"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1"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LEGAL PROCEEDINGS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20" w:lineRule="exact"/>
        <w:rPr>
          <w:sz w:val="20"/>
          <w:szCs w:val="20"/>
          <w:color w:val="auto"/>
        </w:rPr>
      </w:pPr>
    </w:p>
    <w:p>
      <w:pPr>
        <w:ind w:right="140" w:firstLine="392"/>
        <w:spacing w:after="0" w:line="288" w:lineRule="auto"/>
        <w:rPr>
          <w:sz w:val="20"/>
          <w:szCs w:val="20"/>
          <w:color w:val="auto"/>
        </w:rPr>
      </w:pPr>
      <w:r>
        <w:rPr>
          <w:rFonts w:ascii="Times New Roman" w:cs="Times New Roman" w:eastAsia="Times New Roman" w:hAnsi="Times New Roman"/>
          <w:sz w:val="17"/>
          <w:szCs w:val="17"/>
          <w:color w:val="auto"/>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spacing w:after="0" w:line="39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10,013,158 and 10,021,052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spacing w:after="0" w:line="204"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At the trial in May 2023, the jury found in favor of Dropbox on all counts including non-infringement and invalidity of the patents and awarded no damages to Motion Offense. Dropbox filed a Motion for Entry of Judgment on August 28, 2023 and on September 27, 2023, Motion Offense filed a Motion for a New Trial. At a hearing on January 3, 2024, the Court denied Motion Offense’s Motion for a New Trial. On January 8, 2024, the court ordered supplemental briefing relating to the Motion for Entry of Judgment and briefing. On August 29, 2024, the court entered judgement in line with the May 2023 jury verdict. On September 27, 2024, Motion Offense filed a Motion for Judgment as a Matter of Law and a renewed Motion for a New Trial. Briefing is complete and Dropbox has requested a hearing on the Motions.</w:t>
      </w:r>
    </w:p>
    <w:p>
      <w:pPr>
        <w:spacing w:after="0" w:line="200" w:lineRule="exact"/>
        <w:rPr>
          <w:sz w:val="20"/>
          <w:szCs w:val="20"/>
          <w:color w:val="auto"/>
        </w:rPr>
      </w:pPr>
    </w:p>
    <w:p>
      <w:pPr>
        <w:ind w:right="260" w:firstLine="392"/>
        <w:spacing w:after="0" w:line="276" w:lineRule="auto"/>
        <w:rPr>
          <w:sz w:val="20"/>
          <w:szCs w:val="20"/>
          <w:color w:val="auto"/>
        </w:rPr>
      </w:pPr>
      <w:r>
        <w:rPr>
          <w:rFonts w:ascii="Times New Roman" w:cs="Times New Roman" w:eastAsia="Times New Roman" w:hAnsi="Times New Roman"/>
          <w:sz w:val="17"/>
          <w:szCs w:val="17"/>
          <w:color w:val="auto"/>
        </w:rPr>
        <w:t>Before trial, Motion Offense filed a third patent infringement suit against Dropbox out of the same family of patents as the prior two suits. This suit was not consolidated into the trial. The case is currently stayed pending final resolution of the Inter Partes Review of the asserted patent. We believe Motion Offense’s allegations in that suit are similarly without merit and will vigorously defend against them.</w:t>
      </w:r>
    </w:p>
    <w:p>
      <w:pPr>
        <w:spacing w:after="0" w:line="188"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In addition, on December 16, 2022, Entangled Media, LLC (“Entangled Media”) filed a patent infringement suit against Dropbox in the Western District of Texas in Austin. The complaint alleges that Dropbox infringes 2 U.S. Patents: U.S Patent Nos. 8,296,338 and 8,484,260. On June 30, 2023, the case was transferred to the Northern District of California.</w:t>
      </w:r>
    </w:p>
    <w:p>
      <w:pPr>
        <w:spacing w:after="0" w:line="188" w:lineRule="exact"/>
        <w:rPr>
          <w:sz w:val="20"/>
          <w:szCs w:val="20"/>
          <w:color w:val="auto"/>
        </w:rPr>
      </w:pPr>
    </w:p>
    <w:p>
      <w:pPr>
        <w:ind w:right="80" w:firstLine="392"/>
        <w:spacing w:after="0" w:line="276" w:lineRule="auto"/>
        <w:rPr>
          <w:sz w:val="20"/>
          <w:szCs w:val="20"/>
          <w:color w:val="auto"/>
        </w:rPr>
      </w:pPr>
      <w:r>
        <w:rPr>
          <w:rFonts w:ascii="Times New Roman" w:cs="Times New Roman" w:eastAsia="Times New Roman" w:hAnsi="Times New Roman"/>
          <w:sz w:val="17"/>
          <w:szCs w:val="17"/>
          <w:color w:val="auto"/>
        </w:rPr>
        <w:t>Dropbox believes it has meritorious defenses and plans to vigorously defend this matter. The Northern District of California has set the case for a jury trial in September 2025, and certain issues and defenses will be decided by the court outside of the jury trial. A final judgment in the district court may be appealed by either party to the Federal Circuit.</w:t>
      </w:r>
    </w:p>
    <w:p>
      <w:pPr>
        <w:spacing w:after="0" w:line="188"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While we remain confident in the Company’s defenses to the asserted allegations in these cases, it is not possible to determine the ultimate outcome at this time, however, we do not believe any potential loss would be material to our financial position or results of operations.</w:t>
      </w:r>
    </w:p>
    <w:p>
      <w:pPr>
        <w:spacing w:after="0" w:line="173" w:lineRule="exact"/>
        <w:rPr>
          <w:sz w:val="20"/>
          <w:szCs w:val="20"/>
          <w:color w:val="auto"/>
        </w:rPr>
      </w:pPr>
    </w:p>
    <w:p>
      <w:pPr>
        <w:ind w:right="180" w:firstLine="392"/>
        <w:spacing w:after="0" w:line="276" w:lineRule="auto"/>
        <w:rPr>
          <w:sz w:val="20"/>
          <w:szCs w:val="20"/>
          <w:color w:val="auto"/>
        </w:rPr>
      </w:pPr>
      <w:r>
        <w:rPr>
          <w:rFonts w:ascii="Times New Roman" w:cs="Times New Roman" w:eastAsia="Times New Roman" w:hAnsi="Times New Roman"/>
          <w:sz w:val="17"/>
          <w:szCs w:val="17"/>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242"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24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6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may continue to fluctuate or decline in any period or over time. Paying users may downgrade or not renew their subscriptions because of several factors, such as dissatisfaction with our products, support, pricing, mix of features, or user experience,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204" w:lineRule="exact"/>
        <w:rPr>
          <w:sz w:val="20"/>
          <w:szCs w:val="20"/>
          <w:color w:val="auto"/>
        </w:rPr>
      </w:pPr>
    </w:p>
    <w:p>
      <w:pPr>
        <w:ind w:right="40" w:firstLine="392"/>
        <w:spacing w:after="0" w:line="259" w:lineRule="auto"/>
        <w:rPr>
          <w:sz w:val="20"/>
          <w:szCs w:val="20"/>
          <w:color w:val="auto"/>
        </w:rPr>
      </w:pPr>
      <w:r>
        <w:rPr>
          <w:rFonts w:ascii="Times New Roman" w:cs="Times New Roman" w:eastAsia="Times New Roman" w:hAnsi="Times New Roman"/>
          <w:sz w:val="17"/>
          <w:szCs w:val="17"/>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211"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growth could be harmed if we fail to attract new users or convert registered users to paying users.</w:t>
      </w:r>
    </w:p>
    <w:p>
      <w:pPr>
        <w:spacing w:after="0" w:line="253" w:lineRule="exact"/>
        <w:rPr>
          <w:sz w:val="20"/>
          <w:szCs w:val="20"/>
          <w:color w:val="auto"/>
        </w:rPr>
      </w:pPr>
    </w:p>
    <w:p>
      <w:pPr>
        <w:ind w:right="40" w:firstLine="392"/>
        <w:spacing w:after="0" w:line="273" w:lineRule="auto"/>
        <w:rPr>
          <w:sz w:val="20"/>
          <w:szCs w:val="20"/>
          <w:color w:val="auto"/>
        </w:rPr>
      </w:pPr>
      <w:r>
        <w:rPr>
          <w:rFonts w:ascii="Times New Roman" w:cs="Times New Roman" w:eastAsia="Times New Roman" w:hAnsi="Times New Roman"/>
          <w:sz w:val="17"/>
          <w:szCs w:val="17"/>
          <w:color w:val="auto"/>
        </w:rPr>
        <w:t>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90% of our revenue from self-serve channels. Our self-service channel revenue is driven by word-of-mouth referrals,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recommendations, and positive brand recognition in the marketplace. Any decrease in user satisfaction with our products or support could harm our brand, word-of-mouth referrals, and ability to grow.</w:t>
      </w:r>
    </w:p>
    <w:p>
      <w:pPr>
        <w:spacing w:after="0" w:line="173" w:lineRule="exact"/>
        <w:rPr>
          <w:sz w:val="20"/>
          <w:szCs w:val="20"/>
          <w:color w:val="auto"/>
        </w:rPr>
      </w:pPr>
    </w:p>
    <w:p>
      <w:pPr>
        <w:ind w:right="140" w:firstLine="392"/>
        <w:spacing w:after="0" w:line="264" w:lineRule="auto"/>
        <w:rPr>
          <w:sz w:val="20"/>
          <w:szCs w:val="20"/>
          <w:color w:val="auto"/>
        </w:rPr>
      </w:pPr>
      <w:r>
        <w:rPr>
          <w:rFonts w:ascii="Times New Roman" w:cs="Times New Roman" w:eastAsia="Times New Roman" w:hAnsi="Times New Roman"/>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March 31, 2025, we served over 700 million registered users but only 18.16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0"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We have experienced periods in which our number of paying users has declined, and our paying and registered user growth rates have declined and may continue to decline in the future as our pricing and packaging strategy and features (including data storage limits) change, our market penetration rates increase, and as a result of market conditions and increasing competition with respect to our current products. The availability of less expensive and bundled competitive products also has negatively impacted and may continue to negatively impact our user growth rate and our ability to convert registered users to paying users. The growth rate of our user base and the rate of conversion of registered users to paying users has declined in the past, and if such trends continue, our revenue may grow more slowly than expected or decline.</w:t>
      </w:r>
    </w:p>
    <w:p>
      <w:pPr>
        <w:spacing w:after="0" w:line="200"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Furthermore, events or conditions that financially impact our registered users and other prospective paying users, such as macroeconomic factors, layoffs, inflation, fluctuating interest rates, or catastrophic events, have in the past caused and may cause in future periods these users to delay or reduce technology spending, which impacted, and may continue to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and operating results will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 the past and may continue to experience privacy and data security breaches or incidents.</w:t>
      </w:r>
    </w:p>
    <w:p>
      <w:pPr>
        <w:spacing w:after="0" w:line="253"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7"/>
          <w:szCs w:val="17"/>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 California, and regulatory scrutiny related to this incident, and we may discover other impacts or new related events may occur 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40" w:firstLine="392"/>
        <w:spacing w:after="0" w:line="263" w:lineRule="auto"/>
        <w:rPr>
          <w:sz w:val="20"/>
          <w:szCs w:val="20"/>
          <w:color w:val="auto"/>
        </w:rPr>
      </w:pPr>
      <w:r>
        <w:rPr>
          <w:rFonts w:ascii="Times New Roman" w:cs="Times New Roman" w:eastAsia="Times New Roman" w:hAnsi="Times New Roman"/>
          <w:sz w:val="17"/>
          <w:szCs w:val="17"/>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199"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Emerging and evolving cybersecurity threats pose unique challenges and involve sophisticated threat actors. Computer malware, ransomware,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02"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Furthermore, despite our security measures, contractors and other individuals (some of whom our intelligence indicates are supported by nation states) have in the past gained, and in the future may gain, access to our systems. This risk may increase when vendors and contractors work remotely, including as part of our Virtual First model. Additionally, unapproved internal AI product usage or human error in the product development process each have the potential to result in disclosure of user or company content data.</w:t>
      </w:r>
    </w:p>
    <w:p>
      <w:pPr>
        <w:spacing w:after="0" w:line="200"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spacing w:after="0" w:line="19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color w:val="auto"/>
        </w:rPr>
        <w:t>and prevent integration of software and services that may compromise personal information, we can provide no assurances those systems will be effective in every case.</w:t>
      </w:r>
    </w:p>
    <w:p>
      <w:pPr>
        <w:spacing w:after="0" w:line="169"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rate of growth has declined and we have experienced negative growth in past periods. If we do not successfully execute our plan for future growth, our growth rate may continue to decline and we may experience negative growth in future periods.</w:t>
      </w:r>
    </w:p>
    <w:p>
      <w:pPr>
        <w:spacing w:after="0" w:line="169" w:lineRule="exact"/>
        <w:rPr>
          <w:sz w:val="20"/>
          <w:szCs w:val="20"/>
          <w:color w:val="auto"/>
        </w:rPr>
      </w:pPr>
    </w:p>
    <w:p>
      <w:pPr>
        <w:ind w:firstLine="392"/>
        <w:spacing w:after="0" w:line="268" w:lineRule="auto"/>
        <w:rPr>
          <w:sz w:val="20"/>
          <w:szCs w:val="20"/>
          <w:color w:val="auto"/>
        </w:rPr>
      </w:pPr>
      <w:r>
        <w:rPr>
          <w:rFonts w:ascii="Times New Roman" w:cs="Times New Roman" w:eastAsia="Times New Roman" w:hAnsi="Times New Roman"/>
          <w:sz w:val="17"/>
          <w:szCs w:val="17"/>
          <w:color w:val="auto"/>
        </w:rPr>
        <w:t>The rate of growth of our business and revenue has declined in recent periods and we have experienced negative growth. If we are unable to execute on our new product initiatives and plans for growth in the future, we may be unable to reverse this trend. Our new product initiatives, including any AI-based initiatives, are intended to result in growth, but such initiatives require a period of investment and ultimately may not succeed on the timelines we expect or at all. Any additional revenue our new initiatives generate may be insufficient to offset the amounts we have invested or the declining rates of growth in other areas of our business.</w:t>
      </w:r>
    </w:p>
    <w:p>
      <w:pPr>
        <w:spacing w:after="0" w:line="200" w:lineRule="exact"/>
        <w:rPr>
          <w:sz w:val="20"/>
          <w:szCs w:val="20"/>
          <w:color w:val="auto"/>
        </w:rPr>
      </w:pPr>
    </w:p>
    <w:p>
      <w:pPr>
        <w:spacing w:after="0" w:line="208" w:lineRule="exact"/>
        <w:rPr>
          <w:sz w:val="20"/>
          <w:szCs w:val="20"/>
          <w:color w:val="auto"/>
        </w:rPr>
      </w:pPr>
    </w:p>
    <w:p>
      <w:pPr>
        <w:ind w:right="120" w:firstLine="392"/>
        <w:spacing w:after="0" w:line="262" w:lineRule="auto"/>
        <w:rPr>
          <w:sz w:val="20"/>
          <w:szCs w:val="20"/>
          <w:color w:val="auto"/>
        </w:rPr>
      </w:pPr>
      <w:r>
        <w:rPr>
          <w:rFonts w:ascii="Times New Roman" w:cs="Times New Roman" w:eastAsia="Times New Roman" w:hAnsi="Times New Roman"/>
          <w:sz w:val="17"/>
          <w:szCs w:val="17"/>
          <w:color w:val="auto"/>
        </w:rPr>
        <w:t>Efforts to grow and expand our business, including the introduction of new features and products, places a continuous significant strain on our management, operational, and financial resources. As we introduce new products and features, including AI features, and to the extent our user base and third-party relationships expand, our information technology systems, organizational structures, and internal controls and procedures may not be adequate to support our operations. In addition, our challenges may be heightened in connection with our Virtual First work model, as we engage an increasingly distributed employee base in countries around the world, as well as our focus on aligning our resources to create a more nimble and streamlined organization. These issues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spacing w:after="0" w:line="201"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In order to return to growth or reaccelerate our growth, we must effectively allocate our resources and if we invest in future growth, and fail to achieve our goals, our business will be harmed. Our ability to forecast our future results of operations and future growth is subject to a number of risks and uncertainties, including our ability to effectively plan for and model future growth, and we have not always and we may not in the future receive the return we expect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harmed by any significant disruption of service on our platform or loss of content.</w:t>
      </w:r>
    </w:p>
    <w:p>
      <w:pPr>
        <w:spacing w:after="0" w:line="253" w:lineRule="exact"/>
        <w:rPr>
          <w:sz w:val="20"/>
          <w:szCs w:val="20"/>
          <w:color w:val="auto"/>
        </w:rPr>
      </w:pPr>
    </w:p>
    <w:p>
      <w:pPr>
        <w:ind w:right="200" w:firstLine="392"/>
        <w:spacing w:after="0" w:line="264" w:lineRule="auto"/>
        <w:rPr>
          <w:sz w:val="20"/>
          <w:szCs w:val="20"/>
          <w:color w:val="auto"/>
        </w:rPr>
      </w:pPr>
      <w:r>
        <w:rPr>
          <w:rFonts w:ascii="Times New Roman" w:cs="Times New Roman" w:eastAsia="Times New Roman" w:hAnsi="Times New Roman"/>
          <w:sz w:val="17"/>
          <w:szCs w:val="17"/>
          <w:color w:val="auto"/>
        </w:rPr>
        <w:t>Our brand, reputation, and ability to attract, retain, and serve our users is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0" w:lineRule="exact"/>
        <w:rPr>
          <w:sz w:val="20"/>
          <w:szCs w:val="20"/>
          <w:color w:val="auto"/>
        </w:rPr>
      </w:pPr>
    </w:p>
    <w:p>
      <w:pPr>
        <w:ind w:right="220" w:firstLine="392"/>
        <w:spacing w:after="0" w:line="269" w:lineRule="auto"/>
        <w:rPr>
          <w:sz w:val="20"/>
          <w:szCs w:val="20"/>
          <w:color w:val="auto"/>
        </w:rPr>
      </w:pPr>
      <w:r>
        <w:rPr>
          <w:rFonts w:ascii="Times New Roman" w:cs="Times New Roman" w:eastAsia="Times New Roman" w:hAnsi="Times New Roman"/>
          <w:sz w:val="17"/>
          <w:szCs w:val="17"/>
          <w:color w:val="auto"/>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in our own custom-built infrastructure in co-location facilities that we directly lease and operate. As we continue to add, enhance and modify our infrastructure to meet our business needs, we may move or transfer additional content accordingly.</w:t>
      </w:r>
    </w:p>
    <w:p>
      <w:pPr>
        <w:spacing w:after="0" w:line="195"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The availability or price of such components may also be impacted by tariffs and global trade policy, including retaliatory actions, affecting such components.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01"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competitive markets, and we must continue to compete effectively.</w:t>
      </w:r>
    </w:p>
    <w:p>
      <w:pPr>
        <w:spacing w:after="0" w:line="253"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spacing w:after="0" w:line="199" w:lineRule="exact"/>
        <w:rPr>
          <w:sz w:val="20"/>
          <w:szCs w:val="20"/>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user-centric design;</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of user network;</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recognition and trust;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accessibility across several devices, operating systems, and applications;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integration;</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innovation;</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may make it increasingly difficult for us to compete effectively. We expect these trends to continue as competitors strengthen or maintain their market positions.</w:t>
      </w:r>
    </w:p>
    <w:p>
      <w:pPr>
        <w:spacing w:after="0" w:line="200"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95" w:lineRule="exact"/>
        <w:rPr>
          <w:sz w:val="20"/>
          <w:szCs w:val="20"/>
          <w:color w:val="auto"/>
        </w:rPr>
      </w:pPr>
    </w:p>
    <w:p>
      <w:pPr>
        <w:ind w:right="300" w:firstLine="392"/>
        <w:spacing w:after="0" w:line="276" w:lineRule="auto"/>
        <w:rPr>
          <w:sz w:val="20"/>
          <w:szCs w:val="20"/>
          <w:color w:val="auto"/>
        </w:rPr>
      </w:pPr>
      <w:r>
        <w:rPr>
          <w:rFonts w:ascii="Times New Roman" w:cs="Times New Roman" w:eastAsia="Times New Roman" w:hAnsi="Times New Roman"/>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84"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69" w:lineRule="exact"/>
        <w:rPr>
          <w:sz w:val="20"/>
          <w:szCs w:val="20"/>
          <w:color w:val="auto"/>
        </w:rPr>
      </w:pPr>
    </w:p>
    <w:p>
      <w:pPr>
        <w:ind w:right="20" w:firstLine="392"/>
        <w:spacing w:after="0" w:line="260" w:lineRule="auto"/>
        <w:rPr>
          <w:sz w:val="20"/>
          <w:szCs w:val="20"/>
          <w:color w:val="auto"/>
        </w:rPr>
      </w:pPr>
      <w:r>
        <w:rPr>
          <w:rFonts w:ascii="Times New Roman" w:cs="Times New Roman" w:eastAsia="Times New Roman" w:hAnsi="Times New Roman"/>
          <w:sz w:val="17"/>
          <w:szCs w:val="17"/>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We have made, and intend to continue making, significant investments in developing products that will incorporate AI, and while we are optimistic that such new products have the potential to drive future growth of our business, the development of such new features will incur significant costs and there is no guarantee that such new product offerings will ultimately be successful. Additionally, use of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 Additionally, several U.S. states have proposed, and in certain cases have enacted, legislation covering the deployment and regulation of AI technology, or otherwise imposing obligations in connection with the use of AI.</w:t>
      </w:r>
    </w:p>
    <w:p>
      <w:pPr>
        <w:spacing w:after="0" w:line="203"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In addition, while we believe remote or distributed work will continue to have a significant and long lasting impact on the workforce, and will open up increased market opportunities for us, such as our work on new AI-driven products, such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1"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as compared to a fully in-office model. The risk of such disruptions and decreased productivity may persist as our workforce operates under a Virtual First model. We have also in the past experienced delays in our internally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upon the interoperability of our platform across devices, operating systems, and third-party applications that we do not control.</w:t>
      </w:r>
    </w:p>
    <w:p>
      <w:pPr>
        <w:spacing w:after="0" w:line="253"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 party services, our business may be adversely impacted.</w:t>
      </w:r>
    </w:p>
    <w:p>
      <w:pPr>
        <w:spacing w:after="0" w:line="199"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195"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5"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significantly impacted by a change in general economic, political, and market conditions, including any resulting effect on consumer or business spending.</w:t>
      </w:r>
    </w:p>
    <w:p>
      <w:pPr>
        <w:spacing w:after="0" w:line="169"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7"/>
          <w:szCs w:val="17"/>
          <w:color w:val="auto"/>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fluctuating or uncertain interest rates, unemployment trends, increased tariffs, retaliatory actions, international trade regulations,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generate revenue from sales of subscriptions to our platform, and declines in demand for our platform, or for content collaboration solutions in general, could negatively impact our business.</w:t>
      </w:r>
    </w:p>
    <w:p>
      <w:pPr>
        <w:spacing w:after="0" w:line="169"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spacing w:after="0" w:line="195"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8" w:lineRule="exact"/>
        <w:rPr>
          <w:sz w:val="20"/>
          <w:szCs w:val="20"/>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awareness of the content collaboration category generally;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products and services that compete with ours;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scale, and duration, of trends towards or away from remote or distributed work;</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recognition and trust;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49"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4"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69" w:lineRule="exact"/>
        <w:rPr>
          <w:sz w:val="20"/>
          <w:szCs w:val="20"/>
          <w:color w:val="auto"/>
        </w:rPr>
      </w:pPr>
    </w:p>
    <w:p>
      <w:pPr>
        <w:ind w:right="80" w:firstLine="392"/>
        <w:spacing w:after="0" w:line="264" w:lineRule="auto"/>
        <w:rPr>
          <w:sz w:val="20"/>
          <w:szCs w:val="20"/>
          <w:color w:val="auto"/>
        </w:rPr>
      </w:pPr>
      <w:r>
        <w:rPr>
          <w:rFonts w:ascii="Times New Roman" w:cs="Times New Roman" w:eastAsia="Times New Roman" w:hAnsi="Times New Roman"/>
          <w:sz w:val="17"/>
          <w:szCs w:val="17"/>
          <w:color w:val="auto"/>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For example, Bart Volkmer stepped down as our Chief Legal Officer in March 2025, and we announced on April 11, 2025 that Eric Cox plans to resign as our Chief Customer Officer.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200"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 that we will be able to successfully execute on these plans, and failure to successfully manage these transitions may cause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17"/>
          <w:szCs w:val="17"/>
          <w:color w:val="auto"/>
        </w:rPr>
        <w:t>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173" w:lineRule="exact"/>
        <w:rPr>
          <w:sz w:val="20"/>
          <w:szCs w:val="20"/>
          <w:color w:val="auto"/>
        </w:rPr>
      </w:pPr>
    </w:p>
    <w:p>
      <w:pPr>
        <w:ind w:right="100" w:firstLine="392"/>
        <w:spacing w:after="0" w:line="260" w:lineRule="auto"/>
        <w:rPr>
          <w:sz w:val="20"/>
          <w:szCs w:val="20"/>
          <w:color w:val="auto"/>
        </w:rPr>
      </w:pPr>
      <w:r>
        <w:rPr>
          <w:rFonts w:ascii="Times New Roman" w:cs="Times New Roman" w:eastAsia="Times New Roman" w:hAnsi="Times New Roman"/>
          <w:sz w:val="17"/>
          <w:szCs w:val="17"/>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2024 reduction in workforce may result in increased attrition, reduce employee morale, and negatively impact employee recruiting and retention. If we fail to attract new personnel, or fail to retain and motivate our current personnel, our business, financial results, and growth prospects could be harmed.</w:t>
      </w:r>
    </w:p>
    <w:p>
      <w:pPr>
        <w:spacing w:after="0" w:line="200" w:lineRule="exact"/>
        <w:rPr>
          <w:sz w:val="20"/>
          <w:szCs w:val="20"/>
          <w:color w:val="auto"/>
        </w:rPr>
      </w:pPr>
    </w:p>
    <w:p>
      <w:pPr>
        <w:spacing w:after="0" w:line="218"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with a Virtual First workforce and the long-term impact of this model on our financial results and business operations remains uncertain.</w:t>
      </w:r>
    </w:p>
    <w:p>
      <w:pPr>
        <w:spacing w:after="0" w:line="25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In October 2020, we announced a Virtual First work model pursuant to which remote work has become the primary experience for all of our employees and our intention is for our workforce to continue being more distributed over time. However,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197" w:lineRule="exact"/>
        <w:rPr>
          <w:sz w:val="20"/>
          <w:szCs w:val="20"/>
          <w:color w:val="auto"/>
        </w:rPr>
      </w:pPr>
    </w:p>
    <w:p>
      <w:pPr>
        <w:ind w:right="220" w:firstLine="392"/>
        <w:spacing w:after="0" w:line="269" w:lineRule="auto"/>
        <w:rPr>
          <w:sz w:val="20"/>
          <w:szCs w:val="20"/>
          <w:color w:val="auto"/>
        </w:rPr>
      </w:pPr>
      <w:r>
        <w:rPr>
          <w:rFonts w:ascii="Times New Roman" w:cs="Times New Roman" w:eastAsia="Times New Roman" w:hAnsi="Times New Roman"/>
          <w:sz w:val="17"/>
          <w:szCs w:val="17"/>
          <w:color w:val="auto"/>
        </w:rPr>
        <w:t>Our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95"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In addition, as we continue to operate with our Virtual First model, we will need less office space than we are currently contractually committed to leasing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The extended decline in demand for commercial real estate in San Francisco, in particular, has impacted our subleasing strategy and resulted in us taking additional impairment charges beyond our original expectations.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lack of a significant outbound sales force may limit the potential growth of our business.</w:t>
      </w:r>
    </w:p>
    <w:p>
      <w:pPr>
        <w:spacing w:after="0" w:line="253" w:lineRule="exact"/>
        <w:rPr>
          <w:sz w:val="20"/>
          <w:szCs w:val="20"/>
          <w:color w:val="auto"/>
        </w:rPr>
      </w:pPr>
    </w:p>
    <w:p>
      <w:pPr>
        <w:jc w:val="both"/>
        <w:ind w:right="420" w:firstLine="392"/>
        <w:spacing w:after="0" w:line="269" w:lineRule="auto"/>
        <w:rPr>
          <w:sz w:val="20"/>
          <w:szCs w:val="20"/>
          <w:color w:val="auto"/>
        </w:rPr>
      </w:pPr>
      <w:r>
        <w:rPr>
          <w:rFonts w:ascii="Times New Roman" w:cs="Times New Roman" w:eastAsia="Times New Roman" w:hAnsi="Times New Roman"/>
          <w:sz w:val="17"/>
          <w:szCs w:val="17"/>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expand sales to large organizations, which could lengthen sales cycles and result in greater deployment challenges.</w:t>
      </w:r>
    </w:p>
    <w:p>
      <w:pPr>
        <w:spacing w:after="0" w:line="253"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customer support may harm our relationships with our users and our financial results.</w:t>
      </w:r>
    </w:p>
    <w:p>
      <w:pPr>
        <w:spacing w:after="0" w:line="253"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95"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6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93"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outside the United States and our efforts to expand, subject us to increased business and economic risks that could impact our results of operations.</w:t>
      </w:r>
    </w:p>
    <w:p>
      <w:pPr>
        <w:spacing w:after="0" w:line="169" w:lineRule="exact"/>
        <w:rPr>
          <w:sz w:val="20"/>
          <w:szCs w:val="20"/>
          <w:color w:val="auto"/>
        </w:rPr>
      </w:pPr>
    </w:p>
    <w:p>
      <w:pPr>
        <w:ind w:right="120" w:firstLine="392"/>
        <w:spacing w:after="0" w:line="261" w:lineRule="auto"/>
        <w:rPr>
          <w:sz w:val="20"/>
          <w:szCs w:val="20"/>
          <w:color w:val="auto"/>
        </w:rPr>
      </w:pPr>
      <w:r>
        <w:rPr>
          <w:rFonts w:ascii="Times New Roman" w:cs="Times New Roman" w:eastAsia="Times New Roman" w:hAnsi="Times New Roman"/>
          <w:sz w:val="17"/>
          <w:szCs w:val="17"/>
          <w:color w:val="auto"/>
        </w:rPr>
        <w:t>We have paying users across approximately 180 countries and approximately 43% of our revenue in the year ended December 31, 2024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spacing w:after="0" w:line="204" w:lineRule="exact"/>
        <w:rPr>
          <w:sz w:val="20"/>
          <w:szCs w:val="20"/>
          <w:color w:val="auto"/>
        </w:rPr>
      </w:pPr>
    </w:p>
    <w:p>
      <w:pPr>
        <w:ind w:left="640" w:right="20" w:hanging="322"/>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international laws, regulations, and standards including laws and regulations with respect to labor and employment, privacy, data protection, cybersecurity, AI, consumer protection, tax, export control and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right="20"/>
        <w:spacing w:after="0" w:line="295" w:lineRule="auto"/>
        <w:rPr>
          <w:sz w:val="20"/>
          <w:szCs w:val="20"/>
          <w:color w:val="auto"/>
        </w:rPr>
      </w:pPr>
      <w:r>
        <w:rPr>
          <w:rFonts w:ascii="Times New Roman" w:cs="Times New Roman" w:eastAsia="Times New Roman" w:hAnsi="Times New Roman"/>
          <w:sz w:val="17"/>
          <w:szCs w:val="17"/>
          <w:color w:val="auto"/>
        </w:rPr>
        <w:t>sanctions, and unsolicited email, and the risk of penalties to our users and individual members of management or employees if our practices are deemed to be out of compliance;</w:t>
      </w:r>
    </w:p>
    <w:p>
      <w:pPr>
        <w:spacing w:after="0" w:line="173" w:lineRule="exact"/>
        <w:rPr>
          <w:sz w:val="20"/>
          <w:szCs w:val="20"/>
          <w:color w:val="auto"/>
        </w:rPr>
      </w:pPr>
    </w:p>
    <w:p>
      <w:pPr>
        <w:ind w:left="640" w:right="24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172" w:lineRule="exact"/>
        <w:rPr>
          <w:rFonts w:ascii="Times New Roman" w:cs="Times New Roman" w:eastAsia="Times New Roman" w:hAnsi="Times New Roman"/>
          <w:sz w:val="17"/>
          <w:szCs w:val="17"/>
          <w:color w:val="auto"/>
        </w:rPr>
      </w:pPr>
    </w:p>
    <w:p>
      <w:pPr>
        <w:ind w:left="640" w:right="46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of an employee base in jurisdictions that may not give us the same employment and retention flexibility as the United States;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jurisdictions that do not protect intellectual property rights in the same manner or to the same extent as the United States;</w:t>
      </w:r>
    </w:p>
    <w:p>
      <w:pPr>
        <w:spacing w:after="0" w:line="248"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72"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social, and economic instability, conflicts, and wars, and their regional and global ramifications;</w:t>
      </w:r>
    </w:p>
    <w:p>
      <w:pPr>
        <w:spacing w:after="0" w:line="248" w:lineRule="exact"/>
        <w:rPr>
          <w:rFonts w:ascii="Times New Roman" w:cs="Times New Roman" w:eastAsia="Times New Roman" w:hAnsi="Times New Roman"/>
          <w:sz w:val="17"/>
          <w:szCs w:val="17"/>
          <w:color w:val="auto"/>
        </w:rPr>
      </w:pPr>
    </w:p>
    <w:p>
      <w:pPr>
        <w:ind w:left="640" w:right="84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72"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and public health epidemics on employees, travel and the global economy.</w:t>
      </w:r>
    </w:p>
    <w:p>
      <w:pPr>
        <w:spacing w:after="0" w:line="249"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196"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9"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69" w:lineRule="exact"/>
        <w:rPr>
          <w:sz w:val="20"/>
          <w:szCs w:val="20"/>
          <w:color w:val="auto"/>
        </w:rPr>
      </w:pPr>
    </w:p>
    <w:p>
      <w:pPr>
        <w:ind w:right="160" w:firstLine="392"/>
        <w:spacing w:after="0" w:line="264" w:lineRule="auto"/>
        <w:rPr>
          <w:sz w:val="20"/>
          <w:szCs w:val="20"/>
          <w:color w:val="auto"/>
        </w:rPr>
      </w:pPr>
      <w:r>
        <w:rPr>
          <w:rFonts w:ascii="Times New Roman" w:cs="Times New Roman" w:eastAsia="Times New Roman" w:hAnsi="Times New Roman"/>
          <w:sz w:val="17"/>
          <w:szCs w:val="17"/>
          <w:color w:val="auto"/>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0"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also depend on our ecosystem of developers to create applications that will integrate with our platform. As of December 31, 2024, Dropbox was receiving over 75 billion API calls per month, and just over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95"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We may not have the ability to control or prevent these risks. As a result, issues relating to these applications could adversely affect our business, brand, and reputation.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offer and sell subscriptions to our platform and subject us to possible litigation.</w:t>
      </w:r>
    </w:p>
    <w:p>
      <w:pPr>
        <w:spacing w:after="0" w:line="25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sell subscriptions to our platform and retain users could be harmed by real or perceived material defects or errors in our platform.</w:t>
      </w:r>
    </w:p>
    <w:p>
      <w:pPr>
        <w:spacing w:after="0" w:line="253"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9" w:lineRule="exact"/>
        <w:rPr>
          <w:sz w:val="20"/>
          <w:szCs w:val="20"/>
          <w:color w:val="auto"/>
        </w:rPr>
      </w:pPr>
    </w:p>
    <w:p>
      <w:pPr>
        <w:ind w:firstLine="392"/>
        <w:spacing w:after="0" w:line="288" w:lineRule="auto"/>
        <w:rPr>
          <w:sz w:val="20"/>
          <w:szCs w:val="20"/>
          <w:color w:val="auto"/>
        </w:rPr>
      </w:pPr>
      <w:r>
        <w:rPr>
          <w:rFonts w:ascii="Times New Roman" w:cs="Times New Roman" w:eastAsia="Times New Roman" w:hAnsi="Times New Roman"/>
          <w:sz w:val="17"/>
          <w:szCs w:val="17"/>
          <w:color w:val="auto"/>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spacing w:after="0" w:line="393" w:lineRule="exact"/>
        <w:rPr>
          <w:sz w:val="20"/>
          <w:szCs w:val="20"/>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 reduction in revenue or delay in market acceptance of our platform;</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issue refunds to our users or expose us to claims for damages;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lose existing users and make it more difficult to attract new users;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our development resources or require us to make extensive changes to our platform, which would increase our expenses;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technical support costs;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reputation and brand.</w:t>
      </w:r>
    </w:p>
    <w:p>
      <w:pPr>
        <w:spacing w:after="0" w:line="245" w:lineRule="exact"/>
        <w:rPr>
          <w:sz w:val="20"/>
          <w:szCs w:val="20"/>
          <w:color w:val="auto"/>
        </w:rPr>
      </w:pPr>
    </w:p>
    <w:p>
      <w:pPr>
        <w:ind w:right="4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acquired or invested in, and may in the future acquire or invest in, other businesses, assets, and technologies, which could require significant management attention, disrupt our business operations, cause us to incur debt or dilute stockholder value, and may not be successful.</w:t>
      </w:r>
    </w:p>
    <w:p>
      <w:pPr>
        <w:spacing w:after="0" w:line="169" w:lineRule="exact"/>
        <w:rPr>
          <w:sz w:val="20"/>
          <w:szCs w:val="20"/>
          <w:color w:val="auto"/>
        </w:rPr>
      </w:pPr>
    </w:p>
    <w:p>
      <w:pPr>
        <w:ind w:right="720" w:firstLine="392"/>
        <w:spacing w:after="0" w:line="295" w:lineRule="auto"/>
        <w:rPr>
          <w:sz w:val="20"/>
          <w:szCs w:val="20"/>
          <w:color w:val="auto"/>
        </w:rPr>
      </w:pPr>
      <w:r>
        <w:rPr>
          <w:rFonts w:ascii="Times New Roman" w:cs="Times New Roman" w:eastAsia="Times New Roman" w:hAnsi="Times New Roman"/>
          <w:sz w:val="17"/>
          <w:szCs w:val="17"/>
          <w:color w:val="auto"/>
        </w:rPr>
        <w:t>As part of our business strategy, we have acquired or invested in, and may in the future acquire or invest in, other companies, employee teams, or technologies to complement or expand our products, obtain personnel, or otherwise complement or grow our business.</w:t>
      </w:r>
    </w:p>
    <w:p>
      <w:pPr>
        <w:spacing w:after="0" w:line="173"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The pursuit of acquisitions or investments may divert the attention of management and cause us to incur various expenses in identifying, investigating, and pursuing suitable acquisitions, whether or not they are consummated.</w:t>
      </w:r>
    </w:p>
    <w:p>
      <w:pPr>
        <w:spacing w:after="0" w:line="173" w:lineRule="exact"/>
        <w:rPr>
          <w:sz w:val="20"/>
          <w:szCs w:val="20"/>
          <w:color w:val="auto"/>
        </w:rPr>
      </w:pPr>
    </w:p>
    <w:p>
      <w:pPr>
        <w:ind w:right="380" w:firstLine="392"/>
        <w:spacing w:after="0" w:line="276" w:lineRule="auto"/>
        <w:rPr>
          <w:sz w:val="20"/>
          <w:szCs w:val="20"/>
          <w:color w:val="auto"/>
        </w:rPr>
      </w:pPr>
      <w:r>
        <w:rPr>
          <w:rFonts w:ascii="Times New Roman" w:cs="Times New Roman" w:eastAsia="Times New Roman" w:hAnsi="Times New Roman"/>
          <w:sz w:val="17"/>
          <w:szCs w:val="17"/>
          <w:color w:val="auto"/>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spacing w:after="0" w:line="188"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If we do complete acquisitions, we may not ultimately strengthen our competitive position or achieve the anticipated benefits from such acquisitions, due to a number of factors, including:</w:t>
      </w:r>
    </w:p>
    <w:p>
      <w:pPr>
        <w:spacing w:after="0" w:line="173" w:lineRule="exact"/>
        <w:rPr>
          <w:sz w:val="20"/>
          <w:szCs w:val="20"/>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acquisition-related costs, liabilities, or tax impacts, some of which may be unanticipated;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utilizing or integrating the acquired intellectual property, technology infrastructure, and operations;</w:t>
      </w:r>
    </w:p>
    <w:p>
      <w:pPr>
        <w:spacing w:after="0" w:line="248" w:lineRule="exact"/>
        <w:rPr>
          <w:rFonts w:ascii="Times New Roman" w:cs="Times New Roman" w:eastAsia="Times New Roman" w:hAnsi="Times New Roman"/>
          <w:sz w:val="17"/>
          <w:szCs w:val="17"/>
          <w:color w:val="auto"/>
        </w:rPr>
      </w:pPr>
    </w:p>
    <w:p>
      <w:pPr>
        <w:ind w:left="640" w:right="80" w:hanging="322"/>
        <w:spacing w:after="0" w:line="295" w:lineRule="auto"/>
        <w:tabs>
          <w:tab w:leader="none" w:pos="6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integrating and retaining key employees of acquired businesses and related challenges motivating and retaining our key employees after such acquisition;</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 or inadequate, controls, procedures, or policies at an acquired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effectively offer, price, and support multiple product lines or services offerings of acquired businesses;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right="540" w:hanging="322"/>
        <w:spacing w:after="0" w:line="295" w:lineRule="auto"/>
        <w:tabs>
          <w:tab w:leader="none" w:pos="6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unknown liabilities or risks associated with an acquired business, including those arising from existing contractual obligations, security vulnerabilities, cybersecurity incidents, or litigation matters;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maintain relationships with key customers, suppliers, and partners of an acquired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accurately forecast the financial impact of an acquisition transaction, including accounting charges;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accounting, finance and forecasting practices of acquired business within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experience in new markets, products or technologies;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effectively integrate brand identity of acquired businesses within those of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resources that are needed in other parts of our business.</w:t>
      </w:r>
    </w:p>
    <w:p>
      <w:pPr>
        <w:spacing w:after="0" w:line="249"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95" w:lineRule="exact"/>
        <w:rPr>
          <w:sz w:val="20"/>
          <w:szCs w:val="20"/>
          <w:color w:val="auto"/>
        </w:rPr>
      </w:pPr>
    </w:p>
    <w:p>
      <w:pPr>
        <w:ind w:right="80" w:firstLine="392"/>
        <w:spacing w:after="0" w:line="268" w:lineRule="auto"/>
        <w:rPr>
          <w:sz w:val="20"/>
          <w:szCs w:val="20"/>
          <w:color w:val="auto"/>
        </w:rPr>
      </w:pPr>
      <w:r>
        <w:rPr>
          <w:rFonts w:ascii="Times New Roman" w:cs="Times New Roman" w:eastAsia="Times New Roman" w:hAnsi="Times New Roman"/>
          <w:sz w:val="17"/>
          <w:szCs w:val="17"/>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both"/>
        <w:ind w:right="260" w:firstLine="392"/>
        <w:spacing w:after="0" w:line="276" w:lineRule="auto"/>
        <w:rPr>
          <w:sz w:val="20"/>
          <w:szCs w:val="20"/>
          <w:color w:val="auto"/>
        </w:rPr>
      </w:pPr>
      <w:r>
        <w:rPr>
          <w:rFonts w:ascii="Times New Roman" w:cs="Times New Roman" w:eastAsia="Times New Roman" w:hAnsi="Times New Roman"/>
          <w:sz w:val="17"/>
          <w:szCs w:val="17"/>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on this assessment, which could adversely affect our results of operations.</w:t>
      </w:r>
    </w:p>
    <w:p>
      <w:pPr>
        <w:spacing w:after="0" w:line="188" w:lineRule="exact"/>
        <w:rPr>
          <w:sz w:val="20"/>
          <w:szCs w:val="20"/>
          <w:color w:val="auto"/>
        </w:rPr>
      </w:pPr>
    </w:p>
    <w:p>
      <w:pPr>
        <w:ind w:right="260" w:firstLine="392"/>
        <w:spacing w:after="0" w:line="276" w:lineRule="auto"/>
        <w:rPr>
          <w:sz w:val="20"/>
          <w:szCs w:val="20"/>
          <w:color w:val="auto"/>
        </w:rPr>
      </w:pPr>
      <w:r>
        <w:rPr>
          <w:rFonts w:ascii="Times New Roman" w:cs="Times New Roman" w:eastAsia="Times New Roman" w:hAnsi="Times New Roman"/>
          <w:sz w:val="17"/>
          <w:szCs w:val="17"/>
          <w:color w:val="auto"/>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current and future indebtedness may limit our operating flexibility or otherwise affect our business.</w:t>
      </w:r>
    </w:p>
    <w:p>
      <w:pPr>
        <w:spacing w:after="0" w:line="253"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Our current indebtedness, including our 2026 Notes, 2028 Notes and our term loan facility, place significant restrictions on our business and could have important consequences to our stockholders and effects on our business, as could any future indebtedness.</w:t>
      </w:r>
    </w:p>
    <w:p>
      <w:pPr>
        <w:spacing w:after="0" w:line="17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For example, the terms of our term loan facility contain a number of covenants that limit our ability and our subsidiaries’ ability to, among other things, incur additional indebtedness, create liens, merge or consolidate with other companies, sell substantially all of our assets, pay dividends, make redemptions and repurchases of stock, engage in transactions with affiliates, make investments, loans and acquisitions, and prepay certain indebtedness, in each case subject to qualifications and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addition, such current and future indebtedness could:</w:t>
      </w:r>
    </w:p>
    <w:p>
      <w:pPr>
        <w:spacing w:after="0" w:line="249" w:lineRule="exact"/>
        <w:rPr>
          <w:sz w:val="20"/>
          <w:szCs w:val="20"/>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more difficult for us to satisfy our debt obligations, including our term loan facility, the 2026 Notes and the 2028 Notes;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248" w:lineRule="exact"/>
        <w:rPr>
          <w:rFonts w:ascii="Times New Roman" w:cs="Times New Roman" w:eastAsia="Times New Roman" w:hAnsi="Times New Roman"/>
          <w:sz w:val="17"/>
          <w:szCs w:val="17"/>
          <w:color w:val="auto"/>
        </w:rPr>
      </w:pPr>
    </w:p>
    <w:p>
      <w:pPr>
        <w:ind w:left="640" w:right="18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248"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our current and future operations, make it more difficult to successfully execute our business strategy, or restrict us from exploiting business opportunities;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to our competitors that have less indebtedness or are not subject to restrictive covenants;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or otherwise impact the pace and timing of repurchases under our stock repurchase program; and</w:t>
      </w:r>
    </w:p>
    <w:p>
      <w:pPr>
        <w:spacing w:after="0" w:line="248" w:lineRule="exact"/>
        <w:rPr>
          <w:rFonts w:ascii="Times New Roman" w:cs="Times New Roman" w:eastAsia="Times New Roman" w:hAnsi="Times New Roman"/>
          <w:sz w:val="17"/>
          <w:szCs w:val="17"/>
          <w:color w:val="auto"/>
        </w:rPr>
      </w:pPr>
    </w:p>
    <w:p>
      <w:pPr>
        <w:ind w:left="640" w:right="38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availability to borrow additional funds for working capital, capital expenditures, acquisitions, debt service requirements, execution of our business strategy, or other general purposes.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business, cash flows, results of operations, and financial condition.</w:t>
      </w:r>
    </w:p>
    <w:p>
      <w:pPr>
        <w:spacing w:after="0" w:line="245"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69"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We finance a significant portion of our expenditures through leasing arrangements, and we may enter into additional similar arrangements in the future. As of December 31, 2024, we had an aggregate of $1,088.6 million of commitments to settle contractual obligations. In particular, we utilize both finance and operating leases to finance some of our equipment, datacenters and offices. In addition, in December 2024, we borrowed $1.0 billion of term loans under our term loan facility for general corporate purposes, including repurchases of our stock. If we default on these leasing or credit obligations, our leasing partners and lenders may, among other things:</w:t>
      </w:r>
    </w:p>
    <w:p>
      <w:pPr>
        <w:spacing w:after="0" w:line="197" w:lineRule="exact"/>
        <w:rPr>
          <w:sz w:val="20"/>
          <w:szCs w:val="20"/>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repayment of any outstanding lease obligations or loans;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leasing arrangements;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access to the leased datacenters we utilize;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delivery of ordered equipment;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require us to return our leased equipment;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repayment of the outstanding term loans borrowed under our term loan facility;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term loan facility and exercise rights and remedies against the collateral securing our term loan facility; or</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pay increased and significant interest, fees, penalties, or damages.</w:t>
      </w:r>
    </w:p>
    <w:p>
      <w:pPr>
        <w:spacing w:after="0" w:line="24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term loan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Risks Related to Our Financial Performance or Results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growth rate has declined in recent periods and may continue to slow in the future.</w:t>
      </w:r>
    </w:p>
    <w:p>
      <w:pPr>
        <w:spacing w:after="0" w:line="253"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increase expenses in the future, and we may not be able to achieve or maintain profitability in future periods.</w:t>
      </w:r>
    </w:p>
    <w:p>
      <w:pPr>
        <w:spacing w:after="0" w:line="253"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7"/>
          <w:szCs w:val="17"/>
          <w:color w:val="auto"/>
        </w:rPr>
        <w:t>Our profitability may fluctuate in certain periods, or we may fail to meet our profitability targets. As we strive to grow our business, expenses may increase as we continue to make investments to scale our business, reposition our products, and respond to new technologies; in particular, we are making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200" w:lineRule="exact"/>
        <w:rPr>
          <w:sz w:val="20"/>
          <w:szCs w:val="20"/>
          <w:color w:val="auto"/>
        </w:rPr>
      </w:pPr>
    </w:p>
    <w:p>
      <w:pPr>
        <w:spacing w:after="0" w:line="221" w:lineRule="exact"/>
        <w:rPr>
          <w:sz w:val="20"/>
          <w:szCs w:val="20"/>
          <w:color w:val="auto"/>
        </w:rPr>
      </w:pPr>
    </w:p>
    <w:p>
      <w:pPr>
        <w:ind w:right="5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Servicing our indebtedness under our term loan facility, 2026 Notes, and 2028 Notes may require a significant amount of cash, and we may not have sufficient cash flow or the ability to raise the funds necessary to satisfy our obligations under our term loan facility, 2026 Notes, or 2028 Notes.</w:t>
      </w:r>
    </w:p>
    <w:p>
      <w:pPr>
        <w:spacing w:after="0" w:line="16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indebtedness, including our term loan facility,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In addition, our term loan facility exposes us to floating interest rates where changes in benchmark interest rates could negatively impact our borrowing costs.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results may fluctuate significantly and may not fully reflect the underlying performance of our business.</w:t>
      </w:r>
    </w:p>
    <w:p>
      <w:pPr>
        <w:spacing w:after="0" w:line="253"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spacing w:after="0" w:line="200" w:lineRule="exact"/>
        <w:rPr>
          <w:sz w:val="20"/>
          <w:szCs w:val="20"/>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paying users;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paying users and convert registered to paying users;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and recognition of revenue;</w:t>
      </w:r>
    </w:p>
    <w:p>
      <w:pPr>
        <w:spacing w:after="0" w:line="248" w:lineRule="exact"/>
        <w:rPr>
          <w:rFonts w:ascii="Times New Roman" w:cs="Times New Roman" w:eastAsia="Times New Roman" w:hAnsi="Times New Roman"/>
          <w:sz w:val="17"/>
          <w:szCs w:val="17"/>
          <w:color w:val="auto"/>
        </w:rPr>
      </w:pPr>
    </w:p>
    <w:p>
      <w:pPr>
        <w:ind w:left="640" w:right="120" w:hanging="322"/>
        <w:spacing w:after="0" w:line="295"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the maintenance and expansion of our business, operations, and infrastructure, as well as entry into or exit of operating and finance leases;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related to acquisitions;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large indemnification payments to our users or other third parties;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those of our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 feature and service introductions by us or our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outages or actual or perceived security breaches;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competitive dynamics of our industry, including consolidation among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that impact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w:t>
      </w:r>
    </w:p>
    <w:p>
      <w:pPr>
        <w:spacing w:after="0" w:line="248" w:lineRule="exact"/>
        <w:rPr>
          <w:rFonts w:ascii="Times New Roman" w:cs="Times New Roman" w:eastAsia="Times New Roman" w:hAnsi="Times New Roman"/>
          <w:sz w:val="17"/>
          <w:szCs w:val="17"/>
          <w:color w:val="auto"/>
        </w:rPr>
      </w:pPr>
    </w:p>
    <w:p>
      <w:pPr>
        <w:ind w:left="640" w:right="520" w:hanging="322"/>
        <w:spacing w:after="0" w:line="295"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catastrophic events, including earthquakes, fires, floods, tsunamis, or other weather events, power loss, telecommunications failures, software or hardware malfunctions, cyber-attack, war, or terrorist attacks, and pandemics;</w:t>
      </w:r>
    </w:p>
    <w:p>
      <w:pPr>
        <w:spacing w:after="0" w:line="172"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reserves or other non-cash credits or charges, such as the impairment charges as a result of changes in the corporate real estate market which impacted our subleasing strategy in conjunction with our Virtual First model, and releases of deferred tax asset valuation allowances; and</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impacts from our Virtual First work model.</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Fluctuation in quarterly results may negatively impact the value of our securities.</w:t>
      </w:r>
    </w:p>
    <w:p>
      <w:pPr>
        <w:spacing w:after="0" w:line="245"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69"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which are reported in U.S. dollars, could be adversely affected if currency exchange rates fluctuate substantially in the future.</w:t>
      </w:r>
    </w:p>
    <w:p>
      <w:pPr>
        <w:spacing w:after="0" w:line="253" w:lineRule="exact"/>
        <w:rPr>
          <w:sz w:val="20"/>
          <w:szCs w:val="20"/>
          <w:color w:val="auto"/>
        </w:rPr>
      </w:pPr>
    </w:p>
    <w:p>
      <w:pPr>
        <w:ind w:right="100" w:firstLine="392"/>
        <w:spacing w:after="0" w:line="262" w:lineRule="auto"/>
        <w:rPr>
          <w:sz w:val="20"/>
          <w:szCs w:val="20"/>
          <w:color w:val="auto"/>
        </w:rPr>
      </w:pPr>
      <w:r>
        <w:rPr>
          <w:rFonts w:ascii="Times New Roman" w:cs="Times New Roman" w:eastAsia="Times New Roman" w:hAnsi="Times New Roman"/>
          <w:sz w:val="17"/>
          <w:szCs w:val="17"/>
          <w:color w:val="auto"/>
        </w:rPr>
        <w:t>We are exposed to the effects of fluctuations in currency exchange rates within our international operations. This exposure is the result of selling in multiple currencies and operating in foreign countries where the functional currency is the local currency. In 2024, 26%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due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convertible note hedge transactions.</w:t>
      </w:r>
    </w:p>
    <w:p>
      <w:pPr>
        <w:spacing w:after="0" w:line="253"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In connection with the pricing of the 2026 Notes and 2028 Notes, we entered into convertible note hedge transactions with certain financial institutions or affiliates of financial institutions, which we refer to as the “option counterparties,” and we are subject to the risk that one or more of such option counterparties may default on their obligations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25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As of December 31, 2024,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0"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be harmed if we are required to collect or pay sales, value-added, or other related taxes for our services or in jurisdictions where we have not historically done so.</w:t>
      </w:r>
    </w:p>
    <w:p>
      <w:pPr>
        <w:spacing w:after="0" w:line="169" w:lineRule="exact"/>
        <w:rPr>
          <w:sz w:val="20"/>
          <w:szCs w:val="20"/>
          <w:color w:val="auto"/>
        </w:rPr>
      </w:pPr>
    </w:p>
    <w:p>
      <w:pPr>
        <w:ind w:right="280" w:firstLine="392"/>
        <w:spacing w:after="0" w:line="266" w:lineRule="auto"/>
        <w:rPr>
          <w:sz w:val="20"/>
          <w:szCs w:val="20"/>
          <w:color w:val="auto"/>
        </w:rPr>
      </w:pPr>
      <w:r>
        <w:rPr>
          <w:rFonts w:ascii="Times New Roman" w:cs="Times New Roman" w:eastAsia="Times New Roman" w:hAnsi="Times New Roman"/>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69"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spacing w:after="0" w:line="191"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have publicly disclosed market opportunity estimates, growth forecasts, and key metrics, including the key metrics included in this Quarterly Report on Form 10-Q, as well as in our other public statements, which could prove to be inaccurate, and any real or perceived inaccuracies may harm our reputation and negatively affect our business.</w:t>
      </w:r>
    </w:p>
    <w:p>
      <w:pPr>
        <w:spacing w:after="0" w:line="187"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Risks Related to Legal and Regulatory Compliance</w:t>
      </w:r>
    </w:p>
    <w:p>
      <w:pPr>
        <w:spacing w:after="0" w:line="24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69" w:lineRule="exact"/>
        <w:rPr>
          <w:sz w:val="20"/>
          <w:szCs w:val="20"/>
          <w:color w:val="auto"/>
        </w:rPr>
      </w:pPr>
    </w:p>
    <w:p>
      <w:pPr>
        <w:ind w:right="60" w:firstLine="392"/>
        <w:spacing w:after="0" w:line="263" w:lineRule="auto"/>
        <w:rPr>
          <w:sz w:val="20"/>
          <w:szCs w:val="20"/>
          <w:color w:val="auto"/>
        </w:rPr>
      </w:pPr>
      <w:r>
        <w:rPr>
          <w:rFonts w:ascii="Times New Roman" w:cs="Times New Roman" w:eastAsia="Times New Roman" w:hAnsi="Times New Roman"/>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operating at scale, we do not comprehensively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99"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0" w:lineRule="exact"/>
        <w:rPr>
          <w:sz w:val="20"/>
          <w:szCs w:val="20"/>
          <w:color w:val="auto"/>
        </w:rPr>
      </w:pPr>
    </w:p>
    <w:p>
      <w:pPr>
        <w:spacing w:after="0" w:line="214" w:lineRule="exact"/>
        <w:rPr>
          <w:sz w:val="20"/>
          <w:szCs w:val="20"/>
          <w:color w:val="auto"/>
        </w:rPr>
      </w:pPr>
    </w:p>
    <w:p>
      <w:pPr>
        <w:ind w:right="440" w:firstLine="392"/>
        <w:spacing w:after="0" w:line="276" w:lineRule="auto"/>
        <w:rPr>
          <w:sz w:val="20"/>
          <w:szCs w:val="20"/>
          <w:color w:val="auto"/>
        </w:rPr>
      </w:pPr>
      <w:r>
        <w:rPr>
          <w:rFonts w:ascii="Times New Roman" w:cs="Times New Roman" w:eastAsia="Times New Roman" w:hAnsi="Times New Roman"/>
          <w:sz w:val="17"/>
          <w:szCs w:val="17"/>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8"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69"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6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204"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actual or perceived failure to comply with privacy, data protection, and information security laws, regulations, and obligations could harm our business.</w:t>
      </w:r>
    </w:p>
    <w:p>
      <w:pPr>
        <w:spacing w:after="0" w:line="253"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1"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We also expect that there will continue to be new laws, regulations, and industry standards concerning privacy, data protection, AI, and information security proposed and enacted in various jurisdictions.</w:t>
      </w:r>
    </w:p>
    <w:p>
      <w:pPr>
        <w:spacing w:after="0" w:line="173"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and Switzerland to the U.S.</w:t>
      </w:r>
    </w:p>
    <w:p>
      <w:pPr>
        <w:spacing w:after="0" w:line="195"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2023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decisions against other providers are possible. The CJEU and IDPC decisions and related developments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0"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7"/>
          <w:szCs w:val="17"/>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took effect in 2024; Tennessee, Delaware, New Jersey, Nebraska, Iowa, Maryland, Minnesota, and New Hampshire have enacted similar laws that have gone or will go into effect in 2025, and Indiana, Kentucky, and Rhode Island have enacted similar laws that will go into effect in 2026. Other laws relating to privacy and cybersecurity, many of which are similar to the CCPA and CPRA, are being considered by other state legislatures, and certain U.S. states have enacted such legislation, such as Washington’s My Health, My Data Act, which includes a private right of action. The U.S. federal government also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has enacted or revised numerous regimes relating to cybersecurity. For example, it has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 In addition, the Digital Operational Resiliency Act became effective in January 2025. This law aims to establish a universal framework for managing and mitigating information and communication technology risk that will apply to entities in the financial sector and their third-party cloud service providers.</w:t>
      </w:r>
    </w:p>
    <w:p>
      <w:pPr>
        <w:spacing w:after="0" w:line="209"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Some countries are also considering or have passed legislation implementing data protection requirements or requiring local storage and processing of data, or similar requirements, that could increase the cost and complexity of delivering our services.</w:t>
      </w:r>
    </w:p>
    <w:p>
      <w:pPr>
        <w:spacing w:after="0" w:line="173"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199" w:lineRule="exact"/>
        <w:rPr>
          <w:sz w:val="20"/>
          <w:szCs w:val="20"/>
          <w:color w:val="auto"/>
        </w:rPr>
      </w:pPr>
    </w:p>
    <w:p>
      <w:pPr>
        <w:jc w:val="both"/>
        <w:ind w:right="260" w:firstLine="392"/>
        <w:spacing w:after="0" w:line="269" w:lineRule="auto"/>
        <w:rPr>
          <w:sz w:val="20"/>
          <w:szCs w:val="20"/>
          <w:color w:val="auto"/>
        </w:rPr>
      </w:pPr>
      <w:r>
        <w:rPr>
          <w:rFonts w:ascii="Times New Roman" w:cs="Times New Roman" w:eastAsia="Times New Roman" w:hAnsi="Times New Roman"/>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195" w:lineRule="exact"/>
        <w:rPr>
          <w:sz w:val="20"/>
          <w:szCs w:val="20"/>
          <w:color w:val="auto"/>
        </w:rPr>
      </w:pPr>
    </w:p>
    <w:p>
      <w:pPr>
        <w:ind w:firstLine="392"/>
        <w:spacing w:after="0" w:line="265" w:lineRule="auto"/>
        <w:rPr>
          <w:sz w:val="20"/>
          <w:szCs w:val="20"/>
          <w:color w:val="auto"/>
        </w:rPr>
      </w:pPr>
      <w:r>
        <w:rPr>
          <w:rFonts w:ascii="Times New Roman" w:cs="Times New Roman" w:eastAsia="Times New Roman" w:hAnsi="Times New Roman"/>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impacted by changes in internet access for our users or laws specifically governing the internet.</w:t>
      </w:r>
    </w:p>
    <w:p>
      <w:pPr>
        <w:spacing w:after="0" w:line="253" w:lineRule="exact"/>
        <w:rPr>
          <w:sz w:val="20"/>
          <w:szCs w:val="20"/>
          <w:color w:val="auto"/>
        </w:rPr>
      </w:pPr>
    </w:p>
    <w:p>
      <w:pPr>
        <w:ind w:right="20" w:firstLine="627"/>
        <w:spacing w:after="0" w:line="269" w:lineRule="auto"/>
        <w:rPr>
          <w:sz w:val="20"/>
          <w:szCs w:val="20"/>
          <w:color w:val="auto"/>
        </w:rPr>
      </w:pPr>
      <w:r>
        <w:rPr>
          <w:rFonts w:ascii="Times New Roman" w:cs="Times New Roman" w:eastAsia="Times New Roman" w:hAnsi="Times New Roman"/>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95" w:lineRule="exact"/>
        <w:rPr>
          <w:sz w:val="20"/>
          <w:szCs w:val="20"/>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usage-based 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 pricing for competitive products;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materially change their pricing rates or schemes;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charge us to deliver our traffic at certain levels or at all;</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throttle traffic based on its source or type;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bandwidth caps or other usage restrictions; or</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try to monetize or control access to their networks.</w:t>
      </w:r>
    </w:p>
    <w:p>
      <w:pPr>
        <w:spacing w:after="0" w:line="249"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01"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69"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(the “Motion Offense Litigation”) and Entangled Media (the “Entangled Media Litigation”), each of which have alleged that Dropbox infringes certain of their respective patents.</w:t>
      </w:r>
    </w:p>
    <w:p>
      <w:pPr>
        <w:spacing w:after="0" w:line="199" w:lineRule="exact"/>
        <w:rPr>
          <w:sz w:val="20"/>
          <w:szCs w:val="20"/>
          <w:color w:val="auto"/>
        </w:rPr>
      </w:pPr>
    </w:p>
    <w:p>
      <w:pPr>
        <w:jc w:val="both"/>
        <w:ind w:right="180" w:firstLine="392"/>
        <w:spacing w:after="0" w:line="269" w:lineRule="auto"/>
        <w:rPr>
          <w:sz w:val="20"/>
          <w:szCs w:val="20"/>
          <w:color w:val="auto"/>
        </w:rPr>
      </w:pPr>
      <w:r>
        <w:rPr>
          <w:rFonts w:ascii="Times New Roman" w:cs="Times New Roman" w:eastAsia="Times New Roman" w:hAnsi="Times New Roman"/>
          <w:sz w:val="17"/>
          <w:szCs w:val="17"/>
          <w:color w:val="auto"/>
        </w:rPr>
        <w:t>With respect to the Motion Offense Litigation, a jury trial was conducted in May 2023. The jury found in favor of Dropbox on all counts including non-infringement and invalidity of the patents and awarded no damages to Motion Offense. In August 2024, the court entered judgment in line with the May 2023 jury verdict. On September 27, 2024, Motion Offense filed a Motion for Judgment as a Matter of Law and a renewed Motion for a New Trial. As of December 31, 2024, briefing is complete and Dropbox has requested a hearing on the Motions. The final judgment may be appealed to the Federal Circuit.</w:t>
      </w:r>
    </w:p>
    <w:p>
      <w:pPr>
        <w:spacing w:after="0" w:line="195"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With respect to the Entangled Media Litigation, the Northern District of California has set the case for a jury trial in September 2025. Any final judgment in the district court may be appealed by either party to the federal circuit.</w:t>
      </w:r>
    </w:p>
    <w:p>
      <w:pPr>
        <w:spacing w:after="0" w:line="173" w:lineRule="exact"/>
        <w:rPr>
          <w:sz w:val="20"/>
          <w:szCs w:val="20"/>
          <w:color w:val="auto"/>
        </w:rPr>
      </w:pPr>
    </w:p>
    <w:p>
      <w:pPr>
        <w:ind w:right="20" w:firstLine="392"/>
        <w:spacing w:after="0" w:line="260" w:lineRule="auto"/>
        <w:rPr>
          <w:sz w:val="20"/>
          <w:szCs w:val="20"/>
          <w:color w:val="auto"/>
        </w:rPr>
      </w:pPr>
      <w:r>
        <w:rPr>
          <w:rFonts w:ascii="Times New Roman" w:cs="Times New Roman" w:eastAsia="Times New Roman" w:hAnsi="Times New Roman"/>
          <w:sz w:val="17"/>
          <w:szCs w:val="17"/>
          <w:color w:val="auto"/>
        </w:rPr>
        <w:t>It is not possible presently, with respect to either the Motion Offense Litigation or the Entangled Media Litigation to either (i) determine the final outcome of this matter or (ii) estimate any maximum possible exposure or range of loss. We are also facing litigation arising out of our recent reincorporation from Delaware to Nevada. Regardless of the merit of any such litigation, it may result in additional expenses and distraction for the Company.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proprietary information could diminish our brand and other intangible assets.</w:t>
      </w:r>
    </w:p>
    <w:p>
      <w:pPr>
        <w:spacing w:after="0" w:line="253" w:lineRule="exact"/>
        <w:rPr>
          <w:sz w:val="20"/>
          <w:szCs w:val="20"/>
          <w:color w:val="auto"/>
        </w:rPr>
      </w:pPr>
    </w:p>
    <w:p>
      <w:pPr>
        <w:ind w:firstLine="314"/>
        <w:spacing w:after="0" w:line="259" w:lineRule="auto"/>
        <w:rPr>
          <w:sz w:val="20"/>
          <w:szCs w:val="20"/>
          <w:color w:val="auto"/>
        </w:rPr>
      </w:pPr>
      <w:r>
        <w:rPr>
          <w:rFonts w:ascii="Times New Roman" w:cs="Times New Roman" w:eastAsia="Times New Roman" w:hAnsi="Times New Roman"/>
          <w:sz w:val="17"/>
          <w:szCs w:val="17"/>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1,800 issued patents and more than 250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may be volatile, and you could lose all or part of your investment.</w:t>
      </w:r>
    </w:p>
    <w:p>
      <w:pPr>
        <w:spacing w:after="0" w:line="253"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spacing w:after="0" w:line="173" w:lineRule="exact"/>
        <w:rPr>
          <w:sz w:val="20"/>
          <w:szCs w:val="20"/>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time-to-time;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technology stocks;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Class A common stock by us or our stockholders;</w:t>
      </w:r>
    </w:p>
    <w:p>
      <w:pPr>
        <w:spacing w:after="0" w:line="248" w:lineRule="exact"/>
        <w:rPr>
          <w:rFonts w:ascii="Times New Roman" w:cs="Times New Roman" w:eastAsia="Times New Roman" w:hAnsi="Times New Roman"/>
          <w:sz w:val="17"/>
          <w:szCs w:val="17"/>
          <w:color w:val="auto"/>
        </w:rPr>
      </w:pPr>
    </w:p>
    <w:p>
      <w:pPr>
        <w:ind w:left="640" w:right="80" w:hanging="322"/>
        <w:spacing w:after="0" w:line="295" w:lineRule="auto"/>
        <w:tabs>
          <w:tab w:leader="none" w:pos="6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key metrics;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breaches of, or failures related to, privacy, data protection or data security;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248"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6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transactions, which may include acquisitions of businesses, products, services, or technologies, financing arrangements, or joint ventures or partnerships by us or our competitors;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our management;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inclusion, exclusion, or deletion of our stock from any trading indices; and</w:t>
      </w:r>
    </w:p>
    <w:p>
      <w:pPr>
        <w:spacing w:after="0" w:line="248" w:lineRule="exact"/>
        <w:rPr>
          <w:rFonts w:ascii="Times New Roman" w:cs="Times New Roman" w:eastAsia="Times New Roman" w:hAnsi="Times New Roman"/>
          <w:sz w:val="17"/>
          <w:szCs w:val="17"/>
          <w:color w:val="auto"/>
        </w:rPr>
      </w:pPr>
    </w:p>
    <w:p>
      <w:pPr>
        <w:ind w:left="640" w:right="360" w:hanging="322"/>
        <w:spacing w:after="0" w:line="276" w:lineRule="auto"/>
        <w:tabs>
          <w:tab w:leader="none" w:pos="6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 war, or other armed conflict, or terrorist attacks, and pandemics.</w:t>
      </w:r>
    </w:p>
    <w:p>
      <w:pPr>
        <w:spacing w:after="0" w:line="188"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the market price of a particular company’s securities, securities class action litigation has often been instituted against these companies. Any securities litigation that may</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instituted against us in the future could result in substantial costs and a diversion of our management’s attention and resources.</w:t>
      </w:r>
    </w:p>
    <w:p>
      <w:pPr>
        <w:spacing w:after="0" w:line="245"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69" w:lineRule="exact"/>
        <w:rPr>
          <w:sz w:val="20"/>
          <w:szCs w:val="20"/>
          <w:color w:val="auto"/>
        </w:rPr>
      </w:pPr>
    </w:p>
    <w:p>
      <w:pPr>
        <w:ind w:right="20" w:firstLine="392"/>
        <w:spacing w:after="0" w:line="260" w:lineRule="auto"/>
        <w:rPr>
          <w:sz w:val="20"/>
          <w:szCs w:val="20"/>
          <w:color w:val="auto"/>
        </w:rPr>
      </w:pPr>
      <w:r>
        <w:rPr>
          <w:rFonts w:ascii="Times New Roman" w:cs="Times New Roman" w:eastAsia="Times New Roman" w:hAnsi="Times New Roman"/>
          <w:sz w:val="17"/>
          <w:szCs w:val="17"/>
          <w:color w:val="auto"/>
        </w:rPr>
        <w:t>Our Class A common stock has one vote per share, our Class B common stock has ten votes per share, and our Class C common stock has no voting rights, except as otherwise required by law and subject to any limitations provided in our articles of incorporation. As of March 31, 2025, our directors and executive officers, and their respective affiliates, held in the aggregate 78.5% of the voting power of our capital stock, with Mr. Houston holding approximately 78.5% of the voting power of our capital stock. We are including the Co-Founder Grant (as defined in “Stock-based compensation” included in Part I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or otherwise submitted for stockholder approval. In addition, this may prevent or discourage unsolicited acquisition proposals or offers for our capital stock that other stockholders may feel are in their best interests as one of our stockholders.</w:t>
      </w:r>
    </w:p>
    <w:p>
      <w:pPr>
        <w:spacing w:after="0" w:line="203"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7"/>
          <w:szCs w:val="17"/>
          <w:color w:val="auto"/>
        </w:rPr>
        <w:t>Future transfers or sales by holders of Class B common stock will generally result in those shares converting to Class A common stock, except for certain transfers described in our articles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articles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200" w:lineRule="exact"/>
        <w:rPr>
          <w:sz w:val="20"/>
          <w:szCs w:val="20"/>
          <w:color w:val="auto"/>
        </w:rPr>
      </w:pPr>
    </w:p>
    <w:p>
      <w:pPr>
        <w:spacing w:after="0" w:line="21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In addition, because our Class C common stock carries no voting rights (except as otherwise required by law, subject to any limitations provided in our articles of incorporation),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could depress the market price of our Class A common stock.</w:t>
      </w:r>
    </w:p>
    <w:p>
      <w:pPr>
        <w:spacing w:after="0" w:line="253"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173"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9" w:lineRule="exact"/>
        <w:rPr>
          <w:sz w:val="20"/>
          <w:szCs w:val="20"/>
          <w:color w:val="auto"/>
        </w:rPr>
      </w:pPr>
    </w:p>
    <w:p>
      <w:pPr>
        <w:ind w:right="6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69"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spacing w:after="0" w:line="191"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Nevada law and provisions in our articles of incorporation and bylaws, could make a merger, tender offer, or proxy contest difficult, thereby depressing the market price of our Class A common stock.</w:t>
      </w:r>
    </w:p>
    <w:p>
      <w:pPr>
        <w:spacing w:after="0" w:line="169"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Our status as a Nevada corporation and the anti-takeover provisions of the Nevada Revised Statutes may discourage, delay, or prevent a change in control by prohibiting us from engaging in a business combination with an interested stockholder for a period of four years after the person becomes an interested stockholder, even if a change of control would be beneficial to our existing stockholders. In addition, our articles of incorporation and bylaws contain provisions that may make the acquisition of our company more difficult, including the following:</w:t>
      </w:r>
    </w:p>
    <w:p>
      <w:pPr>
        <w:spacing w:after="0" w:line="195" w:lineRule="exact"/>
        <w:rPr>
          <w:sz w:val="20"/>
          <w:szCs w:val="20"/>
          <w:color w:val="auto"/>
        </w:rPr>
      </w:pPr>
    </w:p>
    <w:p>
      <w:pPr>
        <w:ind w:left="640" w:right="200" w:hanging="322"/>
        <w:spacing w:after="0" w:line="295"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that would result in a change in control of our company requires the approval of a majority of our outstanding Class B common stock voting as a separate class;</w:t>
      </w:r>
    </w:p>
    <w:p>
      <w:pPr>
        <w:spacing w:after="0" w:line="172" w:lineRule="exact"/>
        <w:rPr>
          <w:rFonts w:ascii="Times New Roman" w:cs="Times New Roman" w:eastAsia="Times New Roman" w:hAnsi="Times New Roman"/>
          <w:sz w:val="17"/>
          <w:szCs w:val="17"/>
          <w:color w:val="auto"/>
        </w:rPr>
      </w:pPr>
    </w:p>
    <w:p>
      <w:pPr>
        <w:ind w:left="640" w:right="40" w:hanging="322"/>
        <w:spacing w:after="0" w:line="276"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multi-class common stock structure, which provides our holders of Class B common stock with the ability to significantly influence the outcome of matters requiring or otherwise submitted for stockholder approval, even if they own significantly less than a majority of the shares of our outstanding Class A common stock, Class B common stock, and Class C common stock;</w:t>
      </w:r>
    </w:p>
    <w:p>
      <w:pPr>
        <w:spacing w:after="0" w:line="188" w:lineRule="exact"/>
        <w:rPr>
          <w:rFonts w:ascii="Times New Roman" w:cs="Times New Roman" w:eastAsia="Times New Roman" w:hAnsi="Times New Roman"/>
          <w:sz w:val="17"/>
          <w:szCs w:val="17"/>
          <w:color w:val="auto"/>
        </w:rPr>
      </w:pPr>
    </w:p>
    <w:p>
      <w:pPr>
        <w:ind w:left="640" w:right="200" w:hanging="322"/>
        <w:spacing w:after="0" w:line="276"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88" w:lineRule="exact"/>
        <w:rPr>
          <w:rFonts w:ascii="Times New Roman" w:cs="Times New Roman" w:eastAsia="Times New Roman" w:hAnsi="Times New Roman"/>
          <w:sz w:val="17"/>
          <w:szCs w:val="17"/>
          <w:color w:val="auto"/>
        </w:rPr>
      </w:pPr>
    </w:p>
    <w:p>
      <w:pPr>
        <w:ind w:left="640" w:right="260" w:hanging="322"/>
        <w:spacing w:after="0" w:line="269"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Class B common stock, as a class, converts to Class A common stock, any amendments to our articles of incorporation will require the approval of two-thirds of the combined vote of our then-outstanding shares of Class A common stock and Class B common stock; and following the conversion of our Class B common stock, as a class, to Class A common stock, certain amendments to our articles of incorporation will require the approval of two-thirds of our then outstanding voting power;</w:t>
      </w:r>
    </w:p>
    <w:p>
      <w:pPr>
        <w:spacing w:after="0" w:line="195" w:lineRule="exact"/>
        <w:rPr>
          <w:rFonts w:ascii="Times New Roman" w:cs="Times New Roman" w:eastAsia="Times New Roman" w:hAnsi="Times New Roman"/>
          <w:sz w:val="17"/>
          <w:szCs w:val="17"/>
          <w:color w:val="auto"/>
        </w:rPr>
      </w:pPr>
    </w:p>
    <w:p>
      <w:pPr>
        <w:ind w:left="640" w:right="880" w:hanging="322"/>
        <w:spacing w:after="0" w:line="295"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bylaws provide that approval of stockholders holding two-thirds of our outstanding voting power voting as a single class is required for stockholders to amend or adopt any provision of our bylaws;</w:t>
      </w:r>
    </w:p>
    <w:p>
      <w:pPr>
        <w:spacing w:after="0" w:line="172" w:lineRule="exact"/>
        <w:rPr>
          <w:rFonts w:ascii="Times New Roman" w:cs="Times New Roman" w:eastAsia="Times New Roman" w:hAnsi="Times New Roman"/>
          <w:sz w:val="17"/>
          <w:szCs w:val="17"/>
          <w:color w:val="auto"/>
        </w:rPr>
      </w:pPr>
    </w:p>
    <w:p>
      <w:pPr>
        <w:ind w:left="640" w:right="340" w:hanging="322"/>
        <w:spacing w:after="0" w:line="295"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Voting Threshold Date our stockholders will only be able to take action at a meeting of stockholders, and will not be able to take action by written consent for any matter;</w:t>
      </w:r>
    </w:p>
    <w:p>
      <w:pPr>
        <w:spacing w:after="0" w:line="172" w:lineRule="exact"/>
        <w:rPr>
          <w:rFonts w:ascii="Times New Roman" w:cs="Times New Roman" w:eastAsia="Times New Roman" w:hAnsi="Times New Roman"/>
          <w:sz w:val="17"/>
          <w:szCs w:val="17"/>
          <w:color w:val="auto"/>
        </w:rPr>
      </w:pPr>
    </w:p>
    <w:p>
      <w:pPr>
        <w:ind w:left="640" w:right="440" w:hanging="322"/>
        <w:spacing w:after="0" w:line="295"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Voting Threshold Date, our stockholders will be able to act by written consent only if the action is first recommended or approved by the Board of Directors;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vacancies on our Board of Directors will be able to be filled only by our Board of Directors and not by stockholders;</w:t>
      </w:r>
    </w:p>
    <w:p>
      <w:pPr>
        <w:spacing w:after="0" w:line="248" w:lineRule="exact"/>
        <w:rPr>
          <w:rFonts w:ascii="Times New Roman" w:cs="Times New Roman" w:eastAsia="Times New Roman" w:hAnsi="Times New Roman"/>
          <w:sz w:val="17"/>
          <w:szCs w:val="17"/>
          <w:color w:val="auto"/>
        </w:rPr>
      </w:pPr>
    </w:p>
    <w:p>
      <w:pPr>
        <w:jc w:val="both"/>
        <w:ind w:left="640" w:right="80" w:hanging="322"/>
        <w:spacing w:after="0" w:line="276"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the chairman of our Board of Directors, our chief executive officer, a majority of our Board of Directors, or, until the Class B common stock, as a class, converts to Class A common stock, stockholders holding thirty percent of the combined voting power of our Class A and Class B common stock are authorized to call a special meeting of stockholders;</w:t>
      </w:r>
    </w:p>
    <w:p>
      <w:pPr>
        <w:spacing w:after="0" w:line="18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litigation against us may be required to be brought in Nevada;</w:t>
      </w:r>
    </w:p>
    <w:p>
      <w:pPr>
        <w:spacing w:after="0" w:line="248"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articles of incorporation authorizes undesignated preferred stock, the terms of which may be established and shares of which may be issued, without the approval of the holders of Class A common stock; and</w:t>
      </w:r>
    </w:p>
    <w:p>
      <w:pPr>
        <w:spacing w:after="0" w:line="172" w:lineRule="exact"/>
        <w:rPr>
          <w:rFonts w:ascii="Times New Roman" w:cs="Times New Roman" w:eastAsia="Times New Roman" w:hAnsi="Times New Roman"/>
          <w:sz w:val="17"/>
          <w:szCs w:val="17"/>
          <w:color w:val="auto"/>
        </w:rPr>
      </w:pPr>
    </w:p>
    <w:p>
      <w:pPr>
        <w:ind w:left="640" w:right="480" w:hanging="322"/>
        <w:spacing w:after="0" w:line="295"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9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bylaws designate the Eighth Judicial District Court of the State of Nevada, Clark County,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9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Our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Nevada Revised Statutes, or the articles of incorporation or the bylaws, or (4) any other action asserting a claim that is governed by the internal affairs doctrine shall be the Eighth Judicial District Court of the State of Nevada, Clark County, Nevada, in all cases subject to the court having jurisdiction over indispensable parties named as defendants.</w:t>
      </w:r>
    </w:p>
    <w:p>
      <w:pPr>
        <w:spacing w:after="0" w:line="197"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Our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spacing w:after="0" w:line="200" w:lineRule="exact"/>
        <w:rPr>
          <w:sz w:val="20"/>
          <w:szCs w:val="20"/>
          <w:color w:val="auto"/>
        </w:rPr>
      </w:pPr>
    </w:p>
    <w:p>
      <w:pPr>
        <w:spacing w:after="0" w:line="223" w:lineRule="exact"/>
        <w:rPr>
          <w:sz w:val="20"/>
          <w:szCs w:val="20"/>
          <w:color w:val="auto"/>
        </w:rPr>
      </w:pPr>
    </w:p>
    <w:p>
      <w:pPr>
        <w:ind w:right="400" w:firstLine="392"/>
        <w:spacing w:after="0" w:line="276"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8" w:lineRule="exact"/>
        <w:rPr>
          <w:sz w:val="20"/>
          <w:szCs w:val="20"/>
          <w:color w:val="auto"/>
        </w:rPr>
      </w:pPr>
    </w:p>
    <w:p>
      <w:pPr>
        <w:ind w:right="540" w:firstLine="392"/>
        <w:spacing w:after="0" w:line="295" w:lineRule="auto"/>
        <w:rPr>
          <w:sz w:val="20"/>
          <w:szCs w:val="20"/>
          <w:color w:val="auto"/>
        </w:rPr>
      </w:pPr>
      <w:r>
        <w:rPr>
          <w:rFonts w:ascii="Times New Roman" w:cs="Times New Roman" w:eastAsia="Times New Roman" w:hAnsi="Times New Roman"/>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guarantee that our stock repurchase program will be fully implemented or that it will enhance long-term stockholder value.</w:t>
      </w:r>
    </w:p>
    <w:p>
      <w:pPr>
        <w:spacing w:after="0" w:line="253"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We initially implemented a stock repurchase program in 2020. Most recently, in December 2024, we announced an authorization for repurchase of up to an additional $1.2 billion of the outstanding shares of our Class A common stock. As of March 31, 2025, we have repurchased approximately $4.5 billion of outstanding shares of our Class A common stock, including under prior authorizations.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Any future share repurchases remain subject to the circumstances in place at that time, including prevailing market prices. As a result, the timing and the volume of our share repurchases may fluctuate.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the pace or frequency of our repurchases may fluctuate or change, and our board of directors may not authorize additional amounts for repurchase in the future. Even if the current or future stock repurchase programs are fully implemented, such programs may not enhance long-term stockholder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or other distributions for the foreseeable future.</w:t>
      </w:r>
    </w:p>
    <w:p>
      <w:pPr>
        <w:spacing w:after="0" w:line="25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or other distributions in the foreseeable future. As a result, stockholders must rely on sales of their Class A common stock after price appreciation as the only way to realize any future gains on their investment. In addition, our term loan facility contains restrictions on our ability to pay dividends.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catastrophic events.</w:t>
      </w:r>
    </w:p>
    <w:p>
      <w:pPr>
        <w:spacing w:after="0" w:line="253"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spacing w:after="0" w:line="200"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exposure to greater than anticipated tax liabilities, which could adversely impact our results of operations.</w:t>
      </w:r>
    </w:p>
    <w:p>
      <w:pPr>
        <w:spacing w:after="0" w:line="25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We are subject to income and other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95" w:lineRule="exact"/>
        <w:rPr>
          <w:sz w:val="20"/>
          <w:szCs w:val="20"/>
          <w:color w:val="auto"/>
        </w:rPr>
      </w:pPr>
    </w:p>
    <w:p>
      <w:pPr>
        <w:ind w:right="60" w:firstLine="392"/>
        <w:spacing w:after="0" w:line="263" w:lineRule="auto"/>
        <w:rPr>
          <w:sz w:val="20"/>
          <w:szCs w:val="20"/>
          <w:color w:val="auto"/>
        </w:rPr>
      </w:pPr>
      <w:r>
        <w:rPr>
          <w:rFonts w:ascii="Times New Roman" w:cs="Times New Roman" w:eastAsia="Times New Roman" w:hAnsi="Times New Roman"/>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U.S. federal, state, or international tax laws, including the implementation of digital services or other similar taxes or taxes imposed in retaliation for any tariffs in the United States,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195"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5" w:lineRule="exact"/>
        <w:rPr>
          <w:sz w:val="20"/>
          <w:szCs w:val="20"/>
          <w:color w:val="auto"/>
        </w:rPr>
      </w:pPr>
    </w:p>
    <w:p>
      <w:pPr>
        <w:ind w:right="120" w:firstLine="392"/>
        <w:spacing w:after="0" w:line="262"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97"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including as a result of our 2024 reduction in workforce,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results of operations may be adversely affected by changes in accounting principles generally accepted in the United States.</w:t>
      </w:r>
    </w:p>
    <w:p>
      <w:pPr>
        <w:spacing w:after="0" w:line="253" w:lineRule="exact"/>
        <w:rPr>
          <w:sz w:val="20"/>
          <w:szCs w:val="20"/>
          <w:color w:val="auto"/>
        </w:rPr>
      </w:pPr>
    </w:p>
    <w:p>
      <w:pPr>
        <w:ind w:right="100" w:firstLine="392"/>
        <w:spacing w:after="0" w:line="268" w:lineRule="auto"/>
        <w:rPr>
          <w:sz w:val="20"/>
          <w:szCs w:val="20"/>
          <w:color w:val="auto"/>
        </w:rPr>
      </w:pPr>
      <w:r>
        <w:rPr>
          <w:rFonts w:ascii="Times New Roman" w:cs="Times New Roman" w:eastAsia="Times New Roman" w:hAnsi="Times New Roman"/>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we cannot be certain that additional financing will be available on favorable terms, or at all.</w:t>
      </w:r>
    </w:p>
    <w:p>
      <w:pPr>
        <w:spacing w:after="0" w:line="253"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Historically, we have funded our operations and capital expenditures primarily through equity issuances, cash generated from our operations, and debt financing. Although we currently anticipate that our existing cash, cash equivalents and short-term investments, amounts available under our existing term loan facility,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fluctuating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9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69"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maintain coverage of us, or if one or more of these analysts cease coverage of us or fail to publish reports on us regularly, demand for our securities could decrease, which could cause the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51" w:lineRule="exact"/>
        <w:rPr>
          <w:sz w:val="20"/>
          <w:szCs w:val="20"/>
          <w:color w:val="auto"/>
        </w:rPr>
      </w:pPr>
    </w:p>
    <w:p>
      <w:pPr>
        <w:ind w:right="2700" w:firstLine="392"/>
        <w:spacing w:after="0" w:line="283" w:lineRule="auto"/>
        <w:rPr>
          <w:sz w:val="20"/>
          <w:szCs w:val="20"/>
          <w:color w:val="auto"/>
        </w:rPr>
      </w:pPr>
      <w:r>
        <w:rPr>
          <w:rFonts w:ascii="Times New Roman" w:cs="Times New Roman" w:eastAsia="Times New Roman" w:hAnsi="Times New Roman"/>
          <w:sz w:val="17"/>
          <w:szCs w:val="17"/>
          <w:color w:val="auto"/>
        </w:rPr>
        <w:t>The following table presents information with respect to Dropbox's repurchases of Class A common stock during the quarter ended March 31, 2025.</w:t>
      </w:r>
    </w:p>
    <w:tbl>
      <w:tblPr>
        <w:tblLayout w:type="fixed"/>
        <w:tblInd w:w="60" w:type="dxa"/>
        <w:tblCellMar>
          <w:top w:w="0" w:type="dxa"/>
          <w:left w:w="0" w:type="dxa"/>
          <w:bottom w:w="0" w:type="dxa"/>
          <w:right w:w="0" w:type="dxa"/>
        </w:tblCellMar>
      </w:tblPr>
      <w:tr>
        <w:trPr>
          <w:trHeight w:val="159"/>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8" w:lineRule="exact"/>
              <w:rPr>
                <w:sz w:val="20"/>
                <w:szCs w:val="20"/>
                <w:color w:val="auto"/>
              </w:rPr>
            </w:pPr>
            <w:r>
              <w:rPr>
                <w:rFonts w:ascii="Times New Roman" w:cs="Times New Roman" w:eastAsia="Times New Roman" w:hAnsi="Times New Roman"/>
                <w:sz w:val="16"/>
                <w:szCs w:val="16"/>
                <w:color w:val="auto"/>
                <w:w w:val="97"/>
              </w:rPr>
              <w:t>Approximate Dollar Value of</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6"/>
              </w:rPr>
              <w:t>Shares that May Yet Be</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right"/>
              <w:ind w:right="236"/>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8"/>
              </w:rPr>
              <w:t>Purchased Under Publicly</w:t>
            </w:r>
          </w:p>
        </w:tc>
        <w:tc>
          <w:tcPr>
            <w:tcW w:w="0" w:type="dxa"/>
            <w:vAlign w:val="bottom"/>
          </w:tcPr>
          <w:p>
            <w:pPr>
              <w:spacing w:after="0"/>
              <w:rPr>
                <w:sz w:val="1"/>
                <w:szCs w:val="1"/>
                <w:color w:val="auto"/>
              </w:rPr>
            </w:pPr>
          </w:p>
        </w:tc>
      </w:tr>
      <w:tr>
        <w:trPr>
          <w:trHeight w:val="157"/>
        </w:trPr>
        <w:tc>
          <w:tcPr>
            <w:tcW w:w="22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Period</w:t>
            </w: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Average Price Paid per Share</w:t>
            </w:r>
            <w:r>
              <w:rPr>
                <w:rFonts w:ascii="Times New Roman" w:cs="Times New Roman" w:eastAsia="Times New Roman" w:hAnsi="Times New Roman"/>
                <w:sz w:val="20"/>
                <w:szCs w:val="20"/>
                <w:color w:val="auto"/>
                <w:vertAlign w:val="superscript"/>
              </w:rPr>
              <w:t>(2)</w:t>
            </w: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0" w:type="dxa"/>
            <w:vAlign w:val="bottom"/>
          </w:tcPr>
          <w:p>
            <w:pPr>
              <w:spacing w:after="0"/>
              <w:rPr>
                <w:sz w:val="1"/>
                <w:szCs w:val="1"/>
                <w:color w:val="auto"/>
              </w:rPr>
            </w:pPr>
          </w:p>
        </w:tc>
      </w:tr>
      <w:tr>
        <w:trPr>
          <w:trHeight w:val="209"/>
        </w:trPr>
        <w:tc>
          <w:tcPr>
            <w:tcW w:w="2240" w:type="dxa"/>
            <w:vAlign w:val="bottom"/>
            <w:gridSpan w:val="2"/>
            <w:vMerge w:val="continue"/>
          </w:tcPr>
          <w:p>
            <w:pPr>
              <w:spacing w:after="0"/>
              <w:rPr>
                <w:sz w:val="18"/>
                <w:szCs w:val="18"/>
                <w:color w:val="auto"/>
              </w:rPr>
            </w:pPr>
          </w:p>
        </w:tc>
        <w:tc>
          <w:tcPr>
            <w:tcW w:w="2140" w:type="dxa"/>
            <w:vAlign w:val="bottom"/>
          </w:tcPr>
          <w:p>
            <w:pPr>
              <w:jc w:val="right"/>
              <w:ind w:right="196"/>
              <w:spacing w:after="0" w:line="209" w:lineRule="exact"/>
              <w:rPr>
                <w:sz w:val="20"/>
                <w:szCs w:val="20"/>
                <w:color w:val="auto"/>
              </w:rPr>
            </w:pPr>
            <w:r>
              <w:rPr>
                <w:rFonts w:ascii="Times New Roman" w:cs="Times New Roman" w:eastAsia="Times New Roman" w:hAnsi="Times New Roman"/>
                <w:sz w:val="16"/>
                <w:szCs w:val="16"/>
                <w:color w:val="auto"/>
              </w:rPr>
              <w:t>Purchased (in millions)</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2220" w:type="dxa"/>
            <w:vAlign w:val="bottom"/>
            <w:gridSpan w:val="3"/>
            <w:vMerge w:val="continue"/>
          </w:tcPr>
          <w:p>
            <w:pPr>
              <w:spacing w:after="0"/>
              <w:rPr>
                <w:sz w:val="18"/>
                <w:szCs w:val="18"/>
                <w:color w:val="auto"/>
              </w:rPr>
            </w:pPr>
          </w:p>
        </w:tc>
        <w:tc>
          <w:tcPr>
            <w:tcW w:w="2160" w:type="dxa"/>
            <w:vAlign w:val="bottom"/>
          </w:tcPr>
          <w:p>
            <w:pPr>
              <w:jc w:val="center"/>
              <w:spacing w:after="0" w:line="209" w:lineRule="exact"/>
              <w:rPr>
                <w:sz w:val="20"/>
                <w:szCs w:val="20"/>
                <w:color w:val="auto"/>
              </w:rPr>
            </w:pPr>
            <w:r>
              <w:rPr>
                <w:rFonts w:ascii="Times New Roman" w:cs="Times New Roman" w:eastAsia="Times New Roman" w:hAnsi="Times New Roman"/>
                <w:sz w:val="16"/>
                <w:szCs w:val="16"/>
                <w:color w:val="auto"/>
                <w:w w:val="94"/>
              </w:rPr>
              <w:t>(in millions)</w:t>
            </w:r>
            <w:r>
              <w:rPr>
                <w:rFonts w:ascii="Times New Roman" w:cs="Times New Roman" w:eastAsia="Times New Roman" w:hAnsi="Times New Roman"/>
                <w:sz w:val="20"/>
                <w:szCs w:val="20"/>
                <w:color w:val="auto"/>
                <w:w w:val="94"/>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8"/>
              <w:spacing w:after="0" w:line="209" w:lineRule="exact"/>
              <w:rPr>
                <w:sz w:val="20"/>
                <w:szCs w:val="20"/>
                <w:color w:val="auto"/>
              </w:rPr>
            </w:pPr>
            <w:r>
              <w:rPr>
                <w:rFonts w:ascii="Times New Roman" w:cs="Times New Roman" w:eastAsia="Times New Roman" w:hAnsi="Times New Roman"/>
                <w:sz w:val="16"/>
                <w:szCs w:val="16"/>
                <w:color w:val="auto"/>
                <w:w w:val="92"/>
              </w:rPr>
              <w:t>(in millions)</w:t>
            </w:r>
            <w:r>
              <w:rPr>
                <w:rFonts w:ascii="Times New Roman" w:cs="Times New Roman" w:eastAsia="Times New Roman" w:hAnsi="Times New Roman"/>
                <w:sz w:val="20"/>
                <w:szCs w:val="20"/>
                <w:color w:val="auto"/>
                <w:w w:val="92"/>
                <w:vertAlign w:val="superscript"/>
              </w:rPr>
              <w:t>(1)</w:t>
            </w:r>
          </w:p>
        </w:tc>
        <w:tc>
          <w:tcPr>
            <w:tcW w:w="0" w:type="dxa"/>
            <w:vAlign w:val="bottom"/>
          </w:tcPr>
          <w:p>
            <w:pPr>
              <w:spacing w:after="0"/>
              <w:rPr>
                <w:sz w:val="1"/>
                <w:szCs w:val="1"/>
                <w:color w:val="auto"/>
              </w:rPr>
            </w:pPr>
          </w:p>
        </w:tc>
      </w:tr>
      <w:tr>
        <w:trPr>
          <w:trHeight w:val="215"/>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1 - 31</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1,277.11</w:t>
            </w:r>
          </w:p>
        </w:tc>
        <w:tc>
          <w:tcPr>
            <w:tcW w:w="0" w:type="dxa"/>
            <w:vAlign w:val="bottom"/>
          </w:tcPr>
          <w:p>
            <w:pPr>
              <w:spacing w:after="0"/>
              <w:rPr>
                <w:sz w:val="1"/>
                <w:szCs w:val="1"/>
                <w:color w:val="auto"/>
              </w:rPr>
            </w:pPr>
          </w:p>
        </w:tc>
      </w:tr>
      <w:tr>
        <w:trPr>
          <w:trHeight w:val="222"/>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1 - 28</w:t>
            </w:r>
          </w:p>
        </w:tc>
        <w:tc>
          <w:tcPr>
            <w:tcW w:w="2140" w:type="dxa"/>
            <w:vAlign w:val="bottom"/>
          </w:tcPr>
          <w:p>
            <w:pPr>
              <w:jc w:val="right"/>
              <w:spacing w:after="0" w:line="222" w:lineRule="exact"/>
              <w:rPr>
                <w:sz w:val="20"/>
                <w:szCs w:val="20"/>
                <w:color w:val="auto"/>
              </w:rPr>
            </w:pPr>
            <w:r>
              <w:rPr>
                <w:rFonts w:ascii="Times New Roman" w:cs="Times New Roman" w:eastAsia="Times New Roman" w:hAnsi="Times New Roman"/>
                <w:sz w:val="17"/>
                <w:szCs w:val="17"/>
                <w:color w:val="auto"/>
              </w:rPr>
              <w:t>5.96</w:t>
            </w:r>
            <w:r>
              <w:rPr>
                <w:rFonts w:ascii="Times New Roman" w:cs="Times New Roman" w:eastAsia="Times New Roman" w:hAnsi="Times New Roman"/>
                <w:sz w:val="22"/>
                <w:szCs w:val="22"/>
                <w:color w:val="auto"/>
                <w:vertAlign w:val="superscript"/>
              </w:rPr>
              <w:t>(3)</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1,108.90</w:t>
            </w:r>
          </w:p>
        </w:tc>
        <w:tc>
          <w:tcPr>
            <w:tcW w:w="0" w:type="dxa"/>
            <w:vAlign w:val="bottom"/>
          </w:tcPr>
          <w:p>
            <w:pPr>
              <w:spacing w:after="0"/>
              <w:rPr>
                <w:sz w:val="1"/>
                <w:szCs w:val="1"/>
                <w:color w:val="auto"/>
              </w:rPr>
            </w:pPr>
          </w:p>
        </w:tc>
      </w:tr>
      <w:tr>
        <w:trPr>
          <w:trHeight w:val="22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1 - 31</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1000" w:type="dxa"/>
            <w:vAlign w:val="bottom"/>
            <w:gridSpan w:val="2"/>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870.01</w:t>
            </w:r>
          </w:p>
        </w:tc>
        <w:tc>
          <w:tcPr>
            <w:tcW w:w="0" w:type="dxa"/>
            <w:vAlign w:val="bottom"/>
          </w:tcPr>
          <w:p>
            <w:pPr>
              <w:spacing w:after="0"/>
              <w:rPr>
                <w:sz w:val="1"/>
                <w:szCs w:val="1"/>
                <w:color w:val="auto"/>
              </w:rPr>
            </w:pPr>
          </w:p>
        </w:tc>
      </w:tr>
      <w:tr>
        <w:trPr>
          <w:trHeight w:val="215"/>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380" w:firstLine="5"/>
        <w:spacing w:after="0" w:line="260" w:lineRule="auto"/>
        <w:tabs>
          <w:tab w:leader="none" w:pos="16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 February 2022, our Board of Directors authorized a $1.2 billion share repurchase program, which we completed during the three months ended March 31, 2024. In July 2023, the Board authorized an additional $1.2 billion program, completed during the three months ended March 31, 2025. In December 2024, the Board authorized a third</w:t>
      </w:r>
    </w:p>
    <w:p>
      <w:pPr>
        <w:ind w:right="80"/>
        <w:spacing w:after="0" w:line="24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6"/>
          <w:szCs w:val="16"/>
          <w:color w:val="auto"/>
        </w:rPr>
        <w:t>$1.2 billion program, under which we continue to repurchase shares.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11 "Stockholders' Deficit" for additional information.</w:t>
      </w:r>
    </w:p>
    <w:p>
      <w:pPr>
        <w:spacing w:after="0" w:line="220"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Average price paid per share includes costs associated with the repurchases, excluding the 1% excise tax imposed as part of the Inflation Reduction Act.</w:t>
      </w:r>
    </w:p>
    <w:p>
      <w:pPr>
        <w:spacing w:after="0" w:line="211"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21,490 shares of restricted common stock withheld by the Company upon vesting of restricted stock awards to satisfy tax withholding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 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Trading Plans of Directors and Executive Officers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our last fiscal quarter, the following directors and officers, as defined in Rule 16a-1(f), adopted a “Rule 10b5-1 trading arrangement” as defined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 S-K Item 408, as follows:</w:t>
      </w:r>
    </w:p>
    <w:p>
      <w:pPr>
        <w:spacing w:after="0" w:line="231"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On February 24, 2025, Karen Peacock, a member of our Board of Directors, adopted a Rule 10b5-1 trading arrangement providing for the sale from time-to-time of an aggregate of up to 11,000 shares of our Class A common stock. The trading arrangement is intended to satisfy the affirmative defense in Rule 10b5-1(c). The duration of the trading arrangement is until December 31, 2025, or earlier if all transactions under the trading arrangement are completed.</w:t>
      </w:r>
    </w:p>
    <w:p>
      <w:pPr>
        <w:spacing w:after="0" w:line="188" w:lineRule="exact"/>
        <w:rPr>
          <w:sz w:val="20"/>
          <w:szCs w:val="20"/>
          <w:color w:val="auto"/>
        </w:rPr>
      </w:pPr>
    </w:p>
    <w:p>
      <w:pPr>
        <w:jc w:val="both"/>
        <w:ind w:right="40" w:firstLine="392"/>
        <w:spacing w:after="0" w:line="276" w:lineRule="auto"/>
        <w:rPr>
          <w:sz w:val="20"/>
          <w:szCs w:val="20"/>
          <w:color w:val="auto"/>
        </w:rPr>
      </w:pPr>
      <w:r>
        <w:rPr>
          <w:rFonts w:ascii="Times New Roman" w:cs="Times New Roman" w:eastAsia="Times New Roman" w:hAnsi="Times New Roman"/>
          <w:sz w:val="17"/>
          <w:szCs w:val="17"/>
          <w:color w:val="auto"/>
        </w:rPr>
        <w:t>On March 6, 2025, Donald Blair, a member of our Board of Directors, adopted a Rule 10b5-1 trading arrangement providing for the sale from time-to-time of an aggregate of up to 100,637 shares of our Class A common stock. The trading arrangement is intended to satisfy the affirmative defense in Rule 10b5-1(c). The duration of the trading arrangement is until November 16, 2025, or earlier if all transactions under the trading arrangement are completed.</w:t>
      </w:r>
    </w:p>
    <w:p>
      <w:pPr>
        <w:spacing w:after="0" w:line="188"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On March 12, 2025, Andrew Houston, our Chief Executive Officer and chair of our Board of Directors, adopted a Rule 10b5-1 trading arrangement providing for the sale from time-to-time of an aggregate of up to 8,266,666 shares of our Class A common stock and up to 1,550,000 shares of our Class B common stock. The trading arrangement is intended to satisfy the affirmative defense in Rule 10b5-1(c). The duration of the trading arrangement is until May 31, 2026, or earlier if all transactions under the trading arrangement are completed.</w:t>
      </w:r>
    </w:p>
    <w:p>
      <w:pPr>
        <w:spacing w:after="0" w:line="195"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On March 14, 2025, Ashraf Alkarmi, our General Manager of Core Products, adopted a Rule 10b5-1 trading arrangement providing for the sale from time-to-time of an aggregate of up to 77,240 shares of our Class A common stock, although we expect the total number of such shares sold will ultimately be less than this amount due to withholding for applicable taxes.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trading arrangement is intended to satisfy the affirmative defense in Rule 10b5-1(c). The duration of the trading arrangement is until March 31, 2026, or earlier if all transactions under the trading arrangement are completed.</w:t>
      </w:r>
    </w:p>
    <w:p>
      <w:pPr>
        <w:spacing w:after="0" w:line="173"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No other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 EXHIBITS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8"/>
          </w:tcPr>
          <w:p>
            <w:pPr>
              <w:ind w:left="70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00" w:type="dxa"/>
            <w:vAlign w:val="bottom"/>
            <w:gridSpan w:val="1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w w:val="97"/>
              </w:rPr>
              <w:t>File Number</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00" w:type="dxa"/>
            <w:vAlign w:val="bottom"/>
            <w:gridSpan w:val="1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2.1</w:t>
            </w:r>
          </w:p>
        </w:tc>
        <w:tc>
          <w:tcPr>
            <w:tcW w:w="5280" w:type="dxa"/>
            <w:vAlign w:val="bottom"/>
            <w:gridSpan w:val="16"/>
          </w:tcPr>
          <w:p>
            <w:pPr>
              <w:spacing w:after="0" w:line="156"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Plan of conversion</w:t>
              </w:r>
            </w:hyperlink>
          </w:p>
        </w:tc>
        <w:tc>
          <w:tcPr>
            <w:tcW w:w="6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jc w:val="center"/>
              <w:ind w:left="170"/>
              <w:spacing w:after="0" w:line="156" w:lineRule="exact"/>
              <w:rPr>
                <w:sz w:val="20"/>
                <w:szCs w:val="20"/>
                <w:color w:val="auto"/>
              </w:rPr>
            </w:pPr>
            <w:r>
              <w:rPr>
                <w:rFonts w:ascii="Times New Roman" w:cs="Times New Roman" w:eastAsia="Times New Roman" w:hAnsi="Times New Roman"/>
                <w:sz w:val="14"/>
                <w:szCs w:val="14"/>
                <w:color w:val="auto"/>
              </w:rPr>
              <w:t>001-38434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5280" w:type="dxa"/>
            <w:vAlign w:val="bottom"/>
            <w:gridSpan w:val="16"/>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Articles of Incorporation of Dropbox, Inc.</w:t>
              </w:r>
            </w:hyperlink>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rPr>
              <w:t>001-38434</w:t>
            </w: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2340" w:type="dxa"/>
            <w:vAlign w:val="bottom"/>
            <w:tcBorders>
              <w:top w:val="single" w:sz="8" w:color="0000FF"/>
            </w:tcBorders>
            <w:gridSpan w:val="4"/>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Bylaws of Dropbox, Inc.</w:t>
              </w:r>
            </w:hyperlink>
          </w:p>
        </w:tc>
        <w:tc>
          <w:tcPr>
            <w:tcW w:w="2940" w:type="dxa"/>
            <w:vAlign w:val="bottom"/>
            <w:gridSpan w:val="12"/>
          </w:tcPr>
          <w:p>
            <w:pPr>
              <w:spacing w:after="0"/>
              <w:rPr>
                <w:sz w:val="24"/>
                <w:szCs w:val="24"/>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rPr>
              <w:t>001-38434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5280" w:type="dxa"/>
            <w:vAlign w:val="bottom"/>
            <w:gridSpan w:val="16"/>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Supplemental Indenture dated March 3, 2025 between the Company and U.S. Bank Trust</w:t>
              </w:r>
            </w:hyperlink>
          </w:p>
        </w:tc>
        <w:tc>
          <w:tcPr>
            <w:tcW w:w="64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001-38434</w:t>
            </w: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980" w:type="dxa"/>
            <w:vAlign w:val="bottom"/>
            <w:tcBorders>
              <w:top w:val="single" w:sz="8" w:color="0000FF"/>
            </w:tcBorders>
            <w:gridSpan w:val="14"/>
          </w:tcPr>
          <w:p>
            <w:pPr>
              <w:spacing w:after="0" w:line="111" w:lineRule="exact"/>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Company, National Association (2026 Notes)</w:t>
              </w:r>
            </w:hyperlink>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5280" w:type="dxa"/>
            <w:vAlign w:val="bottom"/>
            <w:gridSpan w:val="16"/>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Supplemental Indenture dated March 3, 2025 between the Company and U.S. Bank Trust</w:t>
              </w:r>
            </w:hyperlink>
          </w:p>
        </w:tc>
        <w:tc>
          <w:tcPr>
            <w:tcW w:w="64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001-38434</w:t>
            </w: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980" w:type="dxa"/>
            <w:vAlign w:val="bottom"/>
            <w:tcBorders>
              <w:top w:val="single" w:sz="8" w:color="0000FF"/>
            </w:tcBorders>
            <w:gridSpan w:val="14"/>
          </w:tcPr>
          <w:p>
            <w:pPr>
              <w:spacing w:after="0" w:line="111" w:lineRule="exact"/>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Company, National Association (2028 Notes)</w:t>
              </w:r>
            </w:hyperlink>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52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Offer Letter between the Registrant and Ashraf Alkarmi.</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29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Offer Letter between the Registrant and Ali Dasdan.</w:t>
            </w:r>
          </w:p>
        </w:tc>
        <w:tc>
          <w:tcPr>
            <w:tcW w:w="240" w:type="dxa"/>
            <w:vAlign w:val="bottom"/>
            <w:tcBorders>
              <w:top w:val="single" w:sz="8" w:color="0000FF"/>
            </w:tcBorders>
            <w:gridSpan w:val="2"/>
          </w:tcPr>
          <w:p>
            <w:pPr>
              <w:spacing w:after="0"/>
              <w:rPr>
                <w:sz w:val="24"/>
                <w:szCs w:val="24"/>
                <w:color w:val="auto"/>
              </w:rPr>
            </w:pPr>
          </w:p>
        </w:tc>
        <w:tc>
          <w:tcPr>
            <w:tcW w:w="2120" w:type="dxa"/>
            <w:vAlign w:val="bottom"/>
            <w:gridSpan w:val="8"/>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52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Offer Letter between the Registrant and William Yoon.</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40" w:type="dxa"/>
            <w:vAlign w:val="bottom"/>
            <w:gridSpan w:val="6"/>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2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820" w:type="dxa"/>
            <w:vAlign w:val="bottom"/>
            <w:tcBorders>
              <w:top w:val="single" w:sz="8" w:color="0000FF"/>
              <w:bottom w:val="single" w:sz="8" w:color="0000FF"/>
            </w:tcBorders>
            <w:gridSpan w:val="10"/>
          </w:tcPr>
          <w:p>
            <w:pPr>
              <w:spacing w:after="0" w:line="111" w:lineRule="exact"/>
              <w:rPr>
                <w:sz w:val="20"/>
                <w:szCs w:val="20"/>
                <w:color w:val="auto"/>
              </w:rPr>
            </w:pPr>
            <w:r>
              <w:rPr>
                <w:rFonts w:ascii="Times New Roman" w:cs="Times New Roman" w:eastAsia="Times New Roman" w:hAnsi="Times New Roman"/>
                <w:sz w:val="12"/>
                <w:szCs w:val="12"/>
                <w:color w:val="0000FF"/>
              </w:rPr>
              <w:t>and 15d-14(a), as adopted pursuant to Section 302 of the Sarbanes-Oxley Act of 2002.</w:t>
            </w:r>
          </w:p>
        </w:tc>
        <w:tc>
          <w:tcPr>
            <w:tcW w:w="2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2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Exchange Act Rules 13a-14(a) and</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580" w:type="dxa"/>
            <w:vAlign w:val="bottom"/>
            <w:tcBorders>
              <w:top w:val="single" w:sz="8" w:color="0000FF"/>
              <w:bottom w:val="single" w:sz="8" w:color="0000FF"/>
            </w:tcBorders>
            <w:gridSpan w:val="9"/>
          </w:tcPr>
          <w:p>
            <w:pPr>
              <w:spacing w:after="0" w:line="111" w:lineRule="exact"/>
              <w:rPr>
                <w:sz w:val="20"/>
                <w:szCs w:val="20"/>
                <w:color w:val="auto"/>
              </w:rPr>
            </w:pPr>
            <w:r>
              <w:rPr>
                <w:rFonts w:ascii="Times New Roman" w:cs="Times New Roman" w:eastAsia="Times New Roman" w:hAnsi="Times New Roman"/>
                <w:sz w:val="12"/>
                <w:szCs w:val="12"/>
                <w:color w:val="0000FF"/>
              </w:rPr>
              <w:t>15d-14(a), as adopted pursuant to Section 302 of the Sarbanes-Oxley Act of 2002.</w:t>
            </w:r>
          </w:p>
        </w:tc>
        <w:tc>
          <w:tcPr>
            <w:tcW w:w="440" w:type="dxa"/>
            <w:vAlign w:val="bottom"/>
            <w:tcBorders>
              <w:top w:val="single" w:sz="8" w:color="0000FF"/>
            </w:tcBorders>
            <w:gridSpan w:val="6"/>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9"/>
              </w:rPr>
              <w:t>Certifications of Principal Executive Officer and Principal Financial Officer pursuant to</w:t>
            </w:r>
          </w:p>
        </w:tc>
        <w:tc>
          <w:tcPr>
            <w:tcW w:w="3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5280" w:type="dxa"/>
            <w:vAlign w:val="bottom"/>
            <w:gridSpan w:val="16"/>
          </w:tcPr>
          <w:p>
            <w:pPr>
              <w:spacing w:after="0" w:line="111" w:lineRule="exact"/>
              <w:rPr>
                <w:sz w:val="20"/>
                <w:szCs w:val="20"/>
                <w:color w:val="auto"/>
              </w:rPr>
            </w:pPr>
            <w:r>
              <w:rPr>
                <w:rFonts w:ascii="Times New Roman" w:cs="Times New Roman" w:eastAsia="Times New Roman" w:hAnsi="Times New Roman"/>
                <w:sz w:val="12"/>
                <w:szCs w:val="12"/>
                <w:color w:val="0000FF"/>
              </w:rPr>
              <w:t>18 U.S.C. Section 1350 as adopted pursuant to Section 906 of the Sarbanes-Oxley Act of</w:t>
            </w: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4" w:lineRule="exact"/>
              <w:rPr>
                <w:sz w:val="20"/>
                <w:szCs w:val="20"/>
                <w:color w:val="auto"/>
              </w:rPr>
            </w:pPr>
            <w:r>
              <w:rPr>
                <w:rFonts w:ascii="Times New Roman" w:cs="Times New Roman" w:eastAsia="Times New Roman" w:hAnsi="Times New Roman"/>
                <w:sz w:val="14"/>
                <w:szCs w:val="14"/>
                <w:color w:val="0000FF"/>
                <w:w w:val="95"/>
              </w:rPr>
              <w:t>2002.</w:t>
            </w:r>
          </w:p>
        </w:tc>
        <w:tc>
          <w:tcPr>
            <w:tcW w:w="7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4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080" w:right="1960" w:hanging="1058"/>
        <w:spacing w:after="0" w:line="242" w:lineRule="auto"/>
        <w:tabs>
          <w:tab w:leader="none" w:pos="1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from the Company's Quarterly Report on Form 10-Q for the quarter ended March 31, 2025,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p>
      <w:pPr>
        <w:spacing w:after="0" w:line="288" w:lineRule="exact"/>
        <w:rPr>
          <w:sz w:val="20"/>
          <w:szCs w:val="20"/>
          <w:color w:val="auto"/>
        </w:rPr>
      </w:pPr>
    </w:p>
    <w:p>
      <w:pPr>
        <w:ind w:left="1080" w:right="2140" w:hanging="1058"/>
        <w:spacing w:after="0" w:line="233" w:lineRule="auto"/>
        <w:tabs>
          <w:tab w:leader="none" w:pos="1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Incorporated by</w:t>
      </w:r>
    </w:p>
    <w:p>
      <w:pPr>
        <w:ind w:left="220"/>
        <w:spacing w:after="0" w:line="214" w:lineRule="auto"/>
        <w:rPr>
          <w:sz w:val="20"/>
          <w:szCs w:val="20"/>
          <w:color w:val="auto"/>
        </w:rPr>
      </w:pPr>
      <w:r>
        <w:rPr>
          <w:rFonts w:ascii="Times New Roman" w:cs="Times New Roman" w:eastAsia="Times New Roman" w:hAnsi="Times New Roman"/>
          <w:sz w:val="14"/>
          <w:szCs w:val="14"/>
          <w:b w:val="1"/>
          <w:bCs w:val="1"/>
          <w:color w:val="auto"/>
        </w:rPr>
        <w:t>Reference from</w:t>
      </w:r>
    </w:p>
    <w:p>
      <w:pPr>
        <w:jc w:val="right"/>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Filed with SEC</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March 10, 2025</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10, 2025</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10, 2025</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10, 2025</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10, 2025</w:t>
      </w:r>
    </w:p>
    <w:p>
      <w:pPr>
        <w:spacing w:after="0" w:line="5526" w:lineRule="exact"/>
        <w:rPr>
          <w:sz w:val="20"/>
          <w:szCs w:val="20"/>
          <w:color w:val="auto"/>
        </w:rPr>
      </w:pPr>
    </w:p>
    <w:p>
      <w:pPr>
        <w:sectPr>
          <w:pgSz w:w="11900" w:h="16838" w:orient="portrait"/>
          <w:cols w:equalWidth="0" w:num="3">
            <w:col w:w="7980" w:space="300"/>
            <w:col w:w="1160" w:space="580"/>
            <w:col w:w="1060"/>
          </w:cols>
          <w:pgMar w:left="320" w:top="119" w:right="499" w:bottom="1440" w:gutter="0" w:footer="0" w:header="0"/>
        </w:sect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14" w:lineRule="auto"/>
        <w:rPr>
          <w:sz w:val="20"/>
          <w:szCs w:val="20"/>
          <w:color w:val="auto"/>
        </w:rPr>
      </w:pPr>
      <w:r>
        <w:rPr>
          <w:rFonts w:ascii="Times New Roman" w:cs="Times New Roman" w:eastAsia="Times New Roman" w:hAnsi="Times New Roman"/>
          <w:sz w:val="14"/>
          <w:szCs w:val="14"/>
          <w:color w:val="auto"/>
        </w:rPr>
        <w:t>+ Indicates management contract or compensatory plan.</w:t>
      </w:r>
    </w:p>
    <w:p>
      <w:pPr>
        <w:ind w:firstLine="5"/>
        <w:spacing w:after="0" w:line="257" w:lineRule="auto"/>
        <w:tabs>
          <w:tab w:leader="none" w:pos="10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120" w:type="dxa"/>
            <w:vAlign w:val="bottom"/>
            <w:gridSpan w:val="3"/>
          </w:tcPr>
          <w:p>
            <w:pPr>
              <w:ind w:left="520"/>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40" w:type="dxa"/>
            <w:vAlign w:val="bottom"/>
          </w:tcPr>
          <w:p>
            <w:pPr>
              <w:spacing w:after="0"/>
              <w:rPr>
                <w:sz w:val="19"/>
                <w:szCs w:val="19"/>
                <w:color w:val="auto"/>
              </w:rPr>
            </w:pPr>
          </w:p>
        </w:tc>
      </w:tr>
      <w:tr>
        <w:trPr>
          <w:trHeight w:val="484"/>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May 9, 2025</w:t>
            </w:r>
          </w:p>
        </w:tc>
        <w:tc>
          <w:tcPr>
            <w:tcW w:w="15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By:</w:t>
            </w:r>
          </w:p>
        </w:tc>
        <w:tc>
          <w:tcPr>
            <w:tcW w:w="7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Andrew W. Houston</w:t>
            </w:r>
          </w:p>
        </w:tc>
        <w:tc>
          <w:tcPr>
            <w:tcW w:w="40" w:type="dxa"/>
            <w:vAlign w:val="bottom"/>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W. Houston</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40" w:type="dxa"/>
            <w:vAlign w:val="bottom"/>
          </w:tcPr>
          <w:p>
            <w:pPr>
              <w:spacing w:after="0"/>
              <w:rPr>
                <w:sz w:val="19"/>
                <w:szCs w:val="19"/>
                <w:color w:val="auto"/>
              </w:rPr>
            </w:pPr>
          </w:p>
        </w:tc>
      </w:tr>
      <w:tr>
        <w:trPr>
          <w:trHeight w:val="693"/>
        </w:trPr>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9, 2025</w:t>
            </w:r>
          </w:p>
        </w:tc>
        <w:tc>
          <w:tcPr>
            <w:tcW w:w="15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Timothy J. Regan</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1240"/>
          </w:cols>
          <w:pgMar w:left="320" w:top="11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1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September 13, 2024</w:t>
      </w: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Ashraf Alkarmi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Offer of Employment by Dropbox, Inc.</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Dear Ashraf:</w:t>
      </w:r>
    </w:p>
    <w:p>
      <w:pPr>
        <w:spacing w:after="0" w:line="200" w:lineRule="exact"/>
        <w:rPr>
          <w:sz w:val="20"/>
          <w:szCs w:val="20"/>
          <w:color w:val="auto"/>
        </w:rPr>
      </w:pPr>
    </w:p>
    <w:p>
      <w:pPr>
        <w:spacing w:after="0" w:line="251" w:lineRule="exact"/>
        <w:rPr>
          <w:sz w:val="20"/>
          <w:szCs w:val="20"/>
          <w:color w:val="auto"/>
        </w:rPr>
      </w:pPr>
    </w:p>
    <w:p>
      <w:pPr>
        <w:ind w:left="940" w:right="1060" w:firstLine="626"/>
        <w:spacing w:after="0" w:line="257" w:lineRule="auto"/>
        <w:rPr>
          <w:sz w:val="20"/>
          <w:szCs w:val="20"/>
          <w:color w:val="auto"/>
        </w:rPr>
      </w:pPr>
      <w:r>
        <w:rPr>
          <w:rFonts w:ascii="Times New Roman" w:cs="Times New Roman" w:eastAsia="Times New Roman" w:hAnsi="Times New Roman"/>
          <w:sz w:val="21"/>
          <w:szCs w:val="21"/>
          <w:color w:val="auto"/>
        </w:rPr>
        <w:t>On behalf of Dropbox, Inc. (“Dropbox”), we are pleased to offer you full-time employment in US - Washington - Seattle Metro, USA commencing on November 5, 2024, unless otherwise agreed to by you and Dropbox.1 Dropbox is a Virtual First company which means that your primary work experience will be remote. You will initially have the position of General Manager, Core, Level MGR9 and will initially report to the Chief Executive Officer The terms of this Agreement are as follows:</w:t>
      </w:r>
    </w:p>
    <w:p>
      <w:pPr>
        <w:spacing w:after="0" w:line="171" w:lineRule="exact"/>
        <w:rPr>
          <w:sz w:val="20"/>
          <w:szCs w:val="20"/>
          <w:color w:val="auto"/>
        </w:rPr>
      </w:pPr>
    </w:p>
    <w:p>
      <w:pPr>
        <w:ind w:left="1560" w:hanging="615"/>
        <w:spacing w:after="0"/>
        <w:tabs>
          <w:tab w:leader="none" w:pos="15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p>
    <w:p>
      <w:pPr>
        <w:spacing w:after="0" w:line="242" w:lineRule="exact"/>
        <w:rPr>
          <w:sz w:val="20"/>
          <w:szCs w:val="20"/>
          <w:color w:val="auto"/>
        </w:rPr>
      </w:pPr>
    </w:p>
    <w:p>
      <w:pPr>
        <w:ind w:left="940" w:right="960" w:firstLine="626"/>
        <w:spacing w:after="0" w:line="277" w:lineRule="auto"/>
        <w:rPr>
          <w:sz w:val="20"/>
          <w:szCs w:val="20"/>
          <w:color w:val="auto"/>
        </w:rPr>
      </w:pPr>
      <w:r>
        <w:rPr>
          <w:rFonts w:ascii="Times New Roman" w:cs="Times New Roman" w:eastAsia="Times New Roman" w:hAnsi="Times New Roman"/>
          <w:sz w:val="21"/>
          <w:szCs w:val="21"/>
          <w:color w:val="auto"/>
        </w:rPr>
        <w:t>Salary. Your starting annualized salary will be $500,000.00 per year, paid in accordance with Dropbox’s normal payroll procedures.</w:t>
      </w:r>
    </w:p>
    <w:p>
      <w:pPr>
        <w:spacing w:after="0" w:line="187" w:lineRule="exact"/>
        <w:rPr>
          <w:sz w:val="20"/>
          <w:szCs w:val="20"/>
          <w:color w:val="auto"/>
        </w:rPr>
      </w:pPr>
    </w:p>
    <w:p>
      <w:pPr>
        <w:ind w:left="940" w:right="1060" w:firstLine="626"/>
        <w:spacing w:after="0" w:line="256" w:lineRule="auto"/>
        <w:rPr>
          <w:sz w:val="20"/>
          <w:szCs w:val="20"/>
          <w:color w:val="auto"/>
        </w:rPr>
      </w:pPr>
      <w:r>
        <w:rPr>
          <w:rFonts w:ascii="Times New Roman" w:cs="Times New Roman" w:eastAsia="Times New Roman" w:hAnsi="Times New Roman"/>
          <w:sz w:val="21"/>
          <w:szCs w:val="21"/>
          <w:color w:val="auto"/>
        </w:rPr>
        <w:t>Dropbox will pay you the below start bonus on your first regular pay date (subject to your continuous full-time employment through that date) through regular payroll and subject to normal withholding. You agree to repay the full Start Bonus if, before your 1-year anniversary, your employment ends for any reason or you reduce your hours below full-time.</w:t>
      </w:r>
    </w:p>
    <w:p>
      <w:pPr>
        <w:spacing w:after="0" w:line="1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Start Bonus:</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________________________________________________________</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$100,000.00</w:t>
      </w:r>
    </w:p>
    <w:p>
      <w:pPr>
        <w:spacing w:after="0" w:line="18"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________________________________________________________</w:t>
      </w:r>
    </w:p>
    <w:p>
      <w:pPr>
        <w:spacing w:after="0" w:line="200" w:lineRule="exact"/>
        <w:rPr>
          <w:sz w:val="20"/>
          <w:szCs w:val="20"/>
          <w:color w:val="auto"/>
        </w:rPr>
      </w:pPr>
    </w:p>
    <w:p>
      <w:pPr>
        <w:spacing w:after="0" w:line="342" w:lineRule="exact"/>
        <w:rPr>
          <w:sz w:val="20"/>
          <w:szCs w:val="20"/>
          <w:color w:val="auto"/>
        </w:rPr>
      </w:pPr>
    </w:p>
    <w:p>
      <w:pPr>
        <w:ind w:left="940" w:right="1100" w:firstLine="626"/>
        <w:spacing w:after="0" w:line="254" w:lineRule="auto"/>
        <w:rPr>
          <w:sz w:val="20"/>
          <w:szCs w:val="20"/>
          <w:color w:val="auto"/>
        </w:rPr>
      </w:pPr>
      <w:r>
        <w:rPr>
          <w:rFonts w:ascii="Times New Roman" w:cs="Times New Roman" w:eastAsia="Times New Roman" w:hAnsi="Times New Roman"/>
          <w:sz w:val="21"/>
          <w:szCs w:val="21"/>
          <w:color w:val="auto"/>
        </w:rPr>
        <w:t>Bonus. You will be eligible to receive an annual bonus of 100% of your base salary, contingent upon Dropbox's annual performance and your annual performance rating. No bonus will be earned or received unless you're still employed on the payment date. If you have been employed by Dropbox for less than a year, any bonus earned will be prorated. If you start on or after November 1 of your starting year, you will not be eligible for the bonus for that year but will be eligible in future years, subject to the bonus policy.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w:t>
      </w:r>
    </w:p>
    <w:p>
      <w:pPr>
        <w:spacing w:after="0" w:line="305" w:lineRule="exact"/>
        <w:rPr>
          <w:sz w:val="20"/>
          <w:szCs w:val="20"/>
          <w:color w:val="auto"/>
        </w:rPr>
      </w:pPr>
    </w:p>
    <w:p>
      <w:pPr>
        <w:ind w:left="940" w:right="1040" w:firstLine="5"/>
        <w:spacing w:after="0" w:line="227" w:lineRule="auto"/>
        <w:tabs>
          <w:tab w:leader="none" w:pos="10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Nothing in this Agreement, including Section 10, requires that a change to your start date be in a writing signed by both parties. An electronic agreement to your new start date by both parties will be sufficient.</w:t>
      </w:r>
    </w:p>
    <w:p>
      <w:pPr>
        <w:sectPr>
          <w:pgSz w:w="11900" w:h="16838" w:orient="portrait"/>
          <w:cols w:equalWidth="0" w:num="1">
            <w:col w:w="11240"/>
          </w:cols>
          <w:pgMar w:left="320" w:top="1350" w:right="339" w:bottom="1440" w:gutter="0" w:footer="0" w:header="0"/>
        </w:sectPr>
      </w:pPr>
    </w:p>
    <w:bookmarkStart w:id="89" w:name="page90"/>
    <w:bookmarkEnd w:id="89"/>
    <w:p>
      <w:pPr>
        <w:jc w:val="both"/>
        <w:ind w:firstLine="626"/>
        <w:spacing w:after="0" w:line="254" w:lineRule="auto"/>
        <w:rPr>
          <w:sz w:val="20"/>
          <w:szCs w:val="20"/>
          <w:color w:val="auto"/>
        </w:rPr>
      </w:pPr>
      <w:r>
        <w:rPr>
          <w:rFonts w:ascii="Times New Roman" w:cs="Times New Roman" w:eastAsia="Times New Roman" w:hAnsi="Times New Roman"/>
          <w:sz w:val="21"/>
          <w:szCs w:val="21"/>
          <w:color w:val="auto"/>
        </w:rPr>
        <w:t>Equity. We will recommend to the Dropbox Board of Directors (or its delegate) that you be granted restricted stock units (“</w:t>
      </w:r>
      <w:r>
        <w:rPr>
          <w:rFonts w:ascii="Times New Roman" w:cs="Times New Roman" w:eastAsia="Times New Roman" w:hAnsi="Times New Roman"/>
          <w:sz w:val="21"/>
          <w:szCs w:val="21"/>
          <w:i w:val="1"/>
          <w:iCs w:val="1"/>
          <w:color w:val="auto"/>
        </w:rPr>
        <w:t>RSUs</w:t>
      </w:r>
      <w:r>
        <w:rPr>
          <w:rFonts w:ascii="Times New Roman" w:cs="Times New Roman" w:eastAsia="Times New Roman" w:hAnsi="Times New Roman"/>
          <w:sz w:val="21"/>
          <w:szCs w:val="21"/>
          <w:color w:val="auto"/>
        </w:rPr>
        <w:t>”) with an approximate current value of $16,000,000.00 under Dropbox’s equity incentive plan, with the number of shares granted to be determined by the average closing price of Dropbox common stock for the prior month (the “Grant”). The Grant will be subject to the terms of Dropbox’s Equity Award Grant Policy, equity incentive plan, and the Restricted Stock Unit Agreement between you and Dropbox. This Grant is further subject to the Board’s approval and the promise to recommend the approval does not create an obligation for Dropbox to issue any equity grant. Further details on the equity plan and will be provided upon the Board’s (or its delegate’s) approval of the Grant.</w:t>
      </w:r>
    </w:p>
    <w:p>
      <w:pPr>
        <w:spacing w:after="0" w:line="203" w:lineRule="exact"/>
        <w:rPr>
          <w:sz w:val="20"/>
          <w:szCs w:val="20"/>
          <w:color w:val="auto"/>
        </w:rPr>
      </w:pPr>
    </w:p>
    <w:p>
      <w:pPr>
        <w:jc w:val="both"/>
        <w:ind w:firstLine="632"/>
        <w:spacing w:after="0" w:line="257" w:lineRule="auto"/>
        <w:tabs>
          <w:tab w:leader="none" w:pos="9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xml:space="preserve"> You and your family members will be eligible to participate in Dropbox’s standard employee benefits plans as they are provided to US - Washington - Seattle Metro, USA employees to the extent that you meet their eligibility criteria. This Section 2 does not create any obligation on the part of Dropbox to adopt or maintain any employee benefit plan or program at any time. Dropbox may amend or terminate, any employee benefit plan or program at any time.</w:t>
      </w:r>
    </w:p>
    <w:p>
      <w:pPr>
        <w:spacing w:after="0" w:line="170" w:lineRule="exact"/>
        <w:rPr>
          <w:rFonts w:ascii="Times New Roman" w:cs="Times New Roman" w:eastAsia="Times New Roman" w:hAnsi="Times New Roman"/>
          <w:sz w:val="21"/>
          <w:szCs w:val="21"/>
          <w:color w:val="auto"/>
        </w:rPr>
      </w:pPr>
    </w:p>
    <w:p>
      <w:pPr>
        <w:jc w:val="both"/>
        <w:ind w:firstLine="632"/>
        <w:spacing w:after="0" w:line="268" w:lineRule="auto"/>
        <w:tabs>
          <w:tab w:leader="none" w:pos="9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Applicable Law and Company Policies; Compensation Recovery</w:t>
      </w:r>
      <w:r>
        <w:rPr>
          <w:rFonts w:ascii="Times New Roman" w:cs="Times New Roman" w:eastAsia="Times New Roman" w:hAnsi="Times New Roman"/>
          <w:sz w:val="20"/>
          <w:szCs w:val="20"/>
          <w:color w:val="auto"/>
        </w:rPr>
        <w:t>. You must comply with applicable law, the Company’s Worldwide Code of Business Conduct and Ethics, and the Company’s corporate policies, as applicable, including without limitation, any compensation recovery policies maintained by the Company from time to time. Notwithstanding anything to the contrary herein, (i) compliance with applicable law, the Company’s Worldwide Code of Business Conduct and Ethics, and the Company’s corporate policies, as applicable, will be a pre-condition to earning, or vesting in, any incentive compensation, and (ii) any incentive compensation which is subject to the Company’s Incentive-Based Compensation Recovery Policy will not be earned or vested, even if already granted, paid or settled, until such policy ceases to apply to such compensation and any other conditions applicable to such compensation are satisfied.</w:t>
      </w:r>
    </w:p>
    <w:p>
      <w:pPr>
        <w:spacing w:after="0" w:line="158" w:lineRule="exact"/>
        <w:rPr>
          <w:rFonts w:ascii="Times New Roman" w:cs="Times New Roman" w:eastAsia="Times New Roman" w:hAnsi="Times New Roman"/>
          <w:sz w:val="20"/>
          <w:szCs w:val="20"/>
          <w:color w:val="auto"/>
        </w:rPr>
      </w:pPr>
    </w:p>
    <w:p>
      <w:pPr>
        <w:jc w:val="both"/>
        <w:ind w:firstLine="632"/>
        <w:spacing w:after="0" w:line="251" w:lineRule="auto"/>
        <w:tabs>
          <w:tab w:leader="none" w:pos="9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As an employee of Dropbox, you will have access to certain confidential information of Dropbox and you may, during the course of your employment, develop certain information or inventions that will be Dropbox property. To protect Dropbox’s interests, you will need to sign Dropbox's standard “Employee Invention Assignment and Confidentiality Agreement” (“EIACA”) as a condition of your employment. We do not want you to, and we direct you not to, bring with you any confidential or proprietary material of any former employer or other party or to violate any other obligations you may have to any former employer or other party. You represent that your signing of this offer letter, agreement(s) concerning equity incentives granted to you, if any, and Dropbox’s EIACA and your commencement of employment with Dropbox will not violate or conflict with the terms of any agreement currently in place between you and current or past employers or other parties.</w:t>
      </w:r>
    </w:p>
    <w:p>
      <w:pPr>
        <w:sectPr>
          <w:pgSz w:w="11900" w:h="16838" w:orient="portrait"/>
          <w:cols w:equalWidth="0" w:num="1">
            <w:col w:w="9360"/>
          </w:cols>
          <w:pgMar w:left="1260" w:top="1354" w:right="1279" w:bottom="1440" w:gutter="0" w:footer="0" w:header="0"/>
        </w:sectPr>
      </w:pPr>
    </w:p>
    <w:bookmarkStart w:id="90" w:name="page91"/>
    <w:bookmarkEnd w:id="90"/>
    <w:p>
      <w:pPr>
        <w:jc w:val="both"/>
        <w:ind w:left="-180" w:firstLine="632"/>
        <w:spacing w:after="0" w:line="255" w:lineRule="auto"/>
        <w:tabs>
          <w:tab w:leader="none" w:pos="7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Duty of Loyalty.</w:t>
      </w:r>
      <w:r>
        <w:rPr>
          <w:rFonts w:ascii="Times New Roman" w:cs="Times New Roman" w:eastAsia="Times New Roman" w:hAnsi="Times New Roman"/>
          <w:sz w:val="21"/>
          <w:szCs w:val="21"/>
          <w:color w:val="auto"/>
        </w:rPr>
        <w:t xml:space="preserve"> During the period that you render services to Dropbox, you agree to not engage in any employment, business or activity that is in any way competitive with the business or proposed business of Dropbox. You will disclose to Dropbox in writing any other employment, business or activity that you are currently associated with or participate in that competes or may compete with Dropbox. During the period that you render services to Dropbox, you will not assist any other person or organization in competing with Dropbox or in preparing to engage in competition with the business or proposed business of Dropbox.</w:t>
      </w:r>
    </w:p>
    <w:p>
      <w:pPr>
        <w:spacing w:after="0" w:line="172" w:lineRule="exact"/>
        <w:rPr>
          <w:rFonts w:ascii="Times New Roman" w:cs="Times New Roman" w:eastAsia="Times New Roman" w:hAnsi="Times New Roman"/>
          <w:sz w:val="21"/>
          <w:szCs w:val="21"/>
          <w:color w:val="auto"/>
        </w:rPr>
      </w:pPr>
    </w:p>
    <w:p>
      <w:pPr>
        <w:jc w:val="both"/>
        <w:ind w:left="-180" w:firstLine="632"/>
        <w:spacing w:after="0" w:line="252" w:lineRule="auto"/>
        <w:tabs>
          <w:tab w:leader="none" w:pos="7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xml:space="preserve"> If you decide to accept our offer, and we hope that you will, you will be an at-will employee of Dropbox, which means the employment relationship can be terminated by either you or Dropbox for any reason, at any time, with or without prior notice or cause. Any statements or representations to the contrary (and, indeed, any statements contradicting any provision in this letter) should be regarded by you as ineffective. Further, your participation in any equity or benefit program should not be regarded as assuring you of continuing employment for any period of time. Any modification or change in your at-will employment status may only occur by a written employment agreement signed by you and Dropbox’s Chief Executive Officer or his delegate. Dropbox reserves the right to modify the terms of your employment, as well as any of the terms set forth in this letter or in any other policy, letter or agreement.</w:t>
      </w:r>
    </w:p>
    <w:p>
      <w:pPr>
        <w:spacing w:after="0" w:line="174" w:lineRule="exact"/>
        <w:rPr>
          <w:rFonts w:ascii="Times New Roman" w:cs="Times New Roman" w:eastAsia="Times New Roman" w:hAnsi="Times New Roman"/>
          <w:sz w:val="21"/>
          <w:szCs w:val="21"/>
          <w:color w:val="auto"/>
        </w:rPr>
      </w:pPr>
    </w:p>
    <w:p>
      <w:pPr>
        <w:jc w:val="both"/>
        <w:ind w:left="-180" w:firstLine="632"/>
        <w:spacing w:after="0" w:line="261" w:lineRule="auto"/>
        <w:tabs>
          <w:tab w:leader="none" w:pos="7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to Work.</w:t>
      </w:r>
      <w:r>
        <w:rPr>
          <w:rFonts w:ascii="Times New Roman" w:cs="Times New Roman" w:eastAsia="Times New Roman" w:hAnsi="Times New Roman"/>
          <w:sz w:val="21"/>
          <w:szCs w:val="21"/>
          <w:color w:val="auto"/>
        </w:rPr>
        <w:t xml:space="preserve"> Within three business days after starting your new position you will need to present documentation demonstrating that you have authorization to work in the United States. This offer of employment will be void if you fail to timely provide such authorization. If you have questions about this requirement, which applies to U.S. citizens and non-U.S. citizens alike, you may contact your supervisor.</w:t>
      </w:r>
    </w:p>
    <w:p>
      <w:pPr>
        <w:spacing w:after="0" w:line="164" w:lineRule="exact"/>
        <w:rPr>
          <w:rFonts w:ascii="Times New Roman" w:cs="Times New Roman" w:eastAsia="Times New Roman" w:hAnsi="Times New Roman"/>
          <w:sz w:val="21"/>
          <w:szCs w:val="21"/>
          <w:color w:val="auto"/>
        </w:rPr>
      </w:pPr>
    </w:p>
    <w:p>
      <w:pPr>
        <w:jc w:val="both"/>
        <w:ind w:left="-180" w:firstLine="632"/>
        <w:spacing w:after="0" w:line="253" w:lineRule="auto"/>
        <w:tabs>
          <w:tab w:leader="none" w:pos="7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 (Not applicable to Sexual Harassment or Discrimination Claims)</w:t>
      </w:r>
      <w:r>
        <w:rPr>
          <w:rFonts w:ascii="Times New Roman" w:cs="Times New Roman" w:eastAsia="Times New Roman" w:hAnsi="Times New Roman"/>
          <w:sz w:val="21"/>
          <w:szCs w:val="21"/>
          <w:color w:val="auto"/>
        </w:rPr>
        <w:t>. Except as explained in this paragraph, you and Dropbox shall submit to mandatory and exclusive binding arbitration of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 It’s entirely up to you.</w:t>
      </w:r>
    </w:p>
    <w:p>
      <w:pPr>
        <w:sectPr>
          <w:pgSz w:w="11900" w:h="16838" w:orient="portrait"/>
          <w:cols w:equalWidth="0" w:num="1">
            <w:col w:w="9180"/>
          </w:cols>
          <w:pgMar w:left="1440" w:top="1419" w:right="1279" w:bottom="1440" w:gutter="0" w:footer="0" w:header="0"/>
        </w:sectPr>
      </w:pPr>
    </w:p>
    <w:bookmarkStart w:id="91" w:name="page92"/>
    <w:bookmarkEnd w:id="91"/>
    <w:p>
      <w:pPr>
        <w:jc w:val="both"/>
        <w:ind w:right="340" w:firstLine="626"/>
        <w:spacing w:after="0" w:line="255" w:lineRule="auto"/>
        <w:rPr>
          <w:sz w:val="20"/>
          <w:szCs w:val="20"/>
          <w:color w:val="auto"/>
        </w:rPr>
      </w:pPr>
      <w:r>
        <w:rPr>
          <w:rFonts w:ascii="Times New Roman" w:cs="Times New Roman" w:eastAsia="Times New Roman" w:hAnsi="Times New Roman"/>
          <w:sz w:val="21"/>
          <w:szCs w:val="21"/>
          <w:color w:val="auto"/>
        </w:rPr>
        <w:t>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w:t>
      </w:r>
    </w:p>
    <w:p>
      <w:pPr>
        <w:spacing w:after="0" w:line="199" w:lineRule="exact"/>
        <w:rPr>
          <w:sz w:val="20"/>
          <w:szCs w:val="20"/>
          <w:color w:val="auto"/>
        </w:rPr>
      </w:pPr>
    </w:p>
    <w:p>
      <w:pPr>
        <w:ind w:firstLine="1254"/>
        <w:spacing w:after="0" w:line="273" w:lineRule="auto"/>
        <w:rPr>
          <w:sz w:val="20"/>
          <w:szCs w:val="20"/>
          <w:color w:val="auto"/>
        </w:rPr>
      </w:pPr>
      <w:r>
        <w:rPr>
          <w:rFonts w:ascii="Times New Roman" w:cs="Times New Roman" w:eastAsia="Times New Roman" w:hAnsi="Times New Roman"/>
          <w:sz w:val="21"/>
          <w:szCs w:val="21"/>
          <w:color w:val="auto"/>
        </w:rPr>
        <w:t>THE PARTIES HEREBY WAIVE ANY RIGHTS THEY MAY HAVE TO TRIAL BY JURY IN REGARD TO CLAIMS SUBJECT TO ARBITRATION UNDER THIS 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the American Arbitration Association in the city closest to your work location where the AAA has an office, before a single neutral arbitrator, in accordance with the employment arbitration rules in effect at that time; alternatively, the parties may mutually agree on a location for arbitration through the AAA. The AAA Employment Arbitration Rules and Mediation may be found and reviewed at http://www.adr.org and click on “Rules and Procedures.” If you are unable to access these rules, please let the Recruiter know and they will provide you a hardcopy.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165" w:lineRule="exact"/>
        <w:rPr>
          <w:sz w:val="20"/>
          <w:szCs w:val="20"/>
          <w:color w:val="auto"/>
        </w:rPr>
      </w:pPr>
    </w:p>
    <w:p>
      <w:pPr>
        <w:jc w:val="both"/>
        <w:ind w:right="340" w:firstLine="632"/>
        <w:spacing w:after="0" w:line="256" w:lineRule="auto"/>
        <w:tabs>
          <w:tab w:leader="none" w:pos="9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Background Check.</w:t>
      </w:r>
      <w:r>
        <w:rPr>
          <w:rFonts w:ascii="Times New Roman" w:cs="Times New Roman" w:eastAsia="Times New Roman" w:hAnsi="Times New Roman"/>
          <w:sz w:val="21"/>
          <w:szCs w:val="21"/>
          <w:color w:val="auto"/>
        </w:rPr>
        <w:t xml:space="preserve"> This offer and your employment are contingent upon satisfactory verification of criminal, education, and employment background. You will not be able to begin your employment until the verification has been completed, and this offer may be rescinded based upon information obtained from your background check, consistent with the applicable law.</w:t>
      </w:r>
    </w:p>
    <w:p>
      <w:pPr>
        <w:sectPr>
          <w:pgSz w:w="11900" w:h="16838" w:orient="portrait"/>
          <w:cols w:equalWidth="0" w:num="1">
            <w:col w:w="9700"/>
          </w:cols>
          <w:pgMar w:left="1260" w:top="1419" w:right="939" w:bottom="1440" w:gutter="0" w:footer="0" w:header="0"/>
        </w:sectPr>
      </w:pPr>
    </w:p>
    <w:bookmarkStart w:id="92" w:name="page93"/>
    <w:bookmarkEnd w:id="92"/>
    <w:p>
      <w:pPr>
        <w:jc w:val="both"/>
        <w:ind w:right="940" w:firstLine="632"/>
        <w:spacing w:after="0" w:line="256" w:lineRule="auto"/>
        <w:tabs>
          <w:tab w:leader="none" w:pos="9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and the EIACA constitute the entire agreement relating to your employment and supersedes all prior offers, written or oral, with respect to your employment by Dropbox. Except as otherwise stated above, this Agreement may only be modified by an agreement in writing signed by both parties.</w:t>
      </w:r>
    </w:p>
    <w:p>
      <w:pPr>
        <w:spacing w:after="0" w:line="171" w:lineRule="exact"/>
        <w:rPr>
          <w:rFonts w:ascii="Times New Roman" w:cs="Times New Roman" w:eastAsia="Times New Roman" w:hAnsi="Times New Roman"/>
          <w:sz w:val="21"/>
          <w:szCs w:val="21"/>
          <w:color w:val="auto"/>
        </w:rPr>
      </w:pPr>
    </w:p>
    <w:p>
      <w:pPr>
        <w:ind w:right="940" w:firstLine="632"/>
        <w:spacing w:after="0" w:line="277" w:lineRule="auto"/>
        <w:tabs>
          <w:tab w:leader="none" w:pos="9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Agreement, except to the extent governed by the Federal Arbitration Act, will be governed by the law of the state in which you work for Dropbox.</w:t>
      </w:r>
    </w:p>
    <w:p>
      <w:pPr>
        <w:spacing w:after="0" w:line="396" w:lineRule="exact"/>
        <w:rPr>
          <w:rFonts w:ascii="Times New Roman" w:cs="Times New Roman" w:eastAsia="Times New Roman" w:hAnsi="Times New Roman"/>
          <w:sz w:val="21"/>
          <w:szCs w:val="21"/>
          <w:color w:val="auto"/>
        </w:rPr>
      </w:pPr>
    </w:p>
    <w:p>
      <w:pPr>
        <w:jc w:val="both"/>
        <w:ind w:right="940" w:firstLine="632"/>
        <w:spacing w:after="0" w:line="254" w:lineRule="auto"/>
        <w:tabs>
          <w:tab w:leader="none" w:pos="93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xml:space="preserve"> This offer will remain open until September 18, 2024 and is contingent upon you beginning continuous full-time employment by the commencement date above and in the location identified above. This offer, except to the extent governed by the Federal Arbitration Act, will be governed by US - Washington - Seattle Metro, USA law. Your signature will acknowledge that you have read and understood and agree to the terms of this offer and any attachments.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We look forward to welcoming you to Dropbox.</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Very truly yours,</w:t>
      </w:r>
    </w:p>
    <w:p>
      <w:pPr>
        <w:spacing w:after="0" w:line="30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20"/>
          <w:szCs w:val="20"/>
          <w:u w:val="single" w:color="auto"/>
          <w:color w:val="auto"/>
        </w:rPr>
        <w:t>/s/ Drew Houston</w:t>
      </w:r>
    </w:p>
    <w:p>
      <w:pPr>
        <w:spacing w:after="0" w:line="267"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20"/>
          <w:szCs w:val="20"/>
          <w:color w:val="auto"/>
        </w:rPr>
        <w:t>Drew Houston</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40" w:lineRule="exact"/>
        <w:rPr>
          <w:sz w:val="20"/>
          <w:szCs w:val="20"/>
          <w:color w:val="auto"/>
        </w:rPr>
      </w:pPr>
    </w:p>
    <w:p>
      <w:pPr>
        <w:jc w:val="both"/>
        <w:ind w:right="940"/>
        <w:spacing w:after="0" w:line="262" w:lineRule="auto"/>
        <w:rPr>
          <w:sz w:val="20"/>
          <w:szCs w:val="20"/>
          <w:color w:val="auto"/>
        </w:rPr>
      </w:pPr>
      <w:r>
        <w:rPr>
          <w:rFonts w:ascii="Times New Roman" w:cs="Times New Roman" w:eastAsia="Times New Roman" w:hAnsi="Times New Roman"/>
          <w:sz w:val="21"/>
          <w:szCs w:val="21"/>
          <w:color w:val="auto"/>
        </w:rPr>
        <w:t>I have read and understood this offer letter and hereby acknowledge, accept and agree to the terms as set forth above and further acknowledge that no other commitments were made to me as part of my employment offer except as specifically set forth herein.</w:t>
      </w:r>
    </w:p>
    <w:p>
      <w:pPr>
        <w:spacing w:after="0" w:line="200" w:lineRule="exact"/>
        <w:rPr>
          <w:sz w:val="20"/>
          <w:szCs w:val="20"/>
          <w:color w:val="auto"/>
        </w:rPr>
      </w:pP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/s/ Ashraf Alkarmi 09/13/2024</w:t>
      </w:r>
    </w:p>
    <w:p>
      <w:pPr>
        <w:spacing w:after="0" w:line="18"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_____________ ___________</w:t>
      </w:r>
    </w:p>
    <w:p>
      <w:pPr>
        <w:spacing w:after="0" w:line="1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1"/>
          <w:szCs w:val="21"/>
          <w:color w:val="auto"/>
        </w:rPr>
        <w:t>Ashraf Alkarmi Date Signed</w:t>
      </w:r>
    </w:p>
    <w:p>
      <w:pPr>
        <w:sectPr>
          <w:pgSz w:w="11900" w:h="16838" w:orient="portrait"/>
          <w:cols w:equalWidth="0" w:num="1">
            <w:col w:w="10300"/>
          </w:cols>
          <w:pgMar w:left="1260" w:top="141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December 26,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Ali Dasdan</w:t>
      </w:r>
    </w:p>
    <w:p>
      <w:pPr>
        <w:spacing w:after="0" w:line="13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4"/>
          <w:szCs w:val="24"/>
          <w:b w:val="1"/>
          <w:bCs w:val="1"/>
          <w:u w:val="single" w:color="auto"/>
          <w:color w:val="auto"/>
        </w:rPr>
        <w:t>Offer of Employment by Dropbox, Inc.</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Ali:</w:t>
      </w:r>
    </w:p>
    <w:p>
      <w:pPr>
        <w:spacing w:after="0" w:line="242" w:lineRule="exact"/>
        <w:rPr>
          <w:sz w:val="20"/>
          <w:szCs w:val="20"/>
          <w:color w:val="auto"/>
        </w:rPr>
      </w:pPr>
    </w:p>
    <w:p>
      <w:pPr>
        <w:ind w:right="1360" w:firstLine="626"/>
        <w:spacing w:after="0" w:line="257" w:lineRule="auto"/>
        <w:rPr>
          <w:sz w:val="20"/>
          <w:szCs w:val="20"/>
          <w:color w:val="auto"/>
        </w:rPr>
      </w:pPr>
      <w:r>
        <w:rPr>
          <w:rFonts w:ascii="Times New Roman" w:cs="Times New Roman" w:eastAsia="Times New Roman" w:hAnsi="Times New Roman"/>
          <w:sz w:val="21"/>
          <w:szCs w:val="21"/>
          <w:color w:val="auto"/>
        </w:rPr>
        <w:t>On behalf of Dropbox, Inc. (“Dropbox”), we are pleased to offer you full-time employment in US - California - non-San Francisco Metro, USA commencing on March 4, 2025, unless otherwise agreed to by you and Dropbox.1 Dropbox is a Virtual First company which means that your primary work experience will be remote. You will initially have the position of Chief Technology Officer, Level MGR9 and will initially report to the CEO The terms of this Agreement are as follows:</w:t>
      </w:r>
    </w:p>
    <w:p>
      <w:pPr>
        <w:spacing w:after="0" w:line="197" w:lineRule="exact"/>
        <w:rPr>
          <w:sz w:val="20"/>
          <w:szCs w:val="20"/>
          <w:color w:val="auto"/>
        </w:rPr>
      </w:pPr>
    </w:p>
    <w:p>
      <w:pPr>
        <w:ind w:left="340" w:hanging="335"/>
        <w:spacing w:after="0"/>
        <w:tabs>
          <w:tab w:leader="none" w:pos="3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p>
    <w:p>
      <w:pPr>
        <w:spacing w:after="0" w:line="242" w:lineRule="exact"/>
        <w:rPr>
          <w:sz w:val="20"/>
          <w:szCs w:val="20"/>
          <w:color w:val="auto"/>
        </w:rPr>
      </w:pPr>
    </w:p>
    <w:p>
      <w:pPr>
        <w:ind w:right="1900" w:firstLine="626"/>
        <w:spacing w:after="0" w:line="277" w:lineRule="auto"/>
        <w:rPr>
          <w:sz w:val="20"/>
          <w:szCs w:val="20"/>
          <w:color w:val="auto"/>
        </w:rPr>
      </w:pPr>
      <w:r>
        <w:rPr>
          <w:rFonts w:ascii="Times New Roman" w:cs="Times New Roman" w:eastAsia="Times New Roman" w:hAnsi="Times New Roman"/>
          <w:sz w:val="21"/>
          <w:szCs w:val="21"/>
          <w:color w:val="auto"/>
        </w:rPr>
        <w:t>Salary. Your starting annualized salary will be $500,000.00 per year, paid in accordance with Dropbox’s normal payroll procedures.</w:t>
      </w:r>
    </w:p>
    <w:p>
      <w:pPr>
        <w:spacing w:after="0" w:line="174" w:lineRule="exact"/>
        <w:rPr>
          <w:sz w:val="20"/>
          <w:szCs w:val="20"/>
          <w:color w:val="auto"/>
        </w:rPr>
      </w:pPr>
    </w:p>
    <w:p>
      <w:pPr>
        <w:ind w:right="1360" w:firstLine="626"/>
        <w:spacing w:after="0" w:line="255" w:lineRule="auto"/>
        <w:rPr>
          <w:sz w:val="20"/>
          <w:szCs w:val="20"/>
          <w:color w:val="auto"/>
        </w:rPr>
      </w:pPr>
      <w:r>
        <w:rPr>
          <w:rFonts w:ascii="Times New Roman" w:cs="Times New Roman" w:eastAsia="Times New Roman" w:hAnsi="Times New Roman"/>
          <w:sz w:val="21"/>
          <w:szCs w:val="21"/>
          <w:color w:val="auto"/>
        </w:rPr>
        <w:t>Bonus. You will be eligible to receive an annual bonus of 100% of your base salary, contingent upon Dropbox's annual performance and your annual performance rating. No bonus will be earned or received unless you're still employed on the payment date. If you have been employed by Dropbox for less than a year, any bonus earned will be prorated. If you start on or after November 1 of your starting year, you will not be eligible for the bonus for that year but will be eligible in future years, subject to the bonus policy.</w:t>
      </w:r>
    </w:p>
    <w:p>
      <w:pPr>
        <w:spacing w:after="0" w:line="212" w:lineRule="exact"/>
        <w:rPr>
          <w:sz w:val="20"/>
          <w:szCs w:val="20"/>
          <w:color w:val="auto"/>
        </w:rPr>
      </w:pPr>
    </w:p>
    <w:p>
      <w:pPr>
        <w:jc w:val="both"/>
        <w:ind w:right="1240" w:firstLine="626"/>
        <w:spacing w:after="0" w:line="251" w:lineRule="auto"/>
        <w:rPr>
          <w:sz w:val="20"/>
          <w:szCs w:val="20"/>
          <w:color w:val="auto"/>
        </w:rPr>
      </w:pPr>
      <w:r>
        <w:rPr>
          <w:rFonts w:ascii="Times New Roman" w:cs="Times New Roman" w:eastAsia="Times New Roman" w:hAnsi="Times New Roman"/>
          <w:sz w:val="21"/>
          <w:szCs w:val="21"/>
          <w:color w:val="auto"/>
        </w:rPr>
        <w:t>Equity. We will recommend to the Dropbox Board of Directors (or its delegate) that you be granted restricted stock units (“</w:t>
      </w:r>
      <w:r>
        <w:rPr>
          <w:rFonts w:ascii="Times New Roman" w:cs="Times New Roman" w:eastAsia="Times New Roman" w:hAnsi="Times New Roman"/>
          <w:sz w:val="21"/>
          <w:szCs w:val="21"/>
          <w:i w:val="1"/>
          <w:iCs w:val="1"/>
          <w:color w:val="auto"/>
        </w:rPr>
        <w:t>RSUs</w:t>
      </w:r>
      <w:r>
        <w:rPr>
          <w:rFonts w:ascii="Times New Roman" w:cs="Times New Roman" w:eastAsia="Times New Roman" w:hAnsi="Times New Roman"/>
          <w:sz w:val="21"/>
          <w:szCs w:val="21"/>
          <w:color w:val="auto"/>
        </w:rPr>
        <w:t>”) with an approximate current value of $16,000,000.00 under Dropbox’s equity incentive plan, with the number of shares granted to be determined by the average closing price of Dropbox common stock for the prior month (the “Grant”). The Grant will be subject to the terms of Dropbox’s Equity Award Grant Policy, equity incentive plan, and the Restricted Stock Unit Agreement between you and Dropbox. This Grant is further subject to the Board’s approval and the promise to recommend the approval does not create an obligation for Dropbox to issue any equity grant. Further details on the equity plan and will be provided upon the Board’s (or its delegate’s) approval of the Grant.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w:t>
      </w:r>
    </w:p>
    <w:p>
      <w:pPr>
        <w:spacing w:after="0" w:line="70" w:lineRule="exact"/>
        <w:rPr>
          <w:sz w:val="20"/>
          <w:szCs w:val="20"/>
          <w:color w:val="auto"/>
        </w:rPr>
      </w:pPr>
    </w:p>
    <w:p>
      <w:pPr>
        <w:ind w:right="1300" w:firstLine="5"/>
        <w:spacing w:after="0" w:line="227" w:lineRule="auto"/>
        <w:tabs>
          <w:tab w:leader="none" w:pos="10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Nothing in this Agreement, including Section 10, requires that a change to your start date be in a writing signed by both parties. An electronic agreement to your new start date by both parties will be sufficient.</w:t>
      </w:r>
    </w:p>
    <w:p>
      <w:pPr>
        <w:sectPr>
          <w:pgSz w:w="11900" w:h="16838" w:orient="portrait"/>
          <w:cols w:equalWidth="0" w:num="1">
            <w:col w:w="10300"/>
          </w:cols>
          <w:pgMar w:left="1260" w:top="1350" w:right="339" w:bottom="1440" w:gutter="0" w:footer="0" w:header="0"/>
        </w:sectPr>
      </w:pPr>
    </w:p>
    <w:bookmarkStart w:id="94" w:name="page95"/>
    <w:bookmarkEnd w:id="94"/>
    <w:p>
      <w:pPr>
        <w:jc w:val="both"/>
        <w:ind w:left="-180" w:right="159" w:firstLine="632"/>
        <w:spacing w:after="0" w:line="254" w:lineRule="auto"/>
        <w:tabs>
          <w:tab w:leader="none" w:pos="75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xml:space="preserve"> You and your family members will be eligible to participate in Dropbox’s standard employee benefits plans as they are provided to US - California - non-San Francisco Metro, USA employees to the extent that you meet their eligibility criteria. This Section 2 does not create any obligation on the part of Dropbox to adopt or maintain any employee benefit plan or program at any time. Dropbox may amend or terminate, any employee benefit plan or program at any time.</w:t>
      </w:r>
    </w:p>
    <w:p>
      <w:pPr>
        <w:spacing w:after="0" w:line="186" w:lineRule="exact"/>
        <w:rPr>
          <w:sz w:val="20"/>
          <w:szCs w:val="20"/>
          <w:color w:val="auto"/>
        </w:rPr>
      </w:pPr>
    </w:p>
    <w:p>
      <w:pPr>
        <w:jc w:val="both"/>
        <w:ind w:left="-180" w:right="139" w:firstLine="632"/>
        <w:spacing w:after="0" w:line="251" w:lineRule="auto"/>
        <w:tabs>
          <w:tab w:leader="none" w:pos="7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Applicable Law and Company Policies; Compensation Recovery</w:t>
      </w:r>
      <w:r>
        <w:rPr>
          <w:rFonts w:ascii="Times New Roman" w:cs="Times New Roman" w:eastAsia="Times New Roman" w:hAnsi="Times New Roman"/>
          <w:sz w:val="21"/>
          <w:szCs w:val="21"/>
          <w:color w:val="auto"/>
        </w:rPr>
        <w:t>. You must comply with applicable law, the Company’s Worldwide Code of Business Conduct and Ethics, and the Company’s corporate policies, as applicable, including without limitation, any compensation recovery policies maintained by the Company from time to time. Notwithstanding anything to the contrary herein, (i) compliance with applicable law, the Company’s Worldwide Code of Business Conduct and Ethics, and the Company’s corporate policies, as applicable, will be a pre-condition to earning, or vesting in, any incentive compensation, and (ii) any incentive compensation which is subject to the Company’s Incentive-Based Compensation Recovery Policy will not be earned or vested, even if already granted, paid or settled, until such policy ceases to apply to such compensation and any other conditions applicable to such compensation are satisfied.</w:t>
      </w:r>
    </w:p>
    <w:p>
      <w:pPr>
        <w:spacing w:after="0" w:line="179" w:lineRule="exact"/>
        <w:rPr>
          <w:rFonts w:ascii="Times New Roman" w:cs="Times New Roman" w:eastAsia="Times New Roman" w:hAnsi="Times New Roman"/>
          <w:sz w:val="21"/>
          <w:szCs w:val="21"/>
          <w:color w:val="auto"/>
        </w:rPr>
      </w:pPr>
    </w:p>
    <w:p>
      <w:pPr>
        <w:jc w:val="both"/>
        <w:ind w:left="-180" w:right="139" w:firstLine="632"/>
        <w:spacing w:after="0" w:line="253" w:lineRule="auto"/>
        <w:tabs>
          <w:tab w:leader="none" w:pos="7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As an employee of Dropbox, you will have access to certain confidential information of Dropbox and you may, during the course of your employment, develop certain information or inventions that will be Dropbox property. To protect Dropbox’s interests, you will need to sign Dropbox's standard “Employee Invention Assignment and Confidentiality Agreement” (“EIACA”) as a condition of your employment. We do not want you to, and we direct you not to, bring with you any confidential or proprietary material of any former employer or other party or to violate any other obligations you may have to any former employer or other party. You represent that your signing of this offer letter, agreement(s) concerning equity incentives granted to you, if any, and Dropbox’s EIACA and your commencement of employment with Dropbox will not violate or conflict with the terms of any agreement currently in place between you and current or past employers or other parties.</w:t>
      </w:r>
    </w:p>
    <w:p>
      <w:pPr>
        <w:spacing w:after="0" w:line="172" w:lineRule="exact"/>
        <w:rPr>
          <w:rFonts w:ascii="Times New Roman" w:cs="Times New Roman" w:eastAsia="Times New Roman" w:hAnsi="Times New Roman"/>
          <w:sz w:val="21"/>
          <w:szCs w:val="21"/>
          <w:color w:val="auto"/>
        </w:rPr>
      </w:pPr>
    </w:p>
    <w:p>
      <w:pPr>
        <w:jc w:val="both"/>
        <w:ind w:left="-180" w:right="159" w:firstLine="632"/>
        <w:spacing w:after="0" w:line="254" w:lineRule="auto"/>
        <w:tabs>
          <w:tab w:leader="none" w:pos="7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Duty of Loyalty.</w:t>
      </w:r>
      <w:r>
        <w:rPr>
          <w:rFonts w:ascii="Times New Roman" w:cs="Times New Roman" w:eastAsia="Times New Roman" w:hAnsi="Times New Roman"/>
          <w:sz w:val="21"/>
          <w:szCs w:val="21"/>
          <w:color w:val="auto"/>
        </w:rPr>
        <w:t xml:space="preserve"> During the period that you render services to Dropbox, you agree to not engage in any employment, business or activity that is in any way competitive with the business or proposed business of Dropbox. You will disclose to Dropbox in writing any other employment, business or activity that you are currently associated with or participate in that competes or may compete with Dropbox. During the period that you render services to Dropbox, you will not assist any other person or organization in competing with Dropbox or in preparing to engage in competition with the business or proposed business of Dropbox.</w:t>
      </w:r>
    </w:p>
    <w:p>
      <w:pPr>
        <w:sectPr>
          <w:pgSz w:w="11900" w:h="16838" w:orient="portrait"/>
          <w:cols w:equalWidth="0" w:num="1">
            <w:col w:w="9019"/>
          </w:cols>
          <w:pgMar w:left="1440" w:top="1419" w:right="1440" w:bottom="1440" w:gutter="0" w:footer="0" w:header="0"/>
        </w:sectPr>
      </w:pPr>
    </w:p>
    <w:bookmarkStart w:id="95" w:name="page96"/>
    <w:bookmarkEnd w:id="95"/>
    <w:p>
      <w:pPr>
        <w:jc w:val="both"/>
        <w:ind w:right="139" w:firstLine="632"/>
        <w:spacing w:after="0" w:line="251" w:lineRule="auto"/>
        <w:tabs>
          <w:tab w:leader="none" w:pos="9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xml:space="preserve"> If you decide to accept our offer, and we hope that you will, you will be an at-will employee of Dropbox, which means the employment relationship can be terminated by either you or Dropbox for any reason, at any time, with or without prior notice or cause. Any statements or representations to the contrary (and, indeed, any statements contradicting any provision in this letter) should be regarded by you as ineffective. Further, your participation in any equity or benefit program should not be regarded as assuring you of continuing employment for any period of time. Any modification or change in your at-will employment status may only occur by a written employment agreement signed by you and Dropbox’s Chief Executive Officer or his delegate. Dropbox reserves the right to modify the terms of your employment, as well as any of the terms set forth in this letter or in any other policy, letter or agreement.</w:t>
      </w:r>
    </w:p>
    <w:p>
      <w:pPr>
        <w:spacing w:after="0" w:line="179" w:lineRule="exact"/>
        <w:rPr>
          <w:rFonts w:ascii="Times New Roman" w:cs="Times New Roman" w:eastAsia="Times New Roman" w:hAnsi="Times New Roman"/>
          <w:sz w:val="21"/>
          <w:szCs w:val="21"/>
          <w:color w:val="auto"/>
        </w:rPr>
      </w:pPr>
    </w:p>
    <w:p>
      <w:pPr>
        <w:jc w:val="both"/>
        <w:ind w:right="139" w:firstLine="632"/>
        <w:spacing w:after="0" w:line="257" w:lineRule="auto"/>
        <w:tabs>
          <w:tab w:leader="none" w:pos="9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to Work.</w:t>
      </w:r>
      <w:r>
        <w:rPr>
          <w:rFonts w:ascii="Times New Roman" w:cs="Times New Roman" w:eastAsia="Times New Roman" w:hAnsi="Times New Roman"/>
          <w:sz w:val="21"/>
          <w:szCs w:val="21"/>
          <w:color w:val="auto"/>
        </w:rPr>
        <w:t xml:space="preserve"> Within three business days after starting your new position you will need to present documentation demonstrating that you have authorization to work in the United States. This offer of employment will be void if you fail to timely provide such authorization. If you have questions about this requirement, which applies to U.S. citizens and non-U.S. citizens alike, you may contact your supervisor.</w:t>
      </w:r>
    </w:p>
    <w:p>
      <w:pPr>
        <w:spacing w:after="0" w:line="170" w:lineRule="exact"/>
        <w:rPr>
          <w:rFonts w:ascii="Times New Roman" w:cs="Times New Roman" w:eastAsia="Times New Roman" w:hAnsi="Times New Roman"/>
          <w:sz w:val="21"/>
          <w:szCs w:val="21"/>
          <w:color w:val="auto"/>
        </w:rPr>
      </w:pPr>
    </w:p>
    <w:p>
      <w:pPr>
        <w:jc w:val="both"/>
        <w:ind w:right="159" w:firstLine="632"/>
        <w:spacing w:after="0" w:line="253" w:lineRule="auto"/>
        <w:tabs>
          <w:tab w:leader="none" w:pos="9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 (Not applicable to Sexual Harassment or Discrimination Claims)</w:t>
      </w:r>
      <w:r>
        <w:rPr>
          <w:rFonts w:ascii="Times New Roman" w:cs="Times New Roman" w:eastAsia="Times New Roman" w:hAnsi="Times New Roman"/>
          <w:sz w:val="21"/>
          <w:szCs w:val="21"/>
          <w:color w:val="auto"/>
        </w:rPr>
        <w:t>. Except as explained in this paragraph, you and Dropbox shall submit to mandatory and exclusive binding arbitration of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 It’s entirely up to you.</w:t>
      </w:r>
    </w:p>
    <w:p>
      <w:pPr>
        <w:spacing w:after="0" w:line="173" w:lineRule="exact"/>
        <w:rPr>
          <w:sz w:val="20"/>
          <w:szCs w:val="20"/>
          <w:color w:val="auto"/>
        </w:rPr>
      </w:pPr>
    </w:p>
    <w:p>
      <w:pPr>
        <w:jc w:val="both"/>
        <w:ind w:right="159" w:firstLine="626"/>
        <w:spacing w:after="0" w:line="255" w:lineRule="auto"/>
        <w:rPr>
          <w:sz w:val="20"/>
          <w:szCs w:val="20"/>
          <w:color w:val="auto"/>
        </w:rPr>
      </w:pPr>
      <w:r>
        <w:rPr>
          <w:rFonts w:ascii="Times New Roman" w:cs="Times New Roman" w:eastAsia="Times New Roman" w:hAnsi="Times New Roman"/>
          <w:sz w:val="21"/>
          <w:szCs w:val="21"/>
          <w:color w:val="auto"/>
        </w:rPr>
        <w:t>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w:t>
      </w:r>
    </w:p>
    <w:p>
      <w:pPr>
        <w:sectPr>
          <w:pgSz w:w="11900" w:h="16838" w:orient="portrait"/>
          <w:cols w:equalWidth="0" w:num="1">
            <w:col w:w="9199"/>
          </w:cols>
          <w:pgMar w:left="1260" w:top="1419" w:right="1440" w:bottom="1440" w:gutter="0" w:footer="0" w:header="0"/>
        </w:sectPr>
      </w:pPr>
    </w:p>
    <w:bookmarkStart w:id="96" w:name="page97"/>
    <w:bookmarkEnd w:id="96"/>
    <w:p>
      <w:pPr>
        <w:ind w:firstLine="1254"/>
        <w:spacing w:after="0" w:line="273" w:lineRule="auto"/>
        <w:rPr>
          <w:sz w:val="20"/>
          <w:szCs w:val="20"/>
          <w:color w:val="auto"/>
        </w:rPr>
      </w:pPr>
      <w:r>
        <w:rPr>
          <w:rFonts w:ascii="Times New Roman" w:cs="Times New Roman" w:eastAsia="Times New Roman" w:hAnsi="Times New Roman"/>
          <w:sz w:val="21"/>
          <w:szCs w:val="21"/>
          <w:color w:val="auto"/>
        </w:rPr>
        <w:t xml:space="preserve">THE PARTIES HEREBY WAIVE ANY RIGHTS THEY MAY HAVE TO TRIAL BY JURY IN REGARD TO CLAIMS SUBJECT TO ARBITRATION UNDER THIS 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JAMS in San Francisco, California, before a single neutral arbitrator, in accordance with the employment arbitration rules in effect at that time; alternatively, the parties may mutually agree on a location for arbitration through JAMS. The JAMS Employment Arbitration Rules may be found and reviewed at </w:t>
      </w:r>
      <w:r>
        <w:rPr>
          <w:rFonts w:ascii="Times New Roman" w:cs="Times New Roman" w:eastAsia="Times New Roman" w:hAnsi="Times New Roman"/>
          <w:sz w:val="21"/>
          <w:szCs w:val="21"/>
          <w:u w:val="single" w:color="auto"/>
          <w:color w:val="auto"/>
        </w:rPr>
        <w:t>https://www.jamsadr.com/rules-employment-arbitration/</w:t>
      </w:r>
      <w:r>
        <w:rPr>
          <w:rFonts w:ascii="Times New Roman" w:cs="Times New Roman" w:eastAsia="Times New Roman" w:hAnsi="Times New Roman"/>
          <w:sz w:val="21"/>
          <w:szCs w:val="21"/>
          <w:color w:val="auto"/>
        </w:rPr>
        <w:t>. If you are unable to access these rules, please let your Recruiter know and they will provide you a hardcopy. The arbitrator will issue a written decision that contains the essential findings and conclusions on which the decision is based. You will bear only those costs of arbitration you would otherwise bear had you brought a claim covered by this Agreement in court. The judgment or award rendered by the arbitrator may be entered in any court having jurisdiction over this matter.</w:t>
      </w:r>
    </w:p>
    <w:p>
      <w:pPr>
        <w:spacing w:after="0" w:line="152" w:lineRule="exact"/>
        <w:rPr>
          <w:sz w:val="20"/>
          <w:szCs w:val="20"/>
          <w:color w:val="auto"/>
        </w:rPr>
      </w:pPr>
    </w:p>
    <w:p>
      <w:pPr>
        <w:jc w:val="both"/>
        <w:ind w:right="360" w:firstLine="632"/>
        <w:spacing w:after="0" w:line="261" w:lineRule="auto"/>
        <w:tabs>
          <w:tab w:leader="none" w:pos="9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Background Check.</w:t>
      </w:r>
      <w:r>
        <w:rPr>
          <w:rFonts w:ascii="Times New Roman" w:cs="Times New Roman" w:eastAsia="Times New Roman" w:hAnsi="Times New Roman"/>
          <w:sz w:val="21"/>
          <w:szCs w:val="21"/>
          <w:color w:val="auto"/>
        </w:rPr>
        <w:t xml:space="preserve"> This offer and your employment are contingent upon satisfactory verification of criminal, education, and employment background. You will not be able to begin your employment until the verification has been completed, and this offer may be rescinded based upon information obtained from your background check, consistent with the applicable law.</w:t>
      </w:r>
    </w:p>
    <w:p>
      <w:pPr>
        <w:spacing w:after="0" w:line="164" w:lineRule="exact"/>
        <w:rPr>
          <w:rFonts w:ascii="Times New Roman" w:cs="Times New Roman" w:eastAsia="Times New Roman" w:hAnsi="Times New Roman"/>
          <w:sz w:val="21"/>
          <w:szCs w:val="21"/>
          <w:color w:val="auto"/>
        </w:rPr>
      </w:pPr>
    </w:p>
    <w:p>
      <w:pPr>
        <w:jc w:val="both"/>
        <w:ind w:right="380" w:firstLine="632"/>
        <w:spacing w:after="0" w:line="261" w:lineRule="auto"/>
        <w:tabs>
          <w:tab w:leader="none" w:pos="9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and the EIACA constitute the entire agreement relating to your employment and supersedes all prior offers, written or oral, with respect to your employment by Dropbox. Except as otherwise stated above, this Agreement may only be modified by an agreement in writing signed by both parties.</w:t>
      </w:r>
    </w:p>
    <w:p>
      <w:pPr>
        <w:spacing w:after="0" w:line="164" w:lineRule="exact"/>
        <w:rPr>
          <w:rFonts w:ascii="Times New Roman" w:cs="Times New Roman" w:eastAsia="Times New Roman" w:hAnsi="Times New Roman"/>
          <w:sz w:val="21"/>
          <w:szCs w:val="21"/>
          <w:color w:val="auto"/>
        </w:rPr>
      </w:pPr>
    </w:p>
    <w:p>
      <w:pPr>
        <w:ind w:right="380" w:firstLine="632"/>
        <w:spacing w:after="0" w:line="277" w:lineRule="auto"/>
        <w:tabs>
          <w:tab w:leader="none" w:pos="9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Agreement, except to the extent governed by the Federal Arbitration Act, will be governed by California law.</w:t>
      </w:r>
    </w:p>
    <w:p>
      <w:pPr>
        <w:spacing w:after="0" w:line="148" w:lineRule="exact"/>
        <w:rPr>
          <w:rFonts w:ascii="Times New Roman" w:cs="Times New Roman" w:eastAsia="Times New Roman" w:hAnsi="Times New Roman"/>
          <w:sz w:val="21"/>
          <w:szCs w:val="21"/>
          <w:color w:val="auto"/>
        </w:rPr>
      </w:pPr>
    </w:p>
    <w:p>
      <w:pPr>
        <w:jc w:val="both"/>
        <w:ind w:right="360" w:firstLine="632"/>
        <w:spacing w:after="0" w:line="257" w:lineRule="auto"/>
        <w:tabs>
          <w:tab w:leader="none" w:pos="9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xml:space="preserve"> This offer will remain open until January 3, 2025 and is contingent upon you beginning continuous full-time employment by the commencement date above and in the location identified above. This offer, except to the extent governed by the Federal Arbitration Act, will be governed by US - California - non-San Francisco Metro, USA law. Your signature will acknowledge that you have read and understood and agree to the terms of this offer and any attachments.</w:t>
      </w:r>
    </w:p>
    <w:p>
      <w:pPr>
        <w:sectPr>
          <w:pgSz w:w="11900" w:h="16838" w:orient="portrait"/>
          <w:cols w:equalWidth="0" w:num="1">
            <w:col w:w="9420"/>
          </w:cols>
          <w:pgMar w:left="1260" w:top="1210" w:right="1219" w:bottom="1440" w:gutter="0" w:footer="0" w:header="0"/>
        </w:sectPr>
      </w:pPr>
    </w:p>
    <w:bookmarkStart w:id="97" w:name="page98"/>
    <w:bookmarkEnd w:id="97"/>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We look forward to welcoming you to Dropbox.</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u w:val="single" w:color="auto"/>
          <w:color w:val="auto"/>
        </w:rPr>
        <w:t>/s/ Drew Houston</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Drew Houston</w:t>
      </w:r>
    </w:p>
    <w:p>
      <w:pPr>
        <w:jc w:val="right"/>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14" w:lineRule="exact"/>
        <w:rPr>
          <w:sz w:val="20"/>
          <w:szCs w:val="20"/>
          <w:color w:val="auto"/>
        </w:rPr>
      </w:pPr>
    </w:p>
    <w:p>
      <w:pPr>
        <w:jc w:val="both"/>
        <w:ind w:right="1260"/>
        <w:spacing w:after="0" w:line="262" w:lineRule="auto"/>
        <w:rPr>
          <w:sz w:val="20"/>
          <w:szCs w:val="20"/>
          <w:color w:val="auto"/>
        </w:rPr>
      </w:pPr>
      <w:r>
        <w:rPr>
          <w:rFonts w:ascii="Times New Roman" w:cs="Times New Roman" w:eastAsia="Times New Roman" w:hAnsi="Times New Roman"/>
          <w:sz w:val="21"/>
          <w:szCs w:val="21"/>
          <w:color w:val="auto"/>
        </w:rPr>
        <w:t>I have read and understood this offer letter and hereby acknowledge, accept and agree to the terms as set forth above and further acknowledge that no other commitments were made to me as part of my employment offer except as specifically set forth herein.</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u w:val="single" w:color="auto"/>
          <w:color w:val="auto"/>
        </w:rPr>
        <w:t>/s/Ali Dasdan 12/30/2024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Ali Dasdan Date Signed</w:t>
      </w:r>
    </w:p>
    <w:p>
      <w:pPr>
        <w:sectPr>
          <w:pgSz w:w="11900" w:h="16838" w:orient="portrait"/>
          <w:cols w:equalWidth="0" w:num="1">
            <w:col w:w="10300"/>
          </w:cols>
          <w:pgMar w:left="1260" w:top="144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March 13, 2025</w:t>
      </w: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Re: Role and Compensation Change for Will Yoon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William Yoon</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Dear Will,</w:t>
      </w:r>
    </w:p>
    <w:p>
      <w:pPr>
        <w:spacing w:after="0" w:line="242" w:lineRule="exact"/>
        <w:rPr>
          <w:sz w:val="20"/>
          <w:szCs w:val="20"/>
          <w:color w:val="auto"/>
        </w:rPr>
      </w:pPr>
    </w:p>
    <w:p>
      <w:pPr>
        <w:ind w:right="500" w:firstLine="752"/>
        <w:spacing w:after="0" w:line="261" w:lineRule="auto"/>
        <w:rPr>
          <w:sz w:val="20"/>
          <w:szCs w:val="20"/>
          <w:color w:val="auto"/>
        </w:rPr>
      </w:pPr>
      <w:r>
        <w:rPr>
          <w:rFonts w:ascii="Times New Roman" w:cs="Times New Roman" w:eastAsia="Times New Roman" w:hAnsi="Times New Roman"/>
          <w:sz w:val="21"/>
          <w:szCs w:val="21"/>
          <w:color w:val="auto"/>
        </w:rPr>
        <w:t>On behalf of Dropbox Inc. (“Dropbox”), this letter confirms the details of your new role as Chief Legal Officer, effective March 28, 2025, reporting to the Chief Executive Officer and based in the San Francisco Bay Area. Dropbox is a Virtual First company which means that your primary work experience will be remote, although you may be required to travel from time to time.</w:t>
      </w:r>
    </w:p>
    <w:p>
      <w:pPr>
        <w:spacing w:after="0" w:line="187" w:lineRule="exact"/>
        <w:rPr>
          <w:sz w:val="20"/>
          <w:szCs w:val="20"/>
          <w:color w:val="auto"/>
        </w:rPr>
      </w:pPr>
    </w:p>
    <w:p>
      <w:pPr>
        <w:jc w:val="both"/>
        <w:ind w:left="440" w:right="360" w:hanging="322"/>
        <w:spacing w:after="0" w:line="270" w:lineRule="auto"/>
        <w:tabs>
          <w:tab w:leader="none" w:pos="4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on April 1, 2025, your annualized base salary will be adjusted to $475,000 per year, less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taxes and withholdings, paid in accordance with Dropbox’s normal payroll procedures. Your base salary will be subject to review and adjustment based upon the Company’s normal review practices.</w:t>
      </w:r>
    </w:p>
    <w:p>
      <w:pPr>
        <w:spacing w:after="0" w:line="178" w:lineRule="exact"/>
        <w:rPr>
          <w:rFonts w:ascii="Times New Roman" w:cs="Times New Roman" w:eastAsia="Times New Roman" w:hAnsi="Times New Roman"/>
          <w:sz w:val="21"/>
          <w:szCs w:val="21"/>
          <w:color w:val="auto"/>
        </w:rPr>
      </w:pPr>
    </w:p>
    <w:p>
      <w:pPr>
        <w:ind w:left="440" w:right="440" w:hanging="322"/>
        <w:spacing w:after="0" w:line="256" w:lineRule="auto"/>
        <w:tabs>
          <w:tab w:leader="none" w:pos="4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Annual Bonus.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continue to be eligible to receive an annual company bonus (“Annual Bonus”), and the new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target amount will be 75% of your base salary, contingent upon your performance and the achievement of objectives established by the Dropbox Board of Directors or its delegate (collectively, the “Committee”) in its sole discretion and payable upon the achievement of the objectives as determined by the Committee. Your Annual Bonus opportunity will be subject to review and adjustment based upon the Company’s normal performance review practices. No bonus will be earned or received unless you are still employed by the Company on the bonus payment date.</w:t>
      </w:r>
    </w:p>
    <w:p>
      <w:pPr>
        <w:spacing w:after="0" w:line="192" w:lineRule="exact"/>
        <w:rPr>
          <w:rFonts w:ascii="Times New Roman" w:cs="Times New Roman" w:eastAsia="Times New Roman" w:hAnsi="Times New Roman"/>
          <w:sz w:val="21"/>
          <w:szCs w:val="21"/>
          <w:color w:val="auto"/>
        </w:rPr>
      </w:pPr>
    </w:p>
    <w:p>
      <w:pPr>
        <w:ind w:left="440" w:right="500" w:hanging="322"/>
        <w:spacing w:after="0" w:line="253" w:lineRule="auto"/>
        <w:tabs>
          <w:tab w:leader="none" w:pos="4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Equity.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We will recommend to the Dropbox Board of Directors (or its delegate) that you be granted additional restricted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(“RSUs”) with an approximate current value of $5,000,000.00 under Dropbox’s equity incentive plan, with the number of shares granted to be determined by the average closing price of Dropbox common stock for the prior month (the “Grant”). The Grant will be subject to the terms of Dropbox’s Equity Award Grant Policy, equity incentive plan, and the Restricted Stock Award Agreement between you and Dropbox. This Grant is further subject to the Board’s approval and the promise to recommend the approval does not create an obligation for Dropbox to issue any equity grant to you. Further details on the equity plan and any specific grant will be provided upon the Board’s (or its delegate’s) approval of the Grant.</w:t>
      </w:r>
    </w:p>
    <w:p>
      <w:pPr>
        <w:sectPr>
          <w:pgSz w:w="11900" w:h="16838" w:orient="portrait"/>
          <w:cols w:equalWidth="0" w:num="1">
            <w:col w:w="11040"/>
          </w:cols>
          <w:pgMar w:left="520" w:top="1350" w:right="339" w:bottom="1440" w:gutter="0" w:footer="0" w:header="0"/>
        </w:sectPr>
      </w:pPr>
    </w:p>
    <w:bookmarkStart w:id="99" w:name="page100"/>
    <w:bookmarkEnd w:id="99"/>
    <w:p>
      <w:pPr>
        <w:ind w:left="322" w:hanging="322"/>
        <w:spacing w:after="0" w:line="275" w:lineRule="auto"/>
        <w:tabs>
          <w:tab w:leader="none" w:pos="32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and your family members will continue to be eligible to participate in Dropbox’s standard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benefits plans as they are provided to San Francisco, California employees to the extent that you meet their eligibility criteria. This Section 4 does not create any obligation on the part of Dropbox to adopt or maintain any employee benefit plan or program at any time. Dropbox may amend or terminate, any employee benefit plan or program at any time.</w:t>
      </w:r>
    </w:p>
    <w:p>
      <w:pPr>
        <w:spacing w:after="0" w:line="161" w:lineRule="exact"/>
        <w:rPr>
          <w:rFonts w:ascii="Times New Roman" w:cs="Times New Roman" w:eastAsia="Times New Roman" w:hAnsi="Times New Roman"/>
          <w:sz w:val="20"/>
          <w:szCs w:val="20"/>
          <w:color w:val="auto"/>
        </w:rPr>
      </w:pPr>
    </w:p>
    <w:p>
      <w:pPr>
        <w:ind w:left="322" w:right="40" w:hanging="322"/>
        <w:spacing w:after="0" w:line="256" w:lineRule="auto"/>
        <w:tabs>
          <w:tab w:leader="none" w:pos="32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Severance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be eligible to enter into a Change in Control and Severance Agreement (the “Severance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to you based on your position within the Company. The Severance Agreement will specify the severance payments and benefits you would be eligible to receive in connection 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spacing w:after="0" w:line="179" w:lineRule="exact"/>
        <w:rPr>
          <w:rFonts w:ascii="Times New Roman" w:cs="Times New Roman" w:eastAsia="Times New Roman" w:hAnsi="Times New Roman"/>
          <w:sz w:val="21"/>
          <w:szCs w:val="21"/>
          <w:color w:val="auto"/>
        </w:rPr>
      </w:pPr>
    </w:p>
    <w:p>
      <w:pPr>
        <w:ind w:left="322" w:right="340" w:hanging="322"/>
        <w:spacing w:after="0" w:line="258" w:lineRule="auto"/>
        <w:tabs>
          <w:tab w:leader="none" w:pos="32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Confidentiality Agreement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an employee of the Company, you will continue to have access to certain confidential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of the Company and you may, during the course of your employment, develop certain information or inventions that will be the property of the Company. To protect the interests of the Company, your acceptance of this Agreement confirms that the terms of the Company’s Employee Invention Assignment and Confidentiality Agreement you previously signed with the Company (the “EIACA”) still apply.</w:t>
      </w:r>
    </w:p>
    <w:p>
      <w:pPr>
        <w:spacing w:after="0" w:line="178" w:lineRule="exact"/>
        <w:rPr>
          <w:rFonts w:ascii="Times New Roman" w:cs="Times New Roman" w:eastAsia="Times New Roman" w:hAnsi="Times New Roman"/>
          <w:sz w:val="21"/>
          <w:szCs w:val="21"/>
          <w:color w:val="auto"/>
        </w:rPr>
      </w:pPr>
    </w:p>
    <w:p>
      <w:pPr>
        <w:ind w:left="322" w:hanging="322"/>
        <w:spacing w:after="0" w:line="251" w:lineRule="auto"/>
        <w:tabs>
          <w:tab w:leader="none" w:pos="32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Commitment to the Company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your employment with the Company, you will continue to perform your duties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faithfully and to the best of your ability and you will devote your full business efforts and time to the Company. Except as specifically approved by the Committee, you agree that, during the term of your employment with the Company, you will not (i) engage in any other employment, occupation, consulting, business or other activity related to the business in which the Company or any of its subsidiaries or affiliates is now involved, any proposed business of the Company or any of its subsidiaries or affiliates, or any business in which the Company or any of its subsidiaries or affiliates becomes involved during the term of your employment, (ii) assist any other person or organization in competing with the Company or in preparing to engage in competition with the business or proposed business of the Company, or (iii) engage in any other activities that conflict with your obligations to the Company or any of its subsidiaries or affiliates. Similarly, you agree not to bring any third-party confidential information to the Company, including that of your former employer, and that in performing your duties for the Company you will not in any way utilize any such information. You will disclose to the Company in writing any other employment, business or activity that you are currently associated with or participate in that competes with the Company.</w:t>
      </w:r>
    </w:p>
    <w:p>
      <w:pPr>
        <w:sectPr>
          <w:pgSz w:w="11900" w:h="16838" w:orient="portrait"/>
          <w:cols w:equalWidth="0" w:num="1">
            <w:col w:w="10582"/>
          </w:cols>
          <w:pgMar w:left="638" w:top="1206" w:right="679" w:bottom="1440" w:gutter="0" w:footer="0" w:header="0"/>
        </w:sectPr>
      </w:pPr>
    </w:p>
    <w:bookmarkStart w:id="100" w:name="page101"/>
    <w:bookmarkEnd w:id="100"/>
    <w:p>
      <w:pPr>
        <w:ind w:left="322" w:right="40" w:hanging="322"/>
        <w:spacing w:after="0" w:line="251" w:lineRule="auto"/>
        <w:tabs>
          <w:tab w:leader="none" w:pos="32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Protected Activity Not Prohibited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Nothing in this Agreement or in any other agreement between you or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 applicable, will in any way limit or prohibit you from engaging for a lawful purpose in any Protected Activity. For purposes of this Agreement, “Protected Activity” 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Agreement or in any other agreement between you or the Company, as applicable, you understand that you are not required to obtain authorization from the Company prior to disclosing information to, or communicating with, such agencies, nor are you obligated to advise the Company as to any such disclosures or communications. In making any such disclosures or communications, you agree to take all reasonable precautions to prevent any unauthorized use or disclosure of any information that may constitute Confidential Information (within the meaning of the EIACA) to any parties other than the relevant government agencies. You further understand that Protected Activity does not include the disclosure of any Company attorney-client privileged communications, and that any such disclosure without the Company’s written consent will constitute a material breach of this Agreement.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w:t>
      </w:r>
    </w:p>
    <w:p>
      <w:pPr>
        <w:spacing w:after="0" w:line="193" w:lineRule="exact"/>
        <w:rPr>
          <w:rFonts w:ascii="Times New Roman" w:cs="Times New Roman" w:eastAsia="Times New Roman" w:hAnsi="Times New Roman"/>
          <w:sz w:val="21"/>
          <w:szCs w:val="21"/>
          <w:color w:val="auto"/>
        </w:rPr>
      </w:pPr>
    </w:p>
    <w:p>
      <w:pPr>
        <w:ind w:left="322" w:right="180" w:hanging="322"/>
        <w:spacing w:after="0" w:line="254" w:lineRule="auto"/>
        <w:tabs>
          <w:tab w:leader="none" w:pos="32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Arbitration (Not applicable to Sexual Harassment or Discrimination Claims)</w:t>
      </w:r>
      <w:r>
        <w:rPr>
          <w:rFonts w:ascii="Times New Roman" w:cs="Times New Roman" w:eastAsia="Times New Roman" w:hAnsi="Times New Roman"/>
          <w:sz w:val="21"/>
          <w:szCs w:val="21"/>
          <w:color w:val="auto"/>
        </w:rPr>
        <w:t>. Except as explained in this paragraph,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and Dropbox shall submit to mandatory and exclusive binding arbitration of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w:t>
      </w:r>
    </w:p>
    <w:p>
      <w:pPr>
        <w:spacing w:after="0" w:line="173" w:lineRule="exact"/>
        <w:rPr>
          <w:rFonts w:ascii="Times New Roman" w:cs="Times New Roman" w:eastAsia="Times New Roman" w:hAnsi="Times New Roman"/>
          <w:sz w:val="21"/>
          <w:szCs w:val="21"/>
          <w:color w:val="auto"/>
        </w:rPr>
      </w:pPr>
    </w:p>
    <w:p>
      <w:pPr>
        <w:jc w:val="both"/>
        <w:ind w:left="322"/>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entirely up to you. 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w:t>
      </w:r>
    </w:p>
    <w:p>
      <w:pPr>
        <w:sectPr>
          <w:pgSz w:w="11900" w:h="16838" w:orient="portrait"/>
          <w:cols w:equalWidth="0" w:num="1">
            <w:col w:w="10622"/>
          </w:cols>
          <w:pgMar w:left="638" w:top="1415" w:right="639" w:bottom="1440" w:gutter="0" w:footer="0" w:header="0"/>
        </w:sectPr>
      </w:pPr>
    </w:p>
    <w:bookmarkStart w:id="101" w:name="page102"/>
    <w:bookmarkEnd w:id="101"/>
    <w:p>
      <w:pPr>
        <w:jc w:val="both"/>
        <w:ind w:left="440" w:right="300"/>
        <w:spacing w:after="0" w:line="251" w:lineRule="auto"/>
        <w:rPr>
          <w:sz w:val="20"/>
          <w:szCs w:val="20"/>
          <w:color w:val="auto"/>
        </w:rPr>
      </w:pPr>
      <w:r>
        <w:rPr>
          <w:rFonts w:ascii="Times New Roman" w:cs="Times New Roman" w:eastAsia="Times New Roman" w:hAnsi="Times New Roman"/>
          <w:sz w:val="21"/>
          <w:szCs w:val="21"/>
          <w:color w:val="auto"/>
        </w:rPr>
        <w:t xml:space="preserve">THE PARTIES HEREBY WAIVE ANY RIGHTS THEY MAY HAVE TO TRIAL BY JURY IN REGARD TO CLAIMS SUBJECT TO ARBITRATION UNDER THIS 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JAMS in San Francisco, California, before a single neutral arbitrator, in accordance with the employment arbitration rules in effect at that time. The JAMS Employment Arbitration Rules may be found and reviewed at </w:t>
      </w:r>
      <w:r>
        <w:rPr>
          <w:rFonts w:ascii="Times New Roman" w:cs="Times New Roman" w:eastAsia="Times New Roman" w:hAnsi="Times New Roman"/>
          <w:sz w:val="21"/>
          <w:szCs w:val="21"/>
          <w:u w:val="single" w:color="auto"/>
          <w:color w:val="auto"/>
        </w:rPr>
        <w:t>https://www.jamsadr.com/rules-employment-arbitration/</w:t>
      </w:r>
      <w:r>
        <w:rPr>
          <w:rFonts w:ascii="Times New Roman" w:cs="Times New Roman" w:eastAsia="Times New Roman" w:hAnsi="Times New Roman"/>
          <w:sz w:val="21"/>
          <w:szCs w:val="21"/>
          <w:color w:val="auto"/>
        </w:rPr>
        <w:t>. If you are unable to access these rules, please let your Recruiter know and they will provide you a hardcopy.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200" w:lineRule="exact"/>
        <w:rPr>
          <w:sz w:val="20"/>
          <w:szCs w:val="20"/>
          <w:color w:val="auto"/>
        </w:rPr>
      </w:pPr>
    </w:p>
    <w:p>
      <w:pPr>
        <w:spacing w:after="0" w:line="351" w:lineRule="exact"/>
        <w:rPr>
          <w:sz w:val="20"/>
          <w:szCs w:val="20"/>
          <w:color w:val="auto"/>
        </w:rPr>
      </w:pPr>
    </w:p>
    <w:p>
      <w:pPr>
        <w:jc w:val="both"/>
        <w:ind w:left="440" w:right="320" w:hanging="322"/>
        <w:spacing w:after="0" w:line="270" w:lineRule="auto"/>
        <w:tabs>
          <w:tab w:leader="none" w:pos="4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At-Will Employment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Acceptance of this new role does not alter the at-will nature of your employment with Dropbox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means the employment relationship can be terminated by either you or Dropbox for any reason, at any time, with or without prior notice or cause.</w:t>
      </w:r>
    </w:p>
    <w:p>
      <w:pPr>
        <w:spacing w:after="0" w:line="182" w:lineRule="exact"/>
        <w:rPr>
          <w:sz w:val="20"/>
          <w:szCs w:val="20"/>
          <w:color w:val="auto"/>
        </w:rPr>
      </w:pPr>
    </w:p>
    <w:p>
      <w:pPr>
        <w:ind w:right="740" w:firstLine="752"/>
        <w:spacing w:after="0" w:line="277" w:lineRule="auto"/>
        <w:rPr>
          <w:sz w:val="20"/>
          <w:szCs w:val="20"/>
          <w:color w:val="auto"/>
        </w:rPr>
      </w:pPr>
      <w:r>
        <w:rPr>
          <w:rFonts w:ascii="Times New Roman" w:cs="Times New Roman" w:eastAsia="Times New Roman" w:hAnsi="Times New Roman"/>
          <w:sz w:val="21"/>
          <w:szCs w:val="21"/>
          <w:color w:val="auto"/>
        </w:rPr>
        <w:t>Congratulations on this new role and thanks for all your hard work! Please let me know if you have any additional questions.</w:t>
      </w:r>
    </w:p>
    <w:p>
      <w:pPr>
        <w:spacing w:after="0" w:line="1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9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0"/>
          <w:szCs w:val="20"/>
          <w:u w:val="single" w:color="auto"/>
          <w:color w:val="auto"/>
        </w:rPr>
        <w:t>/s/ Drew Houston</w:t>
      </w:r>
    </w:p>
    <w:p>
      <w:pPr>
        <w:spacing w:after="0" w:line="280"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20"/>
          <w:szCs w:val="20"/>
          <w:color w:val="auto"/>
        </w:rPr>
        <w:t>Drew Houston</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 William Yoon, acknowledge that I have read, understood and agree to the above terms and conditions.</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u w:val="single" w:color="auto"/>
          <w:color w:val="auto"/>
        </w:rPr>
        <w:t>/s/ William Yoon 03/13/2025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William Yoon Date Signed</w:t>
      </w:r>
    </w:p>
    <w:p>
      <w:pPr>
        <w:sectPr>
          <w:pgSz w:w="11900" w:h="16838" w:orient="portrait"/>
          <w:cols w:equalWidth="0" w:num="1">
            <w:col w:w="11040"/>
          </w:cols>
          <w:pgMar w:left="520" w:top="121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W. Houston, certify that:</w:t>
      </w:r>
    </w:p>
    <w:p>
      <w:pPr>
        <w:spacing w:after="0" w:line="170" w:lineRule="exact"/>
        <w:rPr>
          <w:sz w:val="20"/>
          <w:szCs w:val="20"/>
          <w:color w:val="auto"/>
        </w:rPr>
      </w:pPr>
    </w:p>
    <w:p>
      <w:pPr>
        <w:ind w:left="320" w:hanging="315"/>
        <w:spacing w:after="0"/>
        <w:tabs>
          <w:tab w:leader="none" w:pos="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170"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right="80" w:hanging="315"/>
        <w:spacing w:after="0" w:line="276" w:lineRule="auto"/>
        <w:tabs>
          <w:tab w:leader="none" w:pos="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640" w:right="40" w:hanging="322"/>
        <w:spacing w:after="0" w:line="276" w:lineRule="auto"/>
        <w:tabs>
          <w:tab w:leader="none" w:pos="63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9, 2025</w:t>
      </w:r>
    </w:p>
    <w:p>
      <w:pPr>
        <w:spacing w:after="0" w:line="14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DROPBOX, INC.</w:t>
      </w:r>
    </w:p>
    <w:p>
      <w:pPr>
        <w:spacing w:after="0" w:line="275" w:lineRule="exact"/>
        <w:rPr>
          <w:sz w:val="20"/>
          <w:szCs w:val="20"/>
          <w:color w:val="auto"/>
        </w:rPr>
      </w:pPr>
    </w:p>
    <w:tbl>
      <w:tblPr>
        <w:tblLayout w:type="fixed"/>
        <w:tblInd w:w="66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W. Houston</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W. Houston</w:t>
            </w:r>
          </w:p>
        </w:tc>
      </w:tr>
      <w:tr>
        <w:trPr>
          <w:trHeight w:val="22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746"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Timothy J. Regan, certify that:</w:t>
      </w:r>
    </w:p>
    <w:p>
      <w:pPr>
        <w:spacing w:after="0" w:line="170" w:lineRule="exact"/>
        <w:rPr>
          <w:sz w:val="20"/>
          <w:szCs w:val="20"/>
          <w:color w:val="auto"/>
        </w:rPr>
      </w:pPr>
    </w:p>
    <w:p>
      <w:pPr>
        <w:ind w:left="320" w:hanging="315"/>
        <w:spacing w:after="0"/>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170"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right="80" w:hanging="315"/>
        <w:spacing w:after="0" w:line="276"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640" w:right="40" w:hanging="322"/>
        <w:spacing w:after="0" w:line="276" w:lineRule="auto"/>
        <w:tabs>
          <w:tab w:leader="none" w:pos="63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9, 2025</w:t>
      </w:r>
    </w:p>
    <w:p>
      <w:pPr>
        <w:spacing w:after="0" w:line="26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DROPBOX, INC.</w:t>
      </w:r>
    </w:p>
    <w:p>
      <w:pPr>
        <w:spacing w:after="0" w:line="223"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20320</wp:posOffset>
            </wp:positionV>
            <wp:extent cx="1419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spacing w:after="0" w:line="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Name: Timothy J. Regan</w:t>
      </w:r>
    </w:p>
    <w:p>
      <w:pPr>
        <w:spacing w:after="0" w:line="32"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40" w:lineRule="exact"/>
        <w:rPr>
          <w:sz w:val="20"/>
          <w:szCs w:val="20"/>
          <w:color w:val="auto"/>
        </w:rPr>
      </w:pPr>
    </w:p>
    <w:p>
      <w:pPr>
        <w:ind w:left="5440"/>
        <w:spacing w:after="0"/>
        <w:tabs>
          <w:tab w:leader="none" w:pos="6320" w:val="left"/>
          <w:tab w:leader="none" w:pos="7360" w:val="left"/>
        </w:tabs>
        <w:rPr>
          <w:sz w:val="20"/>
          <w:szCs w:val="20"/>
          <w:color w:val="auto"/>
        </w:rPr>
      </w:pPr>
      <w:r>
        <w:rPr>
          <w:rFonts w:ascii="Times New Roman" w:cs="Times New Roman" w:eastAsia="Times New Roman" w:hAnsi="Times New Roman"/>
          <w:sz w:val="17"/>
          <w:szCs w:val="17"/>
          <w:color w:val="auto"/>
        </w:rPr>
        <w:t>(Principal</w:t>
        <w:tab/>
        <w:t>Accounting</w:t>
      </w:r>
      <w:r>
        <w:rPr>
          <w:sz w:val="20"/>
          <w:szCs w:val="20"/>
          <w:color w:val="auto"/>
        </w:rPr>
        <w:tab/>
      </w:r>
      <w:r>
        <w:rPr>
          <w:rFonts w:ascii="Times New Roman" w:cs="Times New Roman" w:eastAsia="Times New Roman" w:hAnsi="Times New Roman"/>
          <w:sz w:val="16"/>
          <w:szCs w:val="16"/>
          <w:color w:val="auto"/>
        </w:rPr>
        <w:t>and</w:t>
      </w:r>
    </w:p>
    <w:p>
      <w:pPr>
        <w:spacing w:after="0" w:line="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Financial Officer)</w:t>
      </w:r>
    </w:p>
    <w:p>
      <w:pPr>
        <w:sectPr>
          <w:pgSz w:w="11900" w:h="16838" w:orient="portrait"/>
          <w:cols w:equalWidth="0" w:num="1">
            <w:col w:w="11240"/>
          </w:cols>
          <w:pgMar w:left="320" w:top="746"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CERTIFICATIONS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Andrew W. Houston, certify, pursuant to 18 U.S.C. Section 1350, as adopted pursuant to Section 906 of the Sarbanes-Oxley Act of 2002, that the Quarterly Report on Form 10-Q of Dropbox, Inc. for the fiscal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May 9, 2025</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Andrew W. Houston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Andrew W. Houston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67"/>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282"/>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380" w:type="dxa"/>
            <w:vAlign w:val="bottom"/>
            <w:shd w:val="clear" w:color="auto" w:fill="FEFEFE"/>
          </w:tcPr>
          <w:p>
            <w:pPr>
              <w:spacing w:after="0"/>
              <w:rPr>
                <w:sz w:val="24"/>
                <w:szCs w:val="24"/>
                <w:color w:val="auto"/>
              </w:rPr>
            </w:pPr>
          </w:p>
        </w:tc>
      </w:tr>
    </w:tbl>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Timothy J. Regan, certify, pursuant to 18 U.S.C. Section 1350, as adopted pursuant to Section 906 of the Sarbanes-Oxley Act of 2002, that the Quarterly Report on Form 10-Q of Dropbox, Inc. for the fiscal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May 9, 2025</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Timothy J. Regan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Timothy J. Regan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2"/>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2"/>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2"/>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01"/>
    </w:lvl>
  </w:abstractNum>
  <w:abstractNum w:abstractNumId="31">
    <w:nsid w:val="3855585C"/>
    <w:multiLevelType w:val="hybridMultilevel"/>
    <w:lvl w:ilvl="0">
      <w:lvlJc w:val="left"/>
      <w:lvlText w:val="%1"/>
      <w:numFmt w:val="decimal"/>
      <w:start w:val="104"/>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4"/>
    </w:lvl>
  </w:abstractNum>
  <w:abstractNum w:abstractNumId="37">
    <w:nsid w:val="2CD89A32"/>
    <w:multiLevelType w:val="hybridMultilevel"/>
    <w:lvl w:ilvl="0">
      <w:lvlJc w:val="left"/>
      <w:lvlText w:val="%1."/>
      <w:numFmt w:val="decimal"/>
      <w:start w:val="8"/>
    </w:lvl>
  </w:abstractNum>
  <w:abstractNum w:abstractNumId="38">
    <w:nsid w:val="57E4CCAF"/>
    <w:multiLevelType w:val="hybridMultilevel"/>
    <w:lvl w:ilvl="0">
      <w:lvlJc w:val="left"/>
      <w:lvlText w:val="%1."/>
      <w:numFmt w:val="decimal"/>
      <w:start w:val="9"/>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4"/>
    </w:lvl>
  </w:abstractNum>
  <w:abstractNum w:abstractNumId="44">
    <w:nsid w:val="7644A45C"/>
    <w:multiLevelType w:val="hybridMultilevel"/>
    <w:lvl w:ilvl="0">
      <w:lvlJc w:val="left"/>
      <w:lvlText w:val="%1."/>
      <w:numFmt w:val="decimal"/>
      <w:start w:val="7"/>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4"/>
    </w:lvl>
  </w:abstractNum>
  <w:abstractNum w:abstractNumId="47">
    <w:nsid w:val="579478FE"/>
    <w:multiLevelType w:val="hybridMultilevel"/>
    <w:lvl w:ilvl="0">
      <w:lvlJc w:val="left"/>
      <w:lvlText w:val="%1."/>
      <w:numFmt w:val="decimal"/>
      <w:start w:val="8"/>
    </w:lvl>
  </w:abstractNum>
  <w:abstractNum w:abstractNumId="48">
    <w:nsid w:val="749ABB43"/>
    <w:multiLevelType w:val="hybridMultilevel"/>
    <w:lvl w:ilvl="0">
      <w:lvlJc w:val="left"/>
      <w:lvlText w:val="%1."/>
      <w:numFmt w:val="decimal"/>
      <w:start w:val="10"/>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14" Type="http://schemas.openxmlformats.org/officeDocument/2006/relationships/hyperlink" Target="https://www.sec.gov/Archives/edgar/data/1467623/000110465925021908/tm258574d1_ex2-1.htm" TargetMode="External"/><Relationship Id="rId115" Type="http://schemas.openxmlformats.org/officeDocument/2006/relationships/hyperlink" Target="https://www.sec.gov/Archives/edgar/data/1467623/000110465925021908/tm258574d1_ex3-1.htm" TargetMode="External"/><Relationship Id="rId116" Type="http://schemas.openxmlformats.org/officeDocument/2006/relationships/hyperlink" Target="https://www.sec.gov/Archives/edgar/data/1467623/000110465925021908/tm258574d1_ex3-2.htm" TargetMode="External"/><Relationship Id="rId117" Type="http://schemas.openxmlformats.org/officeDocument/2006/relationships/hyperlink" Target="https://www.sec.gov/Archives/edgar/data/1467623/000110465925021908/tm258574d1_ex4-1.htm" TargetMode="External"/><Relationship Id="rId118" Type="http://schemas.openxmlformats.org/officeDocument/2006/relationships/hyperlink" Target="https://www.sec.gov/Archives/edgar/data/1467623/000110465925021908/tm258574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2025-05-09T15:22:38Z</dcterms:created>
  <dcterms:modified xsi:type="dcterms:W3CDTF">2025-05-09T15:22:38Z</dcterms:modified>
</cp:coreProperties>
</file>