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39106.xml.htm"/>
      <w:bookmarkStart w:id="1" w:name="kswkform4_17924391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Schubach Sarah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HAWTHORNE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574"/>
        <w:gridCol w:w="374"/>
        <w:gridCol w:w="848"/>
        <w:gridCol w:w="456"/>
        <w:gridCol w:w="756"/>
        <w:gridCol w:w="1198"/>
        <w:gridCol w:w="1000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2,056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35.79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130,821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Rule 10b5-1 trading plan adopted by the Reporting Person on June 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units. Each restricted stock unit represents the Reporting Person's right to receive one share of Class A Common Stock, subject to the applicable vesting schedule through February 15, 2030. In the event the Reporting Person ceases to be a Service Provider, the unvested restricted stock units will be cancelled by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5704" TargetMode="External"/><Relationship Id="rId5" Type="http://schemas.openxmlformats.org/officeDocument/2006/relationships/hyperlink" Target="http://www.sec.gov/cgi-bin/browse-edgar?action=getcompany&amp;CIK=00014676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3508</Characters>
  <CharactersWithSpaces>4085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