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May 20, 2021</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12"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855" w:right="239" w:bottom="1440" w:gutter="0" w:footer="0" w:header="0"/>
        </w:sectPr>
      </w:pPr>
    </w:p>
    <w:p>
      <w:pPr>
        <w:spacing w:after="0" w:line="118"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855"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855" w:right="239" w:bottom="1440" w:gutter="0" w:footer="0" w:header="0"/>
          <w:type w:val="continuous"/>
        </w:sectPr>
      </w:pPr>
    </w:p>
    <w:p>
      <w:pPr>
        <w:spacing w:after="0" w:line="30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3" w:lineRule="exact"/>
        <w:rPr>
          <w:sz w:val="24"/>
          <w:szCs w:val="24"/>
          <w:color w:val="auto"/>
        </w:rPr>
      </w:pPr>
    </w:p>
    <w:p>
      <w:pPr>
        <w:ind w:right="220"/>
        <w:spacing w:after="0" w:line="25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86995</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56"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6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87"/>
              </w:rPr>
              <w:t>Title of each class</w:t>
            </w:r>
          </w:p>
        </w:tc>
        <w:tc>
          <w:tcPr>
            <w:tcW w:w="26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Trading Symbol(s)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Arial" w:cs="Arial" w:eastAsia="Arial" w:hAnsi="Arial"/>
                <w:sz w:val="14"/>
                <w:szCs w:val="14"/>
                <w:color w:val="auto"/>
                <w:w w:val="90"/>
              </w:rPr>
              <w:t>Class A Common Stock, par value $0.00001 per share</w:t>
            </w:r>
          </w:p>
        </w:tc>
        <w:tc>
          <w:tcPr>
            <w:tcW w:w="2680" w:type="dxa"/>
            <w:vAlign w:val="bottom"/>
            <w:gridSpan w:val="2"/>
          </w:tcPr>
          <w:p>
            <w:pPr>
              <w:jc w:val="center"/>
              <w:ind w:right="1580"/>
              <w:spacing w:after="0"/>
              <w:rPr>
                <w:sz w:val="20"/>
                <w:szCs w:val="20"/>
                <w:color w:val="auto"/>
              </w:rPr>
            </w:pPr>
            <w:r>
              <w:rPr>
                <w:rFonts w:ascii="Arial" w:cs="Arial" w:eastAsia="Arial" w:hAnsi="Arial"/>
                <w:sz w:val="14"/>
                <w:szCs w:val="14"/>
                <w:color w:val="auto"/>
              </w:rPr>
              <w:t>DBX</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4"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53" w:lineRule="exact"/>
        <w:rPr>
          <w:sz w:val="24"/>
          <w:szCs w:val="24"/>
          <w:color w:val="auto"/>
        </w:rPr>
      </w:pPr>
    </w:p>
    <w:p>
      <w:pPr>
        <w:ind w:right="260"/>
        <w:spacing w:after="0" w:line="25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440055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55" w:right="239" w:bottom="1440" w:gutter="0" w:footer="0" w:header="0"/>
          <w:type w:val="continuous"/>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7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On May 20, 2021, at the 2021 Annual Meeting of Stockholders (the “Annual Meeting”) of Dropbox, Inc. (the “Company”), the Company’s stockholders voted upon the following proposals described in the Company’s definitive proxy statement filed with the Securities and Exchange Commission on April 6, 2021: (1) to elect seven directors to the Board of Directors of the Company; (2) to ratify the appointment of Ernst &amp; Young LLP, an independent registered public accounting firm, as auditors for the fiscal year ending December 31, 2021; and (3) to approve a non-binding advisory vote regarding executive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compensation</w:t>
      </w:r>
      <w:r>
        <w:rPr>
          <w:rFonts w:ascii="Arial" w:cs="Arial" w:eastAsia="Arial" w:hAnsi="Arial"/>
          <w:sz w:val="21"/>
          <w:szCs w:val="21"/>
          <w:color w:val="auto"/>
        </w:rPr>
        <w:t>.</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nominated directors were elected and the other proposals were approved by the required stockholder vote. The final voting results with respect to each proposal is as set forth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40" w:type="dxa"/>
            <w:vAlign w:val="bottom"/>
            <w:gridSpan w:val="2"/>
          </w:tcPr>
          <w:p>
            <w:pPr>
              <w:spacing w:after="0"/>
              <w:rPr>
                <w:sz w:val="20"/>
                <w:szCs w:val="20"/>
                <w:color w:val="auto"/>
              </w:rPr>
            </w:pPr>
            <w:r>
              <w:rPr>
                <w:rFonts w:ascii="Arial" w:cs="Arial" w:eastAsia="Arial" w:hAnsi="Arial"/>
                <w:sz w:val="18"/>
                <w:szCs w:val="18"/>
                <w:color w:val="auto"/>
              </w:rPr>
              <w:t>(1) Proposal for election of seven directors:</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53"/>
        </w:trPr>
        <w:tc>
          <w:tcPr>
            <w:tcW w:w="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300" w:type="dxa"/>
            <w:vAlign w:val="bottom"/>
            <w:gridSpan w:val="2"/>
          </w:tcPr>
          <w:p>
            <w:pPr>
              <w:ind w:left="960"/>
              <w:spacing w:after="0"/>
              <w:rPr>
                <w:sz w:val="20"/>
                <w:szCs w:val="20"/>
                <w:color w:val="auto"/>
              </w:rPr>
            </w:pPr>
            <w:r>
              <w:rPr>
                <w:rFonts w:ascii="Arial" w:cs="Arial" w:eastAsia="Arial" w:hAnsi="Arial"/>
                <w:sz w:val="18"/>
                <w:szCs w:val="18"/>
                <w:b w:val="1"/>
                <w:bCs w:val="1"/>
                <w:color w:val="auto"/>
              </w:rPr>
              <w:t>For</w:t>
            </w:r>
          </w:p>
        </w:tc>
        <w:tc>
          <w:tcPr>
            <w:tcW w:w="2280" w:type="dxa"/>
            <w:vAlign w:val="bottom"/>
            <w:gridSpan w:val="2"/>
          </w:tcPr>
          <w:p>
            <w:pPr>
              <w:ind w:left="720"/>
              <w:spacing w:after="0"/>
              <w:rPr>
                <w:sz w:val="20"/>
                <w:szCs w:val="20"/>
                <w:color w:val="auto"/>
              </w:rPr>
            </w:pPr>
            <w:r>
              <w:rPr>
                <w:rFonts w:ascii="Arial" w:cs="Arial" w:eastAsia="Arial" w:hAnsi="Arial"/>
                <w:sz w:val="18"/>
                <w:szCs w:val="18"/>
                <w:b w:val="1"/>
                <w:bCs w:val="1"/>
                <w:color w:val="auto"/>
              </w:rPr>
              <w:t>Withhold</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26"/>
        </w:trPr>
        <w:tc>
          <w:tcPr>
            <w:tcW w:w="40" w:type="dxa"/>
            <w:vAlign w:val="bottom"/>
          </w:tcPr>
          <w:p>
            <w:pPr>
              <w:spacing w:after="0"/>
              <w:rPr>
                <w:sz w:val="19"/>
                <w:szCs w:val="19"/>
                <w:color w:val="auto"/>
              </w:rPr>
            </w:pPr>
          </w:p>
        </w:tc>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Donald W. Blair</w:t>
            </w: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937,804,794</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79,574,864</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36,992,149</w:t>
            </w:r>
          </w:p>
        </w:tc>
      </w:tr>
      <w:tr>
        <w:trPr>
          <w:trHeight w:val="225"/>
        </w:trPr>
        <w:tc>
          <w:tcPr>
            <w:tcW w:w="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Lisa Campbell</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936,284,543</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81,095,115</w:t>
            </w:r>
          </w:p>
        </w:tc>
        <w:tc>
          <w:tcPr>
            <w:tcW w:w="1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36,992,149</w:t>
            </w:r>
          </w:p>
        </w:tc>
      </w:tr>
      <w:tr>
        <w:trPr>
          <w:trHeight w:val="226"/>
        </w:trPr>
        <w:tc>
          <w:tcPr>
            <w:tcW w:w="4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W. Houston</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935,213,988</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82,165,670</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36,992,149</w:t>
            </w:r>
          </w:p>
        </w:tc>
      </w:tr>
      <w:tr>
        <w:trPr>
          <w:trHeight w:val="225"/>
        </w:trPr>
        <w:tc>
          <w:tcPr>
            <w:tcW w:w="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Paul E. Jacobs</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934,913,258</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82,466,400</w:t>
            </w:r>
          </w:p>
        </w:tc>
        <w:tc>
          <w:tcPr>
            <w:tcW w:w="1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36,992,149</w:t>
            </w:r>
          </w:p>
        </w:tc>
      </w:tr>
      <w:tr>
        <w:trPr>
          <w:trHeight w:val="226"/>
        </w:trPr>
        <w:tc>
          <w:tcPr>
            <w:tcW w:w="4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Robert J. Mylod, Jr.</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924,436,731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92,942,927</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36,992,149</w:t>
            </w:r>
          </w:p>
        </w:tc>
      </w:tr>
      <w:tr>
        <w:trPr>
          <w:trHeight w:val="225"/>
        </w:trPr>
        <w:tc>
          <w:tcPr>
            <w:tcW w:w="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Karen Peacock</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932,825,233</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84,554,425</w:t>
            </w:r>
          </w:p>
        </w:tc>
        <w:tc>
          <w:tcPr>
            <w:tcW w:w="1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36,992,149</w:t>
            </w:r>
          </w:p>
        </w:tc>
      </w:tr>
      <w:tr>
        <w:trPr>
          <w:trHeight w:val="240"/>
        </w:trPr>
        <w:tc>
          <w:tcPr>
            <w:tcW w:w="40" w:type="dxa"/>
            <w:vAlign w:val="bottom"/>
          </w:tcPr>
          <w:p>
            <w:pPr>
              <w:spacing w:after="0"/>
              <w:rPr>
                <w:sz w:val="20"/>
                <w:szCs w:val="20"/>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Seibel</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1,012,073,120</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5,306,538</w:t>
            </w:r>
          </w:p>
        </w:tc>
        <w:tc>
          <w:tcPr>
            <w:tcW w:w="100" w:type="dxa"/>
            <w:vAlign w:val="bottom"/>
            <w:shd w:val="clear" w:color="auto" w:fill="CCEEFF"/>
          </w:tcPr>
          <w:p>
            <w:pPr>
              <w:spacing w:after="0"/>
              <w:rPr>
                <w:sz w:val="20"/>
                <w:szCs w:val="20"/>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36,992,149</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(2) Proposal to ratify Ernst &amp; Young LLP as auditors for the fiscal year ending December 31, 2021:</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gridSpan w:val="2"/>
          </w:tcPr>
          <w:p>
            <w:pPr>
              <w:ind w:left="960"/>
              <w:spacing w:after="0"/>
              <w:rPr>
                <w:sz w:val="20"/>
                <w:szCs w:val="20"/>
                <w:color w:val="auto"/>
              </w:rPr>
            </w:pPr>
            <w:r>
              <w:rPr>
                <w:rFonts w:ascii="Arial" w:cs="Arial" w:eastAsia="Arial" w:hAnsi="Arial"/>
                <w:sz w:val="18"/>
                <w:szCs w:val="18"/>
                <w:b w:val="1"/>
                <w:bCs w:val="1"/>
                <w:color w:val="auto"/>
              </w:rPr>
              <w:t>For</w:t>
            </w:r>
          </w:p>
        </w:tc>
        <w:tc>
          <w:tcPr>
            <w:tcW w:w="328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7"/>
              </w:rPr>
              <w:t>Against</w:t>
            </w:r>
          </w:p>
        </w:tc>
        <w:tc>
          <w:tcPr>
            <w:tcW w:w="2200" w:type="dxa"/>
            <w:vAlign w:val="bottom"/>
          </w:tcPr>
          <w:p>
            <w:pPr>
              <w:ind w:left="800"/>
              <w:spacing w:after="0"/>
              <w:rPr>
                <w:sz w:val="20"/>
                <w:szCs w:val="20"/>
                <w:color w:val="auto"/>
              </w:rPr>
            </w:pPr>
            <w:r>
              <w:rPr>
                <w:rFonts w:ascii="Arial" w:cs="Arial" w:eastAsia="Arial" w:hAnsi="Arial"/>
                <w:sz w:val="18"/>
                <w:szCs w:val="18"/>
                <w:b w:val="1"/>
                <w:bCs w:val="1"/>
                <w:color w:val="auto"/>
              </w:rPr>
              <w:t>Abstain</w:t>
            </w:r>
          </w:p>
        </w:tc>
      </w:tr>
      <w:tr>
        <w:trPr>
          <w:trHeight w:val="220"/>
        </w:trPr>
        <w:tc>
          <w:tcPr>
            <w:tcW w:w="2180" w:type="dxa"/>
            <w:vAlign w:val="bottom"/>
            <w:tcBorders>
              <w:top w:val="single" w:sz="8" w:color="auto"/>
            </w:tcBorders>
            <w:shd w:val="clear" w:color="auto" w:fill="CCEEFF"/>
          </w:tcPr>
          <w:p>
            <w:pPr>
              <w:jc w:val="right"/>
              <w:ind w:right="1011"/>
              <w:spacing w:after="0"/>
              <w:rPr>
                <w:sz w:val="20"/>
                <w:szCs w:val="20"/>
                <w:color w:val="auto"/>
              </w:rPr>
            </w:pPr>
            <w:r>
              <w:rPr>
                <w:rFonts w:ascii="Arial" w:cs="Arial" w:eastAsia="Arial" w:hAnsi="Arial"/>
                <w:sz w:val="18"/>
                <w:szCs w:val="18"/>
                <w:color w:val="auto"/>
                <w:w w:val="92"/>
              </w:rPr>
              <w:t>1,053,044,649</w:t>
            </w:r>
          </w:p>
        </w:tc>
        <w:tc>
          <w:tcPr>
            <w:tcW w:w="1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ind w:right="651"/>
              <w:spacing w:after="0"/>
              <w:rPr>
                <w:sz w:val="20"/>
                <w:szCs w:val="20"/>
                <w:color w:val="auto"/>
              </w:rPr>
            </w:pPr>
            <w:r>
              <w:rPr>
                <w:rFonts w:ascii="Arial" w:cs="Arial" w:eastAsia="Arial" w:hAnsi="Arial"/>
                <w:sz w:val="18"/>
                <w:szCs w:val="18"/>
                <w:color w:val="auto"/>
              </w:rPr>
              <w:t>1,140,406</w:t>
            </w:r>
          </w:p>
        </w:tc>
        <w:tc>
          <w:tcPr>
            <w:tcW w:w="1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186,752</w:t>
            </w: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(3) Proposal to approve a non-binding advisory resolution on the compensation of the named executive officers of the Company:</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6"/>
              </w:rPr>
              <w:t>For</w:t>
            </w:r>
          </w:p>
        </w:tc>
        <w:tc>
          <w:tcPr>
            <w:tcW w:w="306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7"/>
              </w:rPr>
              <w:t>Against</w:t>
            </w:r>
          </w:p>
        </w:tc>
        <w:tc>
          <w:tcPr>
            <w:tcW w:w="3040" w:type="dxa"/>
            <w:vAlign w:val="bottom"/>
            <w:gridSpan w:val="2"/>
          </w:tcPr>
          <w:p>
            <w:pPr>
              <w:ind w:left="720"/>
              <w:spacing w:after="0"/>
              <w:rPr>
                <w:sz w:val="20"/>
                <w:szCs w:val="20"/>
                <w:color w:val="auto"/>
              </w:rPr>
            </w:pPr>
            <w:r>
              <w:rPr>
                <w:rFonts w:ascii="Arial" w:cs="Arial" w:eastAsia="Arial" w:hAnsi="Arial"/>
                <w:sz w:val="18"/>
                <w:szCs w:val="18"/>
                <w:b w:val="1"/>
                <w:bCs w:val="1"/>
                <w:color w:val="auto"/>
              </w:rPr>
              <w:t>Abstain</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20"/>
        </w:trPr>
        <w:tc>
          <w:tcPr>
            <w:tcW w:w="2020" w:type="dxa"/>
            <w:vAlign w:val="bottom"/>
            <w:tcBorders>
              <w:top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978,212,818</w:t>
            </w:r>
          </w:p>
        </w:tc>
        <w:tc>
          <w:tcPr>
            <w:tcW w:w="10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38,849,934</w:t>
            </w:r>
          </w:p>
        </w:tc>
        <w:tc>
          <w:tcPr>
            <w:tcW w:w="10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316,906</w:t>
            </w:r>
          </w:p>
        </w:tc>
        <w:tc>
          <w:tcPr>
            <w:tcW w:w="10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rPr>
              <w:t>36,992,149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572135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Dated: May 26, 2021</w:t>
      </w:r>
    </w:p>
    <w:p>
      <w:pPr>
        <w:spacing w:after="0" w:line="27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Dropbox, Inc.</w:t>
      </w:r>
    </w:p>
    <w:p>
      <w:pPr>
        <w:spacing w:after="0" w:line="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11430</wp:posOffset>
            </wp:positionV>
            <wp:extent cx="27832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1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Bart Volkmer</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Chief Legal Officer</w:t>
      </w:r>
    </w:p>
    <w:sectPr>
      <w:pgSz w:w="11900" w:h="16838" w:orient="portrait"/>
      <w:cols w:equalWidth="0" w:num="1">
        <w:col w:w="11100"/>
      </w:cols>
      <w:pgMar w:left="320" w:top="87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2021-05-26T16:52:37Z</dcterms:created>
  <dcterms:modified xsi:type="dcterms:W3CDTF">2021-05-26T16:52:37Z</dcterms:modified>
</cp:coreProperties>
</file>