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Rice Condoleezza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jc w:val="right"/>
              <w:ind w:right="784"/>
              <w:spacing w:after="0"/>
              <w:rPr>
                <w:sz w:val="20"/>
                <w:szCs w:val="20"/>
                <w:color w:val="auto"/>
              </w:rPr>
            </w:pPr>
            <w:r>
              <w:rPr>
                <w:rFonts w:ascii="Arial" w:cs="Arial" w:eastAsia="Arial" w:hAnsi="Arial"/>
                <w:sz w:val="18"/>
                <w:szCs w:val="18"/>
                <w:color w:val="0000FF"/>
              </w:rPr>
              <w:t>14,286</w:t>
            </w:r>
            <w:r>
              <w:rPr>
                <w:rFonts w:ascii="Arial" w:cs="Arial" w:eastAsia="Arial" w:hAnsi="Arial"/>
                <w:sz w:val="22"/>
                <w:szCs w:val="22"/>
                <w:color w:val="008000"/>
                <w:vertAlign w:val="superscript"/>
              </w:rPr>
              <w:t>(1)</w:t>
            </w:r>
          </w:p>
        </w:tc>
        <w:tc>
          <w:tcPr>
            <w:tcW w:w="7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(3)</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77,766</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securities are restricted stock units. Each restricted stock unit represents the Reporting Person's right to receive one share of Class B Common Stock, subject to the applicable vesting schedule through May 15, 2018. In the event the Reporting Person ceases to be a Service Provider, the unvested restricted stock units will be cancelled by the Issuer.</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Class B Common Stock is convertible into the Issuer's Class A Common Stock on a one-for-one basis at the Reporting Person's election and has no expiration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Condoleezza Rice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280" w:space="0"/>
            <w:col w:w="4939"/>
          </w:cols>
          <w:pgMar w:left="240" w:top="136"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Condoleezza Rice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22, 2018</w:t>
      </w:r>
    </w:p>
    <w:p>
      <w:pPr>
        <w:spacing w:after="0" w:line="21" w:lineRule="exact"/>
        <w:rPr>
          <w:sz w:val="20"/>
          <w:szCs w:val="20"/>
          <w:color w:val="auto"/>
        </w:rPr>
      </w:pPr>
    </w:p>
    <w:p>
      <w:pPr>
        <w:sectPr>
          <w:pgSz w:w="11900" w:h="16838" w:orient="portrait"/>
          <w:cols w:equalWidth="0" w:num="2">
            <w:col w:w="4860" w:space="620"/>
            <w:col w:w="4739"/>
          </w:cols>
          <w:pgMar w:left="240" w:top="136"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28387"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2019-12-07T16:37:05Z</dcterms:created>
  <dcterms:modified xsi:type="dcterms:W3CDTF">2019-12-07T16:37:05Z</dcterms:modified>
</cp:coreProperties>
</file>