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72"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2" w:lineRule="exact"/>
        <w:rPr>
          <w:sz w:val="24"/>
          <w:szCs w:val="24"/>
          <w:color w:val="auto"/>
        </w:rPr>
      </w:pPr>
    </w:p>
    <w:p>
      <w:pPr>
        <w:ind w:left="4060" w:right="2480" w:hanging="4055"/>
        <w:spacing w:after="0" w:line="539" w:lineRule="auto"/>
        <w:tabs>
          <w:tab w:leader="none" w:pos="219"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ANNUAL REPORT PURSUANT TO SECTION 13 OR 15(d) OF THE SECURITIES EXCHANGE ACT OF 1934 </w:t>
      </w:r>
      <w:r>
        <w:rPr>
          <w:rFonts w:ascii="Arial" w:cs="Arial" w:eastAsia="Arial" w:hAnsi="Arial"/>
          <w:sz w:val="17"/>
          <w:szCs w:val="17"/>
          <w:color w:val="auto"/>
        </w:rPr>
        <w:t>For the fiscal year ended December 31, 2022</w:t>
      </w: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8" w:lineRule="exact"/>
        <w:rPr>
          <w:sz w:val="24"/>
          <w:szCs w:val="24"/>
          <w:color w:val="auto"/>
        </w:rPr>
      </w:pPr>
    </w:p>
    <w:p>
      <w:pPr>
        <w:ind w:left="3720" w:right="2120" w:hanging="3715"/>
        <w:spacing w:after="0" w:line="280" w:lineRule="auto"/>
        <w:tabs>
          <w:tab w:leader="none" w:pos="208"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from________to________</w:t>
      </w:r>
    </w:p>
    <w:p>
      <w:pPr>
        <w:spacing w:after="0" w:line="186" w:lineRule="exact"/>
        <w:rPr>
          <w:sz w:val="24"/>
          <w:szCs w:val="24"/>
          <w:color w:val="auto"/>
        </w:rPr>
      </w:pPr>
    </w:p>
    <w:tbl>
      <w:tblPr>
        <w:tblLayout w:type="fixed"/>
        <w:tblInd w:w="66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2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93"/>
              </w:rPr>
              <w:t>Commission File Number 001-38434</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81"/>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95"/>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20" w:type="dxa"/>
            <w:vAlign w:val="bottom"/>
            <w:gridSpan w:val="4"/>
          </w:tcPr>
          <w:p>
            <w:pPr>
              <w:jc w:val="center"/>
              <w:ind w:right="200"/>
              <w:spacing w:after="0"/>
              <w:rPr>
                <w:sz w:val="20"/>
                <w:szCs w:val="20"/>
                <w:color w:val="auto"/>
              </w:rPr>
            </w:pPr>
            <w:r>
              <w:rPr>
                <w:rFonts w:ascii="Arial" w:cs="Arial" w:eastAsia="Arial" w:hAnsi="Arial"/>
                <w:sz w:val="35"/>
                <w:szCs w:val="35"/>
                <w:b w:val="1"/>
                <w:bCs w:val="1"/>
                <w:color w:val="auto"/>
                <w:w w:val="92"/>
              </w:rPr>
              <w:t>Dropbox, Inc.</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(Exact name of registrant as specified in its charter)</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4"/>
        </w:trPr>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612"/>
        </w:trPr>
        <w:tc>
          <w:tcPr>
            <w:tcW w:w="1120" w:type="dxa"/>
            <w:vAlign w:val="bottom"/>
          </w:tcPr>
          <w:p>
            <w:pPr>
              <w:spacing w:after="0"/>
              <w:rPr>
                <w:sz w:val="24"/>
                <w:szCs w:val="24"/>
                <w:color w:val="auto"/>
              </w:rPr>
            </w:pPr>
          </w:p>
        </w:tc>
        <w:tc>
          <w:tcPr>
            <w:tcW w:w="208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1"/>
              </w:rPr>
              <w:t>Delaware</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3"/>
          </w:tcPr>
          <w:p>
            <w:pPr>
              <w:jc w:val="center"/>
              <w:ind w:left="190"/>
              <w:spacing w:after="0"/>
              <w:rPr>
                <w:sz w:val="20"/>
                <w:szCs w:val="20"/>
                <w:color w:val="auto"/>
              </w:rPr>
            </w:pPr>
            <w:r>
              <w:rPr>
                <w:rFonts w:ascii="Arial" w:cs="Arial" w:eastAsia="Arial" w:hAnsi="Arial"/>
                <w:sz w:val="14"/>
                <w:szCs w:val="14"/>
                <w:b w:val="1"/>
                <w:bCs w:val="1"/>
                <w:color w:val="auto"/>
                <w:w w:val="90"/>
              </w:rPr>
              <w:t>26-0138832</w:t>
            </w:r>
          </w:p>
        </w:tc>
        <w:tc>
          <w:tcPr>
            <w:tcW w:w="500" w:type="dxa"/>
            <w:vAlign w:val="bottom"/>
          </w:tcPr>
          <w:p>
            <w:pPr>
              <w:spacing w:after="0"/>
              <w:rPr>
                <w:sz w:val="24"/>
                <w:szCs w:val="24"/>
                <w:color w:val="auto"/>
              </w:rPr>
            </w:pPr>
          </w:p>
        </w:tc>
      </w:tr>
      <w:tr>
        <w:trPr>
          <w:trHeight w:val="158"/>
        </w:trPr>
        <w:tc>
          <w:tcPr>
            <w:tcW w:w="3200" w:type="dxa"/>
            <w:vAlign w:val="bottom"/>
            <w:gridSpan w:val="4"/>
          </w:tcPr>
          <w:p>
            <w:pPr>
              <w:jc w:val="center"/>
              <w:ind w:left="50"/>
              <w:spacing w:after="0" w:line="159" w:lineRule="exact"/>
              <w:rPr>
                <w:sz w:val="20"/>
                <w:szCs w:val="20"/>
                <w:color w:val="auto"/>
              </w:rPr>
            </w:pPr>
            <w:r>
              <w:rPr>
                <w:rFonts w:ascii="Arial" w:cs="Arial" w:eastAsia="Arial" w:hAnsi="Arial"/>
                <w:sz w:val="14"/>
                <w:szCs w:val="14"/>
                <w:b w:val="1"/>
                <w:bCs w:val="1"/>
                <w:color w:val="auto"/>
                <w:w w:val="91"/>
              </w:rPr>
              <w:t>(State or other jurisdiction of</w:t>
            </w: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gridSpan w:val="3"/>
          </w:tcPr>
          <w:p>
            <w:pPr>
              <w:jc w:val="center"/>
              <w:ind w:right="440"/>
              <w:spacing w:after="0" w:line="159" w:lineRule="exact"/>
              <w:rPr>
                <w:sz w:val="20"/>
                <w:szCs w:val="20"/>
                <w:color w:val="auto"/>
              </w:rPr>
            </w:pPr>
            <w:r>
              <w:rPr>
                <w:rFonts w:ascii="Arial" w:cs="Arial" w:eastAsia="Arial" w:hAnsi="Arial"/>
                <w:sz w:val="14"/>
                <w:szCs w:val="14"/>
                <w:b w:val="1"/>
                <w:bCs w:val="1"/>
                <w:color w:val="auto"/>
                <w:w w:val="93"/>
              </w:rPr>
              <w:t>(I.R.S. Employer</w:t>
            </w:r>
          </w:p>
        </w:tc>
      </w:tr>
      <w:tr>
        <w:trPr>
          <w:trHeight w:val="183"/>
        </w:trPr>
        <w:tc>
          <w:tcPr>
            <w:tcW w:w="3200" w:type="dxa"/>
            <w:vAlign w:val="bottom"/>
            <w:gridSpan w:val="4"/>
          </w:tcPr>
          <w:p>
            <w:pPr>
              <w:jc w:val="center"/>
              <w:ind w:left="50"/>
              <w:spacing w:after="0"/>
              <w:rPr>
                <w:sz w:val="20"/>
                <w:szCs w:val="20"/>
                <w:color w:val="auto"/>
              </w:rPr>
            </w:pPr>
            <w:r>
              <w:rPr>
                <w:rFonts w:ascii="Arial" w:cs="Arial" w:eastAsia="Arial" w:hAnsi="Arial"/>
                <w:sz w:val="14"/>
                <w:szCs w:val="14"/>
                <w:b w:val="1"/>
                <w:bCs w:val="1"/>
                <w:color w:val="auto"/>
                <w:w w:val="92"/>
              </w:rPr>
              <w:t>incorporation or organization)</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Identification Number)</w:t>
            </w:r>
          </w:p>
        </w:tc>
      </w:tr>
      <w:tr>
        <w:trPr>
          <w:trHeight w:val="512"/>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1"/>
              </w:rPr>
              <w:t>Dropbox, Inc.</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0"/>
        </w:trPr>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8"/>
              </w:rPr>
              <w:t>1800 Owens Street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San Francisco, California 94158</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(Address of principal executive offices, including zip code)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57"/>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gridSpan w:val="3"/>
          </w:tcPr>
          <w:p>
            <w:pPr>
              <w:jc w:val="center"/>
              <w:ind w:left="1150"/>
              <w:spacing w:after="0" w:line="157" w:lineRule="exact"/>
              <w:rPr>
                <w:sz w:val="20"/>
                <w:szCs w:val="20"/>
                <w:color w:val="auto"/>
              </w:rPr>
            </w:pPr>
            <w:r>
              <w:rPr>
                <w:rFonts w:ascii="Arial" w:cs="Arial" w:eastAsia="Arial" w:hAnsi="Arial"/>
                <w:sz w:val="14"/>
                <w:szCs w:val="14"/>
                <w:b w:val="1"/>
                <w:bCs w:val="1"/>
                <w:color w:val="auto"/>
                <w:w w:val="91"/>
              </w:rPr>
              <w:t>(415) 857-6800</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3"/>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65"/>
        </w:trPr>
        <w:tc>
          <w:tcPr>
            <w:tcW w:w="1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177"/>
        </w:trPr>
        <w:tc>
          <w:tcPr>
            <w:tcW w:w="112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138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Name of exchange on which registered</w:t>
            </w:r>
          </w:p>
        </w:tc>
        <w:tc>
          <w:tcPr>
            <w:tcW w:w="500" w:type="dxa"/>
            <w:vAlign w:val="bottom"/>
          </w:tcPr>
          <w:p>
            <w:pPr>
              <w:spacing w:after="0"/>
              <w:rPr>
                <w:sz w:val="15"/>
                <w:szCs w:val="15"/>
                <w:color w:val="auto"/>
              </w:rPr>
            </w:pPr>
          </w:p>
        </w:tc>
      </w:tr>
      <w:tr>
        <w:trPr>
          <w:trHeight w:val="206"/>
        </w:trPr>
        <w:tc>
          <w:tcPr>
            <w:tcW w:w="3200" w:type="dxa"/>
            <w:vAlign w:val="bottom"/>
            <w:gridSpan w:val="4"/>
          </w:tcPr>
          <w:p>
            <w:pPr>
              <w:jc w:val="center"/>
              <w:ind w:left="10"/>
              <w:spacing w:after="0"/>
              <w:rPr>
                <w:sz w:val="20"/>
                <w:szCs w:val="20"/>
                <w:color w:val="auto"/>
              </w:rPr>
            </w:pPr>
            <w:r>
              <w:rPr>
                <w:rFonts w:ascii="Arial" w:cs="Arial" w:eastAsia="Arial" w:hAnsi="Arial"/>
                <w:sz w:val="14"/>
                <w:szCs w:val="14"/>
                <w:color w:val="auto"/>
                <w:w w:val="89"/>
              </w:rPr>
              <w:t>Class A Common Stock, par value $0.00001 per share</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color w:val="auto"/>
                <w:w w:val="97"/>
              </w:rPr>
              <w:t>DBX</w:t>
            </w:r>
          </w:p>
        </w:tc>
        <w:tc>
          <w:tcPr>
            <w:tcW w:w="200" w:type="dxa"/>
            <w:vAlign w:val="bottom"/>
          </w:tcPr>
          <w:p>
            <w:pPr>
              <w:spacing w:after="0"/>
              <w:rPr>
                <w:sz w:val="17"/>
                <w:szCs w:val="17"/>
                <w:color w:val="auto"/>
              </w:rPr>
            </w:pPr>
          </w:p>
        </w:tc>
        <w:tc>
          <w:tcPr>
            <w:tcW w:w="2800" w:type="dxa"/>
            <w:vAlign w:val="bottom"/>
            <w:gridSpan w:val="3"/>
          </w:tcPr>
          <w:p>
            <w:pPr>
              <w:jc w:val="center"/>
              <w:ind w:right="500"/>
              <w:spacing w:after="0"/>
              <w:rPr>
                <w:sz w:val="20"/>
                <w:szCs w:val="20"/>
                <w:color w:val="auto"/>
              </w:rPr>
            </w:pPr>
            <w:r>
              <w:rPr>
                <w:rFonts w:ascii="Arial" w:cs="Arial" w:eastAsia="Arial" w:hAnsi="Arial"/>
                <w:sz w:val="14"/>
                <w:szCs w:val="14"/>
                <w:color w:val="auto"/>
                <w:w w:val="95"/>
              </w:rPr>
              <w:t>The NASDAQ Stock Market LLC</w:t>
            </w:r>
          </w:p>
        </w:tc>
      </w:tr>
      <w:tr>
        <w:trPr>
          <w:trHeight w:val="220"/>
        </w:trPr>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Securities registered pursuant to Section 12(g) of the Act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72"/>
        </w:trPr>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2"/>
          </w:tcPr>
          <w:p>
            <w:pPr>
              <w:jc w:val="center"/>
              <w:ind w:right="1140"/>
              <w:spacing w:after="0"/>
              <w:rPr>
                <w:sz w:val="20"/>
                <w:szCs w:val="20"/>
                <w:color w:val="auto"/>
              </w:rPr>
            </w:pPr>
            <w:r>
              <w:rPr>
                <w:rFonts w:ascii="Arial" w:cs="Arial" w:eastAsia="Arial" w:hAnsi="Arial"/>
                <w:sz w:val="14"/>
                <w:szCs w:val="14"/>
                <w:color w:val="auto"/>
                <w:w w:val="89"/>
              </w:rPr>
              <w:t>None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4"/>
        </w:trPr>
        <w:tc>
          <w:tcPr>
            <w:tcW w:w="1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bl>
    <w:p>
      <w:pPr>
        <w:spacing w:after="0" w:line="200" w:lineRule="exact"/>
        <w:rPr>
          <w:sz w:val="24"/>
          <w:szCs w:val="24"/>
          <w:color w:val="auto"/>
        </w:rPr>
      </w:pPr>
    </w:p>
    <w:p>
      <w:pPr>
        <w:spacing w:after="0" w:line="22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1" w:lineRule="exact"/>
        <w:rPr>
          <w:sz w:val="24"/>
          <w:szCs w:val="24"/>
          <w:color w:val="auto"/>
        </w:rPr>
      </w:pPr>
    </w:p>
    <w:p>
      <w:pPr>
        <w:ind w:right="220"/>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4" w:lineRule="exact"/>
        <w:rPr>
          <w:sz w:val="24"/>
          <w:szCs w:val="24"/>
          <w:color w:val="auto"/>
        </w:rPr>
      </w:pPr>
    </w:p>
    <w:p>
      <w:pPr>
        <w:ind w:right="100"/>
        <w:spacing w:after="0" w:line="32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24" w:lineRule="exact"/>
        <w:rPr>
          <w:sz w:val="24"/>
          <w:szCs w:val="24"/>
          <w:color w:val="auto"/>
        </w:rPr>
      </w:pPr>
    </w:p>
    <w:tbl>
      <w:tblPr>
        <w:tblLayout w:type="fixed"/>
        <w:tblInd w:w="20" w:type="dxa"/>
        <w:tblCellMar>
          <w:top w:w="0" w:type="dxa"/>
          <w:left w:w="0" w:type="dxa"/>
          <w:bottom w:w="0" w:type="dxa"/>
          <w:right w:w="0" w:type="dxa"/>
        </w:tblCellMar>
      </w:tblPr>
      <w:tr>
        <w:trPr>
          <w:trHeight w:val="218"/>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40"/>
              <w:spacing w:after="0"/>
              <w:rPr>
                <w:sz w:val="20"/>
                <w:szCs w:val="20"/>
                <w:color w:val="auto"/>
              </w:rPr>
            </w:pPr>
            <w:r>
              <w:rPr>
                <w:rFonts w:ascii="Arial" w:cs="Arial" w:eastAsia="Arial" w:hAnsi="Arial"/>
                <w:sz w:val="14"/>
                <w:szCs w:val="14"/>
                <w:color w:val="auto"/>
              </w:rPr>
              <w:t>Accelerated filer</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88"/>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40"/>
              <w:spacing w:after="0"/>
              <w:rPr>
                <w:sz w:val="20"/>
                <w:szCs w:val="20"/>
                <w:color w:val="auto"/>
              </w:rPr>
            </w:pPr>
            <w:r>
              <w:rPr>
                <w:rFonts w:ascii="Arial" w:cs="Arial" w:eastAsia="Arial" w:hAnsi="Arial"/>
                <w:sz w:val="14"/>
                <w:szCs w:val="14"/>
                <w:color w:val="auto"/>
              </w:rPr>
              <w:t>Smaller reporting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27"/>
        </w:trPr>
        <w:tc>
          <w:tcPr>
            <w:tcW w:w="1720" w:type="dxa"/>
            <w:vAlign w:val="bottom"/>
          </w:tcPr>
          <w:p>
            <w:pPr>
              <w:spacing w:after="0"/>
              <w:rPr>
                <w:sz w:val="20"/>
                <w:szCs w:val="20"/>
                <w:color w:val="auto"/>
              </w:rPr>
            </w:pPr>
            <w:r>
              <w:rPr>
                <w:rFonts w:ascii="Arial" w:cs="Arial" w:eastAsia="Arial" w:hAnsi="Arial"/>
                <w:sz w:val="14"/>
                <w:szCs w:val="14"/>
                <w:color w:val="auto"/>
              </w:rPr>
              <w:t>Emerging growth</w:t>
            </w:r>
          </w:p>
        </w:tc>
        <w:tc>
          <w:tcPr>
            <w:tcW w:w="3620" w:type="dxa"/>
            <w:vAlign w:val="bottom"/>
            <w:vMerge w:val="restart"/>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20"/>
                <w:szCs w:val="20"/>
                <w:color w:val="auto"/>
              </w:rPr>
            </w:pPr>
            <w:r>
              <w:rPr>
                <w:rFonts w:ascii="Arial" w:cs="Arial" w:eastAsia="Arial" w:hAnsi="Arial"/>
                <w:sz w:val="14"/>
                <w:szCs w:val="14"/>
                <w:color w:val="auto"/>
              </w:rPr>
              <w:t>company</w:t>
            </w:r>
          </w:p>
        </w:tc>
        <w:tc>
          <w:tcPr>
            <w:tcW w:w="3620" w:type="dxa"/>
            <w:vAlign w:val="bottom"/>
            <w:vMerge w:val="continue"/>
          </w:tcPr>
          <w:p>
            <w:pPr>
              <w:spacing w:after="0"/>
              <w:rPr>
                <w:sz w:val="16"/>
                <w:szCs w:val="16"/>
                <w:color w:val="auto"/>
              </w:rPr>
            </w:pPr>
          </w:p>
        </w:tc>
        <w:tc>
          <w:tcPr>
            <w:tcW w:w="5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0" w:lineRule="exact"/>
        <w:rPr>
          <w:sz w:val="24"/>
          <w:szCs w:val="24"/>
          <w:color w:val="auto"/>
        </w:rPr>
      </w:pPr>
    </w:p>
    <w:p>
      <w:pPr>
        <w:jc w:val="both"/>
        <w:ind w:right="30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15" w:lineRule="exact"/>
        <w:rPr>
          <w:sz w:val="24"/>
          <w:szCs w:val="24"/>
          <w:color w:val="auto"/>
        </w:rPr>
      </w:pPr>
    </w:p>
    <w:p>
      <w:pPr>
        <w:ind w:right="360"/>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15" w:lineRule="exact"/>
        <w:rPr>
          <w:sz w:val="24"/>
          <w:szCs w:val="24"/>
          <w:color w:val="auto"/>
        </w:rPr>
      </w:pPr>
    </w:p>
    <w:p>
      <w:pPr>
        <w:ind w:right="420"/>
        <w:spacing w:after="0" w:line="188"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1" w:lineRule="exact"/>
        <w:rPr>
          <w:sz w:val="24"/>
          <w:szCs w:val="24"/>
          <w:color w:val="auto"/>
        </w:rPr>
      </w:pPr>
    </w:p>
    <w:p>
      <w:pPr>
        <w:ind w:right="120"/>
        <w:spacing w:after="0" w:line="188"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0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6" w:lineRule="exact"/>
        <w:rPr>
          <w:sz w:val="24"/>
          <w:szCs w:val="24"/>
          <w:color w:val="auto"/>
        </w:rPr>
      </w:pPr>
    </w:p>
    <w:p>
      <w:pPr>
        <w:ind w:right="40"/>
        <w:spacing w:after="0" w:line="367" w:lineRule="auto"/>
        <w:rPr>
          <w:sz w:val="20"/>
          <w:szCs w:val="20"/>
          <w:color w:val="auto"/>
        </w:rPr>
      </w:pPr>
      <w:r>
        <w:rPr>
          <w:rFonts w:ascii="Arial" w:cs="Arial" w:eastAsia="Arial" w:hAnsi="Arial"/>
          <w:sz w:val="12"/>
          <w:szCs w:val="12"/>
          <w:color w:val="auto"/>
        </w:rPr>
        <w:t>The aggregate market value of the registrant's Class A common stock held by non-affiliates of the registrant, based on the closing price of a share of the registrant's Class A common stock on June 30, 2022 as reported by the NASDAQ Global Select Market on such date was approximately $4,690.5 million. Shares of the registrant’s Class A common stock held by each executive officer, director and</w:t>
      </w:r>
    </w:p>
    <w:p>
      <w:pPr>
        <w:sectPr>
          <w:pgSz w:w="11900" w:h="16838" w:orient="portrait"/>
          <w:cols w:equalWidth="0" w:num="1">
            <w:col w:w="11220"/>
          </w:cols>
          <w:pgMar w:left="320" w:top="234" w:right="359" w:bottom="0" w:gutter="0" w:footer="0" w:header="0"/>
        </w:sectPr>
      </w:pPr>
    </w:p>
    <w:bookmarkStart w:id="1" w:name="page2"/>
    <w:bookmarkEnd w:id="1"/>
    <w:p>
      <w:pPr>
        <w:ind w:right="420"/>
        <w:spacing w:after="0" w:line="279" w:lineRule="auto"/>
        <w:rPr>
          <w:sz w:val="20"/>
          <w:szCs w:val="20"/>
          <w:color w:val="auto"/>
        </w:rPr>
      </w:pPr>
      <w:r>
        <w:rPr>
          <w:rFonts w:ascii="Arial" w:cs="Arial" w:eastAsia="Arial" w:hAnsi="Arial"/>
          <w:sz w:val="14"/>
          <w:szCs w:val="14"/>
          <w:color w:val="auto"/>
        </w:rPr>
        <w:t>holder of 5% or more of the outstanding Class A common stock have been excluded as such persons may be deemed to be affiliates. This calculation does not reflect a determination that certain persons are affiliates of the registrant for any other purpose.</w:t>
      </w:r>
    </w:p>
    <w:p>
      <w:pPr>
        <w:spacing w:after="0" w:line="268"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As of February 17, 2023 there were 276,018,479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1,614,472 shares of Class A common stock subject to restricted stock awards that were granted to other Dropbox executives and vest upon the satisfaction of a service condition and, as applicable, achievement of certain stock price goals), 81,839,831 shares of the registrant’s Class B common stock outstanding, and no shares of the registrant’s Class C common stock outstanding.</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DOCUMENTS INCORPORATED BY REFERENCE</w:t>
      </w:r>
    </w:p>
    <w:p>
      <w:pPr>
        <w:spacing w:after="0" w:line="266" w:lineRule="exact"/>
        <w:rPr>
          <w:sz w:val="20"/>
          <w:szCs w:val="20"/>
          <w:color w:val="auto"/>
        </w:rPr>
      </w:pPr>
    </w:p>
    <w:p>
      <w:pPr>
        <w:ind w:right="140"/>
        <w:spacing w:after="0" w:line="367" w:lineRule="auto"/>
        <w:rPr>
          <w:sz w:val="20"/>
          <w:szCs w:val="20"/>
          <w:color w:val="auto"/>
        </w:rPr>
      </w:pPr>
      <w:r>
        <w:rPr>
          <w:rFonts w:ascii="Arial" w:cs="Arial" w:eastAsia="Arial" w:hAnsi="Arial"/>
          <w:sz w:val="12"/>
          <w:szCs w:val="12"/>
          <w:color w:val="auto"/>
        </w:rPr>
        <w:t>Portions of the registrant's definitive Proxy Statement relating to the 2023 Annual Meeting of Stockholders are incorporated herein by references in Part II and Part III of this Annual Report on Form 10-K to the extent stated herein. Such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563880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40" w:type="dxa"/>
            <w:vAlign w:val="bottom"/>
            <w:gridSpan w:val="8"/>
          </w:tcPr>
          <w:p>
            <w:pPr>
              <w:jc w:val="center"/>
              <w:ind w:right="3220"/>
              <w:spacing w:after="0"/>
              <w:rPr>
                <w:sz w:val="20"/>
                <w:szCs w:val="20"/>
                <w:color w:val="auto"/>
              </w:rPr>
            </w:pPr>
            <w:r>
              <w:rPr>
                <w:rFonts w:ascii="Arial" w:cs="Arial" w:eastAsia="Arial" w:hAnsi="Arial"/>
                <w:sz w:val="17"/>
                <w:szCs w:val="17"/>
                <w:b w:val="1"/>
                <w:bCs w:val="1"/>
                <w:color w:val="auto"/>
              </w:rPr>
              <w:t>TABLE OF CONTENTS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3"/>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gridSpan w:val="3"/>
          </w:tcPr>
          <w:p>
            <w:pPr>
              <w:ind w:lef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740" w:type="dxa"/>
            <w:vAlign w:val="bottom"/>
            <w:gridSpan w:val="6"/>
            <w:vMerge w:val="restart"/>
          </w:tcPr>
          <w:p>
            <w:pPr>
              <w:jc w:val="center"/>
              <w:ind w:right="4220"/>
              <w:spacing w:after="0"/>
              <w:rPr>
                <w:sz w:val="20"/>
                <w:szCs w:val="20"/>
                <w:color w:val="auto"/>
              </w:rPr>
            </w:pPr>
            <w:r>
              <w:rPr>
                <w:rFonts w:ascii="Arial" w:cs="Arial" w:eastAsia="Arial" w:hAnsi="Arial"/>
                <w:sz w:val="17"/>
                <w:szCs w:val="17"/>
                <w:b w:val="1"/>
                <w:bCs w:val="1"/>
                <w:color w:val="auto"/>
              </w:rPr>
              <w:t>Part I</w:t>
            </w: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40" w:type="dxa"/>
            <w:vAlign w:val="bottom"/>
            <w:gridSpan w:val="6"/>
            <w:vMerge w:val="continue"/>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7"/>
                <w:szCs w:val="17"/>
                <w:color w:val="auto"/>
              </w:rPr>
              <w:t>Item 1.</w:t>
            </w:r>
          </w:p>
        </w:tc>
        <w:tc>
          <w:tcPr>
            <w:tcW w:w="620" w:type="dxa"/>
            <w:vAlign w:val="bottom"/>
            <w:shd w:val="clear" w:color="auto" w:fill="CCEEFF"/>
          </w:tcPr>
          <w:p>
            <w:pPr>
              <w:spacing w:after="0" w:line="184" w:lineRule="exact"/>
              <w:rPr>
                <w:sz w:val="20"/>
                <w:szCs w:val="20"/>
                <w:color w:val="auto"/>
              </w:rPr>
            </w:pPr>
            <w:r>
              <w:rPr>
                <w:rFonts w:ascii="Arial" w:cs="Arial" w:eastAsia="Arial" w:hAnsi="Arial"/>
                <w:sz w:val="17"/>
                <w:szCs w:val="17"/>
                <w:color w:val="0000FF"/>
                <w:w w:val="86"/>
              </w:rPr>
              <w:t>Business</w:t>
            </w:r>
          </w:p>
        </w:tc>
        <w:tc>
          <w:tcPr>
            <w:tcW w:w="8340" w:type="dxa"/>
            <w:vAlign w:val="bottom"/>
            <w:gridSpan w:val="16"/>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jc w:val="center"/>
              <w:spacing w:after="0" w:line="184" w:lineRule="exact"/>
              <w:rPr>
                <w:sz w:val="20"/>
                <w:szCs w:val="20"/>
                <w:color w:val="auto"/>
              </w:rPr>
            </w:pPr>
            <w:r>
              <w:rPr>
                <w:rFonts w:ascii="Arial" w:cs="Arial" w:eastAsia="Arial" w:hAnsi="Arial"/>
                <w:sz w:val="17"/>
                <w:szCs w:val="17"/>
                <w:color w:val="0000FF"/>
                <w:w w:val="84"/>
              </w:rPr>
              <w:t>6</w:t>
            </w:r>
          </w:p>
        </w:tc>
        <w:tc>
          <w:tcPr>
            <w:tcW w:w="46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1A.</w:t>
            </w:r>
          </w:p>
        </w:tc>
        <w:tc>
          <w:tcPr>
            <w:tcW w:w="880" w:type="dxa"/>
            <w:vAlign w:val="bottom"/>
            <w:gridSpan w:val="3"/>
          </w:tcPr>
          <w:p>
            <w:pPr>
              <w:spacing w:after="0" w:line="184" w:lineRule="exact"/>
              <w:rPr>
                <w:sz w:val="20"/>
                <w:szCs w:val="20"/>
                <w:color w:val="auto"/>
              </w:rPr>
            </w:pPr>
            <w:r>
              <w:rPr>
                <w:rFonts w:ascii="Arial" w:cs="Arial" w:eastAsia="Arial" w:hAnsi="Arial"/>
                <w:sz w:val="17"/>
                <w:szCs w:val="17"/>
                <w:color w:val="0000FF"/>
                <w:w w:val="90"/>
              </w:rPr>
              <w:t>Risk Factors</w:t>
            </w:r>
          </w:p>
        </w:tc>
        <w:tc>
          <w:tcPr>
            <w:tcW w:w="8080" w:type="dxa"/>
            <w:vAlign w:val="bottom"/>
            <w:gridSpan w:val="14"/>
          </w:tcPr>
          <w:p>
            <w:pPr>
              <w:spacing w:after="0"/>
              <w:rPr>
                <w:sz w:val="15"/>
                <w:szCs w:val="15"/>
                <w:color w:val="auto"/>
              </w:rPr>
            </w:pPr>
          </w:p>
        </w:tc>
        <w:tc>
          <w:tcPr>
            <w:tcW w:w="660" w:type="dxa"/>
            <w:vAlign w:val="bottom"/>
            <w:gridSpan w:val="2"/>
          </w:tcPr>
          <w:p>
            <w:pPr>
              <w:jc w:val="center"/>
              <w:ind w:left="393"/>
              <w:spacing w:after="0" w:line="184" w:lineRule="exact"/>
              <w:rPr>
                <w:sz w:val="20"/>
                <w:szCs w:val="20"/>
                <w:color w:val="auto"/>
              </w:rPr>
            </w:pPr>
            <w:r>
              <w:rPr>
                <w:rFonts w:ascii="Arial" w:cs="Arial" w:eastAsia="Arial" w:hAnsi="Arial"/>
                <w:sz w:val="17"/>
                <w:szCs w:val="17"/>
                <w:color w:val="0000FF"/>
                <w:w w:val="94"/>
              </w:rPr>
              <w:t>15</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1B.</w:t>
            </w:r>
          </w:p>
        </w:tc>
        <w:tc>
          <w:tcPr>
            <w:tcW w:w="8960" w:type="dxa"/>
            <w:vAlign w:val="bottom"/>
            <w:gridSpan w:val="17"/>
            <w:shd w:val="clear" w:color="auto" w:fill="CCEEFF"/>
          </w:tcPr>
          <w:p>
            <w:pPr>
              <w:spacing w:after="0" w:line="194" w:lineRule="exact"/>
              <w:rPr>
                <w:sz w:val="20"/>
                <w:szCs w:val="20"/>
                <w:color w:val="auto"/>
              </w:rPr>
            </w:pPr>
            <w:r>
              <w:rPr>
                <w:rFonts w:ascii="Arial" w:cs="Arial" w:eastAsia="Arial" w:hAnsi="Arial"/>
                <w:sz w:val="17"/>
                <w:szCs w:val="17"/>
                <w:color w:val="0000FF"/>
              </w:rPr>
              <w:t>Unresolved Staff Comments</w:t>
            </w:r>
          </w:p>
        </w:tc>
        <w:tc>
          <w:tcPr>
            <w:tcW w:w="660" w:type="dxa"/>
            <w:vAlign w:val="bottom"/>
            <w:tcBorders>
              <w:right w:val="single" w:sz="8" w:color="CCEEFF"/>
            </w:tcBorders>
            <w:gridSpan w:val="2"/>
            <w:shd w:val="clear" w:color="auto" w:fill="CCEEFF"/>
          </w:tcPr>
          <w:p>
            <w:pPr>
              <w:jc w:val="center"/>
              <w:ind w:left="373"/>
              <w:spacing w:after="0" w:line="194" w:lineRule="exact"/>
              <w:rPr>
                <w:sz w:val="20"/>
                <w:szCs w:val="20"/>
                <w:color w:val="auto"/>
              </w:rPr>
            </w:pPr>
            <w:r>
              <w:rPr>
                <w:rFonts w:ascii="Arial" w:cs="Arial" w:eastAsia="Arial" w:hAnsi="Arial"/>
                <w:sz w:val="17"/>
                <w:szCs w:val="17"/>
                <w:color w:val="0000FF"/>
                <w:w w:val="84"/>
              </w:rPr>
              <w:t>6</w:t>
            </w:r>
          </w:p>
        </w:tc>
        <w:tc>
          <w:tcPr>
            <w:tcW w:w="4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2.</w:t>
            </w:r>
          </w:p>
        </w:tc>
        <w:tc>
          <w:tcPr>
            <w:tcW w:w="1980" w:type="dxa"/>
            <w:vAlign w:val="bottom"/>
            <w:gridSpan w:val="7"/>
          </w:tcPr>
          <w:p>
            <w:pPr>
              <w:spacing w:after="0" w:line="184" w:lineRule="exact"/>
              <w:rPr>
                <w:sz w:val="20"/>
                <w:szCs w:val="20"/>
                <w:color w:val="auto"/>
              </w:rPr>
            </w:pPr>
            <w:r>
              <w:rPr>
                <w:rFonts w:ascii="Arial" w:cs="Arial" w:eastAsia="Arial" w:hAnsi="Arial"/>
                <w:sz w:val="17"/>
                <w:szCs w:val="17"/>
                <w:color w:val="0000FF"/>
              </w:rPr>
              <w:t>Properties</w:t>
            </w:r>
          </w:p>
        </w:tc>
        <w:tc>
          <w:tcPr>
            <w:tcW w:w="6980" w:type="dxa"/>
            <w:vAlign w:val="bottom"/>
            <w:gridSpan w:val="10"/>
          </w:tcPr>
          <w:p>
            <w:pPr>
              <w:spacing w:after="0"/>
              <w:rPr>
                <w:sz w:val="15"/>
                <w:szCs w:val="15"/>
                <w:color w:val="auto"/>
              </w:rPr>
            </w:pPr>
          </w:p>
        </w:tc>
        <w:tc>
          <w:tcPr>
            <w:tcW w:w="660" w:type="dxa"/>
            <w:vAlign w:val="bottom"/>
            <w:gridSpan w:val="2"/>
          </w:tcPr>
          <w:p>
            <w:pPr>
              <w:jc w:val="center"/>
              <w:ind w:left="393"/>
              <w:spacing w:after="0" w:line="184" w:lineRule="exact"/>
              <w:rPr>
                <w:sz w:val="20"/>
                <w:szCs w:val="20"/>
                <w:color w:val="auto"/>
              </w:rPr>
            </w:pPr>
            <w:r>
              <w:rPr>
                <w:rFonts w:ascii="Arial" w:cs="Arial" w:eastAsia="Arial" w:hAnsi="Arial"/>
                <w:sz w:val="17"/>
                <w:szCs w:val="17"/>
                <w:color w:val="0000FF"/>
                <w:w w:val="94"/>
              </w:rPr>
              <w:t>43</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3.</w:t>
            </w:r>
          </w:p>
        </w:tc>
        <w:tc>
          <w:tcPr>
            <w:tcW w:w="1300" w:type="dxa"/>
            <w:vAlign w:val="bottom"/>
            <w:tcBorders>
              <w:right w:val="single" w:sz="8" w:color="CCEEFF"/>
            </w:tcBorders>
            <w:gridSpan w:val="4"/>
            <w:shd w:val="clear" w:color="auto" w:fill="CCEEFF"/>
          </w:tcPr>
          <w:p>
            <w:pPr>
              <w:spacing w:after="0" w:line="194" w:lineRule="exact"/>
              <w:rPr>
                <w:sz w:val="20"/>
                <w:szCs w:val="20"/>
                <w:color w:val="auto"/>
              </w:rPr>
            </w:pPr>
            <w:r>
              <w:rPr>
                <w:rFonts w:ascii="Arial" w:cs="Arial" w:eastAsia="Arial" w:hAnsi="Arial"/>
                <w:sz w:val="17"/>
                <w:szCs w:val="17"/>
                <w:color w:val="0000FF"/>
                <w:w w:val="89"/>
              </w:rPr>
              <w:t>Legal Proceedings</w:t>
            </w:r>
          </w:p>
        </w:tc>
        <w:tc>
          <w:tcPr>
            <w:tcW w:w="7660" w:type="dxa"/>
            <w:vAlign w:val="bottom"/>
            <w:gridSpan w:val="13"/>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center"/>
              <w:ind w:left="393"/>
              <w:spacing w:after="0" w:line="194" w:lineRule="exact"/>
              <w:rPr>
                <w:sz w:val="20"/>
                <w:szCs w:val="20"/>
                <w:color w:val="auto"/>
              </w:rPr>
            </w:pPr>
            <w:r>
              <w:rPr>
                <w:rFonts w:ascii="Arial" w:cs="Arial" w:eastAsia="Arial" w:hAnsi="Arial"/>
                <w:sz w:val="17"/>
                <w:szCs w:val="17"/>
                <w:color w:val="0000FF"/>
                <w:w w:val="94"/>
              </w:rPr>
              <w:t>43</w:t>
            </w:r>
          </w:p>
        </w:tc>
        <w:tc>
          <w:tcPr>
            <w:tcW w:w="4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4.</w:t>
            </w:r>
          </w:p>
        </w:tc>
        <w:tc>
          <w:tcPr>
            <w:tcW w:w="8960" w:type="dxa"/>
            <w:vAlign w:val="bottom"/>
            <w:gridSpan w:val="17"/>
          </w:tcPr>
          <w:p>
            <w:pPr>
              <w:spacing w:after="0" w:line="184" w:lineRule="exact"/>
              <w:rPr>
                <w:sz w:val="20"/>
                <w:szCs w:val="20"/>
                <w:color w:val="auto"/>
              </w:rPr>
            </w:pPr>
            <w:r>
              <w:rPr>
                <w:rFonts w:ascii="Arial" w:cs="Arial" w:eastAsia="Arial" w:hAnsi="Arial"/>
                <w:sz w:val="17"/>
                <w:szCs w:val="17"/>
                <w:color w:val="0000FF"/>
              </w:rPr>
              <w:t>Mine Safety Disclosures</w:t>
            </w:r>
          </w:p>
        </w:tc>
        <w:tc>
          <w:tcPr>
            <w:tcW w:w="660" w:type="dxa"/>
            <w:vAlign w:val="bottom"/>
            <w:gridSpan w:val="2"/>
          </w:tcPr>
          <w:p>
            <w:pPr>
              <w:jc w:val="center"/>
              <w:ind w:left="393"/>
              <w:spacing w:after="0" w:line="184" w:lineRule="exact"/>
              <w:rPr>
                <w:sz w:val="20"/>
                <w:szCs w:val="20"/>
                <w:color w:val="auto"/>
              </w:rPr>
            </w:pPr>
            <w:r>
              <w:rPr>
                <w:rFonts w:ascii="Arial" w:cs="Arial" w:eastAsia="Arial" w:hAnsi="Arial"/>
                <w:sz w:val="17"/>
                <w:szCs w:val="17"/>
                <w:color w:val="0000FF"/>
                <w:w w:val="94"/>
              </w:rPr>
              <w:t>43</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20" w:type="dxa"/>
            <w:vAlign w:val="bottom"/>
            <w:shd w:val="clear" w:color="auto" w:fill="CCEEFF"/>
          </w:tcPr>
          <w:p>
            <w:pPr>
              <w:spacing w:after="0"/>
              <w:rPr>
                <w:sz w:val="20"/>
                <w:szCs w:val="20"/>
                <w:color w:val="auto"/>
              </w:rPr>
            </w:pPr>
          </w:p>
        </w:tc>
        <w:tc>
          <w:tcPr>
            <w:tcW w:w="62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left w:val="single" w:sz="8" w:color="CCEEFF"/>
            </w:tcBorders>
            <w:shd w:val="clear" w:color="auto" w:fill="CCEEFF"/>
          </w:tcPr>
          <w:p>
            <w:pPr>
              <w:spacing w:after="0"/>
              <w:rPr>
                <w:sz w:val="20"/>
                <w:szCs w:val="20"/>
                <w:color w:val="auto"/>
              </w:rPr>
            </w:pPr>
          </w:p>
        </w:tc>
        <w:tc>
          <w:tcPr>
            <w:tcW w:w="420" w:type="dxa"/>
            <w:vAlign w:val="bottom"/>
            <w:tcBorders>
              <w:top w:val="single" w:sz="8" w:color="0000FF"/>
              <w:right w:val="single" w:sz="8" w:color="CCEE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980" w:type="dxa"/>
            <w:vAlign w:val="bottom"/>
            <w:gridSpan w:val="7"/>
            <w:shd w:val="clear" w:color="auto" w:fill="CCEEFF"/>
          </w:tcPr>
          <w:p>
            <w:pPr>
              <w:jc w:val="center"/>
              <w:ind w:right="3980"/>
              <w:spacing w:after="0"/>
              <w:rPr>
                <w:sz w:val="20"/>
                <w:szCs w:val="20"/>
                <w:color w:val="auto"/>
              </w:rPr>
            </w:pPr>
            <w:r>
              <w:rPr>
                <w:rFonts w:ascii="Arial" w:cs="Arial" w:eastAsia="Arial" w:hAnsi="Arial"/>
                <w:sz w:val="17"/>
                <w:szCs w:val="17"/>
                <w:b w:val="1"/>
                <w:bCs w:val="1"/>
                <w:color w:val="auto"/>
              </w:rPr>
              <w:t>Part II</w:t>
            </w:r>
          </w:p>
        </w:tc>
        <w:tc>
          <w:tcPr>
            <w:tcW w:w="5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4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5.</w:t>
            </w:r>
          </w:p>
        </w:tc>
        <w:tc>
          <w:tcPr>
            <w:tcW w:w="7840" w:type="dxa"/>
            <w:vAlign w:val="bottom"/>
            <w:gridSpan w:val="16"/>
          </w:tcPr>
          <w:p>
            <w:pPr>
              <w:spacing w:after="0" w:line="184" w:lineRule="exact"/>
              <w:rPr>
                <w:sz w:val="20"/>
                <w:szCs w:val="20"/>
                <w:color w:val="auto"/>
              </w:rPr>
            </w:pPr>
            <w:r>
              <w:rPr>
                <w:rFonts w:ascii="Arial" w:cs="Arial" w:eastAsia="Arial" w:hAnsi="Arial"/>
                <w:sz w:val="17"/>
                <w:szCs w:val="17"/>
                <w:color w:val="0000FF"/>
                <w:w w:val="93"/>
              </w:rPr>
              <w:t>Market for Registrant’s Common Equity, Related Stockholder Matters and Issuer Purchases of Equity Securities</w:t>
            </w:r>
          </w:p>
        </w:tc>
        <w:tc>
          <w:tcPr>
            <w:tcW w:w="1120" w:type="dxa"/>
            <w:vAlign w:val="bottom"/>
          </w:tcPr>
          <w:p>
            <w:pPr>
              <w:spacing w:after="0"/>
              <w:rPr>
                <w:sz w:val="15"/>
                <w:szCs w:val="15"/>
                <w:color w:val="auto"/>
              </w:rPr>
            </w:pPr>
          </w:p>
        </w:tc>
        <w:tc>
          <w:tcPr>
            <w:tcW w:w="660" w:type="dxa"/>
            <w:vAlign w:val="bottom"/>
            <w:gridSpan w:val="2"/>
          </w:tcPr>
          <w:p>
            <w:pPr>
              <w:jc w:val="center"/>
              <w:ind w:left="393"/>
              <w:spacing w:after="0" w:line="184" w:lineRule="exact"/>
              <w:rPr>
                <w:sz w:val="20"/>
                <w:szCs w:val="20"/>
                <w:color w:val="auto"/>
              </w:rPr>
            </w:pPr>
            <w:r>
              <w:rPr>
                <w:rFonts w:ascii="Arial" w:cs="Arial" w:eastAsia="Arial" w:hAnsi="Arial"/>
                <w:sz w:val="17"/>
                <w:szCs w:val="17"/>
                <w:color w:val="0000FF"/>
                <w:w w:val="94"/>
              </w:rPr>
              <w:t>44</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6.</w:t>
            </w:r>
          </w:p>
        </w:tc>
        <w:tc>
          <w:tcPr>
            <w:tcW w:w="7840" w:type="dxa"/>
            <w:vAlign w:val="bottom"/>
            <w:gridSpan w:val="16"/>
            <w:shd w:val="clear" w:color="auto" w:fill="CCEEFF"/>
          </w:tcPr>
          <w:p>
            <w:pPr>
              <w:spacing w:after="0" w:line="194" w:lineRule="exact"/>
              <w:rPr>
                <w:sz w:val="20"/>
                <w:szCs w:val="20"/>
                <w:color w:val="auto"/>
              </w:rPr>
            </w:pPr>
            <w:r>
              <w:rPr>
                <w:rFonts w:ascii="Arial" w:cs="Arial" w:eastAsia="Arial" w:hAnsi="Arial"/>
                <w:sz w:val="17"/>
                <w:szCs w:val="17"/>
                <w:color w:val="0000FF"/>
              </w:rPr>
              <w:t>[Reserved]</w:t>
            </w:r>
          </w:p>
        </w:tc>
        <w:tc>
          <w:tcPr>
            <w:tcW w:w="112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center"/>
              <w:ind w:left="393"/>
              <w:spacing w:after="0" w:line="194" w:lineRule="exact"/>
              <w:rPr>
                <w:sz w:val="20"/>
                <w:szCs w:val="20"/>
                <w:color w:val="auto"/>
              </w:rPr>
            </w:pPr>
            <w:r>
              <w:rPr>
                <w:rFonts w:ascii="Arial" w:cs="Arial" w:eastAsia="Arial" w:hAnsi="Arial"/>
                <w:sz w:val="17"/>
                <w:szCs w:val="17"/>
                <w:color w:val="0000FF"/>
                <w:w w:val="94"/>
              </w:rPr>
              <w:t>45</w:t>
            </w:r>
          </w:p>
        </w:tc>
        <w:tc>
          <w:tcPr>
            <w:tcW w:w="4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7.</w:t>
            </w:r>
          </w:p>
        </w:tc>
        <w:tc>
          <w:tcPr>
            <w:tcW w:w="8960" w:type="dxa"/>
            <w:vAlign w:val="bottom"/>
            <w:gridSpan w:val="17"/>
          </w:tcPr>
          <w:p>
            <w:pPr>
              <w:spacing w:after="0" w:line="184"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660" w:type="dxa"/>
            <w:vAlign w:val="bottom"/>
            <w:gridSpan w:val="2"/>
          </w:tcPr>
          <w:p>
            <w:pPr>
              <w:jc w:val="center"/>
              <w:ind w:left="393"/>
              <w:spacing w:after="0" w:line="184" w:lineRule="exact"/>
              <w:rPr>
                <w:sz w:val="20"/>
                <w:szCs w:val="20"/>
                <w:color w:val="auto"/>
              </w:rPr>
            </w:pPr>
            <w:r>
              <w:rPr>
                <w:rFonts w:ascii="Arial" w:cs="Arial" w:eastAsia="Arial" w:hAnsi="Arial"/>
                <w:sz w:val="17"/>
                <w:szCs w:val="17"/>
                <w:color w:val="0000FF"/>
                <w:w w:val="94"/>
              </w:rPr>
              <w:t>46</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7A.</w:t>
            </w:r>
          </w:p>
        </w:tc>
        <w:tc>
          <w:tcPr>
            <w:tcW w:w="6260" w:type="dxa"/>
            <w:vAlign w:val="bottom"/>
            <w:gridSpan w:val="14"/>
            <w:shd w:val="clear" w:color="auto" w:fill="CCEEFF"/>
          </w:tcPr>
          <w:p>
            <w:pPr>
              <w:spacing w:after="0" w:line="194" w:lineRule="exact"/>
              <w:rPr>
                <w:sz w:val="20"/>
                <w:szCs w:val="20"/>
                <w:color w:val="auto"/>
              </w:rPr>
            </w:pPr>
            <w:r>
              <w:rPr>
                <w:rFonts w:ascii="Arial" w:cs="Arial" w:eastAsia="Arial" w:hAnsi="Arial"/>
                <w:sz w:val="17"/>
                <w:szCs w:val="17"/>
                <w:color w:val="0000FF"/>
              </w:rPr>
              <w:t>Quantitative and Qualitative Disclosures About Market Risk</w:t>
            </w:r>
          </w:p>
        </w:tc>
        <w:tc>
          <w:tcPr>
            <w:tcW w:w="2700" w:type="dxa"/>
            <w:vAlign w:val="bottom"/>
            <w:tcBorders>
              <w:left w:val="single" w:sz="8" w:color="CCEEFF"/>
            </w:tcBorders>
            <w:gridSpan w:val="3"/>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center"/>
              <w:ind w:left="393"/>
              <w:spacing w:after="0" w:line="194" w:lineRule="exact"/>
              <w:rPr>
                <w:sz w:val="20"/>
                <w:szCs w:val="20"/>
                <w:color w:val="auto"/>
              </w:rPr>
            </w:pPr>
            <w:r>
              <w:rPr>
                <w:rFonts w:ascii="Arial" w:cs="Arial" w:eastAsia="Arial" w:hAnsi="Arial"/>
                <w:sz w:val="17"/>
                <w:szCs w:val="17"/>
                <w:color w:val="0000FF"/>
                <w:w w:val="94"/>
              </w:rPr>
              <w:t>62</w:t>
            </w:r>
          </w:p>
        </w:tc>
        <w:tc>
          <w:tcPr>
            <w:tcW w:w="4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8.</w:t>
            </w:r>
          </w:p>
        </w:tc>
        <w:tc>
          <w:tcPr>
            <w:tcW w:w="4220" w:type="dxa"/>
            <w:vAlign w:val="bottom"/>
            <w:gridSpan w:val="11"/>
          </w:tcPr>
          <w:p>
            <w:pPr>
              <w:spacing w:after="0" w:line="184" w:lineRule="exact"/>
              <w:rPr>
                <w:sz w:val="20"/>
                <w:szCs w:val="20"/>
                <w:color w:val="auto"/>
              </w:rPr>
            </w:pPr>
            <w:r>
              <w:rPr>
                <w:rFonts w:ascii="Arial" w:cs="Arial" w:eastAsia="Arial" w:hAnsi="Arial"/>
                <w:sz w:val="17"/>
                <w:szCs w:val="17"/>
                <w:color w:val="0000FF"/>
              </w:rPr>
              <w:t>Financial Statements and Supplementary Data</w:t>
            </w:r>
          </w:p>
        </w:tc>
        <w:tc>
          <w:tcPr>
            <w:tcW w:w="4740" w:type="dxa"/>
            <w:vAlign w:val="bottom"/>
            <w:gridSpan w:val="6"/>
          </w:tcPr>
          <w:p>
            <w:pPr>
              <w:spacing w:after="0"/>
              <w:rPr>
                <w:sz w:val="15"/>
                <w:szCs w:val="15"/>
                <w:color w:val="auto"/>
              </w:rPr>
            </w:pPr>
          </w:p>
        </w:tc>
        <w:tc>
          <w:tcPr>
            <w:tcW w:w="660" w:type="dxa"/>
            <w:vAlign w:val="bottom"/>
            <w:gridSpan w:val="2"/>
          </w:tcPr>
          <w:p>
            <w:pPr>
              <w:jc w:val="center"/>
              <w:ind w:left="393"/>
              <w:spacing w:after="0" w:line="184" w:lineRule="exact"/>
              <w:rPr>
                <w:sz w:val="20"/>
                <w:szCs w:val="20"/>
                <w:color w:val="auto"/>
              </w:rPr>
            </w:pPr>
            <w:r>
              <w:rPr>
                <w:rFonts w:ascii="Arial" w:cs="Arial" w:eastAsia="Arial" w:hAnsi="Arial"/>
                <w:sz w:val="17"/>
                <w:szCs w:val="17"/>
                <w:color w:val="0000FF"/>
                <w:w w:val="94"/>
              </w:rPr>
              <w:t>63</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9.</w:t>
            </w:r>
          </w:p>
        </w:tc>
        <w:tc>
          <w:tcPr>
            <w:tcW w:w="8960" w:type="dxa"/>
            <w:vAlign w:val="bottom"/>
            <w:gridSpan w:val="17"/>
            <w:shd w:val="clear" w:color="auto" w:fill="CCEEFF"/>
          </w:tcPr>
          <w:p>
            <w:pPr>
              <w:spacing w:after="0" w:line="194" w:lineRule="exact"/>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12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0000FF"/>
                <w:w w:val="91"/>
              </w:rPr>
              <w:t>107</w:t>
            </w: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9A.</w:t>
            </w:r>
          </w:p>
        </w:tc>
        <w:tc>
          <w:tcPr>
            <w:tcW w:w="1720" w:type="dxa"/>
            <w:vAlign w:val="bottom"/>
            <w:gridSpan w:val="6"/>
          </w:tcPr>
          <w:p>
            <w:pPr>
              <w:spacing w:after="0" w:line="184" w:lineRule="exact"/>
              <w:rPr>
                <w:sz w:val="20"/>
                <w:szCs w:val="20"/>
                <w:color w:val="auto"/>
              </w:rPr>
            </w:pPr>
            <w:r>
              <w:rPr>
                <w:rFonts w:ascii="Arial" w:cs="Arial" w:eastAsia="Arial" w:hAnsi="Arial"/>
                <w:sz w:val="17"/>
                <w:szCs w:val="17"/>
                <w:color w:val="0000FF"/>
                <w:w w:val="89"/>
              </w:rPr>
              <w:t>Controls and Procedures</w:t>
            </w:r>
          </w:p>
        </w:tc>
        <w:tc>
          <w:tcPr>
            <w:tcW w:w="4540" w:type="dxa"/>
            <w:vAlign w:val="bottom"/>
            <w:gridSpan w:val="8"/>
          </w:tcPr>
          <w:p>
            <w:pPr>
              <w:spacing w:after="0"/>
              <w:rPr>
                <w:sz w:val="15"/>
                <w:szCs w:val="15"/>
                <w:color w:val="auto"/>
              </w:rPr>
            </w:pPr>
          </w:p>
        </w:tc>
        <w:tc>
          <w:tcPr>
            <w:tcW w:w="2700" w:type="dxa"/>
            <w:vAlign w:val="bottom"/>
            <w:gridSpan w:val="3"/>
          </w:tcPr>
          <w:p>
            <w:pPr>
              <w:spacing w:after="0"/>
              <w:rPr>
                <w:sz w:val="15"/>
                <w:szCs w:val="15"/>
                <w:color w:val="auto"/>
              </w:rPr>
            </w:pPr>
          </w:p>
        </w:tc>
        <w:tc>
          <w:tcPr>
            <w:tcW w:w="1120" w:type="dxa"/>
            <w:vAlign w:val="bottom"/>
            <w:gridSpan w:val="3"/>
          </w:tcPr>
          <w:p>
            <w:pPr>
              <w:jc w:val="center"/>
              <w:spacing w:after="0" w:line="184" w:lineRule="exact"/>
              <w:rPr>
                <w:sz w:val="20"/>
                <w:szCs w:val="20"/>
                <w:color w:val="auto"/>
              </w:rPr>
            </w:pPr>
            <w:r>
              <w:rPr>
                <w:rFonts w:ascii="Arial" w:cs="Arial" w:eastAsia="Arial" w:hAnsi="Arial"/>
                <w:sz w:val="17"/>
                <w:szCs w:val="17"/>
                <w:color w:val="0000FF"/>
                <w:w w:val="91"/>
              </w:rPr>
              <w:t>107</w:t>
            </w: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9B.</w:t>
            </w:r>
          </w:p>
        </w:tc>
        <w:tc>
          <w:tcPr>
            <w:tcW w:w="1300" w:type="dxa"/>
            <w:vAlign w:val="bottom"/>
            <w:tcBorders>
              <w:right w:val="single" w:sz="8" w:color="CCEEFF"/>
            </w:tcBorders>
            <w:gridSpan w:val="4"/>
            <w:shd w:val="clear" w:color="auto" w:fill="CCEEFF"/>
          </w:tcPr>
          <w:p>
            <w:pPr>
              <w:spacing w:after="0" w:line="194" w:lineRule="exact"/>
              <w:rPr>
                <w:sz w:val="20"/>
                <w:szCs w:val="20"/>
                <w:color w:val="auto"/>
              </w:rPr>
            </w:pPr>
            <w:r>
              <w:rPr>
                <w:rFonts w:ascii="Arial" w:cs="Arial" w:eastAsia="Arial" w:hAnsi="Arial"/>
                <w:sz w:val="17"/>
                <w:szCs w:val="17"/>
                <w:color w:val="0000FF"/>
                <w:w w:val="95"/>
              </w:rPr>
              <w:t>Other Information</w:t>
            </w:r>
          </w:p>
        </w:tc>
        <w:tc>
          <w:tcPr>
            <w:tcW w:w="420" w:type="dxa"/>
            <w:vAlign w:val="bottom"/>
            <w:gridSpan w:val="2"/>
            <w:shd w:val="clear" w:color="auto" w:fill="CCEEFF"/>
          </w:tcPr>
          <w:p>
            <w:pPr>
              <w:spacing w:after="0"/>
              <w:rPr>
                <w:sz w:val="16"/>
                <w:szCs w:val="16"/>
                <w:color w:val="auto"/>
              </w:rPr>
            </w:pPr>
          </w:p>
        </w:tc>
        <w:tc>
          <w:tcPr>
            <w:tcW w:w="7240" w:type="dxa"/>
            <w:vAlign w:val="bottom"/>
            <w:tcBorders>
              <w:left w:val="single" w:sz="8" w:color="CCEEFF"/>
            </w:tcBorders>
            <w:gridSpan w:val="11"/>
            <w:shd w:val="clear" w:color="auto" w:fill="CCEEFF"/>
          </w:tcPr>
          <w:p>
            <w:pPr>
              <w:spacing w:after="0"/>
              <w:rPr>
                <w:sz w:val="16"/>
                <w:szCs w:val="16"/>
                <w:color w:val="auto"/>
              </w:rPr>
            </w:pPr>
          </w:p>
        </w:tc>
        <w:tc>
          <w:tcPr>
            <w:tcW w:w="112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0000FF"/>
                <w:w w:val="91"/>
              </w:rPr>
              <w:t>107</w:t>
            </w: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9C.</w:t>
            </w:r>
          </w:p>
        </w:tc>
        <w:tc>
          <w:tcPr>
            <w:tcW w:w="4760" w:type="dxa"/>
            <w:vAlign w:val="bottom"/>
            <w:gridSpan w:val="12"/>
          </w:tcPr>
          <w:p>
            <w:pPr>
              <w:spacing w:after="0" w:line="184" w:lineRule="exact"/>
              <w:rPr>
                <w:sz w:val="20"/>
                <w:szCs w:val="20"/>
                <w:color w:val="auto"/>
              </w:rPr>
            </w:pPr>
            <w:r>
              <w:rPr>
                <w:rFonts w:ascii="Arial" w:cs="Arial" w:eastAsia="Arial" w:hAnsi="Arial"/>
                <w:sz w:val="17"/>
                <w:szCs w:val="17"/>
                <w:color w:val="0000FF"/>
                <w:w w:val="92"/>
              </w:rPr>
              <w:t>Disclosure Regarding Foreign Jurisdictions that Prevent Inspections</w:t>
            </w:r>
          </w:p>
        </w:tc>
        <w:tc>
          <w:tcPr>
            <w:tcW w:w="4200" w:type="dxa"/>
            <w:vAlign w:val="bottom"/>
            <w:gridSpan w:val="5"/>
          </w:tcPr>
          <w:p>
            <w:pPr>
              <w:spacing w:after="0"/>
              <w:rPr>
                <w:sz w:val="15"/>
                <w:szCs w:val="15"/>
                <w:color w:val="auto"/>
              </w:rPr>
            </w:pPr>
          </w:p>
        </w:tc>
        <w:tc>
          <w:tcPr>
            <w:tcW w:w="1120" w:type="dxa"/>
            <w:vAlign w:val="bottom"/>
            <w:gridSpan w:val="3"/>
          </w:tcPr>
          <w:p>
            <w:pPr>
              <w:jc w:val="center"/>
              <w:spacing w:after="0" w:line="184" w:lineRule="exact"/>
              <w:rPr>
                <w:sz w:val="20"/>
                <w:szCs w:val="20"/>
                <w:color w:val="auto"/>
              </w:rPr>
            </w:pPr>
            <w:r>
              <w:rPr>
                <w:rFonts w:ascii="Arial" w:cs="Arial" w:eastAsia="Arial" w:hAnsi="Arial"/>
                <w:sz w:val="17"/>
                <w:szCs w:val="17"/>
                <w:color w:val="0000FF"/>
                <w:w w:val="91"/>
              </w:rPr>
              <w:t>108</w:t>
            </w: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980" w:type="dxa"/>
            <w:vAlign w:val="bottom"/>
            <w:gridSpan w:val="7"/>
            <w:shd w:val="clear" w:color="auto" w:fill="CCEEFF"/>
          </w:tcPr>
          <w:p>
            <w:pPr>
              <w:jc w:val="center"/>
              <w:ind w:right="3960"/>
              <w:spacing w:after="0"/>
              <w:rPr>
                <w:sz w:val="20"/>
                <w:szCs w:val="20"/>
                <w:color w:val="auto"/>
              </w:rPr>
            </w:pPr>
            <w:r>
              <w:rPr>
                <w:rFonts w:ascii="Arial" w:cs="Arial" w:eastAsia="Arial" w:hAnsi="Arial"/>
                <w:sz w:val="17"/>
                <w:szCs w:val="17"/>
                <w:b w:val="1"/>
                <w:bCs w:val="1"/>
                <w:color w:val="auto"/>
              </w:rPr>
              <w:t>Part III</w:t>
            </w:r>
          </w:p>
        </w:tc>
        <w:tc>
          <w:tcPr>
            <w:tcW w:w="5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10.</w:t>
            </w:r>
          </w:p>
        </w:tc>
        <w:tc>
          <w:tcPr>
            <w:tcW w:w="3980" w:type="dxa"/>
            <w:vAlign w:val="bottom"/>
            <w:gridSpan w:val="10"/>
          </w:tcPr>
          <w:p>
            <w:pPr>
              <w:spacing w:after="0" w:line="184" w:lineRule="exact"/>
              <w:rPr>
                <w:sz w:val="20"/>
                <w:szCs w:val="20"/>
                <w:color w:val="auto"/>
              </w:rPr>
            </w:pPr>
            <w:r>
              <w:rPr>
                <w:rFonts w:ascii="Arial" w:cs="Arial" w:eastAsia="Arial" w:hAnsi="Arial"/>
                <w:sz w:val="17"/>
                <w:szCs w:val="17"/>
                <w:color w:val="0000FF"/>
                <w:w w:val="93"/>
              </w:rPr>
              <w:t>Directors, Executive Officers and Corporate Governance</w:t>
            </w:r>
          </w:p>
        </w:tc>
        <w:tc>
          <w:tcPr>
            <w:tcW w:w="4980" w:type="dxa"/>
            <w:vAlign w:val="bottom"/>
            <w:gridSpan w:val="7"/>
          </w:tcPr>
          <w:p>
            <w:pPr>
              <w:spacing w:after="0"/>
              <w:rPr>
                <w:sz w:val="15"/>
                <w:szCs w:val="15"/>
                <w:color w:val="auto"/>
              </w:rPr>
            </w:pPr>
          </w:p>
        </w:tc>
        <w:tc>
          <w:tcPr>
            <w:tcW w:w="1120" w:type="dxa"/>
            <w:vAlign w:val="bottom"/>
            <w:gridSpan w:val="3"/>
          </w:tcPr>
          <w:p>
            <w:pPr>
              <w:jc w:val="center"/>
              <w:spacing w:after="0" w:line="184" w:lineRule="exact"/>
              <w:rPr>
                <w:sz w:val="20"/>
                <w:szCs w:val="20"/>
                <w:color w:val="auto"/>
              </w:rPr>
            </w:pPr>
            <w:r>
              <w:rPr>
                <w:rFonts w:ascii="Arial" w:cs="Arial" w:eastAsia="Arial" w:hAnsi="Arial"/>
                <w:sz w:val="17"/>
                <w:szCs w:val="17"/>
                <w:color w:val="0000FF"/>
                <w:w w:val="91"/>
              </w:rPr>
              <w:t>108</w:t>
            </w: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11.</w:t>
            </w:r>
          </w:p>
        </w:tc>
        <w:tc>
          <w:tcPr>
            <w:tcW w:w="3980" w:type="dxa"/>
            <w:vAlign w:val="bottom"/>
            <w:gridSpan w:val="10"/>
            <w:shd w:val="clear" w:color="auto" w:fill="CCEEFF"/>
          </w:tcPr>
          <w:p>
            <w:pPr>
              <w:spacing w:after="0" w:line="194" w:lineRule="exact"/>
              <w:rPr>
                <w:sz w:val="20"/>
                <w:szCs w:val="20"/>
                <w:color w:val="auto"/>
              </w:rPr>
            </w:pPr>
            <w:r>
              <w:rPr>
                <w:rFonts w:ascii="Arial" w:cs="Arial" w:eastAsia="Arial" w:hAnsi="Arial"/>
                <w:sz w:val="17"/>
                <w:szCs w:val="17"/>
                <w:color w:val="0000FF"/>
              </w:rPr>
              <w:t>Executive Compensation</w:t>
            </w:r>
          </w:p>
        </w:tc>
        <w:tc>
          <w:tcPr>
            <w:tcW w:w="4980" w:type="dxa"/>
            <w:vAlign w:val="bottom"/>
            <w:gridSpan w:val="7"/>
            <w:shd w:val="clear" w:color="auto" w:fill="CCEEFF"/>
          </w:tcPr>
          <w:p>
            <w:pPr>
              <w:spacing w:after="0"/>
              <w:rPr>
                <w:sz w:val="16"/>
                <w:szCs w:val="16"/>
                <w:color w:val="auto"/>
              </w:rPr>
            </w:pPr>
          </w:p>
        </w:tc>
        <w:tc>
          <w:tcPr>
            <w:tcW w:w="112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0000FF"/>
                <w:w w:val="91"/>
              </w:rPr>
              <w:t>108</w:t>
            </w: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12.</w:t>
            </w:r>
          </w:p>
        </w:tc>
        <w:tc>
          <w:tcPr>
            <w:tcW w:w="7080" w:type="dxa"/>
            <w:vAlign w:val="bottom"/>
            <w:gridSpan w:val="15"/>
          </w:tcPr>
          <w:p>
            <w:pPr>
              <w:spacing w:after="0" w:line="184" w:lineRule="exact"/>
              <w:rPr>
                <w:sz w:val="20"/>
                <w:szCs w:val="20"/>
                <w:color w:val="auto"/>
              </w:rPr>
            </w:pPr>
            <w:r>
              <w:rPr>
                <w:rFonts w:ascii="Arial" w:cs="Arial" w:eastAsia="Arial" w:hAnsi="Arial"/>
                <w:sz w:val="17"/>
                <w:szCs w:val="17"/>
                <w:color w:val="0000FF"/>
                <w:w w:val="93"/>
              </w:rPr>
              <w:t>Security Ownership of Certain Beneficial Owners and Management and Related Stockholder Matters</w:t>
            </w:r>
          </w:p>
        </w:tc>
        <w:tc>
          <w:tcPr>
            <w:tcW w:w="1880" w:type="dxa"/>
            <w:vAlign w:val="bottom"/>
            <w:gridSpan w:val="2"/>
          </w:tcPr>
          <w:p>
            <w:pPr>
              <w:spacing w:after="0"/>
              <w:rPr>
                <w:sz w:val="15"/>
                <w:szCs w:val="15"/>
                <w:color w:val="auto"/>
              </w:rPr>
            </w:pPr>
          </w:p>
        </w:tc>
        <w:tc>
          <w:tcPr>
            <w:tcW w:w="1120" w:type="dxa"/>
            <w:vAlign w:val="bottom"/>
            <w:gridSpan w:val="3"/>
          </w:tcPr>
          <w:p>
            <w:pPr>
              <w:jc w:val="center"/>
              <w:spacing w:after="0" w:line="184" w:lineRule="exact"/>
              <w:rPr>
                <w:sz w:val="20"/>
                <w:szCs w:val="20"/>
                <w:color w:val="auto"/>
              </w:rPr>
            </w:pPr>
            <w:r>
              <w:rPr>
                <w:rFonts w:ascii="Arial" w:cs="Arial" w:eastAsia="Arial" w:hAnsi="Arial"/>
                <w:sz w:val="17"/>
                <w:szCs w:val="17"/>
                <w:color w:val="0000FF"/>
                <w:w w:val="91"/>
              </w:rPr>
              <w:t>108</w:t>
            </w: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13.</w:t>
            </w:r>
          </w:p>
        </w:tc>
        <w:tc>
          <w:tcPr>
            <w:tcW w:w="5300" w:type="dxa"/>
            <w:vAlign w:val="bottom"/>
            <w:gridSpan w:val="13"/>
            <w:shd w:val="clear" w:color="auto" w:fill="CCEEFF"/>
          </w:tcPr>
          <w:p>
            <w:pPr>
              <w:spacing w:after="0" w:line="194" w:lineRule="exact"/>
              <w:rPr>
                <w:sz w:val="20"/>
                <w:szCs w:val="20"/>
                <w:color w:val="auto"/>
              </w:rPr>
            </w:pPr>
            <w:r>
              <w:rPr>
                <w:rFonts w:ascii="Arial" w:cs="Arial" w:eastAsia="Arial" w:hAnsi="Arial"/>
                <w:sz w:val="17"/>
                <w:szCs w:val="17"/>
                <w:color w:val="0000FF"/>
                <w:w w:val="91"/>
              </w:rPr>
              <w:t>Certain Relationships and Related Transactions, and Director Independence</w:t>
            </w:r>
          </w:p>
        </w:tc>
        <w:tc>
          <w:tcPr>
            <w:tcW w:w="1780" w:type="dxa"/>
            <w:vAlign w:val="bottom"/>
            <w:gridSpan w:val="2"/>
            <w:shd w:val="clear" w:color="auto" w:fill="CCEEFF"/>
          </w:tcPr>
          <w:p>
            <w:pPr>
              <w:spacing w:after="0"/>
              <w:rPr>
                <w:sz w:val="16"/>
                <w:szCs w:val="16"/>
                <w:color w:val="auto"/>
              </w:rPr>
            </w:pPr>
          </w:p>
        </w:tc>
        <w:tc>
          <w:tcPr>
            <w:tcW w:w="1880" w:type="dxa"/>
            <w:vAlign w:val="bottom"/>
            <w:gridSpan w:val="2"/>
            <w:shd w:val="clear" w:color="auto" w:fill="CCEEFF"/>
          </w:tcPr>
          <w:p>
            <w:pPr>
              <w:spacing w:after="0"/>
              <w:rPr>
                <w:sz w:val="16"/>
                <w:szCs w:val="16"/>
                <w:color w:val="auto"/>
              </w:rPr>
            </w:pPr>
          </w:p>
        </w:tc>
        <w:tc>
          <w:tcPr>
            <w:tcW w:w="112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0000FF"/>
                <w:w w:val="91"/>
              </w:rPr>
              <w:t>108</w:t>
            </w: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14.</w:t>
            </w:r>
          </w:p>
        </w:tc>
        <w:tc>
          <w:tcPr>
            <w:tcW w:w="5300" w:type="dxa"/>
            <w:vAlign w:val="bottom"/>
            <w:gridSpan w:val="13"/>
          </w:tcPr>
          <w:p>
            <w:pPr>
              <w:spacing w:after="0" w:line="184" w:lineRule="exact"/>
              <w:rPr>
                <w:sz w:val="20"/>
                <w:szCs w:val="20"/>
                <w:color w:val="auto"/>
              </w:rPr>
            </w:pPr>
            <w:r>
              <w:rPr>
                <w:rFonts w:ascii="Arial" w:cs="Arial" w:eastAsia="Arial" w:hAnsi="Arial"/>
                <w:sz w:val="17"/>
                <w:szCs w:val="17"/>
                <w:color w:val="0000FF"/>
              </w:rPr>
              <w:t>Principal Accountant Fees and Services</w:t>
            </w:r>
          </w:p>
        </w:tc>
        <w:tc>
          <w:tcPr>
            <w:tcW w:w="3660" w:type="dxa"/>
            <w:vAlign w:val="bottom"/>
            <w:gridSpan w:val="4"/>
          </w:tcPr>
          <w:p>
            <w:pPr>
              <w:spacing w:after="0"/>
              <w:rPr>
                <w:sz w:val="16"/>
                <w:szCs w:val="16"/>
                <w:color w:val="auto"/>
              </w:rPr>
            </w:pPr>
          </w:p>
        </w:tc>
        <w:tc>
          <w:tcPr>
            <w:tcW w:w="1120" w:type="dxa"/>
            <w:vAlign w:val="bottom"/>
            <w:gridSpan w:val="3"/>
          </w:tcPr>
          <w:p>
            <w:pPr>
              <w:jc w:val="center"/>
              <w:spacing w:after="0" w:line="184" w:lineRule="exact"/>
              <w:rPr>
                <w:sz w:val="20"/>
                <w:szCs w:val="20"/>
                <w:color w:val="auto"/>
              </w:rPr>
            </w:pPr>
            <w:r>
              <w:rPr>
                <w:rFonts w:ascii="Arial" w:cs="Arial" w:eastAsia="Arial" w:hAnsi="Arial"/>
                <w:sz w:val="17"/>
                <w:szCs w:val="17"/>
                <w:color w:val="0000FF"/>
                <w:w w:val="91"/>
              </w:rPr>
              <w:t>108</w:t>
            </w:r>
          </w:p>
        </w:tc>
        <w:tc>
          <w:tcPr>
            <w:tcW w:w="0" w:type="dxa"/>
            <w:vAlign w:val="bottom"/>
          </w:tcPr>
          <w:p>
            <w:pPr>
              <w:spacing w:after="0"/>
              <w:rPr>
                <w:sz w:val="1"/>
                <w:szCs w:val="1"/>
                <w:color w:val="auto"/>
              </w:rPr>
            </w:pPr>
          </w:p>
        </w:tc>
      </w:tr>
      <w:tr>
        <w:trPr>
          <w:trHeight w:val="233"/>
        </w:trPr>
        <w:tc>
          <w:tcPr>
            <w:tcW w:w="1120" w:type="dxa"/>
            <w:vAlign w:val="bottom"/>
            <w:shd w:val="clear" w:color="auto" w:fill="CCEEFF"/>
          </w:tcPr>
          <w:p>
            <w:pPr>
              <w:spacing w:after="0"/>
              <w:rPr>
                <w:sz w:val="20"/>
                <w:szCs w:val="20"/>
                <w:color w:val="auto"/>
              </w:rPr>
            </w:pPr>
          </w:p>
        </w:tc>
        <w:tc>
          <w:tcPr>
            <w:tcW w:w="62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left w:val="single" w:sz="8" w:color="CCEEFF"/>
            </w:tcBorders>
            <w:shd w:val="clear" w:color="auto" w:fill="CCEEFF"/>
          </w:tcPr>
          <w:p>
            <w:pPr>
              <w:spacing w:after="0"/>
              <w:rPr>
                <w:sz w:val="20"/>
                <w:szCs w:val="20"/>
                <w:color w:val="auto"/>
              </w:rPr>
            </w:pPr>
          </w:p>
        </w:tc>
        <w:tc>
          <w:tcPr>
            <w:tcW w:w="420" w:type="dxa"/>
            <w:vAlign w:val="bottom"/>
            <w:tcBorders>
              <w:top w:val="single" w:sz="8" w:color="0000FF"/>
              <w:right w:val="single" w:sz="8" w:color="CCEE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left w:val="single" w:sz="8" w:color="CCEEFF"/>
            </w:tcBorders>
            <w:shd w:val="clear" w:color="auto" w:fill="CCEEFF"/>
          </w:tcPr>
          <w:p>
            <w:pPr>
              <w:spacing w:after="0"/>
              <w:rPr>
                <w:sz w:val="20"/>
                <w:szCs w:val="20"/>
                <w:color w:val="auto"/>
              </w:rPr>
            </w:pPr>
          </w:p>
        </w:tc>
        <w:tc>
          <w:tcPr>
            <w:tcW w:w="840" w:type="dxa"/>
            <w:vAlign w:val="bottom"/>
            <w:tcBorders>
              <w:top w:val="single" w:sz="8" w:color="0000FF"/>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980" w:type="dxa"/>
            <w:vAlign w:val="bottom"/>
            <w:gridSpan w:val="7"/>
            <w:shd w:val="clear" w:color="auto" w:fill="CCEEFF"/>
          </w:tcPr>
          <w:p>
            <w:pPr>
              <w:jc w:val="center"/>
              <w:ind w:right="3980"/>
              <w:spacing w:after="0"/>
              <w:rPr>
                <w:sz w:val="20"/>
                <w:szCs w:val="20"/>
                <w:color w:val="auto"/>
              </w:rPr>
            </w:pPr>
            <w:r>
              <w:rPr>
                <w:rFonts w:ascii="Arial" w:cs="Arial" w:eastAsia="Arial" w:hAnsi="Arial"/>
                <w:sz w:val="17"/>
                <w:szCs w:val="17"/>
                <w:b w:val="1"/>
                <w:bCs w:val="1"/>
                <w:color w:val="auto"/>
              </w:rPr>
              <w:t>Part IV</w:t>
            </w:r>
          </w:p>
        </w:tc>
        <w:tc>
          <w:tcPr>
            <w:tcW w:w="5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4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15.</w:t>
            </w:r>
          </w:p>
        </w:tc>
        <w:tc>
          <w:tcPr>
            <w:tcW w:w="2820" w:type="dxa"/>
            <w:vAlign w:val="bottom"/>
            <w:gridSpan w:val="8"/>
          </w:tcPr>
          <w:p>
            <w:pPr>
              <w:spacing w:after="0" w:line="184" w:lineRule="exact"/>
              <w:rPr>
                <w:sz w:val="20"/>
                <w:szCs w:val="20"/>
                <w:color w:val="auto"/>
              </w:rPr>
            </w:pPr>
            <w:r>
              <w:rPr>
                <w:rFonts w:ascii="Arial" w:cs="Arial" w:eastAsia="Arial" w:hAnsi="Arial"/>
                <w:sz w:val="17"/>
                <w:szCs w:val="17"/>
                <w:color w:val="0000FF"/>
                <w:w w:val="91"/>
              </w:rPr>
              <w:t>Exhibits, Financial Statement Schedules</w:t>
            </w:r>
          </w:p>
        </w:tc>
        <w:tc>
          <w:tcPr>
            <w:tcW w:w="6140" w:type="dxa"/>
            <w:vAlign w:val="bottom"/>
            <w:gridSpan w:val="9"/>
          </w:tcPr>
          <w:p>
            <w:pPr>
              <w:spacing w:after="0"/>
              <w:rPr>
                <w:sz w:val="15"/>
                <w:szCs w:val="15"/>
                <w:color w:val="auto"/>
              </w:rPr>
            </w:pPr>
          </w:p>
        </w:tc>
        <w:tc>
          <w:tcPr>
            <w:tcW w:w="1120" w:type="dxa"/>
            <w:vAlign w:val="bottom"/>
            <w:gridSpan w:val="3"/>
          </w:tcPr>
          <w:p>
            <w:pPr>
              <w:jc w:val="center"/>
              <w:spacing w:after="0" w:line="184" w:lineRule="exact"/>
              <w:rPr>
                <w:sz w:val="20"/>
                <w:szCs w:val="20"/>
                <w:color w:val="auto"/>
              </w:rPr>
            </w:pPr>
            <w:r>
              <w:rPr>
                <w:rFonts w:ascii="Arial" w:cs="Arial" w:eastAsia="Arial" w:hAnsi="Arial"/>
                <w:sz w:val="17"/>
                <w:szCs w:val="17"/>
                <w:color w:val="0000FF"/>
                <w:w w:val="91"/>
              </w:rPr>
              <w:t>109</w:t>
            </w: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16.</w:t>
            </w:r>
          </w:p>
        </w:tc>
        <w:tc>
          <w:tcPr>
            <w:tcW w:w="2820" w:type="dxa"/>
            <w:vAlign w:val="bottom"/>
            <w:tcBorders>
              <w:right w:val="single" w:sz="8" w:color="CCEEFF"/>
            </w:tcBorders>
            <w:gridSpan w:val="8"/>
            <w:shd w:val="clear" w:color="auto" w:fill="CCEEFF"/>
          </w:tcPr>
          <w:p>
            <w:pPr>
              <w:spacing w:after="0" w:line="194" w:lineRule="exact"/>
              <w:rPr>
                <w:sz w:val="20"/>
                <w:szCs w:val="20"/>
                <w:color w:val="auto"/>
              </w:rPr>
            </w:pPr>
            <w:r>
              <w:rPr>
                <w:rFonts w:ascii="Arial" w:cs="Arial" w:eastAsia="Arial" w:hAnsi="Arial"/>
                <w:sz w:val="17"/>
                <w:szCs w:val="17"/>
                <w:color w:val="0000FF"/>
              </w:rPr>
              <w:t>Form 10-K Summary</w:t>
            </w:r>
          </w:p>
        </w:tc>
        <w:tc>
          <w:tcPr>
            <w:tcW w:w="6140" w:type="dxa"/>
            <w:vAlign w:val="bottom"/>
            <w:gridSpan w:val="9"/>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center"/>
              <w:ind w:left="313"/>
              <w:spacing w:after="0" w:line="194" w:lineRule="exact"/>
              <w:rPr>
                <w:sz w:val="20"/>
                <w:szCs w:val="20"/>
                <w:color w:val="auto"/>
              </w:rPr>
            </w:pPr>
            <w:r>
              <w:rPr>
                <w:rFonts w:ascii="Arial" w:cs="Arial" w:eastAsia="Arial" w:hAnsi="Arial"/>
                <w:sz w:val="17"/>
                <w:szCs w:val="17"/>
                <w:color w:val="0000FF"/>
                <w:w w:val="91"/>
              </w:rPr>
              <w:t>113</w:t>
            </w:r>
          </w:p>
        </w:tc>
        <w:tc>
          <w:tcPr>
            <w:tcW w:w="4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56"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211" w:lineRule="exact"/>
        <w:rPr>
          <w:sz w:val="20"/>
          <w:szCs w:val="20"/>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users or convert registered users to paying users;</w:t>
      </w:r>
    </w:p>
    <w:p>
      <w:pPr>
        <w:spacing w:after="0" w:line="250" w:lineRule="exact"/>
        <w:rPr>
          <w:rFonts w:ascii="Arial" w:cs="Arial" w:eastAsia="Arial" w:hAnsi="Arial"/>
          <w:sz w:val="17"/>
          <w:szCs w:val="17"/>
          <w:color w:val="auto"/>
        </w:rPr>
      </w:pPr>
    </w:p>
    <w:p>
      <w:pPr>
        <w:ind w:left="720" w:hanging="322"/>
        <w:spacing w:after="0" w:line="289"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71"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general economic, political, and market trends and their respective impacts on our business;</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successfully in competitive markets;</w:t>
      </w:r>
    </w:p>
    <w:p>
      <w:pPr>
        <w:spacing w:after="0" w:line="237" w:lineRule="exact"/>
        <w:rPr>
          <w:rFonts w:ascii="Arial" w:cs="Arial" w:eastAsia="Arial" w:hAnsi="Arial"/>
          <w:sz w:val="17"/>
          <w:szCs w:val="17"/>
          <w:color w:val="auto"/>
        </w:rPr>
      </w:pPr>
    </w:p>
    <w:p>
      <w:pPr>
        <w:ind w:left="720" w:right="80" w:hanging="322"/>
        <w:spacing w:after="0" w:line="273"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potential impacts of a more permanent global shift to remote or distributed work, on our business, the business of our customers, suppliers and partners, and the economy;</w:t>
      </w:r>
    </w:p>
    <w:p>
      <w:pPr>
        <w:spacing w:after="0" w:line="197"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demand for our platform or for content collaboration solutions in general;</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integrate our platform with others;</w:t>
      </w:r>
    </w:p>
    <w:p>
      <w:pPr>
        <w:spacing w:after="0" w:line="237" w:lineRule="exact"/>
        <w:rPr>
          <w:rFonts w:ascii="Arial" w:cs="Arial" w:eastAsia="Arial" w:hAnsi="Arial"/>
          <w:sz w:val="17"/>
          <w:szCs w:val="17"/>
          <w:color w:val="auto"/>
        </w:rPr>
      </w:pPr>
    </w:p>
    <w:p>
      <w:pPr>
        <w:ind w:left="720" w:right="120" w:hanging="322"/>
        <w:spacing w:after="0" w:line="273"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respond to rapid technological changes, including our ability to take advantage of potential market opportunities arising from what we believe to be a more permanent shift towards remote or distributed work;</w:t>
      </w:r>
    </w:p>
    <w:p>
      <w:pPr>
        <w:spacing w:after="0" w:line="197"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maintain profitability;</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around future growth;</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introduce new products and features;</w:t>
      </w:r>
    </w:p>
    <w:p>
      <w:pPr>
        <w:spacing w:after="0" w:line="269"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ability to effectively invest in the development of new products and technologies;</w:t>
      </w:r>
    </w:p>
    <w:p>
      <w:pPr>
        <w:spacing w:after="0" w:line="224" w:lineRule="exact"/>
        <w:rPr>
          <w:rFonts w:ascii="Arial" w:cs="Arial" w:eastAsia="Arial" w:hAnsi="Arial"/>
          <w:sz w:val="21"/>
          <w:szCs w:val="21"/>
          <w:color w:val="auto"/>
        </w:rPr>
      </w:pPr>
    </w:p>
    <w:p>
      <w:pPr>
        <w:ind w:left="720" w:right="240" w:hanging="322"/>
        <w:spacing w:after="0" w:line="289"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retain, integrate, and manage key and other highly qualified personnel, including as a result of our transition to a Virtual First model with an increasingly distributed workforce;</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prevent security breaches and unauthorized access to customer data;</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capital allocation plans, including expected allocations of cash and timing for our share repurchases and other investments;</w:t>
      </w:r>
    </w:p>
    <w:p>
      <w:pPr>
        <w:spacing w:after="0" w:line="250" w:lineRule="exact"/>
        <w:rPr>
          <w:rFonts w:ascii="Arial" w:cs="Arial" w:eastAsia="Arial" w:hAnsi="Arial"/>
          <w:sz w:val="17"/>
          <w:szCs w:val="17"/>
          <w:color w:val="auto"/>
        </w:rPr>
      </w:pPr>
    </w:p>
    <w:p>
      <w:pPr>
        <w:ind w:left="720" w:right="360" w:hanging="322"/>
        <w:spacing w:after="0" w:line="289"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challenges and anticipated benefits to our business from our Virtual First work model as well as the impact to our financial results and business operations as a result of this model;</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new or modified laws, policies, taxes, and regulations on our business;</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sufficiency of our cash and cash equivalents to meet our liquidity needs; and</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700" w:hanging="302"/>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Acquisitions of companies and assets.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Annual Report on Form 10-K.</w:t>
      </w:r>
    </w:p>
    <w:p>
      <w:pPr>
        <w:spacing w:after="0" w:line="224"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1"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90" w:lineRule="exact"/>
        <w:rPr>
          <w:sz w:val="20"/>
          <w:szCs w:val="20"/>
          <w:color w:val="auto"/>
        </w:rPr>
      </w:pPr>
    </w:p>
    <w:p>
      <w:pPr>
        <w:ind w:left="4320"/>
        <w:spacing w:after="0"/>
        <w:rPr>
          <w:sz w:val="20"/>
          <w:szCs w:val="20"/>
          <w:color w:val="auto"/>
        </w:rPr>
      </w:pPr>
      <w:r>
        <w:rPr>
          <w:rFonts w:ascii="Arial" w:cs="Arial" w:eastAsia="Arial" w:hAnsi="Arial"/>
          <w:sz w:val="21"/>
          <w:szCs w:val="21"/>
          <w:b w:val="1"/>
          <w:bCs w:val="1"/>
          <w:color w:val="auto"/>
        </w:rPr>
        <w:t>SUMMARY OF RISK FACTORS</w:t>
      </w:r>
    </w:p>
    <w:p>
      <w:pPr>
        <w:spacing w:after="0" w:line="246" w:lineRule="exact"/>
        <w:rPr>
          <w:sz w:val="20"/>
          <w:szCs w:val="20"/>
          <w:color w:val="auto"/>
        </w:rPr>
      </w:pPr>
    </w:p>
    <w:p>
      <w:pPr>
        <w:ind w:right="180" w:firstLine="393"/>
        <w:spacing w:after="0" w:line="257" w:lineRule="auto"/>
        <w:rPr>
          <w:sz w:val="20"/>
          <w:szCs w:val="20"/>
          <w:color w:val="auto"/>
        </w:rPr>
      </w:pPr>
      <w:r>
        <w:rPr>
          <w:rFonts w:ascii="Arial" w:cs="Arial" w:eastAsia="Arial" w:hAnsi="Arial"/>
          <w:sz w:val="17"/>
          <w:szCs w:val="17"/>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Securities and Exchange Commission ("SEC") before making an investment decision regarding our Class A common stock.</w:t>
      </w:r>
    </w:p>
    <w:p>
      <w:pPr>
        <w:spacing w:after="0" w:line="199" w:lineRule="exact"/>
        <w:rPr>
          <w:sz w:val="20"/>
          <w:szCs w:val="20"/>
          <w:color w:val="auto"/>
        </w:rPr>
      </w:pPr>
    </w:p>
    <w:p>
      <w:pPr>
        <w:ind w:left="720" w:right="360" w:hanging="322"/>
        <w:spacing w:after="0" w:line="289" w:lineRule="auto"/>
        <w:tabs>
          <w:tab w:leader="none" w:pos="71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depends on our ability to retain and upgrade paying users, and any decline in renewals or upgrades could adversely affect our future results of operations.</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future growth could be harmed if we fail to attract new users or convert registered users to paying users.</w:t>
      </w:r>
    </w:p>
    <w:p>
      <w:pPr>
        <w:spacing w:after="0" w:line="250" w:lineRule="exact"/>
        <w:rPr>
          <w:rFonts w:ascii="Arial" w:cs="Arial" w:eastAsia="Arial" w:hAnsi="Arial"/>
          <w:sz w:val="17"/>
          <w:szCs w:val="17"/>
          <w:color w:val="auto"/>
        </w:rPr>
      </w:pPr>
    </w:p>
    <w:p>
      <w:pPr>
        <w:ind w:left="720" w:right="340" w:hanging="322"/>
        <w:spacing w:after="0" w:line="289" w:lineRule="auto"/>
        <w:tabs>
          <w:tab w:leader="none" w:pos="71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could be damaged, and we could be subject to liability if there is any unauthorized access to our data or our users' content, including through privacy and data security breaches or incidents.</w:t>
      </w:r>
    </w:p>
    <w:p>
      <w:pPr>
        <w:spacing w:after="0" w:line="224" w:lineRule="exact"/>
        <w:rPr>
          <w:rFonts w:ascii="Arial" w:cs="Arial" w:eastAsia="Arial" w:hAnsi="Arial"/>
          <w:sz w:val="17"/>
          <w:szCs w:val="17"/>
          <w:color w:val="auto"/>
        </w:rPr>
      </w:pPr>
    </w:p>
    <w:p>
      <w:pPr>
        <w:ind w:left="720" w:right="480" w:hanging="322"/>
        <w:spacing w:after="0" w:line="237" w:lineRule="auto"/>
        <w:tabs>
          <w:tab w:leader="none" w:pos="715" w:val="left"/>
        </w:tabs>
        <w:numPr>
          <w:ilvl w:val="0"/>
          <w:numId w:val="5"/>
        </w:numPr>
        <w:rPr>
          <w:rFonts w:ascii="Arial" w:cs="Arial" w:eastAsia="Arial" w:hAnsi="Arial"/>
          <w:sz w:val="21"/>
          <w:szCs w:val="21"/>
          <w:color w:val="auto"/>
        </w:rPr>
      </w:pPr>
      <w:r>
        <w:rPr>
          <w:rFonts w:ascii="Arial" w:cs="Arial" w:eastAsia="Arial" w:hAnsi="Arial"/>
          <w:sz w:val="17"/>
          <w:szCs w:val="17"/>
          <w:color w:val="auto"/>
        </w:rPr>
        <w:t>Our business may be significantly impacted by a change in general economic, political, and market conditions, including any resulting effect on consumer or business spending.</w:t>
      </w:r>
    </w:p>
    <w:p>
      <w:pPr>
        <w:spacing w:after="0" w:line="224" w:lineRule="exact"/>
        <w:rPr>
          <w:rFonts w:ascii="Arial" w:cs="Arial" w:eastAsia="Arial" w:hAnsi="Arial"/>
          <w:sz w:val="21"/>
          <w:szCs w:val="21"/>
          <w:color w:val="auto"/>
        </w:rPr>
      </w:pPr>
    </w:p>
    <w:p>
      <w:pPr>
        <w:ind w:left="700" w:hanging="302"/>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operate in competitive markets, and we must continue to compete effectively.</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depends upon the interoperability of our platform across devices, operating systems, and third-party applications that we do not control.</w:t>
      </w:r>
    </w:p>
    <w:p>
      <w:pPr>
        <w:spacing w:after="0" w:line="273" w:lineRule="exact"/>
        <w:rPr>
          <w:rFonts w:ascii="Arial" w:cs="Arial" w:eastAsia="Arial" w:hAnsi="Arial"/>
          <w:sz w:val="15"/>
          <w:szCs w:val="15"/>
          <w:color w:val="auto"/>
        </w:rPr>
      </w:pPr>
    </w:p>
    <w:p>
      <w:pPr>
        <w:ind w:left="700" w:hanging="302"/>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could be harmed by any significant disruption of service on our platform or loss of content.</w:t>
      </w:r>
    </w:p>
    <w:p>
      <w:pPr>
        <w:spacing w:after="0" w:line="250" w:lineRule="exact"/>
        <w:rPr>
          <w:rFonts w:ascii="Arial" w:cs="Arial" w:eastAsia="Arial" w:hAnsi="Arial"/>
          <w:sz w:val="17"/>
          <w:szCs w:val="17"/>
          <w:color w:val="auto"/>
        </w:rPr>
      </w:pPr>
    </w:p>
    <w:p>
      <w:pPr>
        <w:ind w:left="720" w:right="60" w:hanging="322"/>
        <w:spacing w:after="0" w:line="289" w:lineRule="auto"/>
        <w:tabs>
          <w:tab w:leader="none" w:pos="71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generate revenue from sales of subscriptions to our platform, and any decline in demand for our platform, or for content collaboration solutions in general, could negatively impact our business.</w:t>
      </w:r>
    </w:p>
    <w:p>
      <w:pPr>
        <w:spacing w:after="0" w:line="184" w:lineRule="exact"/>
        <w:rPr>
          <w:rFonts w:ascii="Arial" w:cs="Arial" w:eastAsia="Arial" w:hAnsi="Arial"/>
          <w:sz w:val="17"/>
          <w:szCs w:val="17"/>
          <w:color w:val="auto"/>
        </w:rPr>
      </w:pPr>
    </w:p>
    <w:p>
      <w:pPr>
        <w:ind w:left="720" w:right="680" w:hanging="322"/>
        <w:spacing w:after="0" w:line="289" w:lineRule="auto"/>
        <w:tabs>
          <w:tab w:leader="none" w:pos="716"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respond to rapid technological changes, extend our platform, or develop new features or products may harm our ability to compete effectively, which would adversely affect our business.</w:t>
      </w:r>
    </w:p>
    <w:p>
      <w:pPr>
        <w:spacing w:after="0" w:line="171" w:lineRule="exact"/>
        <w:rPr>
          <w:rFonts w:ascii="Arial" w:cs="Arial" w:eastAsia="Arial" w:hAnsi="Arial"/>
          <w:sz w:val="17"/>
          <w:szCs w:val="17"/>
          <w:color w:val="auto"/>
        </w:rPr>
      </w:pPr>
    </w:p>
    <w:p>
      <w:pPr>
        <w:ind w:left="700" w:hanging="302"/>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successfully manage our growth or successfully execute our plan for future growth.</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20" w:right="60" w:hanging="322"/>
        <w:spacing w:after="0" w:line="289" w:lineRule="auto"/>
        <w:tabs>
          <w:tab w:leader="none" w:pos="71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84" w:lineRule="exact"/>
        <w:rPr>
          <w:rFonts w:ascii="Arial" w:cs="Arial" w:eastAsia="Arial" w:hAnsi="Arial"/>
          <w:sz w:val="17"/>
          <w:szCs w:val="17"/>
          <w:color w:val="auto"/>
        </w:rPr>
      </w:pPr>
    </w:p>
    <w:p>
      <w:pPr>
        <w:ind w:left="720" w:right="380" w:hanging="322"/>
        <w:spacing w:after="0" w:line="289" w:lineRule="auto"/>
        <w:tabs>
          <w:tab w:leader="none" w:pos="71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a limited history of operating with a Virtual First workforce and the long-term impact on our financial results and business operations remains uncertain.</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lack of a significant outbound sales force may limit the potential growth of our business.</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revenue growth rate has declined in recent periods and may continue to slow in the future.</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a history of net losses, we may increase expenses in the future, and we may not be able to achieve or maintain profitability.</w:t>
      </w:r>
    </w:p>
    <w:p>
      <w:pPr>
        <w:spacing w:after="0" w:line="250" w:lineRule="exact"/>
        <w:rPr>
          <w:rFonts w:ascii="Arial" w:cs="Arial" w:eastAsia="Arial" w:hAnsi="Arial"/>
          <w:sz w:val="17"/>
          <w:szCs w:val="17"/>
          <w:color w:val="auto"/>
        </w:rPr>
      </w:pPr>
    </w:p>
    <w:p>
      <w:pPr>
        <w:ind w:left="720" w:hanging="322"/>
        <w:spacing w:after="0" w:line="289" w:lineRule="auto"/>
        <w:tabs>
          <w:tab w:leader="none" w:pos="716" w:val="left"/>
        </w:tabs>
        <w:numPr>
          <w:ilvl w:val="0"/>
          <w:numId w:val="6"/>
        </w:numPr>
        <w:rPr>
          <w:rFonts w:ascii="Arial" w:cs="Arial" w:eastAsia="Arial" w:hAnsi="Arial"/>
          <w:sz w:val="17"/>
          <w:szCs w:val="17"/>
          <w:color w:val="auto"/>
        </w:rPr>
      </w:pPr>
      <w:r>
        <w:rPr>
          <w:rFonts w:ascii="Arial" w:cs="Arial" w:eastAsia="Arial" w:hAnsi="Arial"/>
          <w:sz w:val="17"/>
          <w:szCs w:val="17"/>
          <w:color w:val="auto"/>
        </w:rPr>
        <w:t>Servicing our 2026 Notes and 2028 Notes (as defined below) may require a significant amount of cash, and we may not have sufficient cash flow or the ability to raise the funds necessary to satisfy our obligations under the 2026 Notes or 2028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320" w:top="130" w:right="51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1B. UNRESOLVED STAFF COMMENTS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BUSINESS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Dropbox, Inc. (the “Company”, “we”, or “us”) is the one place to keep life organized and keep work moving.</w:t>
      </w:r>
    </w:p>
    <w:p>
      <w:pPr>
        <w:spacing w:after="0" w:line="250" w:lineRule="exact"/>
        <w:rPr>
          <w:sz w:val="20"/>
          <w:szCs w:val="20"/>
          <w:color w:val="auto"/>
        </w:rPr>
      </w:pPr>
    </w:p>
    <w:p>
      <w:pPr>
        <w:ind w:firstLine="433"/>
        <w:spacing w:after="0" w:line="298" w:lineRule="auto"/>
        <w:rPr>
          <w:sz w:val="20"/>
          <w:szCs w:val="20"/>
          <w:color w:val="auto"/>
        </w:rPr>
      </w:pPr>
      <w:r>
        <w:rPr>
          <w:rFonts w:ascii="Arial" w:cs="Arial" w:eastAsia="Arial" w:hAnsi="Arial"/>
          <w:sz w:val="16"/>
          <w:szCs w:val="16"/>
          <w:color w:val="auto"/>
        </w:rPr>
        <w:t>We were founded in 2007 with a simple idea: Life would be a lot better if everyone could access their most important information anytime from any device. Over the past decade, we’ve largely accomplished that mission by building tools to help people work from anywhere—and along the way we recognized that for most of our users, sharing and collaborating on the Dropbox, Inc. platform (“Dropbox”) was even more valuable than storing files.</w:t>
      </w:r>
    </w:p>
    <w:p>
      <w:pPr>
        <w:spacing w:after="0" w:line="180"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Our market opportunity grew as we’ve expanded from keeping files in sync to keeping teams in sync. Today, we are well-positioned to reimagine the way work gets done. We're focusing on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 In a world where using technology at work can be fragmented and distracting, Dropbox makes it easy to focus on the work that matters.</w:t>
      </w:r>
    </w:p>
    <w:p>
      <w:pPr>
        <w:spacing w:after="0" w:line="205" w:lineRule="exact"/>
        <w:rPr>
          <w:sz w:val="20"/>
          <w:szCs w:val="20"/>
          <w:color w:val="auto"/>
        </w:rPr>
      </w:pPr>
    </w:p>
    <w:p>
      <w:pPr>
        <w:ind w:right="200" w:firstLine="433"/>
        <w:spacing w:after="0" w:line="289" w:lineRule="auto"/>
        <w:rPr>
          <w:sz w:val="20"/>
          <w:szCs w:val="20"/>
          <w:color w:val="auto"/>
        </w:rPr>
      </w:pPr>
      <w:r>
        <w:rPr>
          <w:rFonts w:ascii="Arial" w:cs="Arial" w:eastAsia="Arial" w:hAnsi="Arial"/>
          <w:sz w:val="17"/>
          <w:szCs w:val="17"/>
          <w:color w:val="auto"/>
        </w:rPr>
        <w:t>The popularity of our platform promotes viral growth, which has allowed us to scale rapidly and efficiently. We’ve built a thriving global business with 17.77 million paying users as of December 31, 2022.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Sets Us Apart</w:t>
      </w:r>
    </w:p>
    <w:p>
      <w:pPr>
        <w:spacing w:after="0" w:line="125" w:lineRule="exact"/>
        <w:rPr>
          <w:sz w:val="20"/>
          <w:szCs w:val="20"/>
          <w:color w:val="auto"/>
        </w:rPr>
      </w:pPr>
    </w:p>
    <w:p>
      <w:pPr>
        <w:ind w:right="400" w:firstLine="433"/>
        <w:spacing w:after="0" w:line="268" w:lineRule="auto"/>
        <w:rPr>
          <w:sz w:val="20"/>
          <w:szCs w:val="20"/>
          <w:color w:val="auto"/>
        </w:rPr>
      </w:pPr>
      <w:r>
        <w:rPr>
          <w:rFonts w:ascii="Arial" w:cs="Arial" w:eastAsia="Arial" w:hAnsi="Arial"/>
          <w:sz w:val="17"/>
          <w:szCs w:val="17"/>
          <w:color w:val="auto"/>
        </w:rPr>
        <w:t>From our founding, we’ve focused on simplifying the lives of our users. In a world where business software can be frustrating to use, challenging to integrate, and expensive to sell, we take a different approach. As businesses around the world adapt to a distributed environment, we are at the forefront of developing the technology to support them. We provide tools to help distributed teams prioritize, get organized, and keep work moving securely—from anywhere.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Simple and intuitive design</w:t>
      </w:r>
    </w:p>
    <w:p>
      <w:pPr>
        <w:spacing w:after="0" w:line="119" w:lineRule="exact"/>
        <w:rPr>
          <w:sz w:val="20"/>
          <w:szCs w:val="20"/>
          <w:color w:val="auto"/>
        </w:rPr>
      </w:pPr>
    </w:p>
    <w:p>
      <w:pPr>
        <w:ind w:right="80" w:firstLine="433"/>
        <w:spacing w:after="0" w:line="289" w:lineRule="auto"/>
        <w:rPr>
          <w:sz w:val="20"/>
          <w:szCs w:val="20"/>
          <w:color w:val="auto"/>
        </w:rPr>
      </w:pPr>
      <w:r>
        <w:rPr>
          <w:rFonts w:ascii="Arial" w:cs="Arial" w:eastAsia="Arial" w:hAnsi="Arial"/>
          <w:sz w:val="17"/>
          <w:szCs w:val="17"/>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Open ecosystem</w:t>
      </w:r>
    </w:p>
    <w:p>
      <w:pPr>
        <w:spacing w:after="0" w:line="119"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color w:val="auto"/>
        </w:rPr>
        <w:t>Because people use a wide variety of devices, tools and platforms, Dropbox works across the devices, operating systems, and apps users want—from Android to iOS, Windows, Mac, desktop, and mobile. We also integrate seamlessly with other products, integrating with partners including Microsoft, Zoom, Slack, BetterCloud, Atlassian, and Google.</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Viral, bottom-up adoption</w:t>
      </w:r>
    </w:p>
    <w:p>
      <w:pPr>
        <w:spacing w:after="0" w:line="119"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Every year, millions of users sign up for Dropbox at work. Bottom-up adoption within organizations has been critical to our strategy and success as users increasingly choose their own tools at work. We generate over 90% of our revenue from self-serve channels—users who purchase a subscription through our app or website.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Performance and security</w:t>
      </w:r>
    </w:p>
    <w:p>
      <w:pPr>
        <w:spacing w:after="0" w:line="119" w:lineRule="exact"/>
        <w:rPr>
          <w:sz w:val="20"/>
          <w:szCs w:val="20"/>
          <w:color w:val="auto"/>
        </w:rPr>
      </w:pPr>
    </w:p>
    <w:p>
      <w:pPr>
        <w:jc w:val="both"/>
        <w:ind w:right="260" w:firstLine="433"/>
        <w:spacing w:after="0" w:line="268" w:lineRule="auto"/>
        <w:rPr>
          <w:sz w:val="20"/>
          <w:szCs w:val="20"/>
          <w:color w:val="auto"/>
        </w:rPr>
      </w:pPr>
      <w:r>
        <w:rPr>
          <w:rFonts w:ascii="Arial" w:cs="Arial" w:eastAsia="Arial" w:hAnsi="Arial"/>
          <w:sz w:val="17"/>
          <w:szCs w:val="17"/>
          <w:color w:val="auto"/>
        </w:rPr>
        <w:t>Our custom-built infrastructure allows us to maintain high standards of performance, availability, and security. Dropbox is built on proprietary, block-level sync technology to achieve industry-leading performance.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w:t>
      </w:r>
    </w:p>
    <w:p>
      <w:pPr>
        <w:spacing w:after="0" w:line="125"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Dropbox allows individuals, teams, and organizations to collaborate more effectively and focus on the work that matters. Anyone can sign up for free through our website or app, and upgrade to a paid subscription plan for premium features. Our customers include individuals, families, teams, and organizations of all sizes, from freelancers and small businesses to Fortune 100 companies. They work across a wide range of industries, including professional services, technology, media, education, industrial, consumer and retail, and financial services. Within companies, our platform is used by all types of teams and functions, including sales, marketing, product, design, engineering, finance, legal, and human resources.</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elements of our platform</w:t>
      </w:r>
    </w:p>
    <w:p>
      <w:pPr>
        <w:spacing w:after="0" w:line="145" w:lineRule="exact"/>
        <w:rPr>
          <w:sz w:val="20"/>
          <w:szCs w:val="20"/>
          <w:color w:val="auto"/>
        </w:rPr>
      </w:pPr>
    </w:p>
    <w:p>
      <w:pPr>
        <w:ind w:left="640" w:hanging="320"/>
        <w:spacing w:after="0" w:line="268"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Unified home for content. </w:t>
      </w:r>
      <w:r>
        <w:rPr>
          <w:rFonts w:ascii="Arial" w:cs="Arial" w:eastAsia="Arial" w:hAnsi="Arial"/>
          <w:sz w:val="17"/>
          <w:szCs w:val="17"/>
          <w:color w:val="auto"/>
        </w:rPr>
        <w:t>We provide a unified home for the world’s content and the relevant context around it. To date, our users have added hundreds</w:t>
      </w:r>
      <w:r>
        <w:rPr>
          <w:rFonts w:ascii="Arial" w:cs="Arial" w:eastAsia="Arial" w:hAnsi="Arial"/>
          <w:sz w:val="17"/>
          <w:szCs w:val="17"/>
          <w:i w:val="1"/>
          <w:iCs w:val="1"/>
          <w:color w:val="auto"/>
        </w:rPr>
        <w:t xml:space="preserve"> </w:t>
      </w:r>
      <w:r>
        <w:rPr>
          <w:rFonts w:ascii="Arial" w:cs="Arial" w:eastAsia="Arial" w:hAnsi="Arial"/>
          <w:sz w:val="17"/>
          <w:szCs w:val="17"/>
          <w:color w:val="auto"/>
        </w:rPr>
        <w:t>of billions of pieces of content to Dropbox, totaling over multiple exabytes of data. When users adopt the Dropbox platform, they gain access to a digital workspace that supports the full content lifecycle—they can create and organize their content, access it from anywhere, share it with internal and external collaborators, and review feedback and history.</w:t>
      </w:r>
    </w:p>
    <w:p>
      <w:pPr>
        <w:spacing w:after="0" w:line="71" w:lineRule="exact"/>
        <w:rPr>
          <w:rFonts w:ascii="Arial" w:cs="Arial" w:eastAsia="Arial" w:hAnsi="Arial"/>
          <w:sz w:val="17"/>
          <w:szCs w:val="17"/>
          <w:color w:val="auto"/>
        </w:rPr>
      </w:pPr>
    </w:p>
    <w:p>
      <w:pPr>
        <w:ind w:left="640" w:right="160" w:hanging="320"/>
        <w:spacing w:after="0" w:line="273"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Global sharing network. </w:t>
      </w:r>
      <w:r>
        <w:rPr>
          <w:rFonts w:ascii="Arial" w:cs="Arial" w:eastAsia="Arial" w:hAnsi="Arial"/>
          <w:sz w:val="17"/>
          <w:szCs w:val="17"/>
          <w:color w:val="auto"/>
        </w:rPr>
        <w:t>We’ve built one of the largest collaboration platforms in the world. We cater to the needs of dynamic, dispersed teams. The</w:t>
      </w:r>
      <w:r>
        <w:rPr>
          <w:rFonts w:ascii="Arial" w:cs="Arial" w:eastAsia="Arial" w:hAnsi="Arial"/>
          <w:sz w:val="17"/>
          <w:szCs w:val="17"/>
          <w:i w:val="1"/>
          <w:iCs w:val="1"/>
          <w:color w:val="auto"/>
        </w:rPr>
        <w:t xml:space="preserve"> </w:t>
      </w:r>
      <w:r>
        <w:rPr>
          <w:rFonts w:ascii="Arial" w:cs="Arial" w:eastAsia="Arial" w:hAnsi="Arial"/>
          <w:sz w:val="17"/>
          <w:szCs w:val="17"/>
          <w:color w:val="auto"/>
        </w:rPr>
        <w:t>overwhelming majority of our customers use Dropbox to share and collaborate. As we continue to grow, more users benefit from frictionless sharing, and powerful network effects increase the utility and stickiness of our platform.</w:t>
      </w:r>
    </w:p>
    <w:p>
      <w:pPr>
        <w:spacing w:after="0" w:line="67" w:lineRule="exact"/>
        <w:rPr>
          <w:rFonts w:ascii="Arial" w:cs="Arial" w:eastAsia="Arial" w:hAnsi="Arial"/>
          <w:sz w:val="17"/>
          <w:szCs w:val="17"/>
          <w:color w:val="auto"/>
        </w:rPr>
      </w:pPr>
    </w:p>
    <w:p>
      <w:pPr>
        <w:ind w:left="640" w:right="20" w:hanging="320"/>
        <w:spacing w:after="0" w:line="264"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Product experiences and integrations. </w:t>
      </w:r>
      <w:r>
        <w:rPr>
          <w:rFonts w:ascii="Arial" w:cs="Arial" w:eastAsia="Arial" w:hAnsi="Arial"/>
          <w:sz w:val="17"/>
          <w:szCs w:val="17"/>
          <w:color w:val="auto"/>
        </w:rPr>
        <w:t>The insights we glean from our community of users and our deep integrations with best-of-breed companies lead</w:t>
      </w:r>
      <w:r>
        <w:rPr>
          <w:rFonts w:ascii="Arial" w:cs="Arial" w:eastAsia="Arial" w:hAnsi="Arial"/>
          <w:sz w:val="17"/>
          <w:szCs w:val="17"/>
          <w:i w:val="1"/>
          <w:iCs w:val="1"/>
          <w:color w:val="auto"/>
        </w:rPr>
        <w:t xml:space="preserve"> </w:t>
      </w:r>
      <w:r>
        <w:rPr>
          <w:rFonts w:ascii="Arial" w:cs="Arial" w:eastAsia="Arial" w:hAnsi="Arial"/>
          <w:sz w:val="17"/>
          <w:szCs w:val="17"/>
          <w:color w:val="auto"/>
        </w:rPr>
        <w:t>us to develop or acquire new product experiences and extend the capabilities of our platform. Products like Dropbox Passwords, Vault, Computer Backup, Dropbox Sign, DocSend, Dropbox Capture, and FormSwift and deep integrations with companies like Microsoft, Zoom, Atlassian, Slack, and BetterCloud help us provide our users with the functionality they need to do their best work. Machine learning further improves the user experience by enabling more intelligent search, better organization, and utility of information. This ongoing innovation broadens the value of our platform and deepens user engagement.</w:t>
      </w:r>
    </w:p>
    <w:p>
      <w:pPr>
        <w:spacing w:after="0" w:line="205"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Capabilities</w:t>
      </w:r>
    </w:p>
    <w:p>
      <w:pPr>
        <w:spacing w:after="0" w:line="125"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Dropbox is a single organized place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Create</w:t>
      </w:r>
    </w:p>
    <w:p>
      <w:pPr>
        <w:spacing w:after="0" w:line="119" w:lineRule="exact"/>
        <w:rPr>
          <w:sz w:val="20"/>
          <w:szCs w:val="20"/>
          <w:color w:val="auto"/>
        </w:rPr>
      </w:pPr>
    </w:p>
    <w:p>
      <w:pPr>
        <w:jc w:val="both"/>
        <w:ind w:right="260" w:firstLine="433"/>
        <w:spacing w:after="0" w:line="273" w:lineRule="auto"/>
        <w:rPr>
          <w:sz w:val="20"/>
          <w:szCs w:val="20"/>
          <w:color w:val="auto"/>
        </w:rPr>
      </w:pPr>
      <w:r>
        <w:rPr>
          <w:rFonts w:ascii="Arial" w:cs="Arial" w:eastAsia="Arial" w:hAnsi="Arial"/>
          <w:sz w:val="17"/>
          <w:szCs w:val="17"/>
          <w:i w:val="1"/>
          <w:iCs w:val="1"/>
          <w:color w:val="auto"/>
        </w:rPr>
        <w:t>Paper</w:t>
      </w:r>
      <w:r>
        <w:rPr>
          <w:rFonts w:ascii="Arial" w:cs="Arial" w:eastAsia="Arial" w:hAnsi="Arial"/>
          <w:sz w:val="17"/>
          <w:szCs w:val="17"/>
          <w:color w:val="auto"/>
        </w:rPr>
        <w:t>. With Dropbox Paper, users can co-author content, tag others, create timelines, assign tasks with due dates, embed and comment on files, tables,</w:t>
      </w:r>
      <w:r>
        <w:rPr>
          <w:rFonts w:ascii="Arial" w:cs="Arial" w:eastAsia="Arial" w:hAnsi="Arial"/>
          <w:sz w:val="17"/>
          <w:szCs w:val="17"/>
          <w:i w:val="1"/>
          <w:iCs w:val="1"/>
          <w:color w:val="auto"/>
        </w:rPr>
        <w:t xml:space="preserve"> </w:t>
      </w:r>
      <w:r>
        <w:rPr>
          <w:rFonts w:ascii="Arial" w:cs="Arial" w:eastAsia="Arial" w:hAnsi="Arial"/>
          <w:sz w:val="17"/>
          <w:szCs w:val="17"/>
          <w:color w:val="auto"/>
        </w:rPr>
        <w:t>checklists, code snippets, and rich media—all in real-time. We designed Paper to be simple and beautiful so users can focus on the most important ideas and tasks at hand.</w:t>
      </w:r>
    </w:p>
    <w:p>
      <w:pPr>
        <w:spacing w:after="0" w:line="198"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i w:val="1"/>
          <w:iCs w:val="1"/>
          <w:color w:val="auto"/>
        </w:rPr>
        <w:t>Doc scanner</w:t>
      </w:r>
      <w:r>
        <w:rPr>
          <w:rFonts w:ascii="Arial" w:cs="Arial" w:eastAsia="Arial" w:hAnsi="Arial"/>
          <w:sz w:val="17"/>
          <w:szCs w:val="17"/>
          <w:color w:val="auto"/>
        </w:rPr>
        <w:t>. The doc scanner in our mobile app lets users create content in Dropbox from hard copies. This includes transforming everything from</w:t>
      </w:r>
      <w:r>
        <w:rPr>
          <w:rFonts w:ascii="Arial" w:cs="Arial" w:eastAsia="Arial" w:hAnsi="Arial"/>
          <w:sz w:val="17"/>
          <w:szCs w:val="17"/>
          <w:i w:val="1"/>
          <w:iCs w:val="1"/>
          <w:color w:val="auto"/>
        </w:rPr>
        <w:t xml:space="preserve"> </w:t>
      </w:r>
      <w:r>
        <w:rPr>
          <w:rFonts w:ascii="Arial" w:cs="Arial" w:eastAsia="Arial" w:hAnsi="Arial"/>
          <w:sz w:val="17"/>
          <w:szCs w:val="17"/>
          <w:color w:val="auto"/>
        </w:rPr>
        <w:t>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Access and organize</w:t>
      </w:r>
    </w:p>
    <w:p>
      <w:pPr>
        <w:spacing w:after="0" w:line="119"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i w:val="1"/>
          <w:iCs w:val="1"/>
          <w:color w:val="auto"/>
        </w:rPr>
        <w:t>Search</w:t>
      </w:r>
      <w:r>
        <w:rPr>
          <w:rFonts w:ascii="Arial" w:cs="Arial" w:eastAsia="Arial" w:hAnsi="Arial"/>
          <w:sz w:val="17"/>
          <w:szCs w:val="17"/>
          <w:color w:val="auto"/>
        </w:rPr>
        <w:t>. Dropbox has powerful search capabilities that allow users to quickly find the files and folders they need. Our autocomplete technology surfaces</w:t>
      </w:r>
      <w:r>
        <w:rPr>
          <w:rFonts w:ascii="Arial" w:cs="Arial" w:eastAsia="Arial" w:hAnsi="Arial"/>
          <w:sz w:val="17"/>
          <w:szCs w:val="17"/>
          <w:i w:val="1"/>
          <w:iCs w:val="1"/>
          <w:color w:val="auto"/>
        </w:rPr>
        <w:t xml:space="preserve"> </w:t>
      </w:r>
      <w:r>
        <w:rPr>
          <w:rFonts w:ascii="Arial" w:cs="Arial" w:eastAsia="Arial" w:hAnsi="Arial"/>
          <w:sz w:val="17"/>
          <w:szCs w:val="17"/>
          <w:color w:val="auto"/>
        </w:rPr>
        <w:t>and prioritizes content based on users’ previous activity. For Dropbox Plus, Professional, and Business users, full text search allows users to scan the entire content of their files.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right="40" w:firstLine="433"/>
        <w:spacing w:after="0" w:line="273" w:lineRule="auto"/>
        <w:rPr>
          <w:sz w:val="20"/>
          <w:szCs w:val="20"/>
          <w:color w:val="auto"/>
        </w:rPr>
      </w:pPr>
      <w:r>
        <w:rPr>
          <w:rFonts w:ascii="Arial" w:cs="Arial" w:eastAsia="Arial" w:hAnsi="Arial"/>
          <w:sz w:val="17"/>
          <w:szCs w:val="17"/>
          <w:i w:val="1"/>
          <w:iCs w:val="1"/>
          <w:color w:val="auto"/>
        </w:rPr>
        <w:t>Rich previews</w:t>
      </w:r>
      <w:r>
        <w:rPr>
          <w:rFonts w:ascii="Arial" w:cs="Arial" w:eastAsia="Arial" w:hAnsi="Arial"/>
          <w:sz w:val="17"/>
          <w:szCs w:val="17"/>
          <w:color w:val="auto"/>
        </w:rPr>
        <w:t>. Rich previews allow users to easily interact with files across any device without having to open different applications. Users can comment</w:t>
      </w:r>
      <w:r>
        <w:rPr>
          <w:rFonts w:ascii="Arial" w:cs="Arial" w:eastAsia="Arial" w:hAnsi="Arial"/>
          <w:sz w:val="17"/>
          <w:szCs w:val="17"/>
          <w:i w:val="1"/>
          <w:iCs w:val="1"/>
          <w:color w:val="auto"/>
        </w:rPr>
        <w:t xml:space="preserve"> </w:t>
      </w:r>
      <w:r>
        <w:rPr>
          <w:rFonts w:ascii="Arial" w:cs="Arial" w:eastAsia="Arial" w:hAnsi="Arial"/>
          <w:sz w:val="17"/>
          <w:szCs w:val="17"/>
          <w:color w:val="auto"/>
        </w:rPr>
        <w:t>on, annotate, review, and present files, and see who viewed and edited them. We support previews of over 300 file types, and Dropbox users currently preview files tens of millions of times every day.</w:t>
      </w:r>
    </w:p>
    <w:p>
      <w:pPr>
        <w:spacing w:after="0" w:line="198"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i w:val="1"/>
          <w:iCs w:val="1"/>
          <w:color w:val="auto"/>
        </w:rPr>
        <w:t>Smart Sync</w:t>
      </w:r>
      <w:r>
        <w:rPr>
          <w:rFonts w:ascii="Arial" w:cs="Arial" w:eastAsia="Arial" w:hAnsi="Arial"/>
          <w:sz w:val="17"/>
          <w:szCs w:val="17"/>
          <w:color w:val="auto"/>
        </w:rPr>
        <w:t>. With Smart Sync, users can access all of their content natively on their computers without taking up storage space on their local hard drives.</w:t>
      </w:r>
      <w:r>
        <w:rPr>
          <w:rFonts w:ascii="Arial" w:cs="Arial" w:eastAsia="Arial" w:hAnsi="Arial"/>
          <w:sz w:val="17"/>
          <w:szCs w:val="17"/>
          <w:i w:val="1"/>
          <w:iCs w:val="1"/>
          <w:color w:val="auto"/>
        </w:rPr>
        <w:t xml:space="preserve"> </w:t>
      </w:r>
      <w:r>
        <w:rPr>
          <w:rFonts w:ascii="Arial" w:cs="Arial" w:eastAsia="Arial" w:hAnsi="Arial"/>
          <w:sz w:val="17"/>
          <w:szCs w:val="17"/>
          <w:color w:val="auto"/>
        </w:rPr>
        <w:t>We intelligently sync files to a user’s computer as they need them, and users can control which files or folders are always synced locally. With Smart Sync, files that are only stored in the cloud appear in the local file system and can be opened directly from Windows File Explorer or Mac Finder, instead of having to navigate to our web interface. Smart Sync is available to Dropbox Plus, Professional, and Business users.</w:t>
      </w:r>
    </w:p>
    <w:p>
      <w:pPr>
        <w:spacing w:after="0" w:line="202"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i w:val="1"/>
          <w:iCs w:val="1"/>
          <w:color w:val="auto"/>
        </w:rPr>
        <w:t>Version history</w:t>
      </w:r>
      <w:r>
        <w:rPr>
          <w:rFonts w:ascii="Arial" w:cs="Arial" w:eastAsia="Arial" w:hAnsi="Arial"/>
          <w:sz w:val="17"/>
          <w:szCs w:val="17"/>
          <w:color w:val="auto"/>
        </w:rPr>
        <w:t>. As paying users work on files, our servers keep snapshots of all their changes. Users can see a file’s complete version history so they can</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and retrieve older versions, depending on the users’ subscription. Version histories are kept between 30 to 365 days for paying users, depending on the users’ subscription.</w:t>
      </w:r>
    </w:p>
    <w:p>
      <w:pPr>
        <w:spacing w:after="0" w:line="198"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i w:val="1"/>
          <w:iCs w:val="1"/>
          <w:color w:val="auto"/>
        </w:rPr>
        <w:t>Third-party ecosystem</w:t>
      </w:r>
      <w:r>
        <w:rPr>
          <w:rFonts w:ascii="Arial" w:cs="Arial" w:eastAsia="Arial" w:hAnsi="Arial"/>
          <w:sz w:val="17"/>
          <w:szCs w:val="17"/>
          <w:color w:val="auto"/>
        </w:rPr>
        <w:t>. Our open and thriving ecosystem fosters deeper relationships with our users and developers. Developers can build applications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connect to Dropbox through our DBX Developer Platform. For example, email apps can plug into Dropbox to send attachments or shared links, video-conferencing apps allow users to start meetings and share content natively from Dropbox, and eSignature apps give users the ability to manage and maintain contract workflows all from within Dropbox. As of December 31, 2022, Dropbox was receiving over 75 billion API calls per month and just under 1,000,000 developers had registered and built applications on our platform. In addition, more than 80% of Dropbox Business teams have linked to one or more third-party applications.</w:t>
      </w:r>
    </w:p>
    <w:p>
      <w:pPr>
        <w:spacing w:after="0" w:line="205" w:lineRule="exact"/>
        <w:rPr>
          <w:sz w:val="20"/>
          <w:szCs w:val="20"/>
          <w:color w:val="auto"/>
        </w:rPr>
      </w:pPr>
    </w:p>
    <w:p>
      <w:pPr>
        <w:jc w:val="both"/>
        <w:ind w:right="260" w:firstLine="433"/>
        <w:spacing w:after="0" w:line="360" w:lineRule="auto"/>
        <w:rPr>
          <w:sz w:val="20"/>
          <w:szCs w:val="20"/>
          <w:color w:val="auto"/>
        </w:rPr>
      </w:pPr>
      <w:r>
        <w:rPr>
          <w:rFonts w:ascii="Arial" w:cs="Arial" w:eastAsia="Arial" w:hAnsi="Arial"/>
          <w:sz w:val="15"/>
          <w:szCs w:val="15"/>
          <w:i w:val="1"/>
          <w:iCs w:val="1"/>
          <w:color w:val="auto"/>
        </w:rPr>
        <w:t xml:space="preserve">Rewind. </w:t>
      </w:r>
      <w:r>
        <w:rPr>
          <w:rFonts w:ascii="Arial" w:cs="Arial" w:eastAsia="Arial" w:hAnsi="Arial"/>
          <w:sz w:val="15"/>
          <w:szCs w:val="15"/>
          <w:color w:val="auto"/>
        </w:rPr>
        <w:t>Dropbox Rewind is a tool that lets a user take a folder, or their entire account, back to a specific point in time. The tool uses version history to</w:t>
      </w:r>
      <w:r>
        <w:rPr>
          <w:rFonts w:ascii="Arial" w:cs="Arial" w:eastAsia="Arial" w:hAnsi="Arial"/>
          <w:sz w:val="15"/>
          <w:szCs w:val="15"/>
          <w:i w:val="1"/>
          <w:iCs w:val="1"/>
          <w:color w:val="auto"/>
        </w:rPr>
        <w:t xml:space="preserve"> </w:t>
      </w:r>
      <w:r>
        <w:rPr>
          <w:rFonts w:ascii="Arial" w:cs="Arial" w:eastAsia="Arial" w:hAnsi="Arial"/>
          <w:sz w:val="15"/>
          <w:szCs w:val="15"/>
          <w:color w:val="auto"/>
        </w:rPr>
        <w:t>undo changes made to files and folders and can recover any file edits or deletions made within the last 30 to 365 days, depending on the users’ subscription.</w:t>
      </w:r>
    </w:p>
    <w:p>
      <w:pPr>
        <w:spacing w:after="0" w:line="138"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i w:val="1"/>
          <w:iCs w:val="1"/>
          <w:color w:val="auto"/>
        </w:rPr>
        <w:t xml:space="preserve">Computer Backup. </w:t>
      </w:r>
      <w:r>
        <w:rPr>
          <w:rFonts w:ascii="Arial" w:cs="Arial" w:eastAsia="Arial" w:hAnsi="Arial"/>
          <w:sz w:val="17"/>
          <w:szCs w:val="17"/>
          <w:color w:val="auto"/>
        </w:rPr>
        <w:t>Computer backup automatically syncs folders on a user's computer to the cloud. When turned on, files on the user's PC or Mac are</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backed up on the cloud. Any changes made in synced folders are automatically updated in the Dropbox account and on the hard drive. Computer backup allows users to get up-to-date versions of files stored on the user's PC or Mac from anywhere and from any device instantly. Content is secure in the cloud, no matter what happens to the user's computer.</w:t>
      </w:r>
    </w:p>
    <w:p>
      <w:pPr>
        <w:spacing w:after="0" w:line="202" w:lineRule="exact"/>
        <w:rPr>
          <w:sz w:val="20"/>
          <w:szCs w:val="20"/>
          <w:color w:val="auto"/>
        </w:rPr>
      </w:pPr>
    </w:p>
    <w:p>
      <w:pPr>
        <w:ind w:right="20" w:firstLine="433"/>
        <w:spacing w:after="0" w:line="322" w:lineRule="auto"/>
        <w:rPr>
          <w:sz w:val="20"/>
          <w:szCs w:val="20"/>
          <w:color w:val="auto"/>
        </w:rPr>
      </w:pPr>
      <w:r>
        <w:rPr>
          <w:rFonts w:ascii="Arial" w:cs="Arial" w:eastAsia="Arial" w:hAnsi="Arial"/>
          <w:sz w:val="16"/>
          <w:szCs w:val="16"/>
          <w:i w:val="1"/>
          <w:iCs w:val="1"/>
          <w:color w:val="auto"/>
        </w:rPr>
        <w:t xml:space="preserve">Passwords. </w:t>
      </w:r>
      <w:r>
        <w:rPr>
          <w:rFonts w:ascii="Arial" w:cs="Arial" w:eastAsia="Arial" w:hAnsi="Arial"/>
          <w:sz w:val="16"/>
          <w:szCs w:val="16"/>
          <w:color w:val="auto"/>
        </w:rPr>
        <w:t>Dropbox Passwords allows users to sign-in to websites and apps by creating and storing unique usernames and passwords across devices. The</w:t>
      </w:r>
      <w:r>
        <w:rPr>
          <w:rFonts w:ascii="Arial" w:cs="Arial" w:eastAsia="Arial" w:hAnsi="Arial"/>
          <w:sz w:val="16"/>
          <w:szCs w:val="16"/>
          <w:i w:val="1"/>
          <w:iCs w:val="1"/>
          <w:color w:val="auto"/>
        </w:rPr>
        <w:t xml:space="preserve"> </w:t>
      </w:r>
      <w:r>
        <w:rPr>
          <w:rFonts w:ascii="Arial" w:cs="Arial" w:eastAsia="Arial" w:hAnsi="Arial"/>
          <w:sz w:val="16"/>
          <w:szCs w:val="16"/>
          <w:color w:val="auto"/>
        </w:rPr>
        <w:t>app can autofill usernames and passwords for instant access anywhere within applications available for Windows, Mac, iOS, and Android.</w:t>
      </w:r>
    </w:p>
    <w:p>
      <w:pPr>
        <w:spacing w:after="0" w:line="162" w:lineRule="exact"/>
        <w:rPr>
          <w:sz w:val="20"/>
          <w:szCs w:val="20"/>
          <w:color w:val="auto"/>
        </w:rPr>
      </w:pPr>
    </w:p>
    <w:p>
      <w:pPr>
        <w:jc w:val="both"/>
        <w:ind w:right="280" w:firstLine="433"/>
        <w:spacing w:after="0" w:line="273" w:lineRule="auto"/>
        <w:rPr>
          <w:sz w:val="20"/>
          <w:szCs w:val="20"/>
          <w:color w:val="auto"/>
        </w:rPr>
      </w:pPr>
      <w:r>
        <w:rPr>
          <w:rFonts w:ascii="Arial" w:cs="Arial" w:eastAsia="Arial" w:hAnsi="Arial"/>
          <w:sz w:val="17"/>
          <w:szCs w:val="17"/>
          <w:i w:val="1"/>
          <w:iCs w:val="1"/>
          <w:color w:val="auto"/>
        </w:rPr>
        <w:t xml:space="preserve">Vault. </w:t>
      </w:r>
      <w:r>
        <w:rPr>
          <w:rFonts w:ascii="Arial" w:cs="Arial" w:eastAsia="Arial" w:hAnsi="Arial"/>
          <w:sz w:val="17"/>
          <w:szCs w:val="17"/>
          <w:color w:val="auto"/>
        </w:rPr>
        <w:t>Dropbox Vault helps secure and organize sensitive information in the cloud. Vault, which is only available for Dropbox Plus, Professional,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Family plans, is a PIN-protected folder in Dropbox that a user can access any time. Sensitive data can be added and viewed from Windows and the Dropbox mobile app.</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Share</w:t>
      </w:r>
    </w:p>
    <w:p>
      <w:pPr>
        <w:spacing w:after="0" w:line="119" w:lineRule="exact"/>
        <w:rPr>
          <w:sz w:val="20"/>
          <w:szCs w:val="20"/>
          <w:color w:val="auto"/>
        </w:rPr>
      </w:pPr>
    </w:p>
    <w:p>
      <w:pPr>
        <w:ind w:right="360" w:firstLine="433"/>
        <w:spacing w:after="0" w:line="273" w:lineRule="auto"/>
        <w:rPr>
          <w:sz w:val="20"/>
          <w:szCs w:val="20"/>
          <w:color w:val="auto"/>
        </w:rPr>
      </w:pPr>
      <w:r>
        <w:rPr>
          <w:rFonts w:ascii="Arial" w:cs="Arial" w:eastAsia="Arial" w:hAnsi="Arial"/>
          <w:sz w:val="17"/>
          <w:szCs w:val="17"/>
          <w:i w:val="1"/>
          <w:iCs w:val="1"/>
          <w:color w:val="auto"/>
        </w:rPr>
        <w:t>Folders</w:t>
      </w:r>
      <w:r>
        <w:rPr>
          <w:rFonts w:ascii="Arial" w:cs="Arial" w:eastAsia="Arial" w:hAnsi="Arial"/>
          <w:sz w:val="17"/>
          <w:szCs w:val="17"/>
          <w:color w:val="auto"/>
        </w:rPr>
        <w:t>. There are three types of folders in Dropbox: private, shared, and team folders. A private folder allows an individual to sync files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198"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i w:val="1"/>
          <w:iCs w:val="1"/>
          <w:color w:val="auto"/>
        </w:rPr>
        <w:t>Shared links</w:t>
      </w:r>
      <w:r>
        <w:rPr>
          <w:rFonts w:ascii="Arial" w:cs="Arial" w:eastAsia="Arial" w:hAnsi="Arial"/>
          <w:sz w:val="17"/>
          <w:szCs w:val="17"/>
          <w:color w:val="auto"/>
        </w:rPr>
        <w:t>. Users can share files and folders with anyone, including non-Dropbox users, by creating a Dropbox link. Once created, the link can be sent</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email, text, Facebook, Twitter,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spacing w:after="0" w:line="202"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i w:val="1"/>
          <w:iCs w:val="1"/>
          <w:color w:val="auto"/>
        </w:rPr>
        <w:t xml:space="preserve">Transfer. </w:t>
      </w:r>
      <w:r>
        <w:rPr>
          <w:rFonts w:ascii="Arial" w:cs="Arial" w:eastAsia="Arial" w:hAnsi="Arial"/>
          <w:sz w:val="17"/>
          <w:szCs w:val="17"/>
          <w:color w:val="auto"/>
        </w:rPr>
        <w:t>Dropbox Transfer gives users a quick and secure way to send large files or collections of files to anyone. With Transfer, users can send up to 100</w:t>
      </w:r>
      <w:r>
        <w:rPr>
          <w:rFonts w:ascii="Arial" w:cs="Arial" w:eastAsia="Arial" w:hAnsi="Arial"/>
          <w:sz w:val="17"/>
          <w:szCs w:val="17"/>
          <w:i w:val="1"/>
          <w:iCs w:val="1"/>
          <w:color w:val="auto"/>
        </w:rPr>
        <w:t xml:space="preserve"> </w:t>
      </w:r>
      <w:r>
        <w:rPr>
          <w:rFonts w:ascii="Arial" w:cs="Arial" w:eastAsia="Arial" w:hAnsi="Arial"/>
          <w:sz w:val="17"/>
          <w:szCs w:val="17"/>
          <w:color w:val="auto"/>
        </w:rPr>
        <w:t>GB of files in just a few clicks, depending on the users’ subscription. Users also have the option to drag and drop files to upload from their computer, or add items stored in Dropbox. After creating a transfer, users receive a link that can be pasted anywhere and sent to anyone. Recipients receive copies of the files, so the sender’s originals remain untouched.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right="40" w:firstLine="433"/>
        <w:spacing w:after="0" w:line="273" w:lineRule="auto"/>
        <w:rPr>
          <w:sz w:val="20"/>
          <w:szCs w:val="20"/>
          <w:color w:val="auto"/>
        </w:rPr>
      </w:pPr>
      <w:r>
        <w:rPr>
          <w:rFonts w:ascii="Arial" w:cs="Arial" w:eastAsia="Arial" w:hAnsi="Arial"/>
          <w:sz w:val="17"/>
          <w:szCs w:val="17"/>
          <w:i w:val="1"/>
          <w:iCs w:val="1"/>
          <w:color w:val="auto"/>
        </w:rPr>
        <w:t>File requests</w:t>
      </w:r>
      <w:r>
        <w:rPr>
          <w:rFonts w:ascii="Arial" w:cs="Arial" w:eastAsia="Arial" w:hAnsi="Arial"/>
          <w:sz w:val="17"/>
          <w:szCs w:val="17"/>
          <w:color w:val="auto"/>
        </w:rPr>
        <w:t>. With file requests, users can invite anyone to submit files into a specified Dropbox folder through a simple link—regardless of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 has a Dropbox account. File requests are ideal for tasks such as collecting bids from contractors or requesting submissions from coworkers and clients. All submitted files are organized into a Dropbox folder that’s private to the requesting user.</w:t>
      </w:r>
    </w:p>
    <w:p>
      <w:pPr>
        <w:spacing w:after="0" w:line="198" w:lineRule="exact"/>
        <w:rPr>
          <w:sz w:val="20"/>
          <w:szCs w:val="20"/>
          <w:color w:val="auto"/>
        </w:rPr>
      </w:pPr>
    </w:p>
    <w:p>
      <w:pPr>
        <w:jc w:val="both"/>
        <w:ind w:right="60" w:firstLine="433"/>
        <w:spacing w:after="0" w:line="262" w:lineRule="auto"/>
        <w:rPr>
          <w:sz w:val="20"/>
          <w:szCs w:val="20"/>
          <w:color w:val="auto"/>
        </w:rPr>
      </w:pPr>
      <w:r>
        <w:rPr>
          <w:rFonts w:ascii="Arial" w:cs="Arial" w:eastAsia="Arial" w:hAnsi="Arial"/>
          <w:sz w:val="17"/>
          <w:szCs w:val="17"/>
          <w:i w:val="1"/>
          <w:iCs w:val="1"/>
          <w:color w:val="auto"/>
        </w:rPr>
        <w:t xml:space="preserve">Watermarking. </w:t>
      </w:r>
      <w:r>
        <w:rPr>
          <w:rFonts w:ascii="Arial" w:cs="Arial" w:eastAsia="Arial" w:hAnsi="Arial"/>
          <w:sz w:val="17"/>
          <w:szCs w:val="17"/>
          <w:color w:val="auto"/>
        </w:rPr>
        <w:t>Our Dropbox watermarking feature allows users to protect and share digital files quickly and easily. The watermark feature can be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protect graphic designs, confidential contracts, and personal photographs. Users can create their own custom watermark and watermark any file without leaving Dropbox.</w:t>
      </w:r>
    </w:p>
    <w:p>
      <w:pPr>
        <w:spacing w:after="0" w:line="1" w:lineRule="exact"/>
        <w:rPr>
          <w:sz w:val="20"/>
          <w:szCs w:val="20"/>
          <w:color w:val="auto"/>
        </w:rPr>
      </w:pPr>
    </w:p>
    <w:p>
      <w:pPr>
        <w:jc w:val="both"/>
        <w:ind w:right="220" w:firstLine="472"/>
        <w:spacing w:after="0" w:line="266" w:lineRule="auto"/>
        <w:rPr>
          <w:sz w:val="20"/>
          <w:szCs w:val="20"/>
          <w:color w:val="auto"/>
        </w:rPr>
      </w:pPr>
      <w:r>
        <w:rPr>
          <w:rFonts w:ascii="Arial" w:cs="Arial" w:eastAsia="Arial" w:hAnsi="Arial"/>
          <w:sz w:val="17"/>
          <w:szCs w:val="17"/>
          <w:i w:val="1"/>
          <w:iCs w:val="1"/>
          <w:color w:val="auto"/>
        </w:rPr>
        <w:t xml:space="preserve">DocSend. </w:t>
      </w:r>
      <w:r>
        <w:rPr>
          <w:rFonts w:ascii="Arial" w:cs="Arial" w:eastAsia="Arial" w:hAnsi="Arial"/>
          <w:sz w:val="17"/>
          <w:szCs w:val="17"/>
          <w:color w:val="auto"/>
        </w:rPr>
        <w:t>DocSend is a secure document sharing and analytics platform that gives customers visibility into what happens to their documents after they</w:t>
      </w:r>
      <w:r>
        <w:rPr>
          <w:rFonts w:ascii="Arial" w:cs="Arial" w:eastAsia="Arial" w:hAnsi="Arial"/>
          <w:sz w:val="17"/>
          <w:szCs w:val="17"/>
          <w:i w:val="1"/>
          <w:iCs w:val="1"/>
          <w:color w:val="auto"/>
        </w:rPr>
        <w:t xml:space="preserve"> </w:t>
      </w:r>
      <w:r>
        <w:rPr>
          <w:rFonts w:ascii="Arial" w:cs="Arial" w:eastAsia="Arial" w:hAnsi="Arial"/>
          <w:sz w:val="17"/>
          <w:szCs w:val="17"/>
          <w:color w:val="auto"/>
        </w:rPr>
        <w:t>send them. DocSend technology enables customers to track who opens their documents and how much time they spend on each page, protect documents with security features like email verification and viewer whitelisting, and share multiple documents with a single link.</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Collaborate</w:t>
      </w:r>
    </w:p>
    <w:p>
      <w:pPr>
        <w:spacing w:after="0" w:line="119"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i w:val="1"/>
          <w:iCs w:val="1"/>
          <w:color w:val="auto"/>
        </w:rPr>
        <w:t>Comments and annotations</w:t>
      </w:r>
      <w:r>
        <w:rPr>
          <w:rFonts w:ascii="Arial" w:cs="Arial" w:eastAsia="Arial" w:hAnsi="Arial"/>
          <w:sz w:val="17"/>
          <w:szCs w:val="17"/>
          <w:color w:val="auto"/>
        </w:rPr>
        <w:t>. Dropbox comments and annotations marry content with the conversations and relevant context around it. Instead of being</w:t>
      </w:r>
      <w:r>
        <w:rPr>
          <w:rFonts w:ascii="Arial" w:cs="Arial" w:eastAsia="Arial" w:hAnsi="Arial"/>
          <w:sz w:val="17"/>
          <w:szCs w:val="17"/>
          <w:i w:val="1"/>
          <w:iCs w:val="1"/>
          <w:color w:val="auto"/>
        </w:rPr>
        <w:t xml:space="preserve"> </w:t>
      </w:r>
      <w:r>
        <w:rPr>
          <w:rFonts w:ascii="Arial" w:cs="Arial" w:eastAsia="Arial" w:hAnsi="Arial"/>
          <w:sz w:val="17"/>
          <w:szCs w:val="17"/>
          <w:color w:val="auto"/>
        </w:rPr>
        <w:t>scattered across separate silos, such as email and chat, the editing and development of content are tied to a file. Users can give feedback on specific parts of files through a rich, innovative overlay on our web and mobile platforms.</w:t>
      </w:r>
    </w:p>
    <w:p>
      <w:pPr>
        <w:spacing w:after="0" w:line="198" w:lineRule="exact"/>
        <w:rPr>
          <w:sz w:val="20"/>
          <w:szCs w:val="20"/>
          <w:color w:val="auto"/>
        </w:rPr>
      </w:pPr>
    </w:p>
    <w:p>
      <w:pPr>
        <w:ind w:right="240" w:firstLine="433"/>
        <w:spacing w:after="0" w:line="289" w:lineRule="auto"/>
        <w:rPr>
          <w:sz w:val="20"/>
          <w:szCs w:val="20"/>
          <w:color w:val="auto"/>
        </w:rPr>
      </w:pPr>
      <w:r>
        <w:rPr>
          <w:rFonts w:ascii="Arial" w:cs="Arial" w:eastAsia="Arial" w:hAnsi="Arial"/>
          <w:sz w:val="17"/>
          <w:szCs w:val="17"/>
          <w:i w:val="1"/>
          <w:iCs w:val="1"/>
          <w:color w:val="auto"/>
        </w:rPr>
        <w:t xml:space="preserve">File activity stream. </w:t>
      </w:r>
      <w:r>
        <w:rPr>
          <w:rFonts w:ascii="Arial" w:cs="Arial" w:eastAsia="Arial" w:hAnsi="Arial"/>
          <w:sz w:val="17"/>
          <w:szCs w:val="17"/>
          <w:color w:val="auto"/>
        </w:rPr>
        <w:t>An activity feed lives next to every file preview on our web interface and in the desktop app, telling users what’s happening with a</w:t>
      </w:r>
      <w:r>
        <w:rPr>
          <w:rFonts w:ascii="Arial" w:cs="Arial" w:eastAsia="Arial" w:hAnsi="Arial"/>
          <w:sz w:val="17"/>
          <w:szCs w:val="17"/>
          <w:i w:val="1"/>
          <w:iCs w:val="1"/>
          <w:color w:val="auto"/>
        </w:rPr>
        <w:t xml:space="preserve"> </w:t>
      </w:r>
      <w:r>
        <w:rPr>
          <w:rFonts w:ascii="Arial" w:cs="Arial" w:eastAsia="Arial" w:hAnsi="Arial"/>
          <w:sz w:val="17"/>
          <w:szCs w:val="17"/>
          <w:color w:val="auto"/>
        </w:rPr>
        <w:t>file. The feed shows when someone opens a file, edits a file, or shares a file.</w:t>
      </w:r>
    </w:p>
    <w:p>
      <w:pPr>
        <w:spacing w:after="0" w:line="185" w:lineRule="exact"/>
        <w:rPr>
          <w:sz w:val="20"/>
          <w:szCs w:val="20"/>
          <w:color w:val="auto"/>
        </w:rPr>
      </w:pPr>
    </w:p>
    <w:p>
      <w:pPr>
        <w:ind w:right="300" w:firstLine="433"/>
        <w:spacing w:after="0" w:line="360" w:lineRule="auto"/>
        <w:rPr>
          <w:sz w:val="20"/>
          <w:szCs w:val="20"/>
          <w:color w:val="auto"/>
        </w:rPr>
      </w:pPr>
      <w:r>
        <w:rPr>
          <w:rFonts w:ascii="Arial" w:cs="Arial" w:eastAsia="Arial" w:hAnsi="Arial"/>
          <w:sz w:val="15"/>
          <w:szCs w:val="15"/>
          <w:i w:val="1"/>
          <w:iCs w:val="1"/>
          <w:color w:val="auto"/>
        </w:rPr>
        <w:t>Notifications</w:t>
      </w:r>
      <w:r>
        <w:rPr>
          <w:rFonts w:ascii="Arial" w:cs="Arial" w:eastAsia="Arial" w:hAnsi="Arial"/>
          <w:sz w:val="15"/>
          <w:szCs w:val="15"/>
          <w:color w:val="auto"/>
        </w:rPr>
        <w:t>. We use real-time notifications across all our channels—web, desktop, email, and mobile—to keep users up-to-date on what’s happening</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their work. Users can choose to be notified when someone opens, edits, shares, or comments on a file, or adds a file to their shared folders.</w:t>
      </w:r>
    </w:p>
    <w:p>
      <w:pPr>
        <w:spacing w:after="0" w:line="138"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i w:val="1"/>
          <w:iCs w:val="1"/>
          <w:color w:val="auto"/>
        </w:rPr>
        <w:t>Viewer information and presence</w:t>
      </w:r>
      <w:r>
        <w:rPr>
          <w:rFonts w:ascii="Arial" w:cs="Arial" w:eastAsia="Arial" w:hAnsi="Arial"/>
          <w:sz w:val="17"/>
          <w:szCs w:val="17"/>
          <w:color w:val="auto"/>
        </w:rPr>
        <w:t>. On both file previews and Paper docs, Dropbox shows users in real-time who’s viewing a doc and when a doc was last</w:t>
      </w:r>
      <w:r>
        <w:rPr>
          <w:rFonts w:ascii="Arial" w:cs="Arial" w:eastAsia="Arial" w:hAnsi="Arial"/>
          <w:sz w:val="17"/>
          <w:szCs w:val="17"/>
          <w:i w:val="1"/>
          <w:iCs w:val="1"/>
          <w:color w:val="auto"/>
        </w:rPr>
        <w:t xml:space="preserve"> </w:t>
      </w:r>
      <w:r>
        <w:rPr>
          <w:rFonts w:ascii="Arial" w:cs="Arial" w:eastAsia="Arial" w:hAnsi="Arial"/>
          <w:sz w:val="17"/>
          <w:szCs w:val="17"/>
          <w:color w:val="auto"/>
        </w:rPr>
        <w:t>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spacing w:after="0" w:line="202" w:lineRule="exact"/>
        <w:rPr>
          <w:sz w:val="20"/>
          <w:szCs w:val="20"/>
          <w:color w:val="auto"/>
        </w:rPr>
      </w:pPr>
    </w:p>
    <w:p>
      <w:pPr>
        <w:ind w:right="560" w:firstLine="393"/>
        <w:spacing w:after="0" w:line="360" w:lineRule="auto"/>
        <w:rPr>
          <w:sz w:val="20"/>
          <w:szCs w:val="20"/>
          <w:color w:val="auto"/>
        </w:rPr>
      </w:pPr>
      <w:r>
        <w:rPr>
          <w:rFonts w:ascii="Arial" w:cs="Arial" w:eastAsia="Arial" w:hAnsi="Arial"/>
          <w:sz w:val="15"/>
          <w:szCs w:val="15"/>
          <w:i w:val="1"/>
          <w:iCs w:val="1"/>
          <w:color w:val="auto"/>
        </w:rPr>
        <w:t xml:space="preserve">Dropbox Sign. </w:t>
      </w:r>
      <w:r>
        <w:rPr>
          <w:rFonts w:ascii="Arial" w:cs="Arial" w:eastAsia="Arial" w:hAnsi="Arial"/>
          <w:sz w:val="15"/>
          <w:szCs w:val="15"/>
          <w:color w:val="auto"/>
        </w:rPr>
        <w:t>Dropbox Sign is an eSignature and document workflow platform that enables customers to easily sign, send, and receive documents</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its intuitive web and mobile based interfaces. Once documents are signed, copies automatically sync to the user's Dropbox account.</w:t>
      </w:r>
    </w:p>
    <w:p>
      <w:pPr>
        <w:spacing w:after="0" w:line="138" w:lineRule="exact"/>
        <w:rPr>
          <w:sz w:val="20"/>
          <w:szCs w:val="20"/>
          <w:color w:val="auto"/>
        </w:rPr>
      </w:pPr>
    </w:p>
    <w:p>
      <w:pPr>
        <w:ind w:right="540" w:firstLine="393"/>
        <w:spacing w:after="0" w:line="289" w:lineRule="auto"/>
        <w:rPr>
          <w:sz w:val="20"/>
          <w:szCs w:val="20"/>
          <w:color w:val="auto"/>
        </w:rPr>
      </w:pPr>
      <w:r>
        <w:rPr>
          <w:rFonts w:ascii="Arial" w:cs="Arial" w:eastAsia="Arial" w:hAnsi="Arial"/>
          <w:sz w:val="17"/>
          <w:szCs w:val="17"/>
          <w:i w:val="1"/>
          <w:iCs w:val="1"/>
          <w:color w:val="auto"/>
        </w:rPr>
        <w:t xml:space="preserve">Capture. </w:t>
      </w:r>
      <w:r>
        <w:rPr>
          <w:rFonts w:ascii="Arial" w:cs="Arial" w:eastAsia="Arial" w:hAnsi="Arial"/>
          <w:sz w:val="17"/>
          <w:szCs w:val="17"/>
          <w:color w:val="auto"/>
        </w:rPr>
        <w:t>Dropbox Capture is an all-in-one visual communication tool that helps team members share their work and idea asynchronously. Dropbox</w:t>
      </w:r>
      <w:r>
        <w:rPr>
          <w:rFonts w:ascii="Arial" w:cs="Arial" w:eastAsia="Arial" w:hAnsi="Arial"/>
          <w:sz w:val="17"/>
          <w:szCs w:val="17"/>
          <w:i w:val="1"/>
          <w:iCs w:val="1"/>
          <w:color w:val="auto"/>
        </w:rPr>
        <w:t xml:space="preserve"> </w:t>
      </w:r>
      <w:r>
        <w:rPr>
          <w:rFonts w:ascii="Arial" w:cs="Arial" w:eastAsia="Arial" w:hAnsi="Arial"/>
          <w:sz w:val="17"/>
          <w:szCs w:val="17"/>
          <w:color w:val="auto"/>
        </w:rPr>
        <w:t>Capture allows users to visually present their work through easy-to-take screen recordings, GIFs, and screenshots.</w:t>
      </w:r>
    </w:p>
    <w:p>
      <w:pPr>
        <w:spacing w:after="0" w:line="185" w:lineRule="exact"/>
        <w:rPr>
          <w:sz w:val="20"/>
          <w:szCs w:val="20"/>
          <w:color w:val="auto"/>
        </w:rPr>
      </w:pPr>
    </w:p>
    <w:p>
      <w:pPr>
        <w:ind w:right="120" w:firstLine="393"/>
        <w:spacing w:after="0" w:line="289" w:lineRule="auto"/>
        <w:rPr>
          <w:sz w:val="20"/>
          <w:szCs w:val="20"/>
          <w:color w:val="auto"/>
        </w:rPr>
      </w:pPr>
      <w:r>
        <w:rPr>
          <w:rFonts w:ascii="Arial" w:cs="Arial" w:eastAsia="Arial" w:hAnsi="Arial"/>
          <w:sz w:val="17"/>
          <w:szCs w:val="17"/>
          <w:i w:val="1"/>
          <w:iCs w:val="1"/>
          <w:color w:val="auto"/>
        </w:rPr>
        <w:t xml:space="preserve">FormSwift. </w:t>
      </w:r>
      <w:r>
        <w:rPr>
          <w:rFonts w:ascii="Arial" w:cs="Arial" w:eastAsia="Arial" w:hAnsi="Arial"/>
          <w:sz w:val="17"/>
          <w:szCs w:val="17"/>
          <w:color w:val="auto"/>
        </w:rPr>
        <w:t>FormSwift is a cloud-based service that gives individuals and businesses a simple solution to create, complete, edit, and save critical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forms and agreements.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Secure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Security protections. </w:t>
      </w:r>
      <w:r>
        <w:rPr>
          <w:rFonts w:ascii="Arial" w:cs="Arial" w:eastAsia="Arial" w:hAnsi="Arial"/>
          <w:sz w:val="17"/>
          <w:szCs w:val="17"/>
          <w:color w:val="auto"/>
        </w:rPr>
        <w:t>We employ strong protections for all of the data on our platform.</w:t>
      </w:r>
    </w:p>
    <w:p>
      <w:pPr>
        <w:spacing w:after="0" w:line="145" w:lineRule="exact"/>
        <w:rPr>
          <w:sz w:val="20"/>
          <w:szCs w:val="20"/>
          <w:color w:val="auto"/>
        </w:rPr>
      </w:pPr>
    </w:p>
    <w:p>
      <w:pPr>
        <w:ind w:left="640" w:hanging="320"/>
        <w:spacing w:after="0" w:line="273"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Encryption</w:t>
      </w:r>
      <w:r>
        <w:rPr>
          <w:rFonts w:ascii="Arial" w:cs="Arial" w:eastAsia="Arial" w:hAnsi="Arial"/>
          <w:sz w:val="17"/>
          <w:szCs w:val="17"/>
          <w:color w:val="auto"/>
        </w:rPr>
        <w:t>. Dropbox file data at rest is encrypted using 256-bit Advanced Encryption Standard, or AES. To protect data in transit between Dropbox</w:t>
      </w:r>
      <w:r>
        <w:rPr>
          <w:rFonts w:ascii="Arial" w:cs="Arial" w:eastAsia="Arial" w:hAnsi="Arial"/>
          <w:sz w:val="17"/>
          <w:szCs w:val="17"/>
          <w:i w:val="1"/>
          <w:iCs w:val="1"/>
          <w:color w:val="auto"/>
        </w:rPr>
        <w:t xml:space="preserve"> </w:t>
      </w:r>
      <w:r>
        <w:rPr>
          <w:rFonts w:ascii="Arial" w:cs="Arial" w:eastAsia="Arial" w:hAnsi="Arial"/>
          <w:sz w:val="17"/>
          <w:szCs w:val="17"/>
          <w:color w:val="auto"/>
        </w:rPr>
        <w:t>apps such as desktop, mobile, API, or web and our servers, Dropbox uses Secure Sockets Layer, or SSL, and Transport Layer Security, or TLS, for data transfer, creating a secure tunnel protected by 128-bit or higher AES encryption.</w:t>
      </w:r>
    </w:p>
    <w:p>
      <w:pPr>
        <w:spacing w:after="0" w:line="67" w:lineRule="exact"/>
        <w:rPr>
          <w:rFonts w:ascii="Arial" w:cs="Arial" w:eastAsia="Arial" w:hAnsi="Arial"/>
          <w:sz w:val="17"/>
          <w:szCs w:val="17"/>
          <w:color w:val="auto"/>
        </w:rPr>
      </w:pPr>
    </w:p>
    <w:p>
      <w:pPr>
        <w:ind w:left="640" w:right="120" w:hanging="320"/>
        <w:spacing w:after="0" w:line="273"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File recovery</w:t>
      </w:r>
      <w:r>
        <w:rPr>
          <w:rFonts w:ascii="Arial" w:cs="Arial" w:eastAsia="Arial" w:hAnsi="Arial"/>
          <w:sz w:val="17"/>
          <w:szCs w:val="17"/>
          <w:color w:val="auto"/>
        </w:rPr>
        <w:t>. Every deletion event in Dropbox is recorded, including when groups of files are deleted. Users can easily recover files through our web</w:t>
      </w:r>
      <w:r>
        <w:rPr>
          <w:rFonts w:ascii="Arial" w:cs="Arial" w:eastAsia="Arial" w:hAnsi="Arial"/>
          <w:sz w:val="17"/>
          <w:szCs w:val="17"/>
          <w:i w:val="1"/>
          <w:iCs w:val="1"/>
          <w:color w:val="auto"/>
        </w:rPr>
        <w:t xml:space="preserve"> </w:t>
      </w:r>
      <w:r>
        <w:rPr>
          <w:rFonts w:ascii="Arial" w:cs="Arial" w:eastAsia="Arial" w:hAnsi="Arial"/>
          <w:sz w:val="17"/>
          <w:szCs w:val="17"/>
          <w:color w:val="auto"/>
        </w:rPr>
        <w:t>interface. Dropbox Plus subscribers may recover prior versions for up to 30 days after deletion, and Dropbox Professional and Dropbox Business subscribers may recover prior versions for up to 180 days after deletion.</w:t>
      </w:r>
    </w:p>
    <w:p>
      <w:pPr>
        <w:spacing w:after="0" w:line="172"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i w:val="1"/>
          <w:iCs w:val="1"/>
          <w:color w:val="auto"/>
        </w:rPr>
        <w:t>Administrator controls</w:t>
      </w:r>
      <w:r>
        <w:rPr>
          <w:rFonts w:ascii="Arial" w:cs="Arial" w:eastAsia="Arial" w:hAnsi="Arial"/>
          <w:sz w:val="17"/>
          <w:szCs w:val="17"/>
          <w:color w:val="auto"/>
        </w:rPr>
        <w:t>. Dropbox Business team administrators have many ways to customize security settings in both global and granular ways,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real-time detections of suspicious behavior, risky activity, and potential data leaks.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40" w:right="500" w:hanging="320"/>
        <w:spacing w:after="0" w:line="289"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Sharing permissions</w:t>
      </w:r>
      <w:r>
        <w:rPr>
          <w:rFonts w:ascii="Arial" w:cs="Arial" w:eastAsia="Arial" w:hAnsi="Arial"/>
          <w:sz w:val="17"/>
          <w:szCs w:val="17"/>
          <w:color w:val="auto"/>
        </w:rPr>
        <w:t>: Team administrators can set up and monitor how their members share team folders, and can set sharing permissions on all</w:t>
      </w:r>
      <w:r>
        <w:rPr>
          <w:rFonts w:ascii="Arial" w:cs="Arial" w:eastAsia="Arial" w:hAnsi="Arial"/>
          <w:sz w:val="17"/>
          <w:szCs w:val="17"/>
          <w:i w:val="1"/>
          <w:iCs w:val="1"/>
          <w:color w:val="auto"/>
        </w:rPr>
        <w:t xml:space="preserve"> </w:t>
      </w:r>
      <w:r>
        <w:rPr>
          <w:rFonts w:ascii="Arial" w:cs="Arial" w:eastAsia="Arial" w:hAnsi="Arial"/>
          <w:sz w:val="17"/>
          <w:szCs w:val="17"/>
          <w:color w:val="auto"/>
        </w:rPr>
        <w:t>folders, sub-folders, and links through the sharing tab.</w:t>
      </w:r>
    </w:p>
    <w:p>
      <w:pPr>
        <w:spacing w:after="0" w:line="53" w:lineRule="exact"/>
        <w:rPr>
          <w:rFonts w:ascii="Arial" w:cs="Arial" w:eastAsia="Arial" w:hAnsi="Arial"/>
          <w:sz w:val="17"/>
          <w:szCs w:val="17"/>
          <w:color w:val="auto"/>
        </w:rPr>
      </w:pPr>
    </w:p>
    <w:p>
      <w:pPr>
        <w:ind w:left="640" w:right="100" w:hanging="320"/>
        <w:spacing w:after="0" w:line="289"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Remote device wipe</w:t>
      </w:r>
      <w:r>
        <w:rPr>
          <w:rFonts w:ascii="Arial" w:cs="Arial" w:eastAsia="Arial" w:hAnsi="Arial"/>
          <w:sz w:val="17"/>
          <w:szCs w:val="17"/>
          <w:color w:val="auto"/>
        </w:rPr>
        <w:t>: Team administrators can delete their organization’s Dropbox content from a member’s linked devices, which is especially useful</w:t>
      </w:r>
      <w:r>
        <w:rPr>
          <w:rFonts w:ascii="Arial" w:cs="Arial" w:eastAsia="Arial" w:hAnsi="Arial"/>
          <w:sz w:val="17"/>
          <w:szCs w:val="17"/>
          <w:i w:val="1"/>
          <w:iCs w:val="1"/>
          <w:color w:val="auto"/>
        </w:rPr>
        <w:t xml:space="preserve"> </w:t>
      </w:r>
      <w:r>
        <w:rPr>
          <w:rFonts w:ascii="Arial" w:cs="Arial" w:eastAsia="Arial" w:hAnsi="Arial"/>
          <w:sz w:val="17"/>
          <w:szCs w:val="17"/>
          <w:color w:val="auto"/>
        </w:rPr>
        <w:t>should someone lose a device or leave the team.</w:t>
      </w:r>
    </w:p>
    <w:p>
      <w:pPr>
        <w:spacing w:after="0" w:line="53" w:lineRule="exact"/>
        <w:rPr>
          <w:rFonts w:ascii="Arial" w:cs="Arial" w:eastAsia="Arial" w:hAnsi="Arial"/>
          <w:sz w:val="17"/>
          <w:szCs w:val="17"/>
          <w:color w:val="auto"/>
        </w:rPr>
      </w:pPr>
    </w:p>
    <w:p>
      <w:pPr>
        <w:ind w:left="640" w:right="60" w:hanging="320"/>
        <w:spacing w:after="0" w:line="273"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Audit log</w:t>
      </w:r>
      <w:r>
        <w:rPr>
          <w:rFonts w:ascii="Arial" w:cs="Arial" w:eastAsia="Arial" w:hAnsi="Arial"/>
          <w:sz w:val="17"/>
          <w:szCs w:val="17"/>
          <w:color w:val="auto"/>
        </w:rPr>
        <w:t>: Team administrators can monitor which members are sharing files and logging into Dropbox, among other events. They can review activity</w:t>
      </w:r>
      <w:r>
        <w:rPr>
          <w:rFonts w:ascii="Arial" w:cs="Arial" w:eastAsia="Arial" w:hAnsi="Arial"/>
          <w:sz w:val="17"/>
          <w:szCs w:val="17"/>
          <w:i w:val="1"/>
          <w:iCs w:val="1"/>
          <w:color w:val="auto"/>
        </w:rPr>
        <w:t xml:space="preserve"> </w:t>
      </w:r>
      <w:r>
        <w:rPr>
          <w:rFonts w:ascii="Arial" w:cs="Arial" w:eastAsia="Arial" w:hAnsi="Arial"/>
          <w:sz w:val="17"/>
          <w:szCs w:val="17"/>
          <w:color w:val="auto"/>
        </w:rPr>
        <w:t>logs, create full reports for specific time ranges, and pull activity reports on specific members. Advanced and Enterprise team administrators have access to audit logs with file-event tracking.</w:t>
      </w:r>
    </w:p>
    <w:p>
      <w:pPr>
        <w:spacing w:after="0" w:line="67"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Device approvals</w:t>
      </w:r>
      <w:r>
        <w:rPr>
          <w:rFonts w:ascii="Arial" w:cs="Arial" w:eastAsia="Arial" w:hAnsi="Arial"/>
          <w:sz w:val="17"/>
          <w:szCs w:val="17"/>
          <w:color w:val="auto"/>
        </w:rPr>
        <w:t>: Advanced and Enterprise team administrators can manage how members access Dropbox on their devices.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Tiered administrator roles</w:t>
      </w:r>
      <w:r>
        <w:rPr>
          <w:rFonts w:ascii="Arial" w:cs="Arial" w:eastAsia="Arial" w:hAnsi="Arial"/>
          <w:sz w:val="15"/>
          <w:szCs w:val="15"/>
          <w:color w:val="auto"/>
        </w:rPr>
        <w:t>: Advanced and Enterprise teams have the ability to set multiple administrator roles, each with a different set of permissions.</w:t>
      </w:r>
    </w:p>
    <w:p>
      <w:pPr>
        <w:spacing w:after="0" w:line="142" w:lineRule="exact"/>
        <w:rPr>
          <w:rFonts w:ascii="Arial" w:cs="Arial" w:eastAsia="Arial" w:hAnsi="Arial"/>
          <w:sz w:val="15"/>
          <w:szCs w:val="15"/>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Network control</w:t>
      </w:r>
      <w:r>
        <w:rPr>
          <w:rFonts w:ascii="Arial" w:cs="Arial" w:eastAsia="Arial" w:hAnsi="Arial"/>
          <w:sz w:val="17"/>
          <w:szCs w:val="17"/>
          <w:color w:val="auto"/>
        </w:rPr>
        <w:t>: Enterprise team administrators can restrict personal Dropbox usage on their organization’s network.</w:t>
      </w:r>
    </w:p>
    <w:p>
      <w:pPr>
        <w:spacing w:after="0" w:line="224" w:lineRule="exact"/>
        <w:rPr>
          <w:sz w:val="20"/>
          <w:szCs w:val="20"/>
          <w:color w:val="auto"/>
        </w:rPr>
      </w:pPr>
    </w:p>
    <w:p>
      <w:pPr>
        <w:ind w:right="300" w:firstLine="433"/>
        <w:spacing w:after="0" w:line="289" w:lineRule="auto"/>
        <w:rPr>
          <w:sz w:val="20"/>
          <w:szCs w:val="20"/>
          <w:color w:val="auto"/>
        </w:rPr>
      </w:pPr>
      <w:r>
        <w:rPr>
          <w:rFonts w:ascii="Arial" w:cs="Arial" w:eastAsia="Arial" w:hAnsi="Arial"/>
          <w:sz w:val="17"/>
          <w:szCs w:val="17"/>
          <w:i w:val="1"/>
          <w:iCs w:val="1"/>
          <w:color w:val="auto"/>
        </w:rPr>
        <w:t>Third-party security integrations</w:t>
      </w:r>
      <w:r>
        <w:rPr>
          <w:rFonts w:ascii="Arial" w:cs="Arial" w:eastAsia="Arial" w:hAnsi="Arial"/>
          <w:sz w:val="17"/>
          <w:szCs w:val="17"/>
          <w:color w:val="auto"/>
        </w:rPr>
        <w:t>. We’ve partnered with industry-leading third parties to enable us to provide a wide range of IT processes and satisfy</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compliance standards, including:</w:t>
      </w:r>
    </w:p>
    <w:p>
      <w:pPr>
        <w:spacing w:after="0" w:line="80" w:lineRule="exact"/>
        <w:rPr>
          <w:sz w:val="20"/>
          <w:szCs w:val="20"/>
          <w:color w:val="auto"/>
        </w:rPr>
      </w:pPr>
    </w:p>
    <w:p>
      <w:pPr>
        <w:ind w:left="640" w:right="8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Security information and event management</w:t>
      </w:r>
      <w:r>
        <w:rPr>
          <w:rFonts w:ascii="Arial" w:cs="Arial" w:eastAsia="Arial" w:hAnsi="Arial"/>
          <w:sz w:val="17"/>
          <w:szCs w:val="17"/>
          <w:color w:val="auto"/>
        </w:rPr>
        <w:t>: Allows Dropbox Business administrators to oversee and manage employee activity, and access sensitive</w:t>
      </w:r>
      <w:r>
        <w:rPr>
          <w:rFonts w:ascii="Arial" w:cs="Arial" w:eastAsia="Arial" w:hAnsi="Arial"/>
          <w:sz w:val="17"/>
          <w:szCs w:val="17"/>
          <w:i w:val="1"/>
          <w:iCs w:val="1"/>
          <w:color w:val="auto"/>
        </w:rPr>
        <w:t xml:space="preserve"> </w:t>
      </w:r>
      <w:r>
        <w:rPr>
          <w:rFonts w:ascii="Arial" w:cs="Arial" w:eastAsia="Arial" w:hAnsi="Arial"/>
          <w:sz w:val="17"/>
          <w:szCs w:val="17"/>
          <w:color w:val="auto"/>
        </w:rPr>
        <w:t>data through the administrator page.</w:t>
      </w:r>
    </w:p>
    <w:p>
      <w:pPr>
        <w:spacing w:after="0" w:line="53" w:lineRule="exact"/>
        <w:rPr>
          <w:rFonts w:ascii="Arial" w:cs="Arial" w:eastAsia="Arial" w:hAnsi="Arial"/>
          <w:sz w:val="17"/>
          <w:szCs w:val="17"/>
          <w:color w:val="auto"/>
        </w:rPr>
      </w:pPr>
    </w:p>
    <w:p>
      <w:pPr>
        <w:ind w:left="640" w:right="46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Data loss prevention</w:t>
      </w:r>
      <w:r>
        <w:rPr>
          <w:rFonts w:ascii="Arial" w:cs="Arial" w:eastAsia="Arial" w:hAnsi="Arial"/>
          <w:sz w:val="17"/>
          <w:szCs w:val="17"/>
          <w:color w:val="auto"/>
        </w:rPr>
        <w:t>: Protects sensitive data like personally identifiable information and payment card industry data stored in Dropbox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w:t>
      </w:r>
    </w:p>
    <w:p>
      <w:pPr>
        <w:spacing w:after="0" w:line="53" w:lineRule="exact"/>
        <w:rPr>
          <w:rFonts w:ascii="Arial" w:cs="Arial" w:eastAsia="Arial" w:hAnsi="Arial"/>
          <w:sz w:val="17"/>
          <w:szCs w:val="17"/>
          <w:color w:val="auto"/>
        </w:rPr>
      </w:pPr>
    </w:p>
    <w:p>
      <w:pPr>
        <w:ind w:left="640" w:right="58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eDiscovery and legal hold</w:t>
      </w:r>
      <w:r>
        <w:rPr>
          <w:rFonts w:ascii="Arial" w:cs="Arial" w:eastAsia="Arial" w:hAnsi="Arial"/>
          <w:sz w:val="17"/>
          <w:szCs w:val="17"/>
          <w:color w:val="auto"/>
        </w:rPr>
        <w:t>: Enables secure search and the ability to collect and preserve electronically stored information in Dropbox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Digital rights management</w:t>
      </w:r>
      <w:r>
        <w:rPr>
          <w:rFonts w:ascii="Arial" w:cs="Arial" w:eastAsia="Arial" w:hAnsi="Arial"/>
          <w:sz w:val="17"/>
          <w:szCs w:val="17"/>
          <w:color w:val="auto"/>
        </w:rPr>
        <w:t>: Provides third-party encryption for company data stored in Dropbox Business accounts.</w:t>
      </w:r>
    </w:p>
    <w:p>
      <w:pPr>
        <w:spacing w:after="0" w:line="119" w:lineRule="exact"/>
        <w:rPr>
          <w:rFonts w:ascii="Arial" w:cs="Arial" w:eastAsia="Arial" w:hAnsi="Arial"/>
          <w:sz w:val="17"/>
          <w:szCs w:val="17"/>
          <w:color w:val="auto"/>
        </w:rPr>
      </w:pPr>
    </w:p>
    <w:p>
      <w:pPr>
        <w:ind w:left="640" w:right="16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Data migration and on-premises backup</w:t>
      </w:r>
      <w:r>
        <w:rPr>
          <w:rFonts w:ascii="Arial" w:cs="Arial" w:eastAsia="Arial" w:hAnsi="Arial"/>
          <w:sz w:val="17"/>
          <w:szCs w:val="17"/>
          <w:color w:val="auto"/>
        </w:rPr>
        <w:t>: Assists in transferring large amounts of data between locations and securing sensitive information with on-site data backup.</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Identity management</w:t>
      </w:r>
      <w:r>
        <w:rPr>
          <w:rFonts w:ascii="Arial" w:cs="Arial" w:eastAsia="Arial" w:hAnsi="Arial"/>
          <w:sz w:val="16"/>
          <w:szCs w:val="16"/>
          <w:color w:val="auto"/>
        </w:rPr>
        <w:t>: Allows companies to keep their Dropbox Business team authenticated with an external identity provider like Active Directory.</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offer a range of subscription plans for our users, including a free, Basic plan, paid Personal plans, and Business plans.</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5" w:lineRule="exact"/>
        <w:rPr>
          <w:sz w:val="20"/>
          <w:szCs w:val="20"/>
          <w:color w:val="auto"/>
        </w:rPr>
      </w:pPr>
    </w:p>
    <w:p>
      <w:pPr>
        <w:ind w:right="80" w:firstLine="433"/>
        <w:spacing w:after="0" w:line="309" w:lineRule="auto"/>
        <w:rPr>
          <w:sz w:val="20"/>
          <w:szCs w:val="20"/>
          <w:color w:val="auto"/>
        </w:rPr>
      </w:pPr>
      <w:r>
        <w:rPr>
          <w:rFonts w:ascii="Arial" w:cs="Arial" w:eastAsia="Arial" w:hAnsi="Arial"/>
          <w:sz w:val="15"/>
          <w:szCs w:val="15"/>
          <w:color w:val="auto"/>
        </w:rPr>
        <w:t>We’ve built a thriving global business with 17.77 million paying users. As of December 31, 2022, we had more than 575,000 paying Dropbox Business teams. Our customer base is highly diversified, and in 2020, 2021, and 2022,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How we support our customers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of our users can access support through the following resources:</w:t>
      </w:r>
    </w:p>
    <w:p>
      <w:pPr>
        <w:spacing w:after="0" w:line="132" w:lineRule="exact"/>
        <w:rPr>
          <w:sz w:val="20"/>
          <w:szCs w:val="20"/>
          <w:color w:val="auto"/>
        </w:rPr>
      </w:pPr>
    </w:p>
    <w:p>
      <w:pPr>
        <w:ind w:left="640" w:right="200" w:hanging="320"/>
        <w:spacing w:after="0" w:line="289"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Help center</w:t>
      </w:r>
      <w:r>
        <w:rPr>
          <w:rFonts w:ascii="Arial" w:cs="Arial" w:eastAsia="Arial" w:hAnsi="Arial"/>
          <w:sz w:val="17"/>
          <w:szCs w:val="17"/>
          <w:color w:val="auto"/>
        </w:rPr>
        <w:t>: Provides an online repository of helpful information about our platform, responses to frequently asked questions, and best practices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use.</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Community support</w:t>
      </w:r>
      <w:r>
        <w:rPr>
          <w:rFonts w:ascii="Arial" w:cs="Arial" w:eastAsia="Arial" w:hAnsi="Arial"/>
          <w:sz w:val="17"/>
          <w:szCs w:val="17"/>
          <w:color w:val="auto"/>
        </w:rPr>
        <w:t>: Facilitates collaboration between users on answers, solutions, and ideas about our platform in an online community.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Social media support</w:t>
      </w:r>
      <w:r>
        <w:rPr>
          <w:rFonts w:ascii="Arial" w:cs="Arial" w:eastAsia="Arial" w:hAnsi="Arial"/>
          <w:sz w:val="17"/>
          <w:szCs w:val="17"/>
          <w:color w:val="auto"/>
        </w:rPr>
        <w:t>: Provides users real-time product and service updates, and offers tips and troubleshooting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40" w:right="140" w:hanging="320"/>
        <w:spacing w:after="0" w:line="289"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Guided troubleshooting</w:t>
      </w:r>
      <w:r>
        <w:rPr>
          <w:rFonts w:ascii="Arial" w:cs="Arial" w:eastAsia="Arial" w:hAnsi="Arial"/>
          <w:sz w:val="17"/>
          <w:szCs w:val="17"/>
          <w:color w:val="auto"/>
        </w:rPr>
        <w:t>: Offers step-by-step instructions to resolve common questions and provides a portal to submit help requests for questions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aren’t otherwise addressed.</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We also offer additional levels of support for our paying users depending on the subscription plan they choose.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Sales and Marketing Approach</w:t>
      </w:r>
    </w:p>
    <w:p>
      <w:pPr>
        <w:spacing w:after="0" w:line="125" w:lineRule="exact"/>
        <w:rPr>
          <w:sz w:val="20"/>
          <w:szCs w:val="20"/>
          <w:color w:val="auto"/>
        </w:rPr>
      </w:pPr>
    </w:p>
    <w:p>
      <w:pPr>
        <w:ind w:right="180" w:firstLine="433"/>
        <w:spacing w:after="0" w:line="264" w:lineRule="auto"/>
        <w:rPr>
          <w:sz w:val="20"/>
          <w:szCs w:val="20"/>
          <w:color w:val="auto"/>
        </w:rPr>
      </w:pPr>
      <w:r>
        <w:rPr>
          <w:rFonts w:ascii="Arial" w:cs="Arial" w:eastAsia="Arial" w:hAnsi="Arial"/>
          <w:sz w:val="17"/>
          <w:szCs w:val="17"/>
          <w:color w:val="auto"/>
        </w:rPr>
        <w:t>As users share content and collaborate on our platform, they introduce and invite new users, driving viral growth. We generate over 90% of our revenue from self-serve channels, which limits customer acquisition costs.</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We’ve developed an efficient marketing function that’s focused on building brand awareness and reinforcing our self-serve model.</w:t>
      </w:r>
    </w:p>
    <w:p>
      <w:pPr>
        <w:spacing w:after="0" w:line="238" w:lineRule="exact"/>
        <w:rPr>
          <w:sz w:val="20"/>
          <w:szCs w:val="20"/>
          <w:color w:val="auto"/>
        </w:rPr>
      </w:pPr>
    </w:p>
    <w:p>
      <w:pPr>
        <w:ind w:right="60" w:firstLine="433"/>
        <w:spacing w:after="0" w:line="265" w:lineRule="auto"/>
        <w:rPr>
          <w:sz w:val="20"/>
          <w:szCs w:val="20"/>
          <w:color w:val="auto"/>
        </w:rPr>
      </w:pPr>
      <w:r>
        <w:rPr>
          <w:rFonts w:ascii="Arial" w:cs="Arial" w:eastAsia="Arial" w:hAnsi="Arial"/>
          <w:sz w:val="17"/>
          <w:szCs w:val="17"/>
          <w:color w:val="auto"/>
        </w:rPr>
        <w:t>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Each year, hundreds of millions of devices—including computers, phones, and tablets—are actively connected to the Dropbox platform, representing a large number of touchpoints to communicate with our users. We complement our self-serve strategy with a focused outbound sales effort targeted at organizations with existing organic adoption of Dropbox.</w:t>
      </w:r>
    </w:p>
    <w:p>
      <w:pPr>
        <w:spacing w:after="0" w:line="206" w:lineRule="exact"/>
        <w:rPr>
          <w:sz w:val="20"/>
          <w:szCs w:val="20"/>
          <w:color w:val="auto"/>
        </w:rPr>
      </w:pPr>
    </w:p>
    <w:p>
      <w:pPr>
        <w:ind w:right="540" w:firstLine="433"/>
        <w:spacing w:after="0" w:line="289" w:lineRule="auto"/>
        <w:rPr>
          <w:sz w:val="20"/>
          <w:szCs w:val="20"/>
          <w:color w:val="auto"/>
        </w:rPr>
      </w:pPr>
      <w:r>
        <w:rPr>
          <w:rFonts w:ascii="Arial" w:cs="Arial" w:eastAsia="Arial" w:hAnsi="Arial"/>
          <w:sz w:val="17"/>
          <w:szCs w:val="17"/>
          <w:color w:val="auto"/>
        </w:rPr>
        <w:t>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Technology Infrastructure and Operations</w:t>
      </w:r>
    </w:p>
    <w:p>
      <w:pPr>
        <w:spacing w:after="0" w:line="125"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California, Oregon, Texas, and Virginia.</w:t>
      </w:r>
    </w:p>
    <w:p>
      <w:pPr>
        <w:spacing w:after="0" w:line="198"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We also utilize Amazon Web Services, or AWS, for the remainder of our users’ storage needs and to help deliver our services. These AWS datacenters are located in the United States, Australia, Europe, and Japan, which allows us to localize where content is stored. Our technology infrastructure, combined with select use of AWS resources, provides us with a distributed and scalable architecture on a global scale.</w:t>
      </w:r>
    </w:p>
    <w:p>
      <w:pPr>
        <w:spacing w:after="0" w:line="198" w:lineRule="exact"/>
        <w:rPr>
          <w:sz w:val="20"/>
          <w:szCs w:val="20"/>
          <w:color w:val="auto"/>
        </w:rPr>
      </w:pPr>
    </w:p>
    <w:p>
      <w:pPr>
        <w:jc w:val="both"/>
        <w:ind w:right="120" w:firstLine="433"/>
        <w:spacing w:after="0" w:line="273" w:lineRule="auto"/>
        <w:rPr>
          <w:sz w:val="20"/>
          <w:szCs w:val="20"/>
          <w:color w:val="auto"/>
        </w:rPr>
      </w:pPr>
      <w:r>
        <w:rPr>
          <w:rFonts w:ascii="Arial" w:cs="Arial" w:eastAsia="Arial" w:hAnsi="Arial"/>
          <w:sz w:val="17"/>
          <w:szCs w:val="17"/>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Commitment to Security, Privacy and Legal Compliance</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Trust is the foundation of our relationship with our users, and we take significant measures every day to protect their privacy and security.</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Security</w:t>
      </w:r>
    </w:p>
    <w:p>
      <w:pPr>
        <w:spacing w:after="0" w:line="119" w:lineRule="exact"/>
        <w:rPr>
          <w:sz w:val="20"/>
          <w:szCs w:val="20"/>
          <w:color w:val="auto"/>
        </w:rPr>
      </w:pPr>
    </w:p>
    <w:p>
      <w:pPr>
        <w:ind w:right="160" w:firstLine="433"/>
        <w:spacing w:after="0" w:line="281" w:lineRule="auto"/>
        <w:rPr>
          <w:sz w:val="20"/>
          <w:szCs w:val="20"/>
          <w:color w:val="auto"/>
        </w:rPr>
      </w:pPr>
      <w:r>
        <w:rPr>
          <w:rFonts w:ascii="Arial" w:cs="Arial" w:eastAsia="Arial" w:hAnsi="Arial"/>
          <w:sz w:val="16"/>
          <w:szCs w:val="16"/>
          <w:color w:val="auto"/>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 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 We voluntarily engage third-party security auditors to test our systems and controls at least annually against the most widely recognized security standards and regulations. We also encourage and support independent research through our bug bounty program, where we work with leading security researchers from around the world to maintain the high standards of security our users have come to expect.</w:t>
      </w:r>
    </w:p>
    <w:p>
      <w:pPr>
        <w:spacing w:after="0" w:line="197"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Privacy</w:t>
      </w:r>
    </w:p>
    <w:p>
      <w:pPr>
        <w:spacing w:after="0" w:line="119"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We are committed to keeping user data private, and are subject to a number of privacy laws and regulations such as the European Union's General Data Protection Regulation ("GDPR") and the California Consumer Privacy Act ("CCPA") in the U.S. These laws and regulations impose increasingly numerous, complex obligations on us. To comply with and manage our obligations under such privacy laws and regulations, we operate a robust privacy program and have appointed a Data Protection Officer. Our privacy policy details how we process our users’ personal data as well as the steps we take to protect it. For third-party developers that create applications that connect to Dropbox, we also set forth terms and guidelines that explain their obligation to protect the privacy of our users' personal data.</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Government Regulations</w:t>
      </w:r>
    </w:p>
    <w:p>
      <w:pPr>
        <w:spacing w:after="0" w:line="119"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We are subject to compliance with various laws and regulations. These include those covering copyright, indecent content, child protection, and similar matters regarding the content stored and created on our platform as well as consumer protection laws that may impact our sales and marketing efforts, including laws related to subscriptions, billing, and auto renewal. In addition to laws and regulations governing content stored and created on our platform and consumer protection, we are also subject to anti-corruption laws and export and import regulations. The laws in these areas are often in a state of flux and can vary widely between jurisdictions. To comply with and manage our obligations under such laws and regulations, we track relevant legislative, regulatory, and contractual requirements. In addition, we have instituted processes and policies to ensure we review our business practices for appropriate compliance with such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Competition</w:t>
      </w:r>
    </w:p>
    <w:p>
      <w:pPr>
        <w:spacing w:after="0" w:line="125" w:lineRule="exact"/>
        <w:rPr>
          <w:sz w:val="20"/>
          <w:szCs w:val="20"/>
          <w:color w:val="auto"/>
        </w:rPr>
      </w:pPr>
    </w:p>
    <w:p>
      <w:pPr>
        <w:ind w:right="60" w:firstLine="433"/>
        <w:spacing w:after="0" w:line="265"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Slack, Google, and Adobe and in the content collaboration market with products offered by Microsoft, Atlassian, and Google. On a more limited basis, we compete with Box in the cloud storage market for deployments by large enterprises and with Adobe and DocuSign in the e-signature market. We also compete with smaller private companies that offer point solutions in the cloud storage market or the content collaboration market.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believe that the principal competitive factors in our markets include the following:</w:t>
      </w:r>
    </w:p>
    <w:p>
      <w:pPr>
        <w:spacing w:after="0" w:line="145" w:lineRule="exact"/>
        <w:rPr>
          <w:sz w:val="20"/>
          <w:szCs w:val="20"/>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brand;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systems, and applications;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continued innovation;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pricing;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macroeconomic trends.</w:t>
      </w:r>
    </w:p>
    <w:p>
      <w:pPr>
        <w:spacing w:after="0" w:line="224" w:lineRule="exact"/>
        <w:rPr>
          <w:sz w:val="20"/>
          <w:szCs w:val="20"/>
          <w:color w:val="auto"/>
        </w:rPr>
      </w:pPr>
    </w:p>
    <w:p>
      <w:pPr>
        <w:ind w:right="100" w:firstLine="433"/>
        <w:spacing w:after="0" w:line="298" w:lineRule="auto"/>
        <w:rPr>
          <w:sz w:val="20"/>
          <w:szCs w:val="20"/>
          <w:color w:val="auto"/>
        </w:rPr>
      </w:pPr>
      <w:r>
        <w:rPr>
          <w:rFonts w:ascii="Arial" w:cs="Arial" w:eastAsia="Arial" w:hAnsi="Arial"/>
          <w:sz w:val="16"/>
          <w:szCs w:val="16"/>
          <w:color w:val="auto"/>
        </w:rPr>
        <w:t>We believe we compete favorably across these factors,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5"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We believe that our intellectual property rights are valuable and important to our business. We rely on patents, patent applications, trademarks, copyrights, trade secrets, know-how license agreements, confidentiality procedures, non-disclosure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60"/>
        <w:spacing w:after="0" w:line="322" w:lineRule="auto"/>
        <w:rPr>
          <w:sz w:val="20"/>
          <w:szCs w:val="20"/>
          <w:color w:val="auto"/>
        </w:rPr>
      </w:pPr>
      <w:r>
        <w:rPr>
          <w:rFonts w:ascii="Arial" w:cs="Arial" w:eastAsia="Arial" w:hAnsi="Arial"/>
          <w:sz w:val="16"/>
          <w:szCs w:val="16"/>
          <w:color w:val="auto"/>
        </w:rPr>
        <w:t>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162" w:lineRule="exact"/>
        <w:rPr>
          <w:sz w:val="20"/>
          <w:szCs w:val="20"/>
          <w:color w:val="auto"/>
        </w:rPr>
      </w:pPr>
    </w:p>
    <w:p>
      <w:pPr>
        <w:jc w:val="both"/>
        <w:ind w:right="140" w:firstLine="433"/>
        <w:spacing w:after="0" w:line="273" w:lineRule="auto"/>
        <w:rPr>
          <w:sz w:val="20"/>
          <w:szCs w:val="20"/>
          <w:color w:val="auto"/>
        </w:rPr>
      </w:pPr>
      <w:r>
        <w:rPr>
          <w:rFonts w:ascii="Arial" w:cs="Arial" w:eastAsia="Arial" w:hAnsi="Arial"/>
          <w:sz w:val="17"/>
          <w:szCs w:val="17"/>
          <w:color w:val="auto"/>
        </w:rPr>
        <w:t>We have over 1,550 issued patents and more than 300 pending patent applications in the United States and abroad. These patents and patent applications seek to protect our proprietary inventions relevant to our business. In addition, we license a number of key third-party patents in the file collaboration, storage, syncing, and sharing markets.</w:t>
      </w:r>
    </w:p>
    <w:p>
      <w:pPr>
        <w:spacing w:after="0" w:line="198"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198" w:lineRule="exact"/>
        <w:rPr>
          <w:sz w:val="20"/>
          <w:szCs w:val="20"/>
          <w:color w:val="auto"/>
        </w:rPr>
      </w:pPr>
    </w:p>
    <w:p>
      <w:pPr>
        <w:jc w:val="both"/>
        <w:ind w:right="340" w:firstLine="433"/>
        <w:spacing w:after="0" w:line="326" w:lineRule="auto"/>
        <w:rPr>
          <w:sz w:val="20"/>
          <w:szCs w:val="20"/>
          <w:color w:val="auto"/>
        </w:rPr>
      </w:pPr>
      <w:r>
        <w:rPr>
          <w:rFonts w:ascii="Arial" w:cs="Arial" w:eastAsia="Arial" w:hAnsi="Arial"/>
          <w:sz w:val="15"/>
          <w:szCs w:val="15"/>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25" w:lineRule="exact"/>
        <w:rPr>
          <w:sz w:val="20"/>
          <w:szCs w:val="20"/>
          <w:color w:val="auto"/>
        </w:rPr>
      </w:pPr>
    </w:p>
    <w:p>
      <w:pPr>
        <w:ind w:right="140" w:firstLine="433"/>
        <w:spacing w:after="0" w:line="290" w:lineRule="auto"/>
        <w:rPr>
          <w:sz w:val="20"/>
          <w:szCs w:val="20"/>
          <w:color w:val="auto"/>
        </w:rPr>
      </w:pPr>
      <w:r>
        <w:rPr>
          <w:rFonts w:ascii="Arial" w:cs="Arial" w:eastAsia="Arial" w:hAnsi="Arial"/>
          <w:sz w:val="16"/>
          <w:szCs w:val="16"/>
          <w:color w:val="auto"/>
        </w:rPr>
        <w:t>At Dropbox, we believe that the world can work better. But that starts with us: building a team that emphasizes the kindness and collaboration needed to grow. We believe the strength of our workforce is one of the most significant contributors to our success. As of December 31, 2022, we had 3,118 full-time employees. Of our full-time employees, 2,583 were located in the United States and 535 were employees located outside of the United States. None of our employees are represented by a labor union. We have not experienced any work stoppages, and we believe that our employee relations are strong.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Virtual First</w:t>
      </w:r>
    </w:p>
    <w:p>
      <w:pPr>
        <w:spacing w:after="0" w:line="11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In October 2020, we announced our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where we currently have offices, either through our existing real-estate, or new on-demand, flexible spaces, which are known as “Dropbox Studios”. We also promote work-life balance by empowering our employees to adopt flexible working arrangements and providing tools for efficient remote collaboration and continuing to provide opportunities for in-person collaboration at our “Dropbox Studios” locations. Additionally, we provide our employees with a flexible quarterly allowance that can be used to cover expenses related to health and fitness, family and caregiver support, productivity and ergonomics, financial wellness, and learning and development programs, as well as resources to support Dropboxer effectiveness in their work environments.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 Program</w:t>
      </w:r>
    </w:p>
    <w:p>
      <w:pPr>
        <w:spacing w:after="0" w:line="119"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Our compensation program is designed to attract and reward talented individuals who possess the skills necessary to support our business, contribute to our strategic goals and create long-term value for our stockholders. We provide employees with competitive compensation packages that include base salary, annual incentive bonuses, 401(k) with a company match up to a specific threshold, and equity awards which align the interests of our employees with our stockholders. Our highly competitive benefits package includes medical, dental, vision, life and disability plans. In addition to these core benefits, Dropbox also provides enhanced mental health benefits, family formation benefits and our adoption and surrogacy assistance program. Our comprehensive programs also provide various leave benefits - including 24 weeks of leave for new parents.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Wellness and Safety</w:t>
      </w:r>
    </w:p>
    <w:p>
      <w:pPr>
        <w:spacing w:after="0" w:line="250"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We recognize the importance of the well-being of our employees. With the shift to our Virtual First work model, we remain committed to supporting their well-being and development. A component of our comprehensive health and wellness benefits package to all employees includes additional time-off opportunities as well as mental and physical wellness benefits. We conduct a bi-annual employee satisfaction survey to gather candid feedback from employees with focus on areas such as experience with our managers, wellness initiatives, career and company initiatives. Survey results are reviewed extensively and become part of our action plans at all levels of the organization.</w:t>
      </w:r>
    </w:p>
    <w:p>
      <w:pPr>
        <w:spacing w:after="0" w:line="2" w:lineRule="exact"/>
        <w:rPr>
          <w:sz w:val="20"/>
          <w:szCs w:val="20"/>
          <w:color w:val="auto"/>
        </w:rPr>
      </w:pPr>
    </w:p>
    <w:p>
      <w:pPr>
        <w:jc w:val="both"/>
        <w:ind w:right="340" w:firstLine="433"/>
        <w:spacing w:after="0" w:line="266" w:lineRule="auto"/>
        <w:rPr>
          <w:sz w:val="20"/>
          <w:szCs w:val="20"/>
          <w:color w:val="auto"/>
        </w:rPr>
      </w:pPr>
      <w:r>
        <w:rPr>
          <w:rFonts w:ascii="Arial" w:cs="Arial" w:eastAsia="Arial" w:hAnsi="Arial"/>
          <w:sz w:val="17"/>
          <w:szCs w:val="17"/>
          <w:color w:val="auto"/>
        </w:rPr>
        <w:t>In addition, the safety of our employees is paramount to our success. We have a physical security policy applicable to all our employees with a global physical security team that is empowered to protect the safety of our employees in the event of emergencies or disasters. We also established and regularly update Global COVID-19 Workplace Health &amp; Safety Standards,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based on guidance from public health authorities, to ensure we minimize risk for employees entering our offices. This is driven through a centralized, cross-functional Crisis Management Team dedicated to Dropbox’s COVID-19 response.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Learning and Development</w:t>
      </w:r>
    </w:p>
    <w:p>
      <w:pPr>
        <w:spacing w:after="0" w:line="119"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We want all of our employees to have thriving careers where they grow and develop in meaningful ways. We develop and provide access to internal learning and development resources to assist in professional development in various ways such as skills-building programs, on-demand learning options, mentoring programs, and leadership development courses. We also offer extensive onboarding and training programs to prepare our employees at all levels for career progression and individual development.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Diversity and Inclusion</w:t>
      </w:r>
    </w:p>
    <w:p>
      <w:pPr>
        <w:spacing w:after="0" w:line="119"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We believe that an equitable and inclusive environment comprised of diverse teams produces more creative solutions, results in better and more innovative products, and is crucial to our efforts to attract and retain key talent. We are focused on building an inclusive culture and sustaining a diverse workforce through a variety of company initiatives. As part of that effort we have a number of executive-sponsored Employee Resource Groups, or ERGs, that provide support for diverse members of our workforce by fostering an inclusive environment and providing community-building opportunities. In addition, we provide resources and training to employees at all levels to ensure that we are cultivating diverse and inclusive teams, as well as sponsor a number of professional development opportunities that support underrepresented employees at our Company.</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Community</w:t>
      </w:r>
    </w:p>
    <w:p>
      <w:pPr>
        <w:spacing w:after="0" w:line="119" w:lineRule="exact"/>
        <w:rPr>
          <w:sz w:val="20"/>
          <w:szCs w:val="20"/>
          <w:color w:val="auto"/>
        </w:rPr>
      </w:pPr>
    </w:p>
    <w:p>
      <w:pPr>
        <w:ind w:right="640" w:firstLine="393"/>
        <w:spacing w:after="0" w:line="289" w:lineRule="auto"/>
        <w:rPr>
          <w:sz w:val="20"/>
          <w:szCs w:val="20"/>
          <w:color w:val="auto"/>
        </w:rPr>
      </w:pPr>
      <w:r>
        <w:rPr>
          <w:rFonts w:ascii="Arial" w:cs="Arial" w:eastAsia="Arial" w:hAnsi="Arial"/>
          <w:sz w:val="17"/>
          <w:szCs w:val="17"/>
          <w:color w:val="auto"/>
        </w:rPr>
        <w:t>We empower our employees to give back to their communities by providing paid volunteer time off, matching a portion of employee donations to nonprofits and making product donations to nonprofit organizations nominated by our employees.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25" w:lineRule="exact"/>
        <w:rPr>
          <w:sz w:val="20"/>
          <w:szCs w:val="20"/>
          <w:color w:val="auto"/>
        </w:rPr>
      </w:pPr>
    </w:p>
    <w:p>
      <w:pPr>
        <w:ind w:right="180" w:firstLine="393"/>
        <w:spacing w:after="0" w:line="273" w:lineRule="auto"/>
        <w:rPr>
          <w:sz w:val="20"/>
          <w:szCs w:val="20"/>
          <w:color w:val="auto"/>
        </w:rPr>
      </w:pPr>
      <w:r>
        <w:rPr>
          <w:rFonts w:ascii="Arial" w:cs="Arial" w:eastAsia="Arial" w:hAnsi="Arial"/>
          <w:sz w:val="17"/>
          <w:szCs w:val="17"/>
          <w:color w:val="auto"/>
        </w:rPr>
        <w:t>We were incorporated in May 2007 as Evenflow, Inc., a Delaware corporation, and changed our name to Dropbox, Inc. in October 2009. Our principal offices are located at 1800 Owens Street, San Francisco, California, 94158, and our telephone number is (415) 857-6800. Our Class A common stock is listed on the Nasdaq Global Select Market under the symbol “DBX.”</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5" w:lineRule="exact"/>
        <w:rPr>
          <w:sz w:val="20"/>
          <w:szCs w:val="20"/>
          <w:color w:val="auto"/>
        </w:rPr>
      </w:pPr>
    </w:p>
    <w:p>
      <w:pPr>
        <w:ind w:right="120" w:firstLine="433"/>
        <w:spacing w:after="0" w:line="280" w:lineRule="auto"/>
        <w:rPr>
          <w:sz w:val="20"/>
          <w:szCs w:val="20"/>
          <w:color w:val="auto"/>
        </w:rPr>
      </w:pPr>
      <w:r>
        <w:rPr>
          <w:rFonts w:ascii="Arial" w:cs="Arial" w:eastAsia="Arial" w:hAnsi="Arial"/>
          <w:sz w:val="16"/>
          <w:szCs w:val="16"/>
          <w:color w:val="auto"/>
        </w:rPr>
        <w:t>Our website is located at http://www.dropbox.com/, our investor relations website is located at http://investors.dropbox.com/, and our blog is located at https://blog.dropbox.com/topics/news. We have used, and intend to continue to use, our investor relations website, our blog, press releases, public conference calls and webcasts to disclose material non-public information and to comply with our disclosure obligations under Regulation FD. The following filings are available through our investor relations website after we file them with the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www.sec.gov. The contents of these websites are not incorporated into this filing. Further, the Company’s references to the URLs for these websites are intended to be inactive textual references only.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246" w:lineRule="exact"/>
        <w:rPr>
          <w:sz w:val="20"/>
          <w:szCs w:val="20"/>
          <w:color w:val="auto"/>
        </w:rPr>
      </w:pPr>
    </w:p>
    <w:p>
      <w:pPr>
        <w:ind w:right="20" w:firstLine="393"/>
        <w:spacing w:after="0" w:line="301" w:lineRule="auto"/>
        <w:rPr>
          <w:sz w:val="20"/>
          <w:szCs w:val="20"/>
          <w:color w:val="auto"/>
        </w:rPr>
      </w:pPr>
      <w:r>
        <w:rPr>
          <w:rFonts w:ascii="Arial" w:cs="Arial" w:eastAsia="Arial" w:hAnsi="Arial"/>
          <w:sz w:val="15"/>
          <w:szCs w:val="15"/>
          <w:color w:val="auto"/>
        </w:rPr>
        <w:t>Investing in our Class A common stock involves a high degree of risk. In addition to the other information set forth in this Annual Report,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256"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85" w:lineRule="exact"/>
        <w:rPr>
          <w:sz w:val="20"/>
          <w:szCs w:val="20"/>
          <w:color w:val="auto"/>
        </w:rPr>
      </w:pPr>
    </w:p>
    <w:p>
      <w:pPr>
        <w:ind w:right="120" w:firstLine="393"/>
        <w:spacing w:after="0" w:line="262" w:lineRule="auto"/>
        <w:rPr>
          <w:sz w:val="20"/>
          <w:szCs w:val="20"/>
          <w:color w:val="auto"/>
        </w:rPr>
      </w:pPr>
      <w:r>
        <w:rPr>
          <w:rFonts w:ascii="Arial" w:cs="Arial" w:eastAsia="Arial" w:hAnsi="Arial"/>
          <w:sz w:val="17"/>
          <w:szCs w:val="17"/>
          <w:color w:val="auto"/>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and may decline in any period or over time, or paying users may downgrade or not renew their subscriptions because of several factors, such as dissatisfaction with our products, support, pricing, or mix of features, a user no longer having a need for our products, the availability of competitive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spacing w:after="0" w:line="207" w:lineRule="exact"/>
        <w:rPr>
          <w:sz w:val="20"/>
          <w:szCs w:val="20"/>
          <w:color w:val="auto"/>
        </w:rPr>
      </w:pPr>
    </w:p>
    <w:p>
      <w:pPr>
        <w:ind w:firstLine="393"/>
        <w:spacing w:after="0" w:line="301" w:lineRule="auto"/>
        <w:rPr>
          <w:sz w:val="20"/>
          <w:szCs w:val="20"/>
          <w:color w:val="auto"/>
        </w:rPr>
      </w:pPr>
      <w:r>
        <w:rPr>
          <w:rFonts w:ascii="Arial" w:cs="Arial" w:eastAsia="Arial" w:hAnsi="Arial"/>
          <w:sz w:val="15"/>
          <w:szCs w:val="15"/>
          <w:color w:val="auto"/>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w:t>
      </w:r>
    </w:p>
    <w:p>
      <w:pPr>
        <w:ind w:right="180"/>
        <w:spacing w:after="0" w:line="265" w:lineRule="auto"/>
        <w:rPr>
          <w:sz w:val="20"/>
          <w:szCs w:val="20"/>
          <w:color w:val="auto"/>
        </w:rPr>
      </w:pPr>
      <w:r>
        <w:rPr>
          <w:rFonts w:ascii="Arial" w:cs="Arial" w:eastAsia="Arial" w:hAnsi="Arial"/>
          <w:sz w:val="17"/>
          <w:szCs w:val="17"/>
          <w:color w:val="auto"/>
        </w:rPr>
        <w:t>condition may be harmed. In addition, certain of our enterprise licenses have a large number of seat licenses. Accordingly, an enterprise decision not to renew its license may have a large impact on our number of paying users and therefore, our business, results of operations, and financial condition. Furthermore, we have and may continue to see an increase in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spacing w:after="0" w:line="206"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could be harmed if we fail to attract new users or convert registered users to paying users.</w:t>
      </w:r>
    </w:p>
    <w:p>
      <w:pPr>
        <w:spacing w:after="0" w:line="250" w:lineRule="exact"/>
        <w:rPr>
          <w:sz w:val="20"/>
          <w:szCs w:val="20"/>
          <w:color w:val="auto"/>
        </w:rPr>
      </w:pPr>
    </w:p>
    <w:p>
      <w:pPr>
        <w:ind w:right="320" w:firstLine="393"/>
        <w:spacing w:after="0" w:line="268"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In particular, in order to grow our revenue, we must attract paying users and convert registered users to paying users.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40" w:firstLine="393"/>
        <w:spacing w:after="0" w:line="264"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December 31, 2022, we served over 700 million registered users but only 17.77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205" w:lineRule="exact"/>
        <w:rPr>
          <w:sz w:val="20"/>
          <w:szCs w:val="20"/>
          <w:color w:val="auto"/>
        </w:rPr>
      </w:pPr>
    </w:p>
    <w:p>
      <w:pPr>
        <w:ind w:firstLine="393"/>
        <w:spacing w:after="0" w:line="299" w:lineRule="auto"/>
        <w:rPr>
          <w:sz w:val="20"/>
          <w:szCs w:val="20"/>
          <w:color w:val="auto"/>
        </w:rPr>
      </w:pPr>
      <w:r>
        <w:rPr>
          <w:rFonts w:ascii="Arial" w:cs="Arial" w:eastAsia="Arial" w:hAnsi="Arial"/>
          <w:sz w:val="15"/>
          <w:szCs w:val="15"/>
          <w:color w:val="auto"/>
        </w:rPr>
        <w:t>Our paying and registered user growth rates have declined and may continue to decline in the future as our pricing strategy changes, our market penetration rates increase and we turn our focus to converting registered users to paying users rather than growing the total number of registered users. The availability of less expensive and bundled competitive products also has slowed and may continue to slow our user growth rate and negatively impact our ability to convert registered users to paying users. If we are not able to continue to expand our user base or fail to convert our registered users to paying users, demand for our paid services and our revenue may grow more slowly than expected or decline. Furthermore, events that financially impact our registered users and other prospective paying users, such as macroeconomic factors, layoffs, inflation, increased interest rates, or catastrophic events, may cause these users to delay or reduce technology spending, which may impact our ability to convert registered users or otherwise attract new paying users, restricting our ability to grow our</w:t>
      </w:r>
    </w:p>
    <w:p>
      <w:pPr>
        <w:spacing w:after="0" w:line="4"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revenue. If we are unable to increase our paying user growth rates or to offset declines in the number of new paying users with increased revenue per paying user, our revenue growth rate will decline and operating results will be adversely affected.</w:t>
      </w:r>
    </w:p>
    <w:p>
      <w:pPr>
        <w:spacing w:after="0" w:line="185"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i w:val="1"/>
          <w:iCs w:val="1"/>
          <w:color w:val="auto"/>
        </w:rPr>
        <w:t>Our business could be damaged, and we could be subject to liability, if there is any unauthorized access to our data or our users’ content, including through privacy and data security breaches or incidents.</w:t>
      </w:r>
    </w:p>
    <w:p>
      <w:pPr>
        <w:spacing w:after="0" w:line="185" w:lineRule="exact"/>
        <w:rPr>
          <w:sz w:val="20"/>
          <w:szCs w:val="20"/>
          <w:color w:val="auto"/>
        </w:rPr>
      </w:pPr>
    </w:p>
    <w:p>
      <w:pPr>
        <w:ind w:right="60" w:firstLine="393"/>
        <w:spacing w:after="0" w:line="277" w:lineRule="auto"/>
        <w:rPr>
          <w:sz w:val="20"/>
          <w:szCs w:val="20"/>
          <w:color w:val="auto"/>
        </w:rPr>
      </w:pPr>
      <w:r>
        <w:rPr>
          <w:rFonts w:ascii="Arial" w:cs="Arial" w:eastAsia="Arial" w:hAnsi="Arial"/>
          <w:sz w:val="16"/>
          <w:szCs w:val="16"/>
          <w:color w:val="auto"/>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198" w:lineRule="exact"/>
        <w:rPr>
          <w:sz w:val="20"/>
          <w:szCs w:val="20"/>
          <w:color w:val="auto"/>
        </w:rPr>
      </w:pPr>
    </w:p>
    <w:p>
      <w:pPr>
        <w:jc w:val="both"/>
        <w:ind w:right="200" w:firstLine="393"/>
        <w:spacing w:after="0" w:line="281" w:lineRule="auto"/>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spacing w:after="0" w:line="197" w:lineRule="exact"/>
        <w:rPr>
          <w:sz w:val="20"/>
          <w:szCs w:val="20"/>
          <w:color w:val="auto"/>
        </w:rPr>
      </w:pPr>
    </w:p>
    <w:p>
      <w:pPr>
        <w:ind w:right="40" w:firstLine="393"/>
        <w:spacing w:after="0" w:line="314" w:lineRule="auto"/>
        <w:rPr>
          <w:sz w:val="20"/>
          <w:szCs w:val="20"/>
          <w:color w:val="auto"/>
        </w:rPr>
      </w:pPr>
      <w:r>
        <w:rPr>
          <w:rFonts w:ascii="Arial" w:cs="Arial" w:eastAsia="Arial" w:hAnsi="Arial"/>
          <w:sz w:val="15"/>
          <w:szCs w:val="15"/>
          <w:color w:val="auto"/>
        </w:rPr>
        <w:t>Emerging and evolving cybersecurity threats such as the attack on SolarWinds and the Log4j vulnerability reported in December 2021 pose unique challenges and involve sophisticated threat actors. Computer malware, ransomware, cyber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the conflict between Russia and Ukraine.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198"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Virtual First model.</w:t>
      </w:r>
    </w:p>
    <w:p>
      <w:pPr>
        <w:spacing w:after="0" w:line="198" w:lineRule="exact"/>
        <w:rPr>
          <w:sz w:val="20"/>
          <w:szCs w:val="20"/>
          <w:color w:val="auto"/>
        </w:rPr>
      </w:pPr>
    </w:p>
    <w:p>
      <w:pPr>
        <w:ind w:right="120" w:firstLine="393"/>
        <w:spacing w:after="0" w:line="298" w:lineRule="auto"/>
        <w:rPr>
          <w:sz w:val="20"/>
          <w:szCs w:val="20"/>
          <w:color w:val="auto"/>
        </w:rPr>
      </w:pPr>
      <w:r>
        <w:rPr>
          <w:rFonts w:ascii="Arial" w:cs="Arial" w:eastAsia="Arial" w:hAnsi="Arial"/>
          <w:sz w:val="16"/>
          <w:szCs w:val="16"/>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or other compromise of their networks or systems, our data or our users' data may be improperly accessed, used, or disclosed.</w:t>
      </w:r>
    </w:p>
    <w:p>
      <w:pPr>
        <w:spacing w:after="0" w:line="180" w:lineRule="exact"/>
        <w:rPr>
          <w:sz w:val="20"/>
          <w:szCs w:val="20"/>
          <w:color w:val="auto"/>
        </w:rPr>
      </w:pPr>
    </w:p>
    <w:p>
      <w:pPr>
        <w:ind w:right="20" w:firstLine="393"/>
        <w:spacing w:after="0" w:line="286" w:lineRule="auto"/>
        <w:rPr>
          <w:sz w:val="20"/>
          <w:szCs w:val="20"/>
          <w:color w:val="auto"/>
        </w:rPr>
      </w:pPr>
      <w:r>
        <w:rPr>
          <w:rFonts w:ascii="Arial" w:cs="Arial" w:eastAsia="Arial" w:hAnsi="Arial"/>
          <w:sz w:val="16"/>
          <w:szCs w:val="16"/>
          <w:color w:val="auto"/>
        </w:rPr>
        <w:t>Third parties may attempt to compromise our employees and their privileged access into internal systems to gain access to accounts, our information, our networks, or our systems or those of third parties on which we rely. Employee error, malfeasance, or other errors in the storage, use, transmission, or other processing of personal information could result in an actual or perceived breach of user privacy. These risks may be heightened in connection with our transition to Virtual First and an increasingly distributed workforce. In addition, our users may also disclose or lose control of their passwords, or use the same or similar passwords on third parties’ systems, which could lead to unauthorized access to their accounts on our platform.</w:t>
      </w:r>
    </w:p>
    <w:p>
      <w:pPr>
        <w:spacing w:after="0" w:line="18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i w:val="1"/>
          <w:iCs w:val="1"/>
          <w:color w:val="auto"/>
        </w:rPr>
        <w:t>Our business may be significantly impacted by a change in general economic, political, and market conditions, including any resulting effect on consumer or business spending.</w:t>
      </w:r>
    </w:p>
    <w:p>
      <w:pPr>
        <w:spacing w:after="0" w:line="185"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Our business may be affected by general economic, political, and market conditions, including any resulting negative impact on spending by our business and consumer users. Some of our users may view a subscription to our platform as a discretionary purchase, and our paying users may reduce their discretionary spending on our platform during an economic downturn, especially in the event of a prolonged recessionary period. Concerns about inflation, rising interest rates, unemployment trends, geopolitical issues, such as the conflict between Russia and Ukraine, lasting adverse effects of the COVID-19 pandemic or a widespread economic slowdown or recession (in the United States or internationally) have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competitive markets, and we must continue to compete effectively.</w:t>
      </w:r>
    </w:p>
    <w:p>
      <w:pPr>
        <w:spacing w:after="0" w:line="250" w:lineRule="exact"/>
        <w:rPr>
          <w:sz w:val="20"/>
          <w:szCs w:val="20"/>
          <w:color w:val="auto"/>
        </w:rPr>
      </w:pPr>
    </w:p>
    <w:p>
      <w:pPr>
        <w:jc w:val="both"/>
        <w:ind w:right="20" w:firstLine="393"/>
        <w:spacing w:after="0" w:line="268"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with Adobe and DocuSign. We also compete with smaller private companies that offer point solutions in the cloud storage market or the content collaboration market. We believe the principal competitive factors in our markets include the following:</w:t>
      </w:r>
    </w:p>
    <w:p>
      <w:pPr>
        <w:spacing w:after="0" w:line="185" w:lineRule="exact"/>
        <w:rPr>
          <w:sz w:val="20"/>
          <w:szCs w:val="20"/>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brand;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systems, and applications;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continued innovation;</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pricing; 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macroeconomic trends.</w:t>
      </w:r>
    </w:p>
    <w:p>
      <w:pPr>
        <w:spacing w:after="0" w:line="250" w:lineRule="exact"/>
        <w:rPr>
          <w:sz w:val="20"/>
          <w:szCs w:val="20"/>
          <w:color w:val="auto"/>
        </w:rPr>
      </w:pPr>
    </w:p>
    <w:p>
      <w:pPr>
        <w:ind w:firstLine="172"/>
        <w:spacing w:after="0" w:line="283" w:lineRule="auto"/>
        <w:rPr>
          <w:sz w:val="20"/>
          <w:szCs w:val="20"/>
          <w:color w:val="auto"/>
        </w:rPr>
      </w:pPr>
      <w:r>
        <w:rPr>
          <w:rFonts w:ascii="Arial" w:cs="Arial" w:eastAsia="Arial" w:hAnsi="Arial"/>
          <w:sz w:val="16"/>
          <w:szCs w:val="16"/>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93" w:lineRule="exact"/>
        <w:rPr>
          <w:sz w:val="20"/>
          <w:szCs w:val="20"/>
          <w:color w:val="auto"/>
        </w:rPr>
      </w:pPr>
    </w:p>
    <w:p>
      <w:pPr>
        <w:ind w:right="80" w:firstLine="393"/>
        <w:spacing w:after="0" w:line="298"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80" w:lineRule="exact"/>
        <w:rPr>
          <w:sz w:val="20"/>
          <w:szCs w:val="20"/>
          <w:color w:val="auto"/>
        </w:rPr>
      </w:pPr>
    </w:p>
    <w:p>
      <w:pPr>
        <w:ind w:right="140" w:firstLine="393"/>
        <w:spacing w:after="0" w:line="298" w:lineRule="auto"/>
        <w:rPr>
          <w:sz w:val="20"/>
          <w:szCs w:val="20"/>
          <w:color w:val="auto"/>
        </w:rPr>
      </w:pPr>
      <w:r>
        <w:rPr>
          <w:rFonts w:ascii="Arial" w:cs="Arial" w:eastAsia="Arial" w:hAnsi="Arial"/>
          <w:sz w:val="16"/>
          <w:szCs w:val="16"/>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73" w:lineRule="exact"/>
        <w:rPr>
          <w:sz w:val="20"/>
          <w:szCs w:val="20"/>
          <w:color w:val="auto"/>
        </w:rPr>
      </w:pPr>
    </w:p>
    <w:p>
      <w:pPr>
        <w:ind w:right="40" w:firstLine="393"/>
        <w:spacing w:after="0" w:line="264" w:lineRule="auto"/>
        <w:rPr>
          <w:sz w:val="20"/>
          <w:szCs w:val="20"/>
          <w:color w:val="auto"/>
        </w:rPr>
      </w:pPr>
      <w:r>
        <w:rPr>
          <w:rFonts w:ascii="Arial" w:cs="Arial" w:eastAsia="Arial" w:hAnsi="Arial"/>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to assure its compatibility with that of other third parties</w:t>
      </w: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following development changes. If we are unable to ensure compatibility of our platform with desired third party services, our business may be adversely impacted.</w:t>
      </w:r>
    </w:p>
    <w:p>
      <w:pPr>
        <w:spacing w:after="0" w:line="185" w:lineRule="exact"/>
        <w:rPr>
          <w:sz w:val="20"/>
          <w:szCs w:val="20"/>
          <w:color w:val="auto"/>
        </w:rPr>
      </w:pPr>
    </w:p>
    <w:p>
      <w:pPr>
        <w:ind w:right="100" w:firstLine="393"/>
        <w:spacing w:after="0" w:line="290" w:lineRule="auto"/>
        <w:rPr>
          <w:sz w:val="20"/>
          <w:szCs w:val="20"/>
          <w:color w:val="auto"/>
        </w:rPr>
      </w:pPr>
      <w:r>
        <w:rPr>
          <w:rFonts w:ascii="Arial" w:cs="Arial" w:eastAsia="Arial" w:hAnsi="Arial"/>
          <w:sz w:val="16"/>
          <w:szCs w:val="16"/>
          <w:color w:val="auto"/>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spacing w:after="0" w:line="186" w:lineRule="exact"/>
        <w:rPr>
          <w:sz w:val="20"/>
          <w:szCs w:val="20"/>
          <w:color w:val="auto"/>
        </w:rPr>
      </w:pPr>
    </w:p>
    <w:p>
      <w:pPr>
        <w:ind w:right="60" w:firstLine="393"/>
        <w:spacing w:after="0" w:line="281" w:lineRule="auto"/>
        <w:rPr>
          <w:sz w:val="20"/>
          <w:szCs w:val="20"/>
          <w:color w:val="auto"/>
        </w:rPr>
      </w:pPr>
      <w:r>
        <w:rPr>
          <w:rFonts w:ascii="Arial" w:cs="Arial" w:eastAsia="Arial" w:hAnsi="Arial"/>
          <w:sz w:val="16"/>
          <w:szCs w:val="16"/>
          <w:color w:val="auto"/>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by any significant disruption of service on our platform or loss of content.</w:t>
      </w:r>
    </w:p>
    <w:p>
      <w:pPr>
        <w:spacing w:after="0" w:line="250" w:lineRule="exact"/>
        <w:rPr>
          <w:sz w:val="20"/>
          <w:szCs w:val="20"/>
          <w:color w:val="auto"/>
        </w:rPr>
      </w:pPr>
    </w:p>
    <w:p>
      <w:pPr>
        <w:ind w:right="80" w:firstLine="393"/>
        <w:spacing w:after="0" w:line="264"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5"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As our user base and the amount and types of information stored, synced, and shared on our platform continue to grow, we will need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add to our infrastructure, we may move or transfer additional content.</w:t>
      </w:r>
    </w:p>
    <w:p>
      <w:pPr>
        <w:spacing w:after="0" w:line="202" w:lineRule="exact"/>
        <w:rPr>
          <w:sz w:val="20"/>
          <w:szCs w:val="20"/>
          <w:color w:val="auto"/>
        </w:rPr>
      </w:pPr>
    </w:p>
    <w:p>
      <w:pPr>
        <w:ind w:firstLine="393"/>
        <w:spacing w:after="0" w:line="277" w:lineRule="auto"/>
        <w:rPr>
          <w:sz w:val="20"/>
          <w:szCs w:val="20"/>
          <w:color w:val="auto"/>
        </w:rPr>
      </w:pPr>
      <w:r>
        <w:rPr>
          <w:rFonts w:ascii="Arial" w:cs="Arial" w:eastAsia="Arial" w:hAnsi="Arial"/>
          <w:sz w:val="16"/>
          <w:szCs w:val="16"/>
          <w:color w:val="auto"/>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201" w:lineRule="exact"/>
        <w:rPr>
          <w:sz w:val="20"/>
          <w:szCs w:val="20"/>
          <w:color w:val="auto"/>
        </w:rPr>
      </w:pPr>
    </w:p>
    <w:p>
      <w:pPr>
        <w:ind w:right="80" w:firstLine="393"/>
        <w:spacing w:after="0" w:line="265" w:lineRule="auto"/>
        <w:rPr>
          <w:sz w:val="20"/>
          <w:szCs w:val="20"/>
          <w:color w:val="auto"/>
        </w:rPr>
      </w:pPr>
      <w:r>
        <w:rPr>
          <w:rFonts w:ascii="Arial" w:cs="Arial" w:eastAsia="Arial" w:hAnsi="Arial"/>
          <w:sz w:val="17"/>
          <w:szCs w:val="17"/>
          <w:color w:val="auto"/>
        </w:rPr>
        <w:t>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98"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85"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 recent trends toward remote or distributed work does not materialize into a longer-term shift, demand for our platform could be negatively affected.</w:t>
      </w:r>
    </w:p>
    <w:p>
      <w:pPr>
        <w:spacing w:after="0" w:line="202"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98" w:lineRule="exact"/>
        <w:rPr>
          <w:sz w:val="20"/>
          <w:szCs w:val="20"/>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awareness of the content collaboration category generally;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impact, scale, and duration, of trends towards or away from remote or distributed work;</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brand;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pricing; 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macroeconomic trends.</w:t>
      </w:r>
    </w:p>
    <w:p>
      <w:pPr>
        <w:spacing w:after="0" w:line="250" w:lineRule="exact"/>
        <w:rPr>
          <w:sz w:val="20"/>
          <w:szCs w:val="20"/>
          <w:color w:val="auto"/>
        </w:rPr>
      </w:pPr>
    </w:p>
    <w:p>
      <w:pPr>
        <w:ind w:right="80" w:firstLine="393"/>
        <w:spacing w:after="0" w:line="273" w:lineRule="auto"/>
        <w:rPr>
          <w:sz w:val="20"/>
          <w:szCs w:val="20"/>
          <w:color w:val="auto"/>
        </w:rPr>
      </w:pPr>
      <w:r>
        <w:rPr>
          <w:rFonts w:ascii="Arial" w:cs="Arial" w:eastAsia="Arial" w:hAnsi="Arial"/>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98"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85" w:lineRule="exact"/>
        <w:rPr>
          <w:sz w:val="20"/>
          <w:szCs w:val="20"/>
          <w:color w:val="auto"/>
        </w:rPr>
      </w:pPr>
    </w:p>
    <w:p>
      <w:pPr>
        <w:ind w:firstLine="393"/>
        <w:spacing w:after="0" w:line="278"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that could impact short-term growth or profitability. In addition, while we believe trends towards remote or distributed work will prove to be significant and long lasting, and that these trends will open up increased market opportunities for us,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For example, in 2021 we launched Dropbox Transfer as a way for users to safely and securely send large files, Dropbox Replay, which allows users to review, approve and collaborate on video workflows, Dropbox Backup, which allows users to securely back up their computer or external hard drives with an automated cloud backup solution, and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Dropbox Capture which allows users to visually present their work through easy-to-take screen recordings, GIFs, and screenshots.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06" w:lineRule="exact"/>
        <w:rPr>
          <w:sz w:val="20"/>
          <w:szCs w:val="20"/>
          <w:color w:val="auto"/>
        </w:rPr>
      </w:pPr>
    </w:p>
    <w:p>
      <w:pPr>
        <w:ind w:firstLine="393"/>
        <w:spacing w:after="0" w:line="277" w:lineRule="auto"/>
        <w:rPr>
          <w:sz w:val="20"/>
          <w:szCs w:val="20"/>
          <w:color w:val="auto"/>
        </w:rPr>
      </w:pPr>
      <w:r>
        <w:rPr>
          <w:rFonts w:ascii="Arial" w:cs="Arial" w:eastAsia="Arial" w:hAnsi="Arial"/>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The risk of such disruptions and decreased productivity may persist as our workforce operates under a Virtual First model.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successfully manage our growth or successfully execute our plan for future growth.</w:t>
      </w:r>
    </w:p>
    <w:p>
      <w:pPr>
        <w:spacing w:after="0" w:line="250" w:lineRule="exact"/>
        <w:rPr>
          <w:sz w:val="20"/>
          <w:szCs w:val="20"/>
          <w:color w:val="auto"/>
        </w:rPr>
      </w:pPr>
    </w:p>
    <w:p>
      <w:pPr>
        <w:ind w:right="140" w:firstLine="393"/>
        <w:spacing w:after="0" w:line="273" w:lineRule="auto"/>
        <w:rPr>
          <w:sz w:val="20"/>
          <w:szCs w:val="20"/>
          <w:color w:val="auto"/>
        </w:rPr>
      </w:pPr>
      <w:r>
        <w:rPr>
          <w:rFonts w:ascii="Arial" w:cs="Arial" w:eastAsia="Arial" w:hAnsi="Arial"/>
          <w:sz w:val="16"/>
          <w:szCs w:val="16"/>
          <w:color w:val="auto"/>
        </w:rPr>
        <w:t>The growth and expansion of our business, including the introduction of new features and products, places a continuous significant strain on our management, operational, and financial resources. As we introduce new products and features, and our user base and third-party relationships expand, our information technology systems, organizational structures, and internal controls and procedures may not be adequate to support our operations. In addition, we face challenges of integrating, developing, and motivating an increasingly distributed employee base in various countries around the world. These challenges may be heightened in connection with our Virtual First work model and our need to align our resources in order to create a more nimble and streamlined organization. Managing our growth will also require significant expenditures and allocation of valuable management resources.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ability to forecast our future results of operations is subject to a number of uncertainties, including our ability to effectively plan for and model future</w:t>
      </w:r>
    </w:p>
    <w:p>
      <w:pPr>
        <w:spacing w:after="0" w:line="6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growth, and we may not receive our expected return on investments that we make in our business in the time we expect or at all.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or our investments do not result in the growth we expect, our business, results of operations, and financial condition could be harmed.</w:t>
      </w:r>
    </w:p>
    <w:p>
      <w:pPr>
        <w:spacing w:after="0" w:line="202"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85"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We depend on the continued service and performance of our key personnel. In particular, Andrew W. Houston, our Chief Executive Officer and one of our co-founders, is critical to our vision, strategic direction, culture, and offerings. From time to time, there have been changes in our management team resulting from the hiring or departure of our executives, and there may be additional changes in the future. For example, Timothy Young stepped down as our President in February 2023.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205" w:lineRule="exact"/>
        <w:rPr>
          <w:sz w:val="20"/>
          <w:szCs w:val="20"/>
          <w:color w:val="auto"/>
        </w:rPr>
      </w:pPr>
    </w:p>
    <w:p>
      <w:pPr>
        <w:ind w:firstLine="393"/>
        <w:spacing w:after="0" w:line="314" w:lineRule="auto"/>
        <w:rPr>
          <w:sz w:val="20"/>
          <w:szCs w:val="20"/>
          <w:color w:val="auto"/>
        </w:rPr>
      </w:pPr>
      <w:r>
        <w:rPr>
          <w:rFonts w:ascii="Arial" w:cs="Arial" w:eastAsia="Arial" w:hAnsi="Arial"/>
          <w:sz w:val="15"/>
          <w:szCs w:val="15"/>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align our resources to create a more nimble and streamlined organization, we can provide no assurance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spacing w:after="0" w:line="198" w:lineRule="exact"/>
        <w:rPr>
          <w:sz w:val="20"/>
          <w:szCs w:val="20"/>
          <w:color w:val="auto"/>
        </w:rPr>
      </w:pPr>
    </w:p>
    <w:p>
      <w:pPr>
        <w:ind w:right="60" w:firstLine="393"/>
        <w:spacing w:after="0" w:line="279" w:lineRule="auto"/>
        <w:rPr>
          <w:sz w:val="20"/>
          <w:szCs w:val="20"/>
          <w:color w:val="auto"/>
        </w:rPr>
      </w:pPr>
      <w:r>
        <w:rPr>
          <w:rFonts w:ascii="Arial" w:cs="Arial" w:eastAsia="Arial" w:hAnsi="Arial"/>
          <w:sz w:val="16"/>
          <w:szCs w:val="16"/>
          <w:color w:val="auto"/>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199" w:lineRule="exact"/>
        <w:rPr>
          <w:sz w:val="20"/>
          <w:szCs w:val="20"/>
          <w:color w:val="auto"/>
        </w:rPr>
      </w:pPr>
    </w:p>
    <w:p>
      <w:pPr>
        <w:ind w:right="20" w:firstLine="393"/>
        <w:spacing w:after="0" w:line="298" w:lineRule="auto"/>
        <w:rPr>
          <w:sz w:val="20"/>
          <w:szCs w:val="20"/>
          <w:color w:val="auto"/>
        </w:rPr>
      </w:pPr>
      <w:r>
        <w:rPr>
          <w:rFonts w:ascii="Arial" w:cs="Arial" w:eastAsia="Arial" w:hAnsi="Arial"/>
          <w:sz w:val="16"/>
          <w:szCs w:val="16"/>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and higher employee turnover could significantly and adversely impact our culture, as could our transition to a Virtual First workforce.</w:t>
      </w:r>
    </w:p>
    <w:p>
      <w:pPr>
        <w:spacing w:after="0" w:line="180"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b w:val="1"/>
          <w:bCs w:val="1"/>
          <w:i w:val="1"/>
          <w:iCs w:val="1"/>
          <w:color w:val="auto"/>
        </w:rPr>
        <w:t>We have a limited history of operating with a Virtual First workforce and the long-term impact on our financial results and business operations remains uncertain.</w:t>
      </w:r>
    </w:p>
    <w:p>
      <w:pPr>
        <w:spacing w:after="0" w:line="185" w:lineRule="exact"/>
        <w:rPr>
          <w:sz w:val="20"/>
          <w:szCs w:val="20"/>
          <w:color w:val="auto"/>
        </w:rPr>
      </w:pPr>
    </w:p>
    <w:p>
      <w:pPr>
        <w:ind w:right="140" w:firstLine="393"/>
        <w:spacing w:after="0" w:line="286" w:lineRule="auto"/>
        <w:rPr>
          <w:sz w:val="20"/>
          <w:szCs w:val="20"/>
          <w:color w:val="auto"/>
        </w:rPr>
      </w:pPr>
      <w:r>
        <w:rPr>
          <w:rFonts w:ascii="Arial" w:cs="Arial" w:eastAsia="Arial" w:hAnsi="Arial"/>
          <w:sz w:val="16"/>
          <w:szCs w:val="16"/>
          <w:color w:val="auto"/>
        </w:rPr>
        <w:t>In October 2020, we announced a Virtual First work model pursuant to which remote work has become the primary experience for all of our employees and our intention is for our workforce to continue being more distributed over time. However, we have a limited history of operating with a Virtual First workforce and, although we anticipate that our Virtual First work model will have a long-term positive impact on our financial results and business operations, the impact remains uncertain.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spacing w:after="0" w:line="189" w:lineRule="exact"/>
        <w:rPr>
          <w:sz w:val="20"/>
          <w:szCs w:val="20"/>
          <w:color w:val="auto"/>
        </w:rPr>
      </w:pPr>
    </w:p>
    <w:p>
      <w:pPr>
        <w:ind w:right="140" w:firstLine="393"/>
        <w:spacing w:after="0" w:line="314" w:lineRule="auto"/>
        <w:rPr>
          <w:sz w:val="20"/>
          <w:szCs w:val="20"/>
          <w:color w:val="auto"/>
        </w:rPr>
      </w:pPr>
      <w:r>
        <w:rPr>
          <w:rFonts w:ascii="Arial" w:cs="Arial" w:eastAsia="Arial" w:hAnsi="Arial"/>
          <w:sz w:val="15"/>
          <w:szCs w:val="15"/>
          <w:color w:val="auto"/>
        </w:rPr>
        <w:t>Our continuing shift to a Virtual First work model could make it increasingly difficult to manage our business and adequately oversee our employees and business functions,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pacing w:after="0" w:line="160" w:lineRule="exact"/>
        <w:rPr>
          <w:sz w:val="20"/>
          <w:szCs w:val="20"/>
          <w:color w:val="auto"/>
        </w:rPr>
      </w:pPr>
    </w:p>
    <w:p>
      <w:pPr>
        <w:ind w:firstLine="393"/>
        <w:spacing w:after="0" w:line="261" w:lineRule="auto"/>
        <w:rPr>
          <w:sz w:val="20"/>
          <w:szCs w:val="20"/>
          <w:color w:val="auto"/>
        </w:rPr>
      </w:pPr>
      <w:r>
        <w:rPr>
          <w:rFonts w:ascii="Arial" w:cs="Arial" w:eastAsia="Arial" w:hAnsi="Arial"/>
          <w:sz w:val="16"/>
          <w:szCs w:val="16"/>
          <w:color w:val="auto"/>
        </w:rPr>
        <w:t>In addition, as we continue our shift to Virtual First, we will need less office space than we are currently contractually committed to leasing and as a result, we have recorded and may in the future record impairment charges related to the office spaces we no longer expect to need, which has impacted and may in the future impact our ability to achieve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lack of a significant outbound sales force may limit the potential growth of our business.</w:t>
      </w:r>
    </w:p>
    <w:p>
      <w:pPr>
        <w:spacing w:after="0" w:line="250" w:lineRule="exact"/>
        <w:rPr>
          <w:sz w:val="20"/>
          <w:szCs w:val="20"/>
          <w:color w:val="auto"/>
        </w:rPr>
      </w:pPr>
    </w:p>
    <w:p>
      <w:pPr>
        <w:ind w:right="100" w:firstLine="393"/>
        <w:spacing w:after="0" w:line="290"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expand sales to large organizations, which could lengthen sales cycles and result in greater deployment challenges.</w:t>
      </w:r>
    </w:p>
    <w:p>
      <w:pPr>
        <w:spacing w:after="0" w:line="250" w:lineRule="exact"/>
        <w:rPr>
          <w:sz w:val="20"/>
          <w:szCs w:val="20"/>
          <w:color w:val="auto"/>
        </w:rPr>
      </w:pPr>
    </w:p>
    <w:p>
      <w:pPr>
        <w:ind w:firstLine="393"/>
        <w:spacing w:after="0" w:line="281" w:lineRule="auto"/>
        <w:rPr>
          <w:sz w:val="20"/>
          <w:szCs w:val="20"/>
          <w:color w:val="auto"/>
        </w:rPr>
      </w:pPr>
      <w:r>
        <w:rPr>
          <w:rFonts w:ascii="Arial" w:cs="Arial" w:eastAsia="Arial" w:hAnsi="Arial"/>
          <w:sz w:val="16"/>
          <w:szCs w:val="16"/>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offer high-quality customer support may harm our relationships with our users and our financial results.</w:t>
      </w:r>
    </w:p>
    <w:p>
      <w:pPr>
        <w:spacing w:after="0" w:line="250" w:lineRule="exact"/>
        <w:rPr>
          <w:sz w:val="20"/>
          <w:szCs w:val="20"/>
          <w:color w:val="auto"/>
        </w:rPr>
      </w:pPr>
    </w:p>
    <w:p>
      <w:pPr>
        <w:ind w:right="120" w:firstLine="393"/>
        <w:spacing w:after="0" w:line="261"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8.81 million as of December 31, 2016, to 17.77 million as of December 31, 2022.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1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185" w:lineRule="exact"/>
        <w:rPr>
          <w:sz w:val="20"/>
          <w:szCs w:val="20"/>
          <w:color w:val="auto"/>
        </w:rPr>
      </w:pPr>
    </w:p>
    <w:p>
      <w:pPr>
        <w:ind w:right="40" w:firstLine="393"/>
        <w:spacing w:after="0" w:line="264" w:lineRule="auto"/>
        <w:rPr>
          <w:sz w:val="20"/>
          <w:szCs w:val="20"/>
          <w:color w:val="auto"/>
        </w:rPr>
      </w:pPr>
      <w:r>
        <w:rPr>
          <w:rFonts w:ascii="Arial" w:cs="Arial" w:eastAsia="Arial" w:hAnsi="Arial"/>
          <w:sz w:val="17"/>
          <w:szCs w:val="17"/>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205"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85" w:lineRule="exact"/>
        <w:rPr>
          <w:sz w:val="20"/>
          <w:szCs w:val="20"/>
          <w:color w:val="auto"/>
        </w:rPr>
      </w:pPr>
    </w:p>
    <w:p>
      <w:pPr>
        <w:ind w:right="100" w:firstLine="393"/>
        <w:spacing w:after="0" w:line="262" w:lineRule="auto"/>
        <w:rPr>
          <w:sz w:val="20"/>
          <w:szCs w:val="20"/>
          <w:color w:val="auto"/>
        </w:rPr>
      </w:pPr>
      <w:r>
        <w:rPr>
          <w:rFonts w:ascii="Arial" w:cs="Arial" w:eastAsia="Arial" w:hAnsi="Arial"/>
          <w:sz w:val="17"/>
          <w:szCs w:val="17"/>
          <w:color w:val="auto"/>
        </w:rPr>
        <w:t>We have paying users across approximately 180 countries and approximately half of our revenue in the year ended December 31, 2022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other resources. Expanding and operating internationally subjects us to regulatory, economic, geographic, social, and political risks and may increase risks that we currently face, including risks associated with:</w:t>
      </w:r>
    </w:p>
    <w:p>
      <w:pPr>
        <w:spacing w:after="0" w:line="185" w:lineRule="exact"/>
        <w:rPr>
          <w:sz w:val="20"/>
          <w:szCs w:val="20"/>
          <w:color w:val="auto"/>
        </w:rPr>
      </w:pPr>
    </w:p>
    <w:p>
      <w:pPr>
        <w:ind w:left="1260" w:right="280" w:hanging="311"/>
        <w:spacing w:after="0" w:line="326" w:lineRule="auto"/>
        <w:tabs>
          <w:tab w:leader="none" w:pos="1255"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compliance with applicable international laws, regulations, and standards including laws and regulations with respect to labor and employment, privacy, data protection, cybersecurity, consumer protection, tax, export control and sanctions, and unsolicited email, and the risk of penalties to our users and individual members of management or employees if our practices are deemed to be out of compliance;</w:t>
      </w:r>
    </w:p>
    <w:p>
      <w:pPr>
        <w:spacing w:after="0" w:line="162" w:lineRule="exact"/>
        <w:rPr>
          <w:rFonts w:ascii="Arial" w:cs="Arial" w:eastAsia="Arial" w:hAnsi="Arial"/>
          <w:sz w:val="15"/>
          <w:szCs w:val="15"/>
          <w:color w:val="auto"/>
        </w:rPr>
      </w:pPr>
    </w:p>
    <w:p>
      <w:pPr>
        <w:ind w:left="1260" w:right="20" w:hanging="311"/>
        <w:spacing w:after="0" w:line="289" w:lineRule="auto"/>
        <w:tabs>
          <w:tab w:leader="none" w:pos="1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recruiting and retaining talented and capable employees in locations outside the United States, and maintaining our company culture across all of our locations, including in light of our Virtual First work model and an increasingly distributed workforce;</w:t>
      </w:r>
    </w:p>
    <w:p>
      <w:pPr>
        <w:spacing w:after="0" w:line="184" w:lineRule="exact"/>
        <w:rPr>
          <w:rFonts w:ascii="Arial" w:cs="Arial" w:eastAsia="Arial" w:hAnsi="Arial"/>
          <w:sz w:val="17"/>
          <w:szCs w:val="17"/>
          <w:color w:val="auto"/>
        </w:rPr>
      </w:pPr>
    </w:p>
    <w:p>
      <w:pPr>
        <w:ind w:left="1260" w:right="40" w:hanging="311"/>
        <w:spacing w:after="0" w:line="360" w:lineRule="auto"/>
        <w:tabs>
          <w:tab w:leader="none" w:pos="1255"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38" w:lineRule="exact"/>
        <w:rPr>
          <w:rFonts w:ascii="Arial" w:cs="Arial" w:eastAsia="Arial" w:hAnsi="Arial"/>
          <w:sz w:val="15"/>
          <w:szCs w:val="15"/>
          <w:color w:val="auto"/>
        </w:rPr>
      </w:pPr>
    </w:p>
    <w:p>
      <w:pPr>
        <w:ind w:left="1260" w:right="440" w:hanging="311"/>
        <w:spacing w:after="0" w:line="289" w:lineRule="auto"/>
        <w:tabs>
          <w:tab w:leader="none" w:pos="1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management of an employee base in jurisdictions that may not give us the same employment and retention flexibility as does the United States;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operating in jurisdictions that do not protect intellectual property rights in the same manner or to the same extent as does the United States;</w:t>
      </w:r>
    </w:p>
    <w:p>
      <w:pPr>
        <w:spacing w:after="0" w:line="261" w:lineRule="exact"/>
        <w:rPr>
          <w:rFonts w:ascii="Arial" w:cs="Arial" w:eastAsia="Arial" w:hAnsi="Arial"/>
          <w:sz w:val="16"/>
          <w:szCs w:val="16"/>
          <w:color w:val="auto"/>
        </w:rPr>
      </w:pPr>
    </w:p>
    <w:p>
      <w:pPr>
        <w:ind w:left="1260" w:right="580" w:hanging="311"/>
        <w:spacing w:after="0" w:line="289" w:lineRule="auto"/>
        <w:tabs>
          <w:tab w:leader="none" w:pos="1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84" w:lineRule="exact"/>
        <w:rPr>
          <w:rFonts w:ascii="Arial" w:cs="Arial" w:eastAsia="Arial" w:hAnsi="Arial"/>
          <w:sz w:val="17"/>
          <w:szCs w:val="17"/>
          <w:color w:val="auto"/>
        </w:rPr>
      </w:pPr>
    </w:p>
    <w:p>
      <w:pPr>
        <w:ind w:left="1260" w:right="140" w:hanging="311"/>
        <w:spacing w:after="0" w:line="289" w:lineRule="auto"/>
        <w:tabs>
          <w:tab w:leader="none" w:pos="1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84" w:lineRule="exact"/>
        <w:rPr>
          <w:rFonts w:ascii="Arial" w:cs="Arial" w:eastAsia="Arial" w:hAnsi="Arial"/>
          <w:sz w:val="17"/>
          <w:szCs w:val="17"/>
          <w:color w:val="auto"/>
        </w:rPr>
      </w:pPr>
    </w:p>
    <w:p>
      <w:pPr>
        <w:ind w:left="1260" w:right="320" w:hanging="311"/>
        <w:spacing w:after="0" w:line="289" w:lineRule="auto"/>
        <w:tabs>
          <w:tab w:leader="none" w:pos="1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political, social, and economic instability, conflicts, and wars, such as the conflict between Russia and Ukraine and its regional and global ramifications;</w:t>
      </w:r>
    </w:p>
    <w:p>
      <w:pPr>
        <w:spacing w:after="0" w:line="184" w:lineRule="exact"/>
        <w:rPr>
          <w:rFonts w:ascii="Arial" w:cs="Arial" w:eastAsia="Arial" w:hAnsi="Arial"/>
          <w:sz w:val="17"/>
          <w:szCs w:val="17"/>
          <w:color w:val="auto"/>
        </w:rPr>
      </w:pPr>
    </w:p>
    <w:p>
      <w:pPr>
        <w:ind w:left="1260" w:right="160" w:hanging="311"/>
        <w:spacing w:after="0" w:line="289" w:lineRule="auto"/>
        <w:tabs>
          <w:tab w:leader="none" w:pos="1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84" w:lineRule="exact"/>
        <w:rPr>
          <w:rFonts w:ascii="Arial" w:cs="Arial" w:eastAsia="Arial" w:hAnsi="Arial"/>
          <w:sz w:val="17"/>
          <w:szCs w:val="17"/>
          <w:color w:val="auto"/>
        </w:rPr>
      </w:pPr>
    </w:p>
    <w:p>
      <w:pPr>
        <w:ind w:left="1260" w:right="80" w:hanging="311"/>
        <w:spacing w:after="0" w:line="289" w:lineRule="auto"/>
        <w:tabs>
          <w:tab w:leader="none" w:pos="1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 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natural disasters and public health epidemics on employees, travel and the global economy.</w:t>
      </w:r>
    </w:p>
    <w:p>
      <w:pPr>
        <w:spacing w:after="0" w:line="237" w:lineRule="exact"/>
        <w:rPr>
          <w:sz w:val="20"/>
          <w:szCs w:val="20"/>
          <w:color w:val="auto"/>
        </w:rPr>
      </w:pPr>
    </w:p>
    <w:p>
      <w:pPr>
        <w:ind w:right="180" w:firstLine="393"/>
        <w:spacing w:after="0" w:line="301" w:lineRule="auto"/>
        <w:rPr>
          <w:sz w:val="20"/>
          <w:szCs w:val="20"/>
          <w:color w:val="auto"/>
        </w:rPr>
      </w:pPr>
      <w:r>
        <w:rPr>
          <w:rFonts w:ascii="Arial" w:cs="Arial" w:eastAsia="Arial" w:hAnsi="Arial"/>
          <w:sz w:val="15"/>
          <w:szCs w:val="15"/>
          <w:color w:val="auto"/>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w:t>
      </w:r>
    </w:p>
    <w:p>
      <w:pPr>
        <w:spacing w:after="0" w:line="261" w:lineRule="auto"/>
        <w:rPr>
          <w:sz w:val="20"/>
          <w:szCs w:val="20"/>
          <w:color w:val="auto"/>
        </w:rPr>
      </w:pPr>
      <w:r>
        <w:rPr>
          <w:rFonts w:ascii="Arial" w:cs="Arial" w:eastAsia="Arial" w:hAnsi="Arial"/>
          <w:sz w:val="16"/>
          <w:szCs w:val="16"/>
          <w:color w:val="auto"/>
        </w:rPr>
        <w:t>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85" w:lineRule="exact"/>
        <w:rPr>
          <w:sz w:val="20"/>
          <w:szCs w:val="20"/>
          <w:color w:val="auto"/>
        </w:rPr>
      </w:pPr>
    </w:p>
    <w:p>
      <w:pPr>
        <w:ind w:right="80" w:firstLine="393"/>
        <w:spacing w:after="0" w:line="290"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86" w:lineRule="exact"/>
        <w:rPr>
          <w:sz w:val="20"/>
          <w:szCs w:val="20"/>
          <w:color w:val="auto"/>
        </w:rPr>
      </w:pPr>
    </w:p>
    <w:p>
      <w:pPr>
        <w:ind w:right="60" w:firstLine="393"/>
        <w:spacing w:after="0" w:line="281" w:lineRule="auto"/>
        <w:rPr>
          <w:sz w:val="20"/>
          <w:szCs w:val="20"/>
          <w:color w:val="auto"/>
        </w:rPr>
      </w:pPr>
      <w:r>
        <w:rPr>
          <w:rFonts w:ascii="Arial" w:cs="Arial" w:eastAsia="Arial" w:hAnsi="Arial"/>
          <w:sz w:val="16"/>
          <w:szCs w:val="16"/>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97" w:lineRule="exact"/>
        <w:rPr>
          <w:sz w:val="20"/>
          <w:szCs w:val="20"/>
          <w:color w:val="auto"/>
        </w:rPr>
      </w:pPr>
    </w:p>
    <w:p>
      <w:pPr>
        <w:ind w:firstLine="393"/>
        <w:spacing w:after="0" w:line="283"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3"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185" w:lineRule="exact"/>
        <w:rPr>
          <w:sz w:val="20"/>
          <w:szCs w:val="20"/>
          <w:color w:val="auto"/>
        </w:rPr>
      </w:pPr>
    </w:p>
    <w:p>
      <w:pPr>
        <w:ind w:right="120" w:firstLine="393"/>
        <w:spacing w:after="0" w:line="264"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5" w:lineRule="exact"/>
        <w:rPr>
          <w:sz w:val="20"/>
          <w:szCs w:val="20"/>
          <w:color w:val="auto"/>
        </w:rPr>
      </w:pPr>
    </w:p>
    <w:p>
      <w:pPr>
        <w:ind w:right="120" w:firstLine="393"/>
        <w:spacing w:after="0" w:line="290" w:lineRule="auto"/>
        <w:rPr>
          <w:sz w:val="20"/>
          <w:szCs w:val="20"/>
          <w:color w:val="auto"/>
        </w:rPr>
      </w:pPr>
      <w:r>
        <w:rPr>
          <w:rFonts w:ascii="Arial" w:cs="Arial" w:eastAsia="Arial" w:hAnsi="Arial"/>
          <w:sz w:val="16"/>
          <w:szCs w:val="16"/>
          <w:color w:val="auto"/>
        </w:rPr>
        <w:t>We also depend on our ecosystem of developers to create applications that will integrate with our platform. As of December 31, 2022, Dropbox was receiving over 75 billion API calls per month, and just under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86" w:lineRule="exact"/>
        <w:rPr>
          <w:sz w:val="20"/>
          <w:szCs w:val="20"/>
          <w:color w:val="auto"/>
        </w:rPr>
      </w:pPr>
    </w:p>
    <w:p>
      <w:pPr>
        <w:ind w:right="220" w:firstLine="393"/>
        <w:spacing w:after="0" w:line="289" w:lineRule="auto"/>
        <w:rPr>
          <w:sz w:val="20"/>
          <w:szCs w:val="20"/>
          <w:color w:val="auto"/>
        </w:rPr>
      </w:pPr>
      <w:r>
        <w:rPr>
          <w:rFonts w:ascii="Arial" w:cs="Arial" w:eastAsia="Arial" w:hAnsi="Arial"/>
          <w:sz w:val="17"/>
          <w:szCs w:val="17"/>
          <w:color w:val="auto"/>
        </w:rPr>
        <w:t>We may not have the ability to control or prevent these risks. As a result, issues relating to these applications could adversely affect our business, brand, and reputation.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273"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250" w:lineRule="exact"/>
        <w:rPr>
          <w:sz w:val="20"/>
          <w:szCs w:val="20"/>
          <w:color w:val="auto"/>
        </w:rPr>
      </w:pPr>
    </w:p>
    <w:p>
      <w:pPr>
        <w:ind w:right="160" w:firstLine="393"/>
        <w:spacing w:after="0" w:line="281" w:lineRule="auto"/>
        <w:rPr>
          <w:sz w:val="20"/>
          <w:szCs w:val="20"/>
          <w:color w:val="auto"/>
        </w:rPr>
      </w:pPr>
      <w:r>
        <w:rPr>
          <w:rFonts w:ascii="Arial" w:cs="Arial" w:eastAsia="Arial" w:hAnsi="Arial"/>
          <w:sz w:val="16"/>
          <w:szCs w:val="16"/>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97" w:lineRule="exact"/>
        <w:rPr>
          <w:sz w:val="20"/>
          <w:szCs w:val="20"/>
          <w:color w:val="auto"/>
        </w:rPr>
      </w:pPr>
    </w:p>
    <w:p>
      <w:pPr>
        <w:jc w:val="both"/>
        <w:ind w:right="220" w:firstLine="393"/>
        <w:spacing w:after="0" w:line="273" w:lineRule="auto"/>
        <w:rPr>
          <w:sz w:val="20"/>
          <w:szCs w:val="20"/>
          <w:color w:val="auto"/>
        </w:rPr>
      </w:pPr>
      <w:r>
        <w:rPr>
          <w:rFonts w:ascii="Arial" w:cs="Arial" w:eastAsia="Arial" w:hAnsi="Arial"/>
          <w:sz w:val="17"/>
          <w:szCs w:val="17"/>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98" w:lineRule="exact"/>
        <w:rPr>
          <w:sz w:val="20"/>
          <w:szCs w:val="20"/>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us to issue refunds to our users or expose us to claims for damages;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cause us to lose existing users and make it more difficult to attract new users;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 our technical support costs; 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harm our reputation and brand.</w:t>
      </w:r>
    </w:p>
    <w:p>
      <w:pPr>
        <w:spacing w:after="0" w:line="250"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b w:val="1"/>
          <w:bCs w:val="1"/>
          <w:i w:val="1"/>
          <w:iCs w:val="1"/>
          <w:color w:val="auto"/>
        </w:rPr>
        <w:t>We have acquired, and may in the future acquire, other businesses and technologies which could require significant management attention, disrupt our business operations, cause us to incur debt or dilute stockholder value.</w:t>
      </w:r>
    </w:p>
    <w:p>
      <w:pPr>
        <w:spacing w:after="0" w:line="185" w:lineRule="exact"/>
        <w:rPr>
          <w:sz w:val="20"/>
          <w:szCs w:val="20"/>
          <w:color w:val="auto"/>
        </w:rPr>
      </w:pPr>
    </w:p>
    <w:p>
      <w:pPr>
        <w:ind w:right="20" w:firstLine="393"/>
        <w:spacing w:after="0" w:line="286" w:lineRule="auto"/>
        <w:rPr>
          <w:sz w:val="20"/>
          <w:szCs w:val="20"/>
          <w:color w:val="auto"/>
        </w:rPr>
      </w:pPr>
      <w:r>
        <w:rPr>
          <w:rFonts w:ascii="Arial" w:cs="Arial" w:eastAsia="Arial" w:hAnsi="Arial"/>
          <w:sz w:val="16"/>
          <w:szCs w:val="16"/>
          <w:color w:val="auto"/>
        </w:rPr>
        <w:t>As part of our business strategy, we have acquired, and may in the future acquire, other companies, employee teams, or technologies to complement or expand our products, obtain personnel, or otherwise complement or grow our business. For example, in the fourth fiscal quarter of 2022, we acquired key assets from Boxcryptor, a provider of end-to-end "zero knowledge" encryption for cloud storage services, with plans to embed these capabilities natively within Dropbox to provide an additional layer of data protection for certain of our customers on paid plans. Additionally, in the fourth fiscal quarter of 2022, we acquired FormSwift, a cloud-based service that provides users the ability to create, edit, and save critical business forms and agreements.</w:t>
      </w:r>
    </w:p>
    <w:p>
      <w:pPr>
        <w:spacing w:after="0" w:line="189" w:lineRule="exact"/>
        <w:rPr>
          <w:sz w:val="20"/>
          <w:szCs w:val="20"/>
          <w:color w:val="auto"/>
        </w:rPr>
      </w:pPr>
    </w:p>
    <w:p>
      <w:pPr>
        <w:ind w:right="400" w:firstLine="393"/>
        <w:spacing w:after="0" w:line="289" w:lineRule="auto"/>
        <w:rPr>
          <w:sz w:val="20"/>
          <w:szCs w:val="20"/>
          <w:color w:val="auto"/>
        </w:rPr>
      </w:pPr>
      <w:r>
        <w:rPr>
          <w:rFonts w:ascii="Arial" w:cs="Arial" w:eastAsia="Arial" w:hAnsi="Arial"/>
          <w:sz w:val="17"/>
          <w:szCs w:val="17"/>
          <w:color w:val="auto"/>
        </w:rPr>
        <w:t>The pursuit of acquisitions may divert the attention of management and cause us to incur various expenses in identifying, investigating, and pursuing suitable acquisitions, whether or not they are consummated.</w:t>
      </w:r>
    </w:p>
    <w:p>
      <w:pPr>
        <w:spacing w:after="0" w:line="185"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color w:val="auto"/>
        </w:rPr>
        <w:t>We may not be able to find suitable acquisition candidates and we may not be able to complete acquisitions on favorable terms, if at all, and even if we are able to identify suitable acquisition candidates, we may not be able to receive approval from the applicable competition authorities, or such target may be acquired by another company, including one of our competitors. If we do complete acquisitions, we may not ultimately strengthen our competitive position or achieve the anticipated benefits from such acquisitions, due to a number of factors, including:</w:t>
      </w:r>
    </w:p>
    <w:p>
      <w:pPr>
        <w:spacing w:after="0" w:line="202" w:lineRule="exact"/>
        <w:rPr>
          <w:sz w:val="20"/>
          <w:szCs w:val="20"/>
          <w:color w:val="auto"/>
        </w:rPr>
      </w:pPr>
    </w:p>
    <w:p>
      <w:pPr>
        <w:ind w:left="1260" w:hanging="31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acquisition-related costs, liabilities, or tax impacts, some of which may be unanticipated;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difficulty utilizing or integrating the acquired intellectual property, technology infrastructure, and operations;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260" w:right="100" w:hanging="311"/>
        <w:spacing w:after="0" w:line="289" w:lineRule="auto"/>
        <w:tabs>
          <w:tab w:leader="none" w:pos="1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difficulty integrating and retaining key employees of acquired businesses and related challenges motivating and retaining our key employees after such acquisition;</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ineffective or inadequate, controls, procedures, or policies at an acquired business;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to effectively offer, price, and support multiple product lines or services offerings of acquired businesses;</w:t>
      </w:r>
    </w:p>
    <w:p>
      <w:pPr>
        <w:spacing w:after="0" w:line="250" w:lineRule="exact"/>
        <w:rPr>
          <w:rFonts w:ascii="Arial" w:cs="Arial" w:eastAsia="Arial" w:hAnsi="Arial"/>
          <w:sz w:val="17"/>
          <w:szCs w:val="17"/>
          <w:color w:val="auto"/>
        </w:rPr>
      </w:pPr>
    </w:p>
    <w:p>
      <w:pPr>
        <w:ind w:left="1260" w:right="420" w:hanging="311"/>
        <w:spacing w:after="0" w:line="289" w:lineRule="auto"/>
        <w:tabs>
          <w:tab w:leader="none" w:pos="1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potential unknown liabilities or risks associated with an acquired business, including those arising from existing contractual obligations, security vulnerabilities, cybersecurity incidents, or litigation matters;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to maintain relationships with key customers, suppliers, and partners of an acquired business;</w:t>
      </w:r>
    </w:p>
    <w:p>
      <w:pPr>
        <w:spacing w:after="0" w:line="263" w:lineRule="exact"/>
        <w:rPr>
          <w:rFonts w:ascii="Arial" w:cs="Arial" w:eastAsia="Arial" w:hAnsi="Arial"/>
          <w:sz w:val="17"/>
          <w:szCs w:val="17"/>
          <w:color w:val="auto"/>
        </w:rPr>
      </w:pPr>
    </w:p>
    <w:p>
      <w:pPr>
        <w:ind w:left="1260" w:hanging="311"/>
        <w:spacing w:after="0"/>
        <w:tabs>
          <w:tab w:leader="none" w:pos="1260" w:val="left"/>
        </w:tabs>
        <w:numPr>
          <w:ilvl w:val="0"/>
          <w:numId w:val="19"/>
        </w:numPr>
        <w:rPr>
          <w:rFonts w:ascii="Arial" w:cs="Arial" w:eastAsia="Arial" w:hAnsi="Arial"/>
          <w:sz w:val="19"/>
          <w:szCs w:val="19"/>
          <w:color w:val="auto"/>
        </w:rPr>
      </w:pPr>
      <w:r>
        <w:rPr>
          <w:rFonts w:ascii="Arial" w:cs="Arial" w:eastAsia="Arial" w:hAnsi="Arial"/>
          <w:sz w:val="17"/>
          <w:szCs w:val="17"/>
          <w:color w:val="auto"/>
        </w:rPr>
        <w:t>failure to accurately forecast the financial impact of an acquisition transaction, including accounting charges;</w:t>
      </w:r>
    </w:p>
    <w:p>
      <w:pPr>
        <w:spacing w:after="0" w:line="240" w:lineRule="exact"/>
        <w:rPr>
          <w:rFonts w:ascii="Arial" w:cs="Arial" w:eastAsia="Arial" w:hAnsi="Arial"/>
          <w:sz w:val="19"/>
          <w:szCs w:val="19"/>
          <w:color w:val="auto"/>
        </w:rPr>
      </w:pPr>
    </w:p>
    <w:p>
      <w:pPr>
        <w:ind w:left="1260" w:hanging="311"/>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challenges integrating accounting, finance and forecasting practices of acquired business within our business;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lack of experience in new markets, products or technologies;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to effectively integrate brand identity of acquired businesses within those of our business;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 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w:t>
      </w:r>
    </w:p>
    <w:p>
      <w:pPr>
        <w:spacing w:after="0" w:line="250"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2"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206" w:lineRule="exact"/>
        <w:rPr>
          <w:sz w:val="20"/>
          <w:szCs w:val="20"/>
          <w:color w:val="auto"/>
        </w:rPr>
      </w:pPr>
    </w:p>
    <w:p>
      <w:pPr>
        <w:ind w:right="200" w:firstLine="393"/>
        <w:spacing w:after="0" w:line="273" w:lineRule="auto"/>
        <w:rPr>
          <w:sz w:val="20"/>
          <w:szCs w:val="20"/>
          <w:color w:val="auto"/>
        </w:rPr>
      </w:pPr>
      <w:r>
        <w:rPr>
          <w:rFonts w:ascii="Arial" w:cs="Arial" w:eastAsia="Arial" w:hAnsi="Arial"/>
          <w:sz w:val="17"/>
          <w:szCs w:val="17"/>
          <w:color w:val="auto"/>
        </w:rPr>
        <w:t>A significant portion of the purchase price of companies we acquire may be allocated to acquired goodwill. We review goodwill for impairment at least annually. If our acquisitions do not yield expected returns, we may be required to record impairment charges based this assessment, which could adversely affect our results of operations.</w:t>
      </w:r>
    </w:p>
    <w:p>
      <w:pPr>
        <w:spacing w:after="0" w:line="198" w:lineRule="exact"/>
        <w:rPr>
          <w:sz w:val="20"/>
          <w:szCs w:val="20"/>
          <w:color w:val="auto"/>
        </w:rPr>
      </w:pPr>
    </w:p>
    <w:p>
      <w:pPr>
        <w:ind w:right="460" w:firstLine="393"/>
        <w:spacing w:after="0" w:line="289" w:lineRule="auto"/>
        <w:rPr>
          <w:sz w:val="20"/>
          <w:szCs w:val="20"/>
          <w:color w:val="auto"/>
        </w:rPr>
      </w:pPr>
      <w:r>
        <w:rPr>
          <w:rFonts w:ascii="Arial" w:cs="Arial" w:eastAsia="Arial" w:hAnsi="Arial"/>
          <w:sz w:val="17"/>
          <w:szCs w:val="17"/>
          <w:color w:val="auto"/>
        </w:rPr>
        <w:t>Any acquisition we complete could be viewed negatively by users, developers, partners, or investors, and could have adverse effects on our existing business relationships, financial condition, or the value of our capital stock.</w:t>
      </w:r>
    </w:p>
    <w:p>
      <w:pPr>
        <w:spacing w:after="0" w:line="185"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color w:val="auto"/>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and future indebtedness may limit our operating flexibility or otherwise affect our business.</w:t>
      </w:r>
    </w:p>
    <w:p>
      <w:pPr>
        <w:spacing w:after="0" w:line="26" w:lineRule="exact"/>
        <w:rPr>
          <w:sz w:val="20"/>
          <w:szCs w:val="20"/>
          <w:color w:val="auto"/>
        </w:rPr>
      </w:pPr>
    </w:p>
    <w:p>
      <w:pPr>
        <w:ind w:right="120" w:firstLine="393"/>
        <w:spacing w:after="0" w:line="275" w:lineRule="auto"/>
        <w:rPr>
          <w:sz w:val="20"/>
          <w:szCs w:val="20"/>
          <w:color w:val="auto"/>
        </w:rPr>
      </w:pPr>
      <w:r>
        <w:rPr>
          <w:rFonts w:ascii="Arial" w:cs="Arial" w:eastAsia="Arial" w:hAnsi="Arial"/>
          <w:sz w:val="17"/>
          <w:szCs w:val="17"/>
          <w:color w:val="auto"/>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spacing w:after="0" w:line="196" w:lineRule="exact"/>
        <w:rPr>
          <w:sz w:val="20"/>
          <w:szCs w:val="20"/>
          <w:color w:val="auto"/>
        </w:rPr>
      </w:pPr>
    </w:p>
    <w:p>
      <w:pPr>
        <w:ind w:right="620" w:firstLine="393"/>
        <w:spacing w:after="0" w:line="289" w:lineRule="auto"/>
        <w:rPr>
          <w:sz w:val="20"/>
          <w:szCs w:val="20"/>
          <w:color w:val="auto"/>
        </w:rPr>
      </w:pPr>
      <w:r>
        <w:rPr>
          <w:rFonts w:ascii="Arial" w:cs="Arial" w:eastAsia="Arial" w:hAnsi="Arial"/>
          <w:sz w:val="17"/>
          <w:szCs w:val="17"/>
          <w:color w:val="auto"/>
        </w:rPr>
        <w:t>For example, the terms of our revolving credit and guarantee agreement, as amended, contain a number of covenants that limit our ability and our subsidiaries’ ability to, among other things, incur additional indebtedness, pay dividends, make</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addition, such current and future indebtedness could:</w:t>
      </w:r>
    </w:p>
    <w:p>
      <w:pPr>
        <w:spacing w:after="0" w:line="250" w:lineRule="exact"/>
        <w:rPr>
          <w:sz w:val="20"/>
          <w:szCs w:val="20"/>
          <w:color w:val="auto"/>
        </w:rPr>
      </w:pPr>
    </w:p>
    <w:p>
      <w:pPr>
        <w:ind w:left="1260" w:hanging="311"/>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make it more difficult for us to satisfy our debt obligations, including the 2026 Notes and the 2028 Notes;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250" w:lineRule="exact"/>
        <w:rPr>
          <w:rFonts w:ascii="Arial" w:cs="Arial" w:eastAsia="Arial" w:hAnsi="Arial"/>
          <w:sz w:val="17"/>
          <w:szCs w:val="17"/>
          <w:color w:val="auto"/>
        </w:rPr>
      </w:pPr>
    </w:p>
    <w:p>
      <w:pPr>
        <w:ind w:left="1260" w:right="820" w:hanging="311"/>
        <w:spacing w:after="0" w:line="289" w:lineRule="auto"/>
        <w:tabs>
          <w:tab w:leader="none" w:pos="1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w:t>
      </w:r>
    </w:p>
    <w:p>
      <w:pPr>
        <w:spacing w:after="0" w:line="250" w:lineRule="exact"/>
        <w:rPr>
          <w:rFonts w:ascii="Arial" w:cs="Arial" w:eastAsia="Arial" w:hAnsi="Arial"/>
          <w:sz w:val="17"/>
          <w:szCs w:val="17"/>
          <w:color w:val="auto"/>
        </w:rPr>
      </w:pPr>
    </w:p>
    <w:p>
      <w:pPr>
        <w:ind w:left="1260" w:right="280" w:hanging="311"/>
        <w:spacing w:after="0" w:line="289" w:lineRule="auto"/>
        <w:tabs>
          <w:tab w:leader="none" w:pos="1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 our current and future operations, make it more difficult to successfully execute our business strategy, or restrict us from exploiting business opportunities;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indebtedness or are not subject to restrictive covenants;</w:t>
      </w:r>
    </w:p>
    <w:p>
      <w:pPr>
        <w:spacing w:after="0" w:line="281" w:lineRule="exact"/>
        <w:rPr>
          <w:rFonts w:ascii="Arial" w:cs="Arial" w:eastAsia="Arial" w:hAnsi="Arial"/>
          <w:sz w:val="16"/>
          <w:szCs w:val="16"/>
          <w:color w:val="auto"/>
        </w:rPr>
      </w:pPr>
    </w:p>
    <w:p>
      <w:pPr>
        <w:ind w:left="1260" w:hanging="311"/>
        <w:spacing w:after="0"/>
        <w:tabs>
          <w:tab w:leader="none" w:pos="1260" w:val="left"/>
        </w:tabs>
        <w:numPr>
          <w:ilvl w:val="0"/>
          <w:numId w:val="20"/>
        </w:numPr>
        <w:rPr>
          <w:rFonts w:ascii="Arial" w:cs="Arial" w:eastAsia="Arial" w:hAnsi="Arial"/>
          <w:sz w:val="21"/>
          <w:szCs w:val="21"/>
          <w:color w:val="auto"/>
        </w:rPr>
      </w:pPr>
      <w:r>
        <w:rPr>
          <w:rFonts w:ascii="Arial" w:cs="Arial" w:eastAsia="Arial" w:hAnsi="Arial"/>
          <w:sz w:val="17"/>
          <w:szCs w:val="17"/>
          <w:color w:val="auto"/>
        </w:rPr>
        <w:t>restrict or otherwise impact the pace and timing of repurchases under our stock repurchase program; and</w:t>
      </w:r>
    </w:p>
    <w:p>
      <w:pPr>
        <w:spacing w:after="0" w:line="224" w:lineRule="exact"/>
        <w:rPr>
          <w:rFonts w:ascii="Arial" w:cs="Arial" w:eastAsia="Arial" w:hAnsi="Arial"/>
          <w:sz w:val="21"/>
          <w:szCs w:val="21"/>
          <w:color w:val="auto"/>
        </w:rPr>
      </w:pPr>
    </w:p>
    <w:p>
      <w:pPr>
        <w:ind w:left="1260" w:hanging="311"/>
        <w:spacing w:after="0" w:line="289" w:lineRule="auto"/>
        <w:tabs>
          <w:tab w:leader="none" w:pos="1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limit our availability to borrow additional funds for working capital, capital expenditures, acquisitions, debt service requirements, execution of our business strategy, or other general purposes.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Any of the foregoing could have a material adverse effect on our business, cash flows, results of operations, and financial condition.</w:t>
      </w:r>
    </w:p>
    <w:p>
      <w:pPr>
        <w:spacing w:after="0" w:line="250"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85" w:lineRule="exact"/>
        <w:rPr>
          <w:sz w:val="20"/>
          <w:szCs w:val="20"/>
          <w:color w:val="auto"/>
        </w:rPr>
      </w:pPr>
    </w:p>
    <w:p>
      <w:pPr>
        <w:ind w:firstLine="393"/>
        <w:spacing w:after="0" w:line="290" w:lineRule="auto"/>
        <w:rPr>
          <w:sz w:val="20"/>
          <w:szCs w:val="20"/>
          <w:color w:val="auto"/>
        </w:rPr>
      </w:pPr>
      <w:r>
        <w:rPr>
          <w:rFonts w:ascii="Arial" w:cs="Arial" w:eastAsia="Arial" w:hAnsi="Arial"/>
          <w:sz w:val="16"/>
          <w:szCs w:val="16"/>
          <w:color w:val="auto"/>
        </w:rPr>
        <w:t>We finance a significant portion of our expenditures through leasing arrangements, and we may enter into additional similar arrangements in the future. As of December 31, 2022, we had an aggregate of $1,157.6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86" w:lineRule="exact"/>
        <w:rPr>
          <w:sz w:val="20"/>
          <w:szCs w:val="20"/>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repayment of any outstanding lease obligations;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terminate our leasing arrangements;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terminate our access to the leased datacenters we utilize;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stop delivery of ordered equipment;</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sell or require us to return our leased equipment;</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repayment of any outstanding amounts drawn on our revolving credit facility;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terminate our revolving credit facility; or</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us to pay significant fees, penalties, or damages.</w:t>
      </w:r>
    </w:p>
    <w:p>
      <w:pPr>
        <w:spacing w:after="0" w:line="250" w:lineRule="exact"/>
        <w:rPr>
          <w:sz w:val="20"/>
          <w:szCs w:val="20"/>
          <w:color w:val="auto"/>
        </w:rPr>
      </w:pPr>
    </w:p>
    <w:p>
      <w:pPr>
        <w:ind w:right="680" w:firstLine="393"/>
        <w:spacing w:after="0" w:line="289" w:lineRule="auto"/>
        <w:rPr>
          <w:sz w:val="20"/>
          <w:szCs w:val="20"/>
          <w:color w:val="auto"/>
        </w:rPr>
      </w:pPr>
      <w:r>
        <w:rPr>
          <w:rFonts w:ascii="Arial" w:cs="Arial" w:eastAsia="Arial" w:hAnsi="Arial"/>
          <w:sz w:val="17"/>
          <w:szCs w:val="17"/>
          <w:color w:val="auto"/>
        </w:rPr>
        <w:t>If some or all of these events were to occur, our operations may be interrupted and our ability to fund our operations or obligations, as well as our business, results of operations, and financial condition, could be adversely affected. In particular, if</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74"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Risks Related to Our Financial Performance or Results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has declined in recent periods and may continue to slow in the future.</w:t>
      </w:r>
    </w:p>
    <w:p>
      <w:pPr>
        <w:spacing w:after="0" w:line="250"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catastrophic events on economic conditions or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may increase expenses in the future, and we may not be able to achieve or maintain profitability.</w:t>
      </w:r>
    </w:p>
    <w:p>
      <w:pPr>
        <w:spacing w:after="0" w:line="250" w:lineRule="exact"/>
        <w:rPr>
          <w:sz w:val="20"/>
          <w:szCs w:val="20"/>
          <w:color w:val="auto"/>
        </w:rPr>
      </w:pPr>
    </w:p>
    <w:p>
      <w:pPr>
        <w:ind w:firstLine="393"/>
        <w:spacing w:after="0" w:line="276" w:lineRule="auto"/>
        <w:rPr>
          <w:sz w:val="20"/>
          <w:szCs w:val="20"/>
          <w:color w:val="auto"/>
        </w:rPr>
      </w:pPr>
      <w:r>
        <w:rPr>
          <w:rFonts w:ascii="Arial" w:cs="Arial" w:eastAsia="Arial" w:hAnsi="Arial"/>
          <w:sz w:val="16"/>
          <w:szCs w:val="16"/>
          <w:color w:val="auto"/>
        </w:rPr>
        <w:t>Although we had been profitable on a GAAP basis in prior fiscal quarters, 2021 was our first profitable full fiscal year. We may, however, not achieve or maintain profitability in future periods, or, if we are profitable, we may not fully achieve our profitability targets. We incurred net losses on an annual basis from our inception through 2020. We generated net income of $553.2 million and $335.8 million during the years ended December 31, 2022 and 2021, respectively and we had an accumulated deficit of $2,772.1 million as of December 31, 2022. As we strive to grow our business, expenses may increase, particularly as we continue to make investments to scale our business, reposition our products or respond to new technologies.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spacing w:after="0" w:line="199"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b w:val="1"/>
          <w:bCs w:val="1"/>
          <w:i w:val="1"/>
          <w:iCs w:val="1"/>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185" w:lineRule="exact"/>
        <w:rPr>
          <w:sz w:val="20"/>
          <w:szCs w:val="20"/>
          <w:color w:val="auto"/>
        </w:rPr>
      </w:pPr>
    </w:p>
    <w:p>
      <w:pPr>
        <w:jc w:val="both"/>
        <w:ind w:right="100" w:firstLine="393"/>
        <w:spacing w:after="0" w:line="268" w:lineRule="auto"/>
        <w:rPr>
          <w:sz w:val="20"/>
          <w:szCs w:val="20"/>
          <w:color w:val="auto"/>
        </w:rPr>
      </w:pPr>
      <w:r>
        <w:rPr>
          <w:rFonts w:ascii="Arial" w:cs="Arial" w:eastAsia="Arial" w:hAnsi="Arial"/>
          <w:sz w:val="17"/>
          <w:szCs w:val="17"/>
          <w:color w:val="auto"/>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250" w:lineRule="exact"/>
        <w:rPr>
          <w:sz w:val="20"/>
          <w:szCs w:val="20"/>
          <w:color w:val="auto"/>
        </w:rPr>
      </w:pPr>
    </w:p>
    <w:p>
      <w:pPr>
        <w:ind w:firstLine="393"/>
        <w:spacing w:after="0" w:line="283" w:lineRule="auto"/>
        <w:rPr>
          <w:sz w:val="20"/>
          <w:szCs w:val="20"/>
          <w:color w:val="auto"/>
        </w:rPr>
      </w:pPr>
      <w:r>
        <w:rPr>
          <w:rFonts w:ascii="Arial" w:cs="Arial" w:eastAsia="Arial" w:hAnsi="Arial"/>
          <w:sz w:val="16"/>
          <w:szCs w:val="16"/>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p>
    <w:p>
      <w:pPr>
        <w:spacing w:after="0" w:line="193" w:lineRule="exact"/>
        <w:rPr>
          <w:sz w:val="20"/>
          <w:szCs w:val="20"/>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attract new paying users and convert registered to paying users;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250" w:lineRule="exact"/>
        <w:rPr>
          <w:rFonts w:ascii="Arial" w:cs="Arial" w:eastAsia="Arial" w:hAnsi="Arial"/>
          <w:sz w:val="17"/>
          <w:szCs w:val="17"/>
          <w:color w:val="auto"/>
        </w:rPr>
      </w:pPr>
    </w:p>
    <w:p>
      <w:pPr>
        <w:ind w:left="1260" w:right="80" w:hanging="311"/>
        <w:spacing w:after="0" w:line="289" w:lineRule="auto"/>
        <w:tabs>
          <w:tab w:leader="none" w:pos="1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 as well as entry into operating and finance leases;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expenses related to acquisitions;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large indemnification payments to our users or other third parties;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and success of new product feature and service introductions by us or our competitors;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250" w:lineRule="exact"/>
        <w:rPr>
          <w:rFonts w:ascii="Arial" w:cs="Arial" w:eastAsia="Arial" w:hAnsi="Arial"/>
          <w:sz w:val="17"/>
          <w:szCs w:val="17"/>
          <w:color w:val="auto"/>
        </w:rPr>
      </w:pPr>
    </w:p>
    <w:p>
      <w:pPr>
        <w:ind w:left="1260" w:right="80" w:hanging="311"/>
        <w:spacing w:after="0" w:line="289" w:lineRule="auto"/>
        <w:tabs>
          <w:tab w:leader="none" w:pos="1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catastrophic events, including earthquakes, fires, floods, tsunamis, or other weather events, power loss, telecommunications failures, software or hardware malfunctions, cyber-attack, war, or terrorist attacks, and pandemics;</w:t>
      </w:r>
    </w:p>
    <w:p>
      <w:pPr>
        <w:spacing w:after="0" w:line="184" w:lineRule="exact"/>
        <w:rPr>
          <w:rFonts w:ascii="Arial" w:cs="Arial" w:eastAsia="Arial" w:hAnsi="Arial"/>
          <w:sz w:val="17"/>
          <w:szCs w:val="17"/>
          <w:color w:val="auto"/>
        </w:rPr>
      </w:pPr>
    </w:p>
    <w:p>
      <w:pPr>
        <w:ind w:left="1260" w:right="240" w:hanging="311"/>
        <w:spacing w:after="0" w:line="273" w:lineRule="auto"/>
        <w:tabs>
          <w:tab w:leader="none" w:pos="1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reserves or other non-cash credits or charges, such as the impairment charges as a result of adverse changes in the corporate real estate market which has impacted our subleasing strategy in conjunction with our shift to Virtual First, and releases of deferred tax asset valuation allowances; and</w:t>
      </w:r>
    </w:p>
    <w:p>
      <w:pPr>
        <w:spacing w:after="0" w:line="198"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other impacts of shifting our operations to a Virtual First work model.</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Fluctuation in quarterly results may negatively impact the value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85" w:lineRule="exact"/>
        <w:rPr>
          <w:sz w:val="20"/>
          <w:szCs w:val="20"/>
          <w:color w:val="auto"/>
        </w:rPr>
      </w:pPr>
    </w:p>
    <w:p>
      <w:pPr>
        <w:ind w:right="20" w:firstLine="393"/>
        <w:spacing w:after="0" w:line="243" w:lineRule="auto"/>
        <w:rPr>
          <w:sz w:val="20"/>
          <w:szCs w:val="20"/>
          <w:color w:val="auto"/>
        </w:rPr>
      </w:pPr>
      <w:r>
        <w:rPr>
          <w:rFonts w:ascii="Arial" w:cs="Arial" w:eastAsia="Arial" w:hAnsi="Arial"/>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73" w:lineRule="exact"/>
        <w:rPr>
          <w:sz w:val="20"/>
          <w:szCs w:val="20"/>
          <w:color w:val="auto"/>
        </w:rPr>
      </w:pPr>
    </w:p>
    <w:p>
      <w:pPr>
        <w:ind w:right="160" w:firstLine="393"/>
        <w:spacing w:after="0" w:line="301" w:lineRule="auto"/>
        <w:rPr>
          <w:sz w:val="20"/>
          <w:szCs w:val="20"/>
          <w:color w:val="auto"/>
        </w:rPr>
      </w:pPr>
      <w:r>
        <w:rPr>
          <w:rFonts w:ascii="Arial" w:cs="Arial" w:eastAsia="Arial" w:hAnsi="Arial"/>
          <w:sz w:val="15"/>
          <w:szCs w:val="15"/>
          <w:color w:val="auto"/>
        </w:rPr>
        <w:t>We conduct our business across approximately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2022, 27% 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counterparty risk with respect to the convertible note hedge transactions.</w:t>
      </w:r>
    </w:p>
    <w:p>
      <w:pPr>
        <w:spacing w:after="0" w:line="250" w:lineRule="exact"/>
        <w:rPr>
          <w:sz w:val="20"/>
          <w:szCs w:val="20"/>
          <w:color w:val="auto"/>
        </w:rPr>
      </w:pPr>
    </w:p>
    <w:p>
      <w:pPr>
        <w:ind w:right="60" w:firstLine="393"/>
        <w:spacing w:after="0" w:line="280" w:lineRule="auto"/>
        <w:rPr>
          <w:sz w:val="20"/>
          <w:szCs w:val="20"/>
          <w:color w:val="auto"/>
        </w:rPr>
      </w:pPr>
      <w:r>
        <w:rPr>
          <w:rFonts w:ascii="Arial" w:cs="Arial" w:eastAsia="Arial" w:hAnsi="Arial"/>
          <w:sz w:val="16"/>
          <w:szCs w:val="16"/>
          <w:color w:val="auto"/>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50" w:lineRule="exact"/>
        <w:rPr>
          <w:sz w:val="20"/>
          <w:szCs w:val="20"/>
          <w:color w:val="auto"/>
        </w:rPr>
      </w:pPr>
    </w:p>
    <w:p>
      <w:pPr>
        <w:ind w:firstLine="393"/>
        <w:spacing w:after="0" w:line="279" w:lineRule="auto"/>
        <w:rPr>
          <w:sz w:val="20"/>
          <w:szCs w:val="20"/>
          <w:color w:val="auto"/>
        </w:rPr>
      </w:pPr>
      <w:r>
        <w:rPr>
          <w:rFonts w:ascii="Arial" w:cs="Arial" w:eastAsia="Arial" w:hAnsi="Arial"/>
          <w:sz w:val="16"/>
          <w:szCs w:val="16"/>
          <w:color w:val="auto"/>
        </w:rPr>
        <w:t>As of December 31, 2022, we had federal, state, and foreign net operating loss carryforwards and federal and state research credit carryforwards available to reduce our future taxable income and/or tax liabilities. It is possible that we will not generate sufficient taxable income in time to use all of these net operating loss carryforwards and/or tax credits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85" w:lineRule="exact"/>
        <w:rPr>
          <w:sz w:val="20"/>
          <w:szCs w:val="20"/>
          <w:color w:val="auto"/>
        </w:rPr>
      </w:pPr>
    </w:p>
    <w:p>
      <w:pPr>
        <w:ind w:right="260" w:firstLine="393"/>
        <w:spacing w:after="0" w:line="265"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206"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85"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Any such changes could increase our liabilities for taxes, interest and penalties, lead to higher effective tax rates, and harm our cash flows, results of operations and financial condition.</w:t>
      </w:r>
    </w:p>
    <w:p>
      <w:pPr>
        <w:spacing w:after="0" w:line="202" w:lineRule="exact"/>
        <w:rPr>
          <w:sz w:val="20"/>
          <w:szCs w:val="20"/>
          <w:color w:val="auto"/>
        </w:rPr>
      </w:pPr>
    </w:p>
    <w:p>
      <w:pPr>
        <w:ind w:right="20" w:firstLine="393"/>
        <w:spacing w:after="0" w:line="279" w:lineRule="auto"/>
        <w:rPr>
          <w:sz w:val="20"/>
          <w:szCs w:val="20"/>
          <w:color w:val="auto"/>
        </w:rPr>
      </w:pPr>
      <w:r>
        <w:rPr>
          <w:rFonts w:ascii="Arial" w:cs="Arial" w:eastAsia="Arial" w:hAnsi="Arial"/>
          <w:sz w:val="16"/>
          <w:szCs w:val="16"/>
          <w:color w:val="auto"/>
        </w:rPr>
        <w:t>For example, many countries and the Organization for Economic Cooperation and Development (“OECD”)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intend to adopt these proposals. In December 2022, the Council of the European Union ("EU") formally adopted the EU Minimum Tax Directive, which would require member states to adopt Pillar Two into their domestic law by December 31, 2023. In addition, the United States recently enacted the “Inflation Reduction Act” (“IRA”), which includes a 15% book-income alternative minimum tax for corporations with financial accounting profits over $1 billion and a 1% excise tax on the value of certain stock repurchases by publicly traded corporations. The alternative minimum tax is not expected to have a material adverse impact on our business, results of operations, financial conditions, and cash flows; however, if we repurchase stock pursuant to our stock repurchase program or otherwise, the 1% excise tax on stock repurchases generally will increase the costs to us of such repurchases. Other changes to U.S. or non-U.S. tax laws could have an adverse impact on our business, results of operations, financial condition and cash flows.</w:t>
      </w:r>
    </w:p>
    <w:p>
      <w:pPr>
        <w:spacing w:after="0" w:line="195" w:lineRule="exact"/>
        <w:rPr>
          <w:sz w:val="20"/>
          <w:szCs w:val="20"/>
          <w:color w:val="auto"/>
        </w:rPr>
      </w:pPr>
    </w:p>
    <w:p>
      <w:pPr>
        <w:ind w:right="280"/>
        <w:spacing w:after="0" w:line="360"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Annual Report on Form 10-K which could prove to be inaccurate, and any real or perceived inaccuracies may harm our reputation and negatively affect our business.</w:t>
      </w:r>
    </w:p>
    <w:p>
      <w:pPr>
        <w:spacing w:after="0" w:line="138"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200" w:lineRule="exact"/>
        <w:rPr>
          <w:sz w:val="20"/>
          <w:szCs w:val="20"/>
          <w:color w:val="auto"/>
        </w:rPr>
      </w:pPr>
    </w:p>
    <w:p>
      <w:pPr>
        <w:spacing w:after="0" w:line="23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Risks Related to Legal and Regulatory Compliance</w:t>
      </w:r>
    </w:p>
    <w:p>
      <w:pPr>
        <w:spacing w:after="0" w:line="243" w:lineRule="exact"/>
        <w:rPr>
          <w:sz w:val="20"/>
          <w:szCs w:val="20"/>
          <w:color w:val="auto"/>
        </w:rPr>
      </w:pPr>
    </w:p>
    <w:p>
      <w:pPr>
        <w:ind w:right="280"/>
        <w:spacing w:after="0" w:line="360"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38" w:lineRule="exact"/>
        <w:rPr>
          <w:sz w:val="20"/>
          <w:szCs w:val="20"/>
          <w:color w:val="auto"/>
        </w:rPr>
      </w:pPr>
    </w:p>
    <w:p>
      <w:pPr>
        <w:ind w:right="140" w:firstLine="393"/>
        <w:spacing w:after="0" w:line="289"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89"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11" w:lineRule="exact"/>
        <w:rPr>
          <w:sz w:val="20"/>
          <w:szCs w:val="20"/>
          <w:color w:val="auto"/>
        </w:rPr>
      </w:pPr>
    </w:p>
    <w:p>
      <w:pPr>
        <w:ind w:right="420" w:firstLine="393"/>
        <w:spacing w:after="0" w:line="326" w:lineRule="auto"/>
        <w:rPr>
          <w:sz w:val="20"/>
          <w:szCs w:val="20"/>
          <w:color w:val="auto"/>
        </w:rPr>
      </w:pPr>
      <w:r>
        <w:rPr>
          <w:rFonts w:ascii="Arial" w:cs="Arial" w:eastAsia="Arial" w:hAnsi="Arial"/>
          <w:sz w:val="15"/>
          <w:szCs w:val="15"/>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63" w:lineRule="exact"/>
        <w:rPr>
          <w:sz w:val="20"/>
          <w:szCs w:val="20"/>
          <w:color w:val="auto"/>
        </w:rPr>
      </w:pPr>
    </w:p>
    <w:p>
      <w:pPr>
        <w:ind w:right="100" w:firstLine="393"/>
        <w:spacing w:after="0" w:line="286"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85" w:lineRule="exact"/>
        <w:rPr>
          <w:sz w:val="20"/>
          <w:szCs w:val="20"/>
          <w:color w:val="auto"/>
        </w:rPr>
      </w:pPr>
    </w:p>
    <w:p>
      <w:pPr>
        <w:ind w:firstLine="393"/>
        <w:spacing w:after="0" w:line="279" w:lineRule="auto"/>
        <w:rPr>
          <w:sz w:val="20"/>
          <w:szCs w:val="20"/>
          <w:color w:val="auto"/>
        </w:rPr>
      </w:pPr>
      <w:r>
        <w:rPr>
          <w:rFonts w:ascii="Arial" w:cs="Arial" w:eastAsia="Arial" w:hAnsi="Arial"/>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199"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640"/>
        <w:spacing w:after="0" w:line="289" w:lineRule="auto"/>
        <w:rPr>
          <w:sz w:val="20"/>
          <w:szCs w:val="20"/>
          <w:color w:val="auto"/>
        </w:rPr>
      </w:pPr>
      <w:r>
        <w:rPr>
          <w:rFonts w:ascii="Arial" w:cs="Arial" w:eastAsia="Arial" w:hAnsi="Arial"/>
          <w:sz w:val="17"/>
          <w:szCs w:val="17"/>
          <w:b w:val="1"/>
          <w:bCs w:val="1"/>
          <w:i w:val="1"/>
          <w:iCs w:val="1"/>
          <w:color w:val="auto"/>
        </w:rPr>
        <w:t>Our actual or perceived failure to comply with privacy, data protection, and information security laws, regulations, and obligations could harm our business.</w:t>
      </w:r>
    </w:p>
    <w:p>
      <w:pPr>
        <w:spacing w:after="0" w:line="185"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07" w:lineRule="exact"/>
        <w:rPr>
          <w:sz w:val="20"/>
          <w:szCs w:val="20"/>
          <w:color w:val="auto"/>
        </w:rPr>
      </w:pPr>
    </w:p>
    <w:p>
      <w:pPr>
        <w:jc w:val="both"/>
        <w:ind w:right="180" w:firstLine="393"/>
        <w:spacing w:after="0" w:line="298"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 The GDPR imposed more stringent data protection requirements and provides greater penalties for noncompliance than previous data protection laws.</w:t>
      </w:r>
    </w:p>
    <w:p>
      <w:pPr>
        <w:spacing w:after="0" w:line="180" w:lineRule="exact"/>
        <w:rPr>
          <w:sz w:val="20"/>
          <w:szCs w:val="20"/>
          <w:color w:val="auto"/>
        </w:rPr>
      </w:pPr>
    </w:p>
    <w:p>
      <w:pPr>
        <w:ind w:firstLine="393"/>
        <w:spacing w:after="0" w:line="277" w:lineRule="auto"/>
        <w:rPr>
          <w:sz w:val="20"/>
          <w:szCs w:val="20"/>
          <w:color w:val="auto"/>
        </w:rPr>
      </w:pPr>
      <w:r>
        <w:rPr>
          <w:rFonts w:ascii="Arial" w:cs="Arial" w:eastAsia="Arial" w:hAnsi="Arial"/>
          <w:sz w:val="16"/>
          <w:szCs w:val="16"/>
          <w:color w:val="auto"/>
        </w:rPr>
        <w:t>Additionally, although we have self-certified under the U.S.-EU and U.S.-Swiss Privacy Shield Frameworks with regard to our transfer of certain personal data from the European Economic Area ("EEA") and Switzerland to the United States, on July 16, 2020, the Court of Justice of the European Union ("CJEU") invalidated Decision 2016/1250 on the adequacy of the protection provided by the U.S.-EU Privacy Shield Framework, and on September 8, 2020, the Swiss Federal Data Protection and Information Commissioner announced that it no longer considers the U.S.-Swiss Privacy Shield adequate for the purposes of transfers of personal data from Switzerland to the U.S. 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In its decision invalidating the U.S.-EU Privacy Shield Framework, the CJEU also imposed additional obligations on companies relying on standard contractual clauses approved by the European Commission (“SCCs”) to transfer personal data. The CJEU decision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203" w:lineRule="exact"/>
        <w:rPr>
          <w:sz w:val="20"/>
          <w:szCs w:val="20"/>
          <w:color w:val="auto"/>
        </w:rPr>
      </w:pPr>
    </w:p>
    <w:p>
      <w:pPr>
        <w:ind w:right="60" w:firstLine="393"/>
        <w:spacing w:after="0" w:line="276" w:lineRule="auto"/>
        <w:rPr>
          <w:sz w:val="20"/>
          <w:szCs w:val="20"/>
          <w:color w:val="auto"/>
        </w:rPr>
      </w:pPr>
      <w:r>
        <w:rPr>
          <w:rFonts w:ascii="Arial" w:cs="Arial" w:eastAsia="Arial" w:hAnsi="Arial"/>
          <w:sz w:val="16"/>
          <w:szCs w:val="16"/>
          <w:color w:val="auto"/>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such as Virginia, which in March 2021 enacted a Consumer Data Protection Act that went into effect January 1, 2023, Colorado, which in June 2021 enacted a Colorado Privacy Act that will go into effect July 1, 2023, Utah, which in March 2022 enacted a Utah Consumer Privacy Act that will go into effect July 1, 2023, and Connecticut, which in May 2022 enacted a similar law, An Act Concerning Personal Data Privacy and Online Monitoring, that will go into effect July 1, 2023. Similar laws are being considered by other state legislatures. These developments create the potential for a patchwork of overlapping but different state laws.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85"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spacing w:after="0" w:line="211" w:lineRule="exact"/>
        <w:rPr>
          <w:sz w:val="20"/>
          <w:szCs w:val="20"/>
          <w:color w:val="auto"/>
        </w:rPr>
      </w:pPr>
    </w:p>
    <w:p>
      <w:pPr>
        <w:ind w:right="100" w:firstLine="393"/>
        <w:spacing w:after="0" w:line="262" w:lineRule="auto"/>
        <w:rPr>
          <w:sz w:val="20"/>
          <w:szCs w:val="20"/>
          <w:color w:val="auto"/>
        </w:rPr>
      </w:pPr>
      <w:r>
        <w:rPr>
          <w:rFonts w:ascii="Arial" w:cs="Arial" w:eastAsia="Arial" w:hAnsi="Arial"/>
          <w:sz w:val="17"/>
          <w:szCs w:val="17"/>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207"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Our business could be adversely impacted by changes in internet access for our users or laws specifically governing the internet.</w:t>
      </w:r>
    </w:p>
    <w:p>
      <w:pPr>
        <w:spacing w:after="0" w:line="250"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02" w:lineRule="exact"/>
        <w:rPr>
          <w:sz w:val="20"/>
          <w:szCs w:val="20"/>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250"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205" w:lineRule="exact"/>
        <w:rPr>
          <w:sz w:val="20"/>
          <w:szCs w:val="20"/>
          <w:color w:val="auto"/>
        </w:rPr>
      </w:pPr>
    </w:p>
    <w:p>
      <w:pPr>
        <w:ind w:right="40" w:firstLine="393"/>
        <w:spacing w:after="0" w:line="283"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85" w:lineRule="exact"/>
        <w:rPr>
          <w:sz w:val="20"/>
          <w:szCs w:val="20"/>
          <w:color w:val="auto"/>
        </w:rPr>
      </w:pPr>
    </w:p>
    <w:p>
      <w:pPr>
        <w:ind w:firstLine="393"/>
        <w:spacing w:after="0" w:line="277" w:lineRule="auto"/>
        <w:rPr>
          <w:sz w:val="20"/>
          <w:szCs w:val="20"/>
          <w:color w:val="auto"/>
        </w:rPr>
      </w:pPr>
      <w:r>
        <w:rPr>
          <w:rFonts w:ascii="Arial" w:cs="Arial" w:eastAsia="Arial" w:hAnsi="Arial"/>
          <w:sz w:val="16"/>
          <w:szCs w:val="16"/>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transactions involving our securities and our platform.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50" w:lineRule="exact"/>
        <w:rPr>
          <w:sz w:val="20"/>
          <w:szCs w:val="20"/>
          <w:color w:val="auto"/>
        </w:rPr>
      </w:pPr>
    </w:p>
    <w:p>
      <w:pPr>
        <w:ind w:right="20" w:firstLine="315"/>
        <w:spacing w:after="0" w:line="298" w:lineRule="auto"/>
        <w:rPr>
          <w:sz w:val="20"/>
          <w:szCs w:val="20"/>
          <w:color w:val="auto"/>
        </w:rPr>
      </w:pPr>
      <w:r>
        <w:rPr>
          <w:rFonts w:ascii="Arial" w:cs="Arial" w:eastAsia="Arial" w:hAnsi="Arial"/>
          <w:sz w:val="15"/>
          <w:szCs w:val="15"/>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1,550 issued patents and more than 300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80"/>
        <w:spacing w:after="0" w:line="360" w:lineRule="auto"/>
        <w:rPr>
          <w:sz w:val="20"/>
          <w:szCs w:val="20"/>
          <w:color w:val="auto"/>
        </w:rPr>
      </w:pPr>
      <w:r>
        <w:rPr>
          <w:rFonts w:ascii="Arial" w:cs="Arial" w:eastAsia="Arial" w:hAnsi="Arial"/>
          <w:sz w:val="15"/>
          <w:szCs w:val="15"/>
          <w:color w:val="auto"/>
        </w:rPr>
        <w:t>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you could lose all or part of your investment.</w:t>
      </w:r>
    </w:p>
    <w:p>
      <w:pPr>
        <w:spacing w:after="0" w:line="250" w:lineRule="exact"/>
        <w:rPr>
          <w:sz w:val="20"/>
          <w:szCs w:val="20"/>
          <w:color w:val="auto"/>
        </w:rPr>
      </w:pPr>
    </w:p>
    <w:p>
      <w:pPr>
        <w:ind w:right="340" w:firstLine="393"/>
        <w:spacing w:after="0" w:line="289"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85" w:lineRule="exact"/>
        <w:rPr>
          <w:sz w:val="20"/>
          <w:szCs w:val="20"/>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technology stocks;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273" w:lineRule="exact"/>
        <w:rPr>
          <w:rFonts w:ascii="Arial" w:cs="Arial" w:eastAsia="Arial" w:hAnsi="Arial"/>
          <w:sz w:val="15"/>
          <w:szCs w:val="15"/>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250" w:lineRule="exact"/>
        <w:rPr>
          <w:rFonts w:ascii="Arial" w:cs="Arial" w:eastAsia="Arial" w:hAnsi="Arial"/>
          <w:sz w:val="17"/>
          <w:szCs w:val="17"/>
          <w:color w:val="auto"/>
        </w:rPr>
      </w:pPr>
    </w:p>
    <w:p>
      <w:pPr>
        <w:ind w:left="1260" w:right="60" w:hanging="311"/>
        <w:spacing w:after="0" w:line="289" w:lineRule="auto"/>
        <w:tabs>
          <w:tab w:leader="none" w:pos="1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actual or anticipated changes in our key metrics;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actual or perceived breaches of, or failures related to, privacy, data protection or data security;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significant change in our management; and</w:t>
      </w:r>
    </w:p>
    <w:p>
      <w:pPr>
        <w:spacing w:after="0" w:line="250" w:lineRule="exact"/>
        <w:rPr>
          <w:rFonts w:ascii="Arial" w:cs="Arial" w:eastAsia="Arial" w:hAnsi="Arial"/>
          <w:sz w:val="17"/>
          <w:szCs w:val="17"/>
          <w:color w:val="auto"/>
        </w:rPr>
      </w:pPr>
    </w:p>
    <w:p>
      <w:pPr>
        <w:ind w:left="1260" w:right="540" w:hanging="311"/>
        <w:spacing w:after="0" w:line="289" w:lineRule="auto"/>
        <w:tabs>
          <w:tab w:leader="none" w:pos="1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 and catastrophic events, including earthquakes, fires, floods, tsunamis, or other weather events, power loss, telecommunications failures,</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9" w:right="39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software or hardware malfunctions, cyber-attack, war, such as the conflict between Russia and Ukraine, or terrorist attacks, and pandemics.</w:t>
      </w:r>
    </w:p>
    <w:p>
      <w:pPr>
        <w:spacing w:after="0" w:line="262" w:lineRule="exact"/>
        <w:rPr>
          <w:sz w:val="20"/>
          <w:szCs w:val="20"/>
          <w:color w:val="auto"/>
        </w:rPr>
      </w:pPr>
    </w:p>
    <w:p>
      <w:pPr>
        <w:ind w:firstLine="393"/>
        <w:spacing w:after="0" w:line="273" w:lineRule="auto"/>
        <w:rPr>
          <w:sz w:val="20"/>
          <w:szCs w:val="20"/>
          <w:color w:val="auto"/>
        </w:rPr>
      </w:pPr>
      <w:r>
        <w:rPr>
          <w:rFonts w:ascii="Arial" w:cs="Arial" w:eastAsia="Arial" w:hAnsi="Arial"/>
          <w:sz w:val="16"/>
          <w:szCs w:val="16"/>
          <w:color w:val="auto"/>
        </w:rPr>
        <w:t>In addition, in the past, following periods of volatility in the overall market and the market price of a particular company’s securities, securities class action litigation has often been instituted against these companies.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This recent litigation, and any securities litigation that may be instituted against us in the future, could result in substantial costs and a diversion of our management’s attention and resources.</w:t>
      </w:r>
    </w:p>
    <w:p>
      <w:pPr>
        <w:spacing w:after="0" w:line="19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85" w:lineRule="exact"/>
        <w:rPr>
          <w:sz w:val="20"/>
          <w:szCs w:val="20"/>
          <w:color w:val="auto"/>
        </w:rPr>
      </w:pPr>
    </w:p>
    <w:p>
      <w:pPr>
        <w:ind w:firstLine="393"/>
        <w:spacing w:after="0" w:line="278" w:lineRule="auto"/>
        <w:rPr>
          <w:sz w:val="20"/>
          <w:szCs w:val="20"/>
          <w:color w:val="auto"/>
        </w:rPr>
      </w:pPr>
      <w:r>
        <w:rPr>
          <w:rFonts w:ascii="Arial" w:cs="Arial" w:eastAsia="Arial" w:hAnsi="Arial"/>
          <w:sz w:val="16"/>
          <w:szCs w:val="16"/>
          <w:color w:val="auto"/>
        </w:rPr>
        <w:t>Our Class A common stock has one vote per share, our Class B common stock has ten votes per share, and our Class C common stock has no voting rights, except as otherwise required by law. As of December 31, 2022, our directors, executive officers and holders of more than 5% of our common stock, and their respective affiliates, held in the aggregate 79.3% of the voting power of our capital stock, with Mr. Houston holding approximately 74.4% of the voting power of our capital stock. We are including the Co-Founder Grant (as defined in “Significant Impacts of Stock-Based Compensation” included in Part II, Item 7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196" w:lineRule="exact"/>
        <w:rPr>
          <w:sz w:val="20"/>
          <w:szCs w:val="20"/>
          <w:color w:val="auto"/>
        </w:rPr>
      </w:pPr>
    </w:p>
    <w:p>
      <w:pPr>
        <w:ind w:right="80" w:firstLine="393"/>
        <w:spacing w:after="0" w:line="279" w:lineRule="auto"/>
        <w:rPr>
          <w:sz w:val="20"/>
          <w:szCs w:val="20"/>
          <w:color w:val="auto"/>
        </w:rPr>
      </w:pPr>
      <w:r>
        <w:rPr>
          <w:rFonts w:ascii="Arial" w:cs="Arial" w:eastAsia="Arial" w:hAnsi="Arial"/>
          <w:sz w:val="16"/>
          <w:szCs w:val="16"/>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spacing w:after="0" w:line="195" w:lineRule="exact"/>
        <w:rPr>
          <w:sz w:val="20"/>
          <w:szCs w:val="20"/>
          <w:color w:val="auto"/>
        </w:rPr>
      </w:pPr>
    </w:p>
    <w:p>
      <w:pPr>
        <w:jc w:val="both"/>
        <w:ind w:right="220" w:firstLine="393"/>
        <w:spacing w:after="0" w:line="326" w:lineRule="auto"/>
        <w:rPr>
          <w:sz w:val="20"/>
          <w:szCs w:val="20"/>
          <w:color w:val="auto"/>
        </w:rPr>
      </w:pPr>
      <w:r>
        <w:rPr>
          <w:rFonts w:ascii="Arial" w:cs="Arial" w:eastAsia="Arial" w:hAnsi="Arial"/>
          <w:sz w:val="15"/>
          <w:szCs w:val="15"/>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could depress the market price of our Class A common stock.</w:t>
      </w:r>
    </w:p>
    <w:p>
      <w:pPr>
        <w:spacing w:after="0" w:line="250" w:lineRule="exact"/>
        <w:rPr>
          <w:sz w:val="20"/>
          <w:szCs w:val="20"/>
          <w:color w:val="auto"/>
        </w:rPr>
      </w:pPr>
    </w:p>
    <w:p>
      <w:pPr>
        <w:ind w:firstLine="393"/>
        <w:spacing w:after="0" w:line="360" w:lineRule="auto"/>
        <w:rPr>
          <w:sz w:val="20"/>
          <w:szCs w:val="20"/>
          <w:color w:val="auto"/>
        </w:rPr>
      </w:pPr>
      <w:r>
        <w:rPr>
          <w:rFonts w:ascii="Arial" w:cs="Arial" w:eastAsia="Arial" w:hAnsi="Arial"/>
          <w:sz w:val="15"/>
          <w:szCs w:val="15"/>
          <w:color w:val="auto"/>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spacing w:after="0" w:line="138" w:lineRule="exact"/>
        <w:rPr>
          <w:sz w:val="20"/>
          <w:szCs w:val="20"/>
          <w:color w:val="auto"/>
        </w:rPr>
      </w:pPr>
    </w:p>
    <w:p>
      <w:pPr>
        <w:ind w:right="260" w:firstLine="393"/>
        <w:spacing w:after="0" w:line="322"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580"/>
        <w:spacing w:after="0" w:line="289" w:lineRule="auto"/>
        <w:rPr>
          <w:sz w:val="20"/>
          <w:szCs w:val="20"/>
          <w:color w:val="auto"/>
        </w:rPr>
      </w:pPr>
      <w:r>
        <w:rPr>
          <w:rFonts w:ascii="Arial" w:cs="Arial" w:eastAsia="Arial" w:hAnsi="Arial"/>
          <w:sz w:val="17"/>
          <w:szCs w:val="17"/>
          <w:b w:val="1"/>
          <w:bCs w:val="1"/>
          <w:i w:val="1"/>
          <w:iCs w:val="1"/>
          <w:color w:val="auto"/>
        </w:rPr>
        <w:t>Transactions relating to our 2026 Notes and 2028 Notes may dilute the ownership interest of stockholders, or may otherwise depress the price of our common stock.</w:t>
      </w:r>
    </w:p>
    <w:p>
      <w:pPr>
        <w:spacing w:after="0" w:line="185" w:lineRule="exact"/>
        <w:rPr>
          <w:sz w:val="20"/>
          <w:szCs w:val="20"/>
          <w:color w:val="auto"/>
        </w:rPr>
      </w:pPr>
    </w:p>
    <w:p>
      <w:pPr>
        <w:ind w:right="20" w:firstLine="393"/>
        <w:spacing w:after="0" w:line="280" w:lineRule="auto"/>
        <w:rPr>
          <w:sz w:val="20"/>
          <w:szCs w:val="20"/>
          <w:color w:val="auto"/>
        </w:rPr>
      </w:pPr>
      <w:r>
        <w:rPr>
          <w:rFonts w:ascii="Arial" w:cs="Arial" w:eastAsia="Arial" w:hAnsi="Arial"/>
          <w:sz w:val="16"/>
          <w:szCs w:val="16"/>
          <w:color w:val="auto"/>
        </w:rPr>
        <w:t>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convertible notes. Anticipated future issuances of shares of our Class A common stock upon conversion of the 2026 Notes or 2028 Notes could depress the price of our Class A common stock.</w:t>
      </w:r>
    </w:p>
    <w:p>
      <w:pPr>
        <w:spacing w:after="0" w:line="197"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85" w:lineRule="exact"/>
        <w:rPr>
          <w:sz w:val="20"/>
          <w:szCs w:val="20"/>
          <w:color w:val="auto"/>
        </w:rPr>
      </w:pPr>
    </w:p>
    <w:p>
      <w:pPr>
        <w:ind w:right="80" w:firstLine="393"/>
        <w:spacing w:after="0" w:line="290"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86" w:lineRule="exact"/>
        <w:rPr>
          <w:sz w:val="20"/>
          <w:szCs w:val="20"/>
          <w:color w:val="auto"/>
        </w:rPr>
      </w:pPr>
    </w:p>
    <w:p>
      <w:pPr>
        <w:ind w:left="1260" w:right="620" w:hanging="311"/>
        <w:spacing w:after="0" w:line="289" w:lineRule="auto"/>
        <w:tabs>
          <w:tab w:leader="none" w:pos="1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184" w:lineRule="exact"/>
        <w:rPr>
          <w:rFonts w:ascii="Arial" w:cs="Arial" w:eastAsia="Arial" w:hAnsi="Arial"/>
          <w:sz w:val="17"/>
          <w:szCs w:val="17"/>
          <w:color w:val="auto"/>
        </w:rPr>
      </w:pPr>
    </w:p>
    <w:p>
      <w:pPr>
        <w:ind w:left="1260" w:hanging="311"/>
        <w:spacing w:after="0" w:line="273" w:lineRule="auto"/>
        <w:tabs>
          <w:tab w:leader="none" w:pos="1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98" w:lineRule="exact"/>
        <w:rPr>
          <w:rFonts w:ascii="Arial" w:cs="Arial" w:eastAsia="Arial" w:hAnsi="Arial"/>
          <w:sz w:val="17"/>
          <w:szCs w:val="17"/>
          <w:color w:val="auto"/>
        </w:rPr>
      </w:pPr>
    </w:p>
    <w:p>
      <w:pPr>
        <w:jc w:val="both"/>
        <w:ind w:left="1260" w:right="200" w:hanging="311"/>
        <w:spacing w:after="0" w:line="273" w:lineRule="auto"/>
        <w:tabs>
          <w:tab w:leader="none" w:pos="1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98" w:lineRule="exact"/>
        <w:rPr>
          <w:rFonts w:ascii="Arial" w:cs="Arial" w:eastAsia="Arial" w:hAnsi="Arial"/>
          <w:sz w:val="17"/>
          <w:szCs w:val="17"/>
          <w:color w:val="auto"/>
        </w:rPr>
      </w:pPr>
    </w:p>
    <w:p>
      <w:pPr>
        <w:ind w:left="1260" w:right="120" w:hanging="311"/>
        <w:spacing w:after="0" w:line="290" w:lineRule="auto"/>
        <w:tabs>
          <w:tab w:leader="none" w:pos="1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86" w:lineRule="exact"/>
        <w:rPr>
          <w:rFonts w:ascii="Arial" w:cs="Arial" w:eastAsia="Arial" w:hAnsi="Arial"/>
          <w:sz w:val="16"/>
          <w:szCs w:val="16"/>
          <w:color w:val="auto"/>
        </w:rPr>
      </w:pPr>
    </w:p>
    <w:p>
      <w:pPr>
        <w:ind w:left="1260" w:right="240" w:hanging="311"/>
        <w:spacing w:after="0" w:line="289" w:lineRule="auto"/>
        <w:tabs>
          <w:tab w:leader="none" w:pos="1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84" w:lineRule="exact"/>
        <w:rPr>
          <w:rFonts w:ascii="Arial" w:cs="Arial" w:eastAsia="Arial" w:hAnsi="Arial"/>
          <w:sz w:val="17"/>
          <w:szCs w:val="17"/>
          <w:color w:val="auto"/>
        </w:rPr>
      </w:pPr>
    </w:p>
    <w:p>
      <w:pPr>
        <w:ind w:left="1260" w:right="380" w:hanging="311"/>
        <w:spacing w:after="0" w:line="289" w:lineRule="auto"/>
        <w:tabs>
          <w:tab w:leader="none" w:pos="1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after the Voting Threshold Date our stockholders will only be able to take action at a meeting of stockholders, and will not be able to take action by written consent for any matter;</w:t>
      </w:r>
    </w:p>
    <w:p>
      <w:pPr>
        <w:spacing w:after="0" w:line="184" w:lineRule="exact"/>
        <w:rPr>
          <w:rFonts w:ascii="Arial" w:cs="Arial" w:eastAsia="Arial" w:hAnsi="Arial"/>
          <w:sz w:val="17"/>
          <w:szCs w:val="17"/>
          <w:color w:val="auto"/>
        </w:rPr>
      </w:pPr>
    </w:p>
    <w:p>
      <w:pPr>
        <w:ind w:left="1260" w:right="40" w:hanging="311"/>
        <w:spacing w:after="0" w:line="289" w:lineRule="auto"/>
        <w:tabs>
          <w:tab w:leader="none" w:pos="1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until the Voting Threshold Date, our stockholders will be able to act by written consent only if the action is first recommended or approved by the Board of Directors;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w:t>
      </w:r>
    </w:p>
    <w:p>
      <w:pPr>
        <w:spacing w:after="0" w:line="250" w:lineRule="exact"/>
        <w:rPr>
          <w:rFonts w:ascii="Arial" w:cs="Arial" w:eastAsia="Arial" w:hAnsi="Arial"/>
          <w:sz w:val="17"/>
          <w:szCs w:val="17"/>
          <w:color w:val="auto"/>
        </w:rPr>
      </w:pPr>
    </w:p>
    <w:p>
      <w:pPr>
        <w:ind w:left="1260" w:right="220" w:hanging="311"/>
        <w:spacing w:after="0" w:line="289" w:lineRule="auto"/>
        <w:tabs>
          <w:tab w:leader="none" w:pos="1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only the chairman of our Board of Directors, our chief executive officer, a majority of our Board of Directors, or, until the Class B common stock, as a class, converts to Class A common stock, a stockholder holding</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260" w:right="920"/>
        <w:spacing w:after="0" w:line="289" w:lineRule="auto"/>
        <w:rPr>
          <w:sz w:val="20"/>
          <w:szCs w:val="20"/>
          <w:color w:val="auto"/>
        </w:rPr>
      </w:pPr>
      <w:r>
        <w:rPr>
          <w:rFonts w:ascii="Arial" w:cs="Arial" w:eastAsia="Arial" w:hAnsi="Arial"/>
          <w:sz w:val="17"/>
          <w:szCs w:val="17"/>
          <w:color w:val="auto"/>
        </w:rPr>
        <w:t>thirty percent of the combined voting power of our Class A and Class B common stock are authorized to call a special meeting of stockholders;</w:t>
      </w:r>
    </w:p>
    <w:p>
      <w:pPr>
        <w:spacing w:after="0" w:line="185" w:lineRule="exact"/>
        <w:rPr>
          <w:sz w:val="20"/>
          <w:szCs w:val="20"/>
          <w:color w:val="auto"/>
        </w:rPr>
      </w:pPr>
    </w:p>
    <w:p>
      <w:pPr>
        <w:ind w:left="1260" w:hanging="311"/>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litigation against us may be required to be brought in Delaware;</w:t>
      </w:r>
    </w:p>
    <w:p>
      <w:pPr>
        <w:spacing w:after="0" w:line="250" w:lineRule="exact"/>
        <w:rPr>
          <w:rFonts w:ascii="Arial" w:cs="Arial" w:eastAsia="Arial" w:hAnsi="Arial"/>
          <w:sz w:val="17"/>
          <w:szCs w:val="17"/>
          <w:color w:val="auto"/>
        </w:rPr>
      </w:pPr>
    </w:p>
    <w:p>
      <w:pPr>
        <w:ind w:left="1260" w:right="220" w:hanging="311"/>
        <w:spacing w:after="0" w:line="289" w:lineRule="auto"/>
        <w:tabs>
          <w:tab w:leader="none" w:pos="1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84" w:lineRule="exact"/>
        <w:rPr>
          <w:rFonts w:ascii="Arial" w:cs="Arial" w:eastAsia="Arial" w:hAnsi="Arial"/>
          <w:sz w:val="17"/>
          <w:szCs w:val="17"/>
          <w:color w:val="auto"/>
        </w:rPr>
      </w:pPr>
    </w:p>
    <w:p>
      <w:pPr>
        <w:ind w:left="1260" w:right="20" w:hanging="311"/>
        <w:spacing w:after="0" w:line="289" w:lineRule="auto"/>
        <w:tabs>
          <w:tab w:leader="none" w:pos="1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85"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202" w:lineRule="exact"/>
        <w:rPr>
          <w:sz w:val="20"/>
          <w:szCs w:val="20"/>
          <w:color w:val="auto"/>
        </w:rPr>
      </w:pPr>
    </w:p>
    <w:p>
      <w:pPr>
        <w:ind w:right="100" w:firstLine="393"/>
        <w:spacing w:after="0" w:line="283"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93"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85" w:lineRule="exact"/>
        <w:rPr>
          <w:sz w:val="20"/>
          <w:szCs w:val="20"/>
          <w:color w:val="auto"/>
        </w:rPr>
      </w:pPr>
    </w:p>
    <w:p>
      <w:pPr>
        <w:ind w:right="360" w:firstLine="393"/>
        <w:spacing w:after="0" w:line="298"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0" w:lineRule="exact"/>
        <w:rPr>
          <w:sz w:val="20"/>
          <w:szCs w:val="20"/>
          <w:color w:val="auto"/>
        </w:rPr>
      </w:pPr>
    </w:p>
    <w:p>
      <w:pPr>
        <w:ind w:right="500" w:firstLine="393"/>
        <w:spacing w:after="0" w:line="289" w:lineRule="auto"/>
        <w:rPr>
          <w:sz w:val="20"/>
          <w:szCs w:val="20"/>
          <w:color w:val="auto"/>
        </w:rPr>
      </w:pPr>
      <w:r>
        <w:rPr>
          <w:rFonts w:ascii="Arial" w:cs="Arial" w:eastAsia="Arial" w:hAnsi="Arial"/>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250" w:lineRule="exact"/>
        <w:rPr>
          <w:sz w:val="20"/>
          <w:szCs w:val="20"/>
          <w:color w:val="auto"/>
        </w:rPr>
      </w:pPr>
    </w:p>
    <w:p>
      <w:pPr>
        <w:ind w:firstLine="393"/>
        <w:spacing w:after="0" w:line="279" w:lineRule="auto"/>
        <w:rPr>
          <w:sz w:val="20"/>
          <w:szCs w:val="20"/>
          <w:color w:val="auto"/>
        </w:rPr>
      </w:pPr>
      <w:r>
        <w:rPr>
          <w:rFonts w:ascii="Arial" w:cs="Arial" w:eastAsia="Arial" w:hAnsi="Arial"/>
          <w:sz w:val="16"/>
          <w:szCs w:val="16"/>
          <w:color w:val="auto"/>
        </w:rPr>
        <w:t>In February 2020, our Board of Directors approved a stock repurchase program for the repurchase of up to $600 million of the outstanding shares of our Class A common stock, in February 2021 our Board of Directors authorized the repurchase of up to an additional $1 billion of the outstanding shares of our Class A common stock and in February 2022 our Board of Directors further authorized the repurchase of up to an additional $1.2 billion of the outstanding shares of our Class A common stock. The repurchase program does not have an expiration date and we are not obligated to repurchase a specified number or dollar value of shares. Share repurchases will be made from time to time in private transactions or open market purchases, as permitted by securities laws and other legal requirements. Although we have previously announced an intention to allocate a significant portion of our free cash flow to share repurchases, any share repurchases remain subject to the circumstances in place at that time, including prevailing market prices. As a result, there can be no guarantee around the timing of our share repurchases, or that the volume of such repurchases will increase. In addition, as part of the IRA, the United States implemented a 1% excise tax on the value of certain stock repurchase by publicly traded companies. This tax will generally increase the costs to us of any share repurchases. The stock repurchase program could affect the price of our Class A common stock, increase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volatility and diminish our cash reserves. Our repurchase program may be suspended or terminated at any time and, even if fully implemented, may not enhance long-term stockholder value.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50" w:lineRule="exact"/>
        <w:rPr>
          <w:sz w:val="20"/>
          <w:szCs w:val="20"/>
          <w:color w:val="auto"/>
        </w:rPr>
      </w:pPr>
    </w:p>
    <w:p>
      <w:pPr>
        <w:ind w:right="220" w:firstLine="393"/>
        <w:spacing w:after="0" w:line="268"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301"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General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disrupted by catastrophic events.</w:t>
      </w:r>
    </w:p>
    <w:p>
      <w:pPr>
        <w:spacing w:after="0" w:line="250" w:lineRule="exact"/>
        <w:rPr>
          <w:sz w:val="20"/>
          <w:szCs w:val="20"/>
          <w:color w:val="auto"/>
        </w:rPr>
      </w:pPr>
    </w:p>
    <w:p>
      <w:pPr>
        <w:ind w:right="60" w:firstLine="393"/>
        <w:spacing w:after="0" w:line="264"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are conducting business with substantial modifications, including modifications to employee travel and employee work locations. These modifications may disrupt important business operations, such as our product development and sales and marketing activities, and the productivity of our employees.</w:t>
      </w:r>
    </w:p>
    <w:p>
      <w:pPr>
        <w:spacing w:after="0" w:line="205" w:lineRule="exact"/>
        <w:rPr>
          <w:sz w:val="20"/>
          <w:szCs w:val="20"/>
          <w:color w:val="auto"/>
        </w:rPr>
      </w:pPr>
    </w:p>
    <w:p>
      <w:pPr>
        <w:ind w:right="60" w:firstLine="393"/>
        <w:spacing w:after="0" w:line="281" w:lineRule="auto"/>
        <w:rPr>
          <w:sz w:val="20"/>
          <w:szCs w:val="20"/>
          <w:color w:val="auto"/>
        </w:rPr>
      </w:pPr>
      <w:r>
        <w:rPr>
          <w:rFonts w:ascii="Arial" w:cs="Arial" w:eastAsia="Arial" w:hAnsi="Arial"/>
          <w:sz w:val="16"/>
          <w:szCs w:val="16"/>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exposure to greater than anticipated tax liabilities, which could adversely impact our results of operations.</w:t>
      </w:r>
    </w:p>
    <w:p>
      <w:pPr>
        <w:spacing w:after="0" w:line="250"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 In addition to introducing a new minimum corporate income tax on certain large corporations, and an excise tax of 1% on certain share repurchases by corporations, the recently enacted IRA increased funding for the Internal Revenue Service (“IRS”). Although we do not anticipate the new corporate minimum income tax will currently apply, changes in the business and pending regulations on the interpretation and application of the new corporate minimum tax may have adverse tax consequences for us. The excise tax on share repurchases may apply to any repurchase of stock (including transactions deemed to be repurchases for U.S. income tax purposes) we undertake, which will generally increase the costs to us of any share repurchases.</w:t>
      </w:r>
    </w:p>
    <w:p>
      <w:pPr>
        <w:spacing w:after="0" w:line="211" w:lineRule="exact"/>
        <w:rPr>
          <w:sz w:val="20"/>
          <w:szCs w:val="20"/>
          <w:color w:val="auto"/>
        </w:rPr>
      </w:pPr>
    </w:p>
    <w:p>
      <w:pPr>
        <w:ind w:right="120" w:firstLine="393"/>
        <w:spacing w:after="0" w:line="264"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5" w:lineRule="exact"/>
        <w:rPr>
          <w:sz w:val="20"/>
          <w:szCs w:val="20"/>
          <w:color w:val="auto"/>
        </w:rPr>
      </w:pPr>
    </w:p>
    <w:p>
      <w:pPr>
        <w:ind w:right="280" w:firstLine="393"/>
        <w:spacing w:after="0" w:line="268" w:lineRule="auto"/>
        <w:rPr>
          <w:sz w:val="20"/>
          <w:szCs w:val="20"/>
          <w:color w:val="auto"/>
        </w:rPr>
      </w:pPr>
      <w:r>
        <w:rPr>
          <w:rFonts w:ascii="Arial" w:cs="Arial" w:eastAsia="Arial" w:hAnsi="Arial"/>
          <w:sz w:val="17"/>
          <w:szCs w:val="17"/>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2" w:lineRule="exact"/>
        <w:rPr>
          <w:sz w:val="20"/>
          <w:szCs w:val="20"/>
          <w:color w:val="auto"/>
        </w:rPr>
      </w:pPr>
    </w:p>
    <w:p>
      <w:pPr>
        <w:ind w:right="20" w:firstLine="393"/>
        <w:spacing w:after="0" w:line="277"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203" w:lineRule="exact"/>
        <w:rPr>
          <w:sz w:val="20"/>
          <w:szCs w:val="20"/>
          <w:color w:val="auto"/>
        </w:rPr>
      </w:pPr>
    </w:p>
    <w:p>
      <w:pPr>
        <w:ind w:firstLine="393"/>
        <w:spacing w:after="0" w:line="279"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50"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250" w:lineRule="exact"/>
        <w:rPr>
          <w:sz w:val="20"/>
          <w:szCs w:val="20"/>
          <w:color w:val="auto"/>
        </w:rPr>
      </w:pPr>
    </w:p>
    <w:p>
      <w:pPr>
        <w:ind w:right="180" w:firstLine="393"/>
        <w:spacing w:after="0" w:line="314" w:lineRule="auto"/>
        <w:rPr>
          <w:sz w:val="20"/>
          <w:szCs w:val="20"/>
          <w:color w:val="auto"/>
        </w:rPr>
      </w:pPr>
      <w:r>
        <w:rPr>
          <w:rFonts w:ascii="Arial" w:cs="Arial" w:eastAsia="Arial" w:hAnsi="Arial"/>
          <w:sz w:val="15"/>
          <w:szCs w:val="15"/>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increased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85"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PROPERTIES</w:t>
      </w:r>
    </w:p>
    <w:p>
      <w:pPr>
        <w:spacing w:after="0" w:line="114"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Our corporate headquarters are located in San Francisco, California, pursuant to operating leases that expire in 2033. We lease additional offices in San Francisco and around the world, including in Austin, Texas; New York, New York; Mountain View, California; Seattle, Washington; Dublin, Ireland; and Sydney, Australia. We have datacenter co-location facilities in California, Oregon, Texas, and Virginia. We believe that these facilities are generally suitable to meet our needs.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LEGAL PROCEEDINGS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5" w:lineRule="exact"/>
        <w:rPr>
          <w:sz w:val="20"/>
          <w:szCs w:val="20"/>
          <w:color w:val="auto"/>
        </w:rPr>
      </w:pPr>
    </w:p>
    <w:p>
      <w:pPr>
        <w:ind w:right="360" w:firstLine="393"/>
        <w:spacing w:after="0" w:line="298" w:lineRule="auto"/>
        <w:rPr>
          <w:sz w:val="20"/>
          <w:szCs w:val="20"/>
          <w:color w:val="auto"/>
        </w:rPr>
      </w:pPr>
      <w:r>
        <w:rPr>
          <w:rFonts w:ascii="Arial" w:cs="Arial" w:eastAsia="Arial" w:hAnsi="Arial"/>
          <w:sz w:val="16"/>
          <w:szCs w:val="16"/>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See Note 10, “Commitments and Contingencies” to our consolidated financial statements included elsewhere in this Annual Report on Form 10-K for further information.</w:t>
      </w:r>
    </w:p>
    <w:p>
      <w:pPr>
        <w:spacing w:after="0" w:line="88" w:lineRule="exact"/>
        <w:rPr>
          <w:sz w:val="20"/>
          <w:szCs w:val="20"/>
          <w:color w:val="auto"/>
        </w:rPr>
      </w:pPr>
    </w:p>
    <w:p>
      <w:pPr>
        <w:ind w:right="160" w:firstLine="393"/>
        <w:spacing w:after="0" w:line="326" w:lineRule="auto"/>
        <w:rPr>
          <w:sz w:val="20"/>
          <w:szCs w:val="20"/>
          <w:color w:val="auto"/>
        </w:rPr>
      </w:pPr>
      <w:r>
        <w:rPr>
          <w:rFonts w:ascii="Arial" w:cs="Arial" w:eastAsia="Arial" w:hAnsi="Arial"/>
          <w:sz w:val="15"/>
          <w:szCs w:val="15"/>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3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MINE SAFETY DISCLOSURES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w:t>
      </w:r>
    </w:p>
    <w:p>
      <w:pPr>
        <w:spacing w:after="0" w:line="257" w:lineRule="exact"/>
        <w:rPr>
          <w:sz w:val="20"/>
          <w:szCs w:val="20"/>
          <w:color w:val="auto"/>
        </w:rPr>
      </w:pPr>
    </w:p>
    <w:p>
      <w:pPr>
        <w:ind w:right="220"/>
        <w:spacing w:after="0" w:line="291" w:lineRule="auto"/>
        <w:rPr>
          <w:sz w:val="20"/>
          <w:szCs w:val="20"/>
          <w:color w:val="auto"/>
        </w:rPr>
      </w:pPr>
      <w:r>
        <w:rPr>
          <w:rFonts w:ascii="Arial" w:cs="Arial" w:eastAsia="Arial" w:hAnsi="Arial"/>
          <w:sz w:val="21"/>
          <w:szCs w:val="21"/>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 for Class A Common Stock</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Class A common stock has been listed on the Nasdaq Global Market under the symbol "DBX" since March 23, 2018.</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25" w:lineRule="exact"/>
        <w:rPr>
          <w:sz w:val="20"/>
          <w:szCs w:val="20"/>
          <w:color w:val="auto"/>
        </w:rPr>
      </w:pPr>
    </w:p>
    <w:p>
      <w:pPr>
        <w:jc w:val="both"/>
        <w:ind w:right="200" w:firstLine="433"/>
        <w:spacing w:after="0" w:line="273" w:lineRule="auto"/>
        <w:rPr>
          <w:sz w:val="20"/>
          <w:szCs w:val="20"/>
          <w:color w:val="auto"/>
        </w:rPr>
      </w:pPr>
      <w:r>
        <w:rPr>
          <w:rFonts w:ascii="Arial" w:cs="Arial" w:eastAsia="Arial" w:hAnsi="Arial"/>
          <w:sz w:val="17"/>
          <w:szCs w:val="17"/>
          <w:color w:val="auto"/>
        </w:rPr>
        <w:t>As of February 17, 2023, we had 752 holders of record of our Class A and Class B common stock, respectively, and no holders of our Class C common stock. The actual number of stockholders is greater than this number of record holders and includes stockholders who are beneficial owners, but whose shares are held in street name by brokers and other nominees.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25" w:lineRule="exact"/>
        <w:rPr>
          <w:sz w:val="20"/>
          <w:szCs w:val="20"/>
          <w:color w:val="auto"/>
        </w:rPr>
      </w:pPr>
    </w:p>
    <w:p>
      <w:pPr>
        <w:ind w:right="60" w:firstLine="433"/>
        <w:spacing w:after="0" w:line="286"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with respect to our repurchases of Class A common stock during the quarter ended December 31,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color w:val="auto"/>
                <w:w w:val="88"/>
              </w:rPr>
              <w:t>Total Number 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jc w:val="center"/>
              <w:ind w:right="38"/>
              <w:spacing w:after="0"/>
              <w:rPr>
                <w:sz w:val="20"/>
                <w:szCs w:val="20"/>
                <w:color w:val="auto"/>
              </w:rPr>
            </w:pPr>
            <w:r>
              <w:rPr>
                <w:rFonts w:ascii="Arial" w:cs="Arial" w:eastAsia="Arial" w:hAnsi="Arial"/>
                <w:sz w:val="16"/>
                <w:szCs w:val="16"/>
                <w:color w:val="auto"/>
                <w:w w:val="92"/>
              </w:rPr>
              <w:t>Approximate Dollar Value of</w:t>
            </w:r>
          </w:p>
        </w:tc>
        <w:tc>
          <w:tcPr>
            <w:tcW w:w="0" w:type="dxa"/>
            <w:vAlign w:val="bottom"/>
          </w:tcPr>
          <w:p>
            <w:pPr>
              <w:spacing w:after="0"/>
              <w:rPr>
                <w:sz w:val="1"/>
                <w:szCs w:val="1"/>
                <w:color w:val="auto"/>
              </w:rPr>
            </w:pPr>
          </w:p>
        </w:tc>
      </w:tr>
      <w:tr>
        <w:trPr>
          <w:trHeight w:val="157"/>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tcPr>
          <w:p>
            <w:pPr>
              <w:jc w:val="center"/>
              <w:ind w:right="38"/>
              <w:spacing w:after="0" w:line="158" w:lineRule="exact"/>
              <w:rPr>
                <w:sz w:val="20"/>
                <w:szCs w:val="20"/>
                <w:color w:val="auto"/>
              </w:rPr>
            </w:pPr>
            <w:r>
              <w:rPr>
                <w:rFonts w:ascii="Arial" w:cs="Arial" w:eastAsia="Arial" w:hAnsi="Arial"/>
                <w:sz w:val="16"/>
                <w:szCs w:val="16"/>
                <w:color w:val="auto"/>
                <w:w w:val="87"/>
              </w:rPr>
              <w:t>Shares that May Yet Be</w:t>
            </w:r>
          </w:p>
        </w:tc>
        <w:tc>
          <w:tcPr>
            <w:tcW w:w="0" w:type="dxa"/>
            <w:vAlign w:val="bottom"/>
          </w:tcPr>
          <w:p>
            <w:pPr>
              <w:spacing w:after="0"/>
              <w:rPr>
                <w:sz w:val="1"/>
                <w:szCs w:val="1"/>
                <w:color w:val="auto"/>
              </w:rPr>
            </w:pPr>
          </w:p>
        </w:tc>
      </w:tr>
      <w:tr>
        <w:trPr>
          <w:trHeight w:val="157"/>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color w:val="auto"/>
                <w:w w:val="88"/>
              </w:rPr>
              <w:t>Total Number of Shares</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jc w:val="center"/>
              <w:spacing w:after="0" w:line="158" w:lineRule="exact"/>
              <w:rPr>
                <w:sz w:val="20"/>
                <w:szCs w:val="20"/>
                <w:color w:val="auto"/>
              </w:rPr>
            </w:pPr>
            <w:r>
              <w:rPr>
                <w:rFonts w:ascii="Arial" w:cs="Arial" w:eastAsia="Arial" w:hAnsi="Arial"/>
                <w:sz w:val="16"/>
                <w:szCs w:val="16"/>
                <w:color w:val="auto"/>
                <w:w w:val="88"/>
              </w:rPr>
              <w:t>Purchased as Part of Publicly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tcPr>
          <w:p>
            <w:pPr>
              <w:jc w:val="center"/>
              <w:ind w:right="38"/>
              <w:spacing w:after="0" w:line="158" w:lineRule="exact"/>
              <w:rPr>
                <w:sz w:val="20"/>
                <w:szCs w:val="20"/>
                <w:color w:val="auto"/>
              </w:rPr>
            </w:pPr>
            <w:r>
              <w:rPr>
                <w:rFonts w:ascii="Arial" w:cs="Arial" w:eastAsia="Arial" w:hAnsi="Arial"/>
                <w:sz w:val="16"/>
                <w:szCs w:val="16"/>
                <w:color w:val="auto"/>
                <w:w w:val="89"/>
              </w:rPr>
              <w:t>Purchased Under Publicly</w:t>
            </w:r>
          </w:p>
        </w:tc>
        <w:tc>
          <w:tcPr>
            <w:tcW w:w="0" w:type="dxa"/>
            <w:vAlign w:val="bottom"/>
          </w:tcPr>
          <w:p>
            <w:pPr>
              <w:spacing w:after="0"/>
              <w:rPr>
                <w:sz w:val="1"/>
                <w:szCs w:val="1"/>
                <w:color w:val="auto"/>
              </w:rPr>
            </w:pPr>
          </w:p>
        </w:tc>
      </w:tr>
      <w:tr>
        <w:trPr>
          <w:trHeight w:val="157"/>
        </w:trPr>
        <w:tc>
          <w:tcPr>
            <w:tcW w:w="2240" w:type="dxa"/>
            <w:vAlign w:val="bottom"/>
            <w:vMerge w:val="restart"/>
          </w:tcPr>
          <w:p>
            <w:pPr>
              <w:jc w:val="center"/>
              <w:spacing w:after="0"/>
              <w:rPr>
                <w:sz w:val="20"/>
                <w:szCs w:val="20"/>
                <w:color w:val="auto"/>
              </w:rPr>
            </w:pPr>
            <w:r>
              <w:rPr>
                <w:rFonts w:ascii="Arial" w:cs="Arial" w:eastAsia="Arial" w:hAnsi="Arial"/>
                <w:sz w:val="16"/>
                <w:szCs w:val="16"/>
                <w:color w:val="auto"/>
                <w:w w:val="90"/>
              </w:rPr>
              <w:t>Period</w:t>
            </w:r>
          </w:p>
        </w:tc>
        <w:tc>
          <w:tcPr>
            <w:tcW w:w="120" w:type="dxa"/>
            <w:vAlign w:val="bottom"/>
            <w:vMerge w:val="restart"/>
          </w:tcPr>
          <w:p>
            <w:pPr>
              <w:spacing w:after="0"/>
              <w:rPr>
                <w:sz w:val="13"/>
                <w:szCs w:val="13"/>
                <w:color w:val="auto"/>
              </w:rPr>
            </w:pPr>
          </w:p>
        </w:tc>
        <w:tc>
          <w:tcPr>
            <w:tcW w:w="2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vMerge w:val="restart"/>
          </w:tcPr>
          <w:p>
            <w:pPr>
              <w:jc w:val="right"/>
              <w:spacing w:after="0"/>
              <w:rPr>
                <w:sz w:val="20"/>
                <w:szCs w:val="20"/>
                <w:color w:val="auto"/>
              </w:rPr>
            </w:pPr>
            <w:r>
              <w:rPr>
                <w:rFonts w:ascii="Arial" w:cs="Arial" w:eastAsia="Arial" w:hAnsi="Arial"/>
                <w:sz w:val="16"/>
                <w:szCs w:val="16"/>
                <w:color w:val="auto"/>
                <w:w w:val="89"/>
              </w:rPr>
              <w:t>Average Price Paid per Share</w:t>
            </w:r>
            <w:r>
              <w:rPr>
                <w:rFonts w:ascii="Arial" w:cs="Arial" w:eastAsia="Arial" w:hAnsi="Arial"/>
                <w:sz w:val="20"/>
                <w:szCs w:val="20"/>
                <w:color w:val="auto"/>
                <w:w w:val="89"/>
                <w:vertAlign w:val="superscript"/>
              </w:rPr>
              <w:t>(2)</w:t>
            </w:r>
          </w:p>
        </w:tc>
        <w:tc>
          <w:tcPr>
            <w:tcW w:w="120" w:type="dxa"/>
            <w:vAlign w:val="bottom"/>
            <w:vMerge w:val="restart"/>
          </w:tcPr>
          <w:p>
            <w:pPr>
              <w:spacing w:after="0"/>
              <w:rPr>
                <w:sz w:val="13"/>
                <w:szCs w:val="13"/>
                <w:color w:val="auto"/>
              </w:rPr>
            </w:pPr>
          </w:p>
        </w:tc>
        <w:tc>
          <w:tcPr>
            <w:tcW w:w="2140" w:type="dxa"/>
            <w:vAlign w:val="bottom"/>
          </w:tcPr>
          <w:p>
            <w:pPr>
              <w:jc w:val="center"/>
              <w:spacing w:after="0" w:line="158" w:lineRule="exact"/>
              <w:rPr>
                <w:sz w:val="20"/>
                <w:szCs w:val="20"/>
                <w:color w:val="auto"/>
              </w:rPr>
            </w:pPr>
            <w:r>
              <w:rPr>
                <w:rFonts w:ascii="Arial" w:cs="Arial" w:eastAsia="Arial" w:hAnsi="Arial"/>
                <w:sz w:val="16"/>
                <w:szCs w:val="16"/>
                <w:color w:val="auto"/>
                <w:w w:val="87"/>
              </w:rPr>
              <w:t>Announced Programs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tcPr>
          <w:p>
            <w:pPr>
              <w:jc w:val="center"/>
              <w:ind w:right="38"/>
              <w:spacing w:after="0" w:line="158" w:lineRule="exact"/>
              <w:rPr>
                <w:sz w:val="20"/>
                <w:szCs w:val="20"/>
                <w:color w:val="auto"/>
              </w:rPr>
            </w:pPr>
            <w:r>
              <w:rPr>
                <w:rFonts w:ascii="Arial" w:cs="Arial" w:eastAsia="Arial" w:hAnsi="Arial"/>
                <w:sz w:val="16"/>
                <w:szCs w:val="16"/>
                <w:color w:val="auto"/>
                <w:w w:val="87"/>
              </w:rPr>
              <w:t>Announced Programs</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14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color w:val="auto"/>
                <w:w w:val="88"/>
              </w:rPr>
              <w:t>Purchased (in millions)</w:t>
            </w:r>
            <w:r>
              <w:rPr>
                <w:rFonts w:ascii="Arial" w:cs="Arial" w:eastAsia="Arial" w:hAnsi="Arial"/>
                <w:sz w:val="20"/>
                <w:szCs w:val="20"/>
                <w:color w:val="auto"/>
                <w:w w:val="88"/>
                <w:vertAlign w:val="superscript"/>
              </w:rPr>
              <w:t>(1)</w:t>
            </w:r>
          </w:p>
        </w:tc>
        <w:tc>
          <w:tcPr>
            <w:tcW w:w="100" w:type="dxa"/>
            <w:vAlign w:val="bottom"/>
          </w:tcPr>
          <w:p>
            <w:pPr>
              <w:spacing w:after="0"/>
              <w:rPr>
                <w:sz w:val="17"/>
                <w:szCs w:val="17"/>
                <w:color w:val="auto"/>
              </w:rPr>
            </w:pPr>
          </w:p>
        </w:tc>
        <w:tc>
          <w:tcPr>
            <w:tcW w:w="2140" w:type="dxa"/>
            <w:vAlign w:val="bottom"/>
            <w:tcBorders>
              <w:bottom w:val="single" w:sz="8" w:color="auto"/>
            </w:tcBorders>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14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ind w:right="58"/>
              <w:spacing w:after="0" w:line="207"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0" w:type="dxa"/>
            <w:vAlign w:val="bottom"/>
          </w:tcPr>
          <w:p>
            <w:pPr>
              <w:spacing w:after="0"/>
              <w:rPr>
                <w:sz w:val="1"/>
                <w:szCs w:val="1"/>
                <w:color w:val="auto"/>
              </w:rPr>
            </w:pPr>
          </w:p>
        </w:tc>
      </w:tr>
      <w:tr>
        <w:trPr>
          <w:trHeight w:val="210"/>
        </w:trPr>
        <w:tc>
          <w:tcPr>
            <w:tcW w:w="2360" w:type="dxa"/>
            <w:vAlign w:val="bottom"/>
            <w:gridSpan w:val="2"/>
          </w:tcPr>
          <w:p>
            <w:pPr>
              <w:ind w:left="20"/>
              <w:spacing w:after="0"/>
              <w:rPr>
                <w:sz w:val="20"/>
                <w:szCs w:val="20"/>
                <w:color w:val="auto"/>
              </w:rPr>
            </w:pPr>
            <w:r>
              <w:rPr>
                <w:rFonts w:ascii="Arial" w:cs="Arial" w:eastAsia="Arial" w:hAnsi="Arial"/>
                <w:sz w:val="17"/>
                <w:szCs w:val="17"/>
                <w:color w:val="auto"/>
              </w:rPr>
              <w:t>October 1 - 31</w:t>
            </w:r>
          </w:p>
        </w:tc>
        <w:tc>
          <w:tcPr>
            <w:tcW w:w="2140" w:type="dxa"/>
            <w:vAlign w:val="bottom"/>
          </w:tcPr>
          <w:p>
            <w:pPr>
              <w:jc w:val="center"/>
              <w:ind w:left="1616"/>
              <w:spacing w:after="0"/>
              <w:rPr>
                <w:sz w:val="20"/>
                <w:szCs w:val="20"/>
                <w:color w:val="auto"/>
              </w:rPr>
            </w:pPr>
            <w:r>
              <w:rPr>
                <w:rFonts w:ascii="Arial" w:cs="Arial" w:eastAsia="Arial" w:hAnsi="Arial"/>
                <w:sz w:val="17"/>
                <w:szCs w:val="17"/>
                <w:color w:val="auto"/>
                <w:w w:val="96"/>
              </w:rPr>
              <w:t>2.95</w:t>
            </w:r>
          </w:p>
        </w:tc>
        <w:tc>
          <w:tcPr>
            <w:tcW w:w="1000" w:type="dxa"/>
            <w:vAlign w:val="bottom"/>
            <w:gridSpan w:val="2"/>
          </w:tcPr>
          <w:p>
            <w:pPr>
              <w:jc w:val="right"/>
              <w:ind w:right="701"/>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21.16</w:t>
            </w: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2.95</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859.66</w:t>
            </w:r>
          </w:p>
        </w:tc>
        <w:tc>
          <w:tcPr>
            <w:tcW w:w="0" w:type="dxa"/>
            <w:vAlign w:val="bottom"/>
          </w:tcPr>
          <w:p>
            <w:pPr>
              <w:spacing w:after="0"/>
              <w:rPr>
                <w:sz w:val="1"/>
                <w:szCs w:val="1"/>
                <w:color w:val="auto"/>
              </w:rPr>
            </w:pPr>
          </w:p>
        </w:tc>
      </w:tr>
      <w:tr>
        <w:trPr>
          <w:trHeight w:val="230"/>
        </w:trPr>
        <w:tc>
          <w:tcPr>
            <w:tcW w:w="2360" w:type="dxa"/>
            <w:vAlign w:val="bottom"/>
            <w:gridSpan w:val="2"/>
          </w:tcPr>
          <w:p>
            <w:pPr>
              <w:ind w:left="20"/>
              <w:spacing w:after="0"/>
              <w:rPr>
                <w:sz w:val="20"/>
                <w:szCs w:val="20"/>
                <w:color w:val="auto"/>
              </w:rPr>
            </w:pPr>
            <w:r>
              <w:rPr>
                <w:rFonts w:ascii="Arial" w:cs="Arial" w:eastAsia="Arial" w:hAnsi="Arial"/>
                <w:sz w:val="17"/>
                <w:szCs w:val="17"/>
                <w:color w:val="auto"/>
              </w:rPr>
              <w:t>November 1 - 30</w:t>
            </w:r>
          </w:p>
        </w:tc>
        <w:tc>
          <w:tcPr>
            <w:tcW w:w="2140" w:type="dxa"/>
            <w:vAlign w:val="bottom"/>
          </w:tcPr>
          <w:p>
            <w:pPr>
              <w:jc w:val="center"/>
              <w:ind w:left="1576"/>
              <w:spacing w:after="0" w:line="230" w:lineRule="exact"/>
              <w:rPr>
                <w:sz w:val="20"/>
                <w:szCs w:val="20"/>
                <w:color w:val="auto"/>
              </w:rPr>
            </w:pPr>
            <w:r>
              <w:rPr>
                <w:rFonts w:ascii="Arial" w:cs="Arial" w:eastAsia="Arial" w:hAnsi="Arial"/>
                <w:sz w:val="17"/>
                <w:szCs w:val="17"/>
                <w:color w:val="auto"/>
                <w:w w:val="86"/>
              </w:rPr>
              <w:t>2.68</w:t>
            </w:r>
            <w:r>
              <w:rPr>
                <w:rFonts w:ascii="Arial" w:cs="Arial" w:eastAsia="Arial" w:hAnsi="Arial"/>
                <w:sz w:val="22"/>
                <w:szCs w:val="22"/>
                <w:color w:val="auto"/>
                <w:w w:val="86"/>
                <w:vertAlign w:val="superscript"/>
              </w:rPr>
              <w:t>(3)</w:t>
            </w:r>
          </w:p>
        </w:tc>
        <w:tc>
          <w:tcPr>
            <w:tcW w:w="1000" w:type="dxa"/>
            <w:vAlign w:val="bottom"/>
            <w:gridSpan w:val="2"/>
          </w:tcPr>
          <w:p>
            <w:pPr>
              <w:jc w:val="right"/>
              <w:ind w:right="701"/>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22.06</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2.60</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802.28</w:t>
            </w:r>
          </w:p>
        </w:tc>
        <w:tc>
          <w:tcPr>
            <w:tcW w:w="0" w:type="dxa"/>
            <w:vAlign w:val="bottom"/>
          </w:tcPr>
          <w:p>
            <w:pPr>
              <w:spacing w:after="0"/>
              <w:rPr>
                <w:sz w:val="1"/>
                <w:szCs w:val="1"/>
                <w:color w:val="auto"/>
              </w:rPr>
            </w:pPr>
          </w:p>
        </w:tc>
      </w:tr>
      <w:tr>
        <w:trPr>
          <w:trHeight w:val="222"/>
        </w:trPr>
        <w:tc>
          <w:tcPr>
            <w:tcW w:w="2360" w:type="dxa"/>
            <w:vAlign w:val="bottom"/>
            <w:gridSpan w:val="2"/>
          </w:tcPr>
          <w:p>
            <w:pPr>
              <w:ind w:left="20"/>
              <w:spacing w:after="0"/>
              <w:rPr>
                <w:sz w:val="20"/>
                <w:szCs w:val="20"/>
                <w:color w:val="auto"/>
              </w:rPr>
            </w:pPr>
            <w:r>
              <w:rPr>
                <w:rFonts w:ascii="Arial" w:cs="Arial" w:eastAsia="Arial" w:hAnsi="Arial"/>
                <w:sz w:val="17"/>
                <w:szCs w:val="17"/>
                <w:color w:val="auto"/>
              </w:rPr>
              <w:t>December 1 - 31</w:t>
            </w:r>
          </w:p>
        </w:tc>
        <w:tc>
          <w:tcPr>
            <w:tcW w:w="2140" w:type="dxa"/>
            <w:vAlign w:val="bottom"/>
            <w:tcBorders>
              <w:bottom w:val="single" w:sz="8" w:color="auto"/>
            </w:tcBorders>
          </w:tcPr>
          <w:p>
            <w:pPr>
              <w:jc w:val="center"/>
              <w:ind w:left="1616"/>
              <w:spacing w:after="0"/>
              <w:rPr>
                <w:sz w:val="20"/>
                <w:szCs w:val="20"/>
                <w:color w:val="auto"/>
              </w:rPr>
            </w:pPr>
            <w:r>
              <w:rPr>
                <w:rFonts w:ascii="Arial" w:cs="Arial" w:eastAsia="Arial" w:hAnsi="Arial"/>
                <w:sz w:val="17"/>
                <w:szCs w:val="17"/>
                <w:color w:val="auto"/>
                <w:w w:val="96"/>
              </w:rPr>
              <w:t>2.40</w:t>
            </w:r>
          </w:p>
        </w:tc>
        <w:tc>
          <w:tcPr>
            <w:tcW w:w="1000" w:type="dxa"/>
            <w:vAlign w:val="bottom"/>
            <w:gridSpan w:val="2"/>
          </w:tcPr>
          <w:p>
            <w:pPr>
              <w:jc w:val="right"/>
              <w:ind w:right="701"/>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22.73</w:t>
            </w:r>
          </w:p>
        </w:tc>
        <w:tc>
          <w:tcPr>
            <w:tcW w:w="12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747.70</w:t>
            </w:r>
          </w:p>
        </w:tc>
        <w:tc>
          <w:tcPr>
            <w:tcW w:w="0" w:type="dxa"/>
            <w:vAlign w:val="bottom"/>
          </w:tcPr>
          <w:p>
            <w:pPr>
              <w:spacing w:after="0"/>
              <w:rPr>
                <w:sz w:val="1"/>
                <w:szCs w:val="1"/>
                <w:color w:val="auto"/>
              </w:rPr>
            </w:pPr>
          </w:p>
        </w:tc>
      </w:tr>
      <w:tr>
        <w:trPr>
          <w:trHeight w:val="216"/>
        </w:trPr>
        <w:tc>
          <w:tcPr>
            <w:tcW w:w="236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Total</w:t>
            </w:r>
          </w:p>
        </w:tc>
        <w:tc>
          <w:tcPr>
            <w:tcW w:w="2140" w:type="dxa"/>
            <w:vAlign w:val="bottom"/>
            <w:tcBorders>
              <w:bottom w:val="single" w:sz="8" w:color="auto"/>
            </w:tcBorders>
          </w:tcPr>
          <w:p>
            <w:pPr>
              <w:jc w:val="center"/>
              <w:ind w:left="1616"/>
              <w:spacing w:after="0"/>
              <w:rPr>
                <w:sz w:val="20"/>
                <w:szCs w:val="20"/>
                <w:color w:val="auto"/>
              </w:rPr>
            </w:pPr>
            <w:r>
              <w:rPr>
                <w:rFonts w:ascii="Arial" w:cs="Arial" w:eastAsia="Arial" w:hAnsi="Arial"/>
                <w:sz w:val="17"/>
                <w:szCs w:val="17"/>
                <w:color w:val="auto"/>
                <w:w w:val="96"/>
              </w:rPr>
              <w:t>8.03</w:t>
            </w:r>
          </w:p>
        </w:tc>
        <w:tc>
          <w:tcPr>
            <w:tcW w:w="1000" w:type="dxa"/>
            <w:vAlign w:val="bottom"/>
            <w:gridSpan w:val="2"/>
          </w:tcPr>
          <w:p>
            <w:pPr>
              <w:jc w:val="right"/>
              <w:ind w:right="701"/>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21.93</w:t>
            </w:r>
          </w:p>
        </w:tc>
        <w:tc>
          <w:tcPr>
            <w:tcW w:w="12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right="120" w:firstLine="5"/>
        <w:spacing w:after="0" w:line="305" w:lineRule="auto"/>
        <w:tabs>
          <w:tab w:leader="none" w:pos="161"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On February 17, 2022, we announced that our Board of Directors authorized the repurchase of $1.2 billion of the outstanding shares of our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Equity" of this Annual Report on Form 10-K for additional information related to share repurchases.</w:t>
      </w:r>
    </w:p>
    <w:p>
      <w:pPr>
        <w:spacing w:after="0" w:line="393" w:lineRule="exact"/>
        <w:rPr>
          <w:rFonts w:ascii="Arial" w:cs="Arial" w:eastAsia="Arial" w:hAnsi="Arial"/>
          <w:sz w:val="19"/>
          <w:szCs w:val="19"/>
          <w:color w:val="auto"/>
          <w:vertAlign w:val="superscript"/>
        </w:rPr>
      </w:pPr>
    </w:p>
    <w:p>
      <w:pPr>
        <w:ind w:left="160" w:hanging="155"/>
        <w:spacing w:after="0"/>
        <w:tabs>
          <w:tab w:leader="none" w:pos="16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Average price paid per share includes costs associated with the repurchases.</w:t>
      </w:r>
    </w:p>
    <w:p>
      <w:pPr>
        <w:spacing w:after="0" w:line="227" w:lineRule="exact"/>
        <w:rPr>
          <w:rFonts w:ascii="Arial" w:cs="Arial" w:eastAsia="Arial" w:hAnsi="Arial"/>
          <w:sz w:val="19"/>
          <w:szCs w:val="19"/>
          <w:color w:val="auto"/>
          <w:vertAlign w:val="superscript"/>
        </w:rPr>
      </w:pPr>
    </w:p>
    <w:p>
      <w:pPr>
        <w:ind w:right="700" w:firstLine="5"/>
        <w:spacing w:after="0"/>
        <w:tabs>
          <w:tab w:leader="none" w:pos="161"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82,437 shares of restricted common stock delivered by certain employees upon vesting of restricted stock awards to satisfy tax withholding requirements.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25" w:lineRule="exact"/>
        <w:rPr>
          <w:sz w:val="20"/>
          <w:szCs w:val="20"/>
          <w:color w:val="auto"/>
        </w:rPr>
      </w:pPr>
    </w:p>
    <w:p>
      <w:pPr>
        <w:ind w:right="140" w:firstLine="433"/>
        <w:spacing w:after="0" w:line="298" w:lineRule="auto"/>
        <w:rPr>
          <w:sz w:val="20"/>
          <w:szCs w:val="20"/>
          <w:color w:val="auto"/>
        </w:rPr>
      </w:pPr>
      <w:r>
        <w:rPr>
          <w:rFonts w:ascii="Arial" w:cs="Arial" w:eastAsia="Arial" w:hAnsi="Arial"/>
          <w:sz w:val="16"/>
          <w:szCs w:val="16"/>
          <w:i w:val="1"/>
          <w:iCs w:val="1"/>
          <w:color w:val="auto"/>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The following graph compares (i) the cumulative total stockholder return on our Class A common stock from March 23, 2018 (the date our Class A common stock commenced trading on the Nasdaq Global Select Market) through December 31, 2022 with (ii) the cumulative total return of the Standard &amp; Poor's 500 Index and the Nasdaq Computer Index over the same period, assuming the investment of $100 in our common stock and in both of the other indices on March 23, 2018 and the reinvestment of dividends. The graph uses the closing market price on March 23, 2018 of $28.48 per share as the initial value of our common stock. As discussed above, we have never declared or paid a cash dividend on our common stock and do not anticipate declaring or paying a cash dividend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137795</wp:posOffset>
            </wp:positionV>
            <wp:extent cx="5695950" cy="2372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5950" cy="237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*Returns are based on historical results and are not necessarily indicative of future performance. See the disclosure in Part I, Item 1A, “Risk Factors.”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Reserved</w:t>
      </w: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2320"/>
        <w:spacing w:after="0" w:line="278" w:lineRule="auto"/>
        <w:rPr>
          <w:sz w:val="20"/>
          <w:szCs w:val="20"/>
          <w:color w:val="auto"/>
        </w:rPr>
      </w:pPr>
      <w:r>
        <w:rPr>
          <w:rFonts w:ascii="Arial" w:cs="Arial" w:eastAsia="Arial" w:hAnsi="Arial"/>
          <w:sz w:val="21"/>
          <w:szCs w:val="21"/>
          <w:b w:val="1"/>
          <w:bCs w:val="1"/>
          <w:color w:val="auto"/>
        </w:rPr>
        <w:t>ITEM 7. MANAGEMENT’S DISCUSSION AND ANALYSIS OF FINANCIAL CONDITION AND RESULTS OF OPERATIONS</w:t>
      </w:r>
    </w:p>
    <w:p>
      <w:pPr>
        <w:spacing w:after="0" w:line="46"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10-K. For a comparison of our results of operations for the fiscal years ended December 31, 2021 and 2020 see Item 7, Management’s Discussion and Analysis of Financial Condition and Results of Operations, of our Annual Report on Form 10-K for the fiscal year ended December 31, 2021, filed with the SEC on February 18, 2022.</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ind w:right="220" w:firstLine="433"/>
        <w:spacing w:after="0" w:line="322" w:lineRule="auto"/>
        <w:rPr>
          <w:sz w:val="20"/>
          <w:szCs w:val="20"/>
          <w:color w:val="auto"/>
        </w:rPr>
      </w:pPr>
      <w:r>
        <w:rPr>
          <w:rFonts w:ascii="Arial" w:cs="Arial" w:eastAsia="Arial" w:hAnsi="Arial"/>
          <w:sz w:val="16"/>
          <w:szCs w:val="16"/>
          <w:color w:val="auto"/>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spacing w:after="0" w:line="162" w:lineRule="exact"/>
        <w:rPr>
          <w:sz w:val="20"/>
          <w:szCs w:val="20"/>
          <w:color w:val="auto"/>
        </w:rPr>
      </w:pPr>
    </w:p>
    <w:p>
      <w:pPr>
        <w:ind w:right="80" w:firstLine="433"/>
        <w:spacing w:after="0" w:line="289" w:lineRule="auto"/>
        <w:rPr>
          <w:sz w:val="20"/>
          <w:szCs w:val="20"/>
          <w:color w:val="auto"/>
        </w:rPr>
      </w:pPr>
      <w:r>
        <w:rPr>
          <w:rFonts w:ascii="Arial" w:cs="Arial" w:eastAsia="Arial" w:hAnsi="Arial"/>
          <w:sz w:val="17"/>
          <w:szCs w:val="17"/>
          <w:color w:val="auto"/>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spacing w:after="0" w:line="185" w:lineRule="exact"/>
        <w:rPr>
          <w:sz w:val="20"/>
          <w:szCs w:val="20"/>
          <w:color w:val="auto"/>
        </w:rPr>
      </w:pPr>
    </w:p>
    <w:p>
      <w:pPr>
        <w:ind w:right="240" w:firstLine="433"/>
        <w:spacing w:after="0" w:line="289" w:lineRule="auto"/>
        <w:rPr>
          <w:sz w:val="20"/>
          <w:szCs w:val="20"/>
          <w:color w:val="auto"/>
        </w:rPr>
      </w:pPr>
      <w:r>
        <w:rPr>
          <w:rFonts w:ascii="Arial" w:cs="Arial" w:eastAsia="Arial" w:hAnsi="Arial"/>
          <w:sz w:val="17"/>
          <w:szCs w:val="17"/>
          <w:color w:val="auto"/>
        </w:rPr>
        <w:t>By solving these universal problems, we’ve become invaluable to our users. The popularity of our platform allows us to scale efficiently. We’ve built a thriving global business with 17.77 million paying users.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25"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We generate revenue from individuals, families, teams, and organizations by selling subscriptions to our platform, which serve the varying needs of our diverse customer base. Subscribers can purchase individual licenses through our Plus and Professional plans, or purchase multiple licenses through our Family plan or our Standard, Advanced,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07" w:lineRule="exact"/>
        <w:rPr>
          <w:sz w:val="20"/>
          <w:szCs w:val="20"/>
          <w:color w:val="auto"/>
        </w:rPr>
      </w:pPr>
    </w:p>
    <w:p>
      <w:pPr>
        <w:jc w:val="both"/>
        <w:ind w:right="180" w:firstLine="433"/>
        <w:spacing w:after="0" w:line="268" w:lineRule="auto"/>
        <w:rPr>
          <w:sz w:val="20"/>
          <w:szCs w:val="20"/>
          <w:color w:val="auto"/>
        </w:rPr>
      </w:pPr>
      <w:r>
        <w:rPr>
          <w:rFonts w:ascii="Arial" w:cs="Arial" w:eastAsia="Arial" w:hAnsi="Arial"/>
          <w:sz w:val="17"/>
          <w:szCs w:val="17"/>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202" w:lineRule="exact"/>
        <w:rPr>
          <w:sz w:val="20"/>
          <w:szCs w:val="20"/>
          <w:color w:val="auto"/>
        </w:rPr>
      </w:pPr>
    </w:p>
    <w:p>
      <w:pPr>
        <w:ind w:right="40" w:firstLine="472"/>
        <w:spacing w:after="0" w:line="268" w:lineRule="auto"/>
        <w:rPr>
          <w:sz w:val="20"/>
          <w:szCs w:val="20"/>
          <w:color w:val="auto"/>
        </w:rPr>
      </w:pPr>
      <w:r>
        <w:rPr>
          <w:rFonts w:ascii="Arial" w:cs="Arial" w:eastAsia="Arial" w:hAnsi="Arial"/>
          <w:sz w:val="17"/>
          <w:szCs w:val="17"/>
          <w:color w:val="auto"/>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w:t>
      </w:r>
    </w:p>
    <w:p>
      <w:pPr>
        <w:spacing w:after="0" w:line="202" w:lineRule="exact"/>
        <w:rPr>
          <w:sz w:val="20"/>
          <w:szCs w:val="20"/>
          <w:color w:val="auto"/>
        </w:rPr>
      </w:pPr>
    </w:p>
    <w:p>
      <w:pPr>
        <w:ind w:right="160" w:firstLine="472"/>
        <w:spacing w:after="0" w:line="265" w:lineRule="auto"/>
        <w:rPr>
          <w:sz w:val="20"/>
          <w:szCs w:val="20"/>
          <w:color w:val="auto"/>
        </w:rPr>
      </w:pPr>
      <w:r>
        <w:rPr>
          <w:rFonts w:ascii="Arial" w:cs="Arial" w:eastAsia="Arial" w:hAnsi="Arial"/>
          <w:sz w:val="17"/>
          <w:szCs w:val="17"/>
          <w:color w:val="auto"/>
        </w:rPr>
        <w:t>We also offer DocSend as our secure document sharing and analytics solution. DocSend offers paid subscription plans, including a personal plan designed for individuals and Standard, Advanced,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its sales are in U.S. dollars.</w:t>
      </w:r>
    </w:p>
    <w:p>
      <w:pPr>
        <w:spacing w:after="0" w:line="206" w:lineRule="exact"/>
        <w:rPr>
          <w:sz w:val="20"/>
          <w:szCs w:val="20"/>
          <w:color w:val="auto"/>
        </w:rPr>
      </w:pPr>
    </w:p>
    <w:p>
      <w:pPr>
        <w:ind w:right="520" w:firstLine="472"/>
        <w:spacing w:after="0" w:line="289" w:lineRule="auto"/>
        <w:rPr>
          <w:sz w:val="20"/>
          <w:szCs w:val="20"/>
          <w:color w:val="auto"/>
        </w:rPr>
      </w:pPr>
      <w:r>
        <w:rPr>
          <w:rFonts w:ascii="Arial" w:cs="Arial" w:eastAsia="Arial" w:hAnsi="Arial"/>
          <w:sz w:val="17"/>
          <w:szCs w:val="17"/>
          <w:color w:val="auto"/>
        </w:rPr>
        <w:t>We also offer Dropbox Sign, as our e-signature solution. Dropbox Sign has several product lines, and the pricing and revenue generated from each product line varies, with some product lines priced based on the number of licenses purchased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(similar to Dropbox plans), while others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We sell Dropbox Sign products globally and sell primarily in U.S. dollars.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3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Drive new signups</w:t>
      </w:r>
    </w:p>
    <w:p>
      <w:pPr>
        <w:spacing w:after="0" w:line="119"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Increase conversion of registered users to our paid subscription plans</w:t>
      </w:r>
    </w:p>
    <w:p>
      <w:pPr>
        <w:spacing w:after="0" w:line="119"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Upgrade and expand existing customers</w:t>
      </w:r>
    </w:p>
    <w:p>
      <w:pPr>
        <w:spacing w:after="0" w:line="250"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We offer a range of paid subscription plans, from Plus, Professional, and Family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HelloSign (which we subsequently rebranded as Dropbox Sign), DocSend and FormSwift.</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Update on Current Economic Conditions</w:t>
      </w:r>
    </w:p>
    <w:p>
      <w:pPr>
        <w:spacing w:after="0" w:line="250" w:lineRule="exact"/>
        <w:rPr>
          <w:sz w:val="20"/>
          <w:szCs w:val="20"/>
          <w:color w:val="auto"/>
        </w:rPr>
      </w:pPr>
    </w:p>
    <w:p>
      <w:pPr>
        <w:ind w:right="40" w:firstLine="393"/>
        <w:spacing w:after="0" w:line="326" w:lineRule="auto"/>
        <w:rPr>
          <w:sz w:val="20"/>
          <w:szCs w:val="20"/>
          <w:color w:val="auto"/>
        </w:rPr>
      </w:pPr>
      <w:r>
        <w:rPr>
          <w:rFonts w:ascii="Arial" w:cs="Arial" w:eastAsia="Arial" w:hAnsi="Arial"/>
          <w:sz w:val="15"/>
          <w:szCs w:val="15"/>
          <w:color w:val="auto"/>
        </w:rPr>
        <w:t>Our overall performance depends in part on worldwide economic and geopolitical conditions and their impact on customer behavior. Worsening economic conditions, including changes in the corporate real estate market, rising inflation, the U.S. Federal Reserve raising interest rates, supply chain disruptions, fluctuations in currency exchange rates, and the Russian invasion of Ukraine have impacted our results of operations for the year ended December 31, 2022.</w:t>
      </w:r>
    </w:p>
    <w:p>
      <w:pPr>
        <w:spacing w:after="0" w:line="163" w:lineRule="exact"/>
        <w:rPr>
          <w:sz w:val="20"/>
          <w:szCs w:val="20"/>
          <w:color w:val="auto"/>
        </w:rPr>
      </w:pPr>
    </w:p>
    <w:p>
      <w:pPr>
        <w:ind w:right="60" w:firstLine="315"/>
        <w:spacing w:after="0" w:line="264" w:lineRule="auto"/>
        <w:rPr>
          <w:sz w:val="20"/>
          <w:szCs w:val="20"/>
          <w:color w:val="auto"/>
        </w:rPr>
      </w:pPr>
      <w:r>
        <w:rPr>
          <w:rFonts w:ascii="Arial" w:cs="Arial" w:eastAsia="Arial" w:hAnsi="Arial"/>
          <w:sz w:val="17"/>
          <w:szCs w:val="17"/>
          <w:color w:val="auto"/>
        </w:rPr>
        <w:t>We saw elevated headwinds from the macro environment across all lines of our business, particularly in the fourth quarter of 2022. We began to see an increased level of price sensitivity and a reduction in licenses from our larger Teams customers. In addition to the impacts within our file, sync and share core business, we also saw incremental macro headwinds in our DropboxSign and DocSend businesses. While we are not immune to macroeconomic conditions, we remain optimistic about our strategy through these dynamic times as the combination of Dropbox, Dropbox Sign, DocSend, and FormSwift will help customers across industries manage end-to-end document workflows—from content collaboration to sharing and e-signature—giving them more control over their most important agreements.</w:t>
      </w:r>
    </w:p>
    <w:p>
      <w:pPr>
        <w:spacing w:after="0" w:line="205"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As a result of Russia’s military action against Ukraine, various nations, including the United States, have instituted economic sanctions against the Russian Federation. We did not experience material impacts to our financial condition and results of operations during the year ended December 31, 2022 as a result of the war in Ukraine or the related sanctions.</w:t>
      </w:r>
    </w:p>
    <w:p>
      <w:pPr>
        <w:spacing w:after="0" w:line="198" w:lineRule="exact"/>
        <w:rPr>
          <w:sz w:val="20"/>
          <w:szCs w:val="20"/>
          <w:color w:val="auto"/>
        </w:rPr>
      </w:pPr>
    </w:p>
    <w:p>
      <w:pPr>
        <w:ind w:right="120" w:firstLine="393"/>
        <w:spacing w:after="0" w:line="283" w:lineRule="auto"/>
        <w:rPr>
          <w:sz w:val="20"/>
          <w:szCs w:val="20"/>
          <w:color w:val="auto"/>
        </w:rPr>
      </w:pPr>
      <w:r>
        <w:rPr>
          <w:rFonts w:ascii="Arial" w:cs="Arial" w:eastAsia="Arial" w:hAnsi="Arial"/>
          <w:sz w:val="16"/>
          <w:szCs w:val="16"/>
          <w:color w:val="auto"/>
        </w:rPr>
        <w:t>Our results of operations and cash flows are also subject to fluctuations due to changes in foreign currency exchange rates relative to U.S. dollars, our reporting currency, as well as changes in interest rates. Volatile market conditions, directly or indirectly related to the COVID-19 pandemic and other macroeconomic events, have, at times, and may in the future negatively impact our results of operations and cash flows. Conversely, we have seen and may continue to see cost savings from the shift to remote and distributed work for all of our employees in areas including events, travel, utilities, and other benefits. Due to our subscription-based business model, the ongoing effects of the COVID-19 pandemic and the current macroeconomic environment may not be fully reflected in our results of operations until future periods, if at all. For a further discussion of the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potential impacts of the macroeconomic environment on our business, see “Risk Factors” included in Part I, Item 1A. of this report.</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Virtual First</w:t>
      </w:r>
    </w:p>
    <w:p>
      <w:pPr>
        <w:spacing w:after="0" w:line="256" w:lineRule="exact"/>
        <w:rPr>
          <w:sz w:val="20"/>
          <w:szCs w:val="20"/>
          <w:color w:val="auto"/>
        </w:rPr>
      </w:pPr>
    </w:p>
    <w:p>
      <w:pPr>
        <w:ind w:firstLine="393"/>
        <w:spacing w:after="0" w:line="278" w:lineRule="auto"/>
        <w:rPr>
          <w:sz w:val="20"/>
          <w:szCs w:val="20"/>
          <w:color w:val="auto"/>
        </w:rPr>
      </w:pPr>
      <w:r>
        <w:rPr>
          <w:rFonts w:ascii="Arial" w:cs="Arial" w:eastAsia="Arial" w:hAnsi="Arial"/>
          <w:sz w:val="16"/>
          <w:szCs w:val="16"/>
          <w:color w:val="auto"/>
        </w:rPr>
        <w:t>The effects of the COVID-19 pandemic led us to reimagine the way we work, resulting in our announcement in October 2020 of our shift to a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we currently have offices, either through our existing real-estate, or new on-demand, flexible spaces, which are known as "Dropbox Studios". Consistent with this strategy, we have retained a portion of our office space while the remainder will be subleased. We recorded impairment charges related to real estate assets of $175.2 million during the year ended December 31, 2022 as a result of adverse changes in the corporate real estate market in the San Francisco Bay area which has impacted our subleasing strategy in conjunction with our shift to Virtual First. We recorded impairment charges of $31.3 million in the year ended December 31, 2021, including impairment related to real estate assets acquired as part of our acquisition of DocSend. See Note 9, "Leases" for additional information. We may incur additional charges depending on the continued recovery of the corporate real estate market or shifts in our virtual first strategy. In addition to generating sublease income, we expect that as a result of our shift to Virtual First, we will continue to see savings in certain areas, including reductions in facilities related costs and depreciation expense due to these impairment charges.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125" w:lineRule="exact"/>
        <w:rPr>
          <w:sz w:val="20"/>
          <w:szCs w:val="20"/>
          <w:color w:val="auto"/>
        </w:rPr>
      </w:pPr>
    </w:p>
    <w:p>
      <w:pPr>
        <w:ind w:right="100" w:firstLine="433"/>
        <w:spacing w:after="0" w:line="289" w:lineRule="auto"/>
        <w:rPr>
          <w:sz w:val="20"/>
          <w:szCs w:val="20"/>
          <w:color w:val="auto"/>
        </w:rPr>
      </w:pPr>
      <w:r>
        <w:rPr>
          <w:rFonts w:ascii="Arial" w:cs="Arial" w:eastAsia="Arial" w:hAnsi="Arial"/>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Total annual recurring revenue</w:t>
      </w:r>
    </w:p>
    <w:p>
      <w:pPr>
        <w:spacing w:after="0" w:line="119" w:lineRule="exact"/>
        <w:rPr>
          <w:sz w:val="20"/>
          <w:szCs w:val="20"/>
          <w:color w:val="auto"/>
        </w:rPr>
      </w:pPr>
    </w:p>
    <w:p>
      <w:pPr>
        <w:ind w:right="20" w:firstLine="393"/>
        <w:spacing w:after="0" w:line="265" w:lineRule="auto"/>
        <w:rPr>
          <w:sz w:val="20"/>
          <w:szCs w:val="20"/>
          <w:color w:val="auto"/>
        </w:rPr>
      </w:pPr>
      <w:r>
        <w:rPr>
          <w:rFonts w:ascii="Arial" w:cs="Arial" w:eastAsia="Arial" w:hAnsi="Arial"/>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206"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include ARR related to acquired companies in our total ARR in the period of the acquisition. We adjust the exchange rates used to calculate Total ARR on an annual basis at the beginning of each fiscal year.</w:t>
      </w:r>
    </w:p>
    <w:p>
      <w:pPr>
        <w:spacing w:after="0" w:line="202"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In the second quarter of 2022, we repackaged our existing Dropbox Standard and Dropbox Advanced plans to include additional features. As a result, we increased the price for new and existing users on these plans, with new users starting in the second quarter of 2022 and existing users as their billing cycles occur. For a majority of existing users, the increase in price is effective on their next renewal date. As a result of the price increase, combined with an increase in paying users across our product portfolio and an increased mix of sales from our higher-priced subscription plans, we experienced an increase in Total ARR during the year ended December 31, 2022, compared to the year ended December 31, 2021. In addition, we acquired FormSwift in the fourth quarter of 2022, resulting in a benefit to Total ARR in the period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The below tables set forth our Total ARR using the exchange rates set at the beginning of each year, as well as on a constant currency basis relative to the exchange rates used in 2022.</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center"/>
              <w:ind w:right="253"/>
              <w:spacing w:after="0"/>
              <w:rPr>
                <w:sz w:val="20"/>
                <w:szCs w:val="20"/>
                <w:color w:val="auto"/>
              </w:rPr>
            </w:pPr>
            <w:r>
              <w:rPr>
                <w:rFonts w:ascii="Arial" w:cs="Arial" w:eastAsia="Arial" w:hAnsi="Arial"/>
                <w:sz w:val="17"/>
                <w:szCs w:val="17"/>
                <w:b w:val="1"/>
                <w:bCs w:val="1"/>
                <w:color w:val="auto"/>
                <w:w w:val="91"/>
              </w:rPr>
              <w:t>As of December 31,</w:t>
            </w:r>
          </w:p>
        </w:tc>
      </w:tr>
      <w:tr>
        <w:trPr>
          <w:trHeight w:val="216"/>
        </w:trPr>
        <w:tc>
          <w:tcPr>
            <w:tcW w:w="8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r>
      <w:tr>
        <w:trPr>
          <w:trHeight w:val="181"/>
        </w:trPr>
        <w:tc>
          <w:tcPr>
            <w:tcW w:w="8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2"/>
          </w:tcPr>
          <w:p>
            <w:pPr>
              <w:jc w:val="center"/>
              <w:ind w:left="657"/>
              <w:spacing w:after="0"/>
              <w:rPr>
                <w:sz w:val="20"/>
                <w:szCs w:val="20"/>
                <w:color w:val="auto"/>
              </w:rPr>
            </w:pPr>
            <w:r>
              <w:rPr>
                <w:rFonts w:ascii="Arial" w:cs="Arial" w:eastAsia="Arial" w:hAnsi="Arial"/>
                <w:sz w:val="14"/>
                <w:szCs w:val="14"/>
                <w:i w:val="1"/>
                <w:iCs w:val="1"/>
                <w:color w:val="auto"/>
                <w:w w:val="97"/>
              </w:rPr>
              <w:t>(In millions)</w:t>
            </w:r>
          </w:p>
        </w:tc>
        <w:tc>
          <w:tcPr>
            <w:tcW w:w="1100" w:type="dxa"/>
            <w:vAlign w:val="bottom"/>
          </w:tcPr>
          <w:p>
            <w:pPr>
              <w:spacing w:after="0"/>
              <w:rPr>
                <w:sz w:val="15"/>
                <w:szCs w:val="15"/>
                <w:color w:val="auto"/>
              </w:rPr>
            </w:pPr>
          </w:p>
        </w:tc>
      </w:tr>
      <w:tr>
        <w:trPr>
          <w:trHeight w:val="232"/>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2,514</w:t>
            </w:r>
          </w:p>
        </w:tc>
        <w:tc>
          <w:tcPr>
            <w:tcW w:w="5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2,261</w:t>
            </w:r>
          </w:p>
        </w:tc>
      </w:tr>
      <w:tr>
        <w:trPr>
          <w:trHeight w:val="642"/>
        </w:trPr>
        <w:tc>
          <w:tcPr>
            <w:tcW w:w="8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273"/>
              <w:spacing w:after="0"/>
              <w:rPr>
                <w:sz w:val="20"/>
                <w:szCs w:val="20"/>
                <w:color w:val="auto"/>
              </w:rPr>
            </w:pPr>
            <w:r>
              <w:rPr>
                <w:rFonts w:ascii="Arial" w:cs="Arial" w:eastAsia="Arial" w:hAnsi="Arial"/>
                <w:sz w:val="17"/>
                <w:szCs w:val="17"/>
                <w:b w:val="1"/>
                <w:bCs w:val="1"/>
                <w:color w:val="auto"/>
                <w:w w:val="92"/>
              </w:rPr>
              <w:t>As of December 31,</w:t>
            </w:r>
          </w:p>
        </w:tc>
      </w:tr>
      <w:tr>
        <w:trPr>
          <w:trHeight w:val="216"/>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Constant Currency</w:t>
            </w:r>
          </w:p>
        </w:tc>
        <w:tc>
          <w:tcPr>
            <w:tcW w:w="340" w:type="dxa"/>
            <w:vAlign w:val="bottom"/>
          </w:tcPr>
          <w:p>
            <w:pPr>
              <w:spacing w:after="0"/>
              <w:rPr>
                <w:sz w:val="18"/>
                <w:szCs w:val="18"/>
                <w:color w:val="auto"/>
              </w:rPr>
            </w:pPr>
          </w:p>
        </w:tc>
        <w:tc>
          <w:tcPr>
            <w:tcW w:w="1240" w:type="dxa"/>
            <w:vAlign w:val="bottom"/>
          </w:tcPr>
          <w:p>
            <w:pPr>
              <w:jc w:val="right"/>
              <w:ind w:right="557"/>
              <w:spacing w:after="0"/>
              <w:rPr>
                <w:sz w:val="20"/>
                <w:szCs w:val="20"/>
                <w:color w:val="auto"/>
              </w:rPr>
            </w:pPr>
            <w:r>
              <w:rPr>
                <w:rFonts w:ascii="Arial" w:cs="Arial" w:eastAsia="Arial" w:hAnsi="Arial"/>
                <w:sz w:val="17"/>
                <w:szCs w:val="17"/>
                <w:b w:val="1"/>
                <w:bCs w:val="1"/>
                <w:color w:val="auto"/>
              </w:rPr>
              <w:t>2022</w:t>
            </w:r>
          </w:p>
        </w:tc>
        <w:tc>
          <w:tcPr>
            <w:tcW w:w="520" w:type="dxa"/>
            <w:vAlign w:val="bottom"/>
          </w:tcPr>
          <w:p>
            <w:pPr>
              <w:spacing w:after="0"/>
              <w:rPr>
                <w:sz w:val="18"/>
                <w:szCs w:val="18"/>
                <w:color w:val="auto"/>
              </w:rPr>
            </w:pPr>
          </w:p>
        </w:tc>
        <w:tc>
          <w:tcPr>
            <w:tcW w:w="1100" w:type="dxa"/>
            <w:vAlign w:val="bottom"/>
          </w:tcPr>
          <w:p>
            <w:pPr>
              <w:jc w:val="right"/>
              <w:ind w:right="513"/>
              <w:spacing w:after="0"/>
              <w:rPr>
                <w:sz w:val="20"/>
                <w:szCs w:val="20"/>
                <w:color w:val="auto"/>
              </w:rPr>
            </w:pPr>
            <w:r>
              <w:rPr>
                <w:rFonts w:ascii="Arial" w:cs="Arial" w:eastAsia="Arial" w:hAnsi="Arial"/>
                <w:sz w:val="17"/>
                <w:szCs w:val="17"/>
                <w:b w:val="1"/>
                <w:bCs w:val="1"/>
                <w:color w:val="auto"/>
              </w:rPr>
              <w:t>2021</w:t>
            </w:r>
          </w:p>
        </w:tc>
      </w:tr>
      <w:tr>
        <w:trPr>
          <w:trHeight w:val="181"/>
        </w:trPr>
        <w:tc>
          <w:tcPr>
            <w:tcW w:w="80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2"/>
          </w:tcPr>
          <w:p>
            <w:pPr>
              <w:jc w:val="center"/>
              <w:ind w:left="657"/>
              <w:spacing w:after="0"/>
              <w:rPr>
                <w:sz w:val="20"/>
                <w:szCs w:val="20"/>
                <w:color w:val="auto"/>
              </w:rPr>
            </w:pPr>
            <w:r>
              <w:rPr>
                <w:rFonts w:ascii="Arial" w:cs="Arial" w:eastAsia="Arial" w:hAnsi="Arial"/>
                <w:sz w:val="14"/>
                <w:szCs w:val="14"/>
                <w:i w:val="1"/>
                <w:iCs w:val="1"/>
                <w:color w:val="auto"/>
                <w:w w:val="97"/>
              </w:rPr>
              <w:t>(In millions)</w:t>
            </w:r>
          </w:p>
        </w:tc>
        <w:tc>
          <w:tcPr>
            <w:tcW w:w="1100" w:type="dxa"/>
            <w:vAlign w:val="bottom"/>
            <w:tcBorders>
              <w:top w:val="single" w:sz="8" w:color="auto"/>
            </w:tcBorders>
          </w:tcPr>
          <w:p>
            <w:pPr>
              <w:spacing w:after="0"/>
              <w:rPr>
                <w:sz w:val="15"/>
                <w:szCs w:val="15"/>
                <w:color w:val="auto"/>
              </w:rPr>
            </w:pPr>
          </w:p>
        </w:tc>
      </w:tr>
      <w:tr>
        <w:trPr>
          <w:trHeight w:val="232"/>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340" w:type="dxa"/>
            <w:vAlign w:val="bottom"/>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2,514</w:t>
            </w:r>
          </w:p>
        </w:tc>
        <w:tc>
          <w:tcPr>
            <w:tcW w:w="5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w:t>
            </w:r>
          </w:p>
        </w:tc>
      </w:tr>
    </w:tbl>
    <w:p>
      <w:pPr>
        <w:spacing w:after="0" w:line="315" w:lineRule="exact"/>
        <w:rPr>
          <w:sz w:val="20"/>
          <w:szCs w:val="20"/>
          <w:color w:val="auto"/>
        </w:rPr>
      </w:pPr>
    </w:p>
    <w:p>
      <w:pPr>
        <w:ind w:right="500" w:firstLine="175"/>
        <w:spacing w:after="0" w:line="289" w:lineRule="auto"/>
        <w:rPr>
          <w:sz w:val="20"/>
          <w:szCs w:val="20"/>
          <w:color w:val="auto"/>
        </w:rPr>
      </w:pPr>
      <w:r>
        <w:rPr>
          <w:rFonts w:ascii="Arial" w:cs="Arial" w:eastAsia="Arial" w:hAnsi="Arial"/>
          <w:sz w:val="17"/>
          <w:szCs w:val="17"/>
          <w:color w:val="auto"/>
        </w:rPr>
        <w:t>Revaluing our ending Total ARR for fiscal 2022 using exchange rates set at the beginning of fiscal 2023, Total ARR at the end of fiscal 2022 would be $2,430 million.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Paying users</w:t>
      </w:r>
    </w:p>
    <w:p>
      <w:pPr>
        <w:spacing w:after="0" w:line="119" w:lineRule="exact"/>
        <w:rPr>
          <w:sz w:val="20"/>
          <w:szCs w:val="20"/>
          <w:color w:val="auto"/>
        </w:rPr>
      </w:pPr>
    </w:p>
    <w:p>
      <w:pPr>
        <w:ind w:right="180" w:firstLine="433"/>
        <w:spacing w:after="0" w:line="265"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 We first include paying users related to acquired companies among our paying users in the period of the acquisition.</w:t>
      </w:r>
    </w:p>
    <w:p>
      <w:pPr>
        <w:spacing w:after="0" w:line="206" w:lineRule="exact"/>
        <w:rPr>
          <w:sz w:val="20"/>
          <w:szCs w:val="20"/>
          <w:color w:val="auto"/>
        </w:rPr>
      </w:pPr>
    </w:p>
    <w:p>
      <w:pPr>
        <w:ind w:right="120" w:firstLine="433"/>
        <w:spacing w:after="0" w:line="273" w:lineRule="auto"/>
        <w:rPr>
          <w:sz w:val="20"/>
          <w:szCs w:val="20"/>
          <w:color w:val="auto"/>
        </w:rPr>
      </w:pPr>
      <w:r>
        <w:rPr>
          <w:rFonts w:ascii="Arial" w:cs="Arial" w:eastAsia="Arial" w:hAnsi="Arial"/>
          <w:sz w:val="17"/>
          <w:szCs w:val="17"/>
          <w:color w:val="auto"/>
        </w:rPr>
        <w:t>For FormSwift and DocSend, we define paying users as the number of users who have active paid licenses for access to our platform as of the end of the period. FormSwift and DocSend users have been included as paying users since the respective period of acquisition; FormSwift in the fourth quarter of 2022, and DocSend in the first quarter of 2021.</w:t>
      </w:r>
    </w:p>
    <w:p>
      <w:pPr>
        <w:spacing w:after="0" w:line="198" w:lineRule="exact"/>
        <w:rPr>
          <w:sz w:val="20"/>
          <w:szCs w:val="20"/>
          <w:color w:val="auto"/>
        </w:rPr>
      </w:pPr>
    </w:p>
    <w:p>
      <w:pPr>
        <w:ind w:right="100" w:firstLine="433"/>
        <w:spacing w:after="0" w:line="265" w:lineRule="auto"/>
        <w:rPr>
          <w:sz w:val="20"/>
          <w:szCs w:val="20"/>
          <w:color w:val="auto"/>
        </w:rPr>
      </w:pPr>
      <w:r>
        <w:rPr>
          <w:rFonts w:ascii="Arial" w:cs="Arial" w:eastAsia="Arial" w:hAnsi="Arial"/>
          <w:sz w:val="17"/>
          <w:szCs w:val="17"/>
          <w:color w:val="auto"/>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206"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In fiscal year 2022, we experienced growth in the number of paying users across our products, with the majority of paying users for the periods presented coming from our self-serve channels as well as our acquisition of FormSwift in the fourth quarter of 2022. However, our overall paying user growth rate has declined and may decline in the future. We expect growth in paying users to fluctuate from period to period in the future.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the number of paying users as of December 31, 2022 and 2021:</w:t>
      </w:r>
    </w:p>
    <w:p>
      <w:pPr>
        <w:spacing w:after="0" w:line="389" w:lineRule="exact"/>
        <w:rPr>
          <w:sz w:val="20"/>
          <w:szCs w:val="20"/>
          <w:color w:val="auto"/>
        </w:rPr>
      </w:pPr>
    </w:p>
    <w:p>
      <w:pPr>
        <w:ind w:left="8900"/>
        <w:spacing w:after="0"/>
        <w:rPr>
          <w:sz w:val="20"/>
          <w:szCs w:val="20"/>
          <w:color w:val="auto"/>
        </w:rPr>
      </w:pPr>
      <w:r>
        <w:rPr>
          <w:rFonts w:ascii="Arial" w:cs="Arial" w:eastAsia="Arial" w:hAnsi="Arial"/>
          <w:sz w:val="17"/>
          <w:szCs w:val="17"/>
          <w:b w:val="1"/>
          <w:bCs w:val="1"/>
          <w:color w:val="auto"/>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r>
      <w:tr>
        <w:trPr>
          <w:trHeight w:val="206"/>
        </w:trPr>
        <w:tc>
          <w:tcPr>
            <w:tcW w:w="8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gridSpan w:val="3"/>
          </w:tcPr>
          <w:p>
            <w:pPr>
              <w:ind w:left="240"/>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Pr>
          <w:p>
            <w:pPr>
              <w:spacing w:after="0"/>
              <w:rPr>
                <w:sz w:val="17"/>
                <w:szCs w:val="17"/>
                <w:color w:val="auto"/>
              </w:rPr>
            </w:pPr>
          </w:p>
        </w:tc>
      </w:tr>
      <w:tr>
        <w:trPr>
          <w:trHeight w:val="24"/>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9040" w:type="dxa"/>
            <w:vAlign w:val="bottom"/>
            <w:gridSpan w:val="2"/>
            <w:shd w:val="clear" w:color="auto" w:fill="CCEEFF"/>
          </w:tcPr>
          <w:p>
            <w:pPr>
              <w:jc w:val="right"/>
              <w:ind w:right="8033"/>
              <w:spacing w:after="0"/>
              <w:rPr>
                <w:sz w:val="20"/>
                <w:szCs w:val="20"/>
                <w:color w:val="auto"/>
              </w:rPr>
            </w:pPr>
            <w:r>
              <w:rPr>
                <w:rFonts w:ascii="Arial" w:cs="Arial" w:eastAsia="Arial" w:hAnsi="Arial"/>
                <w:sz w:val="17"/>
                <w:szCs w:val="17"/>
                <w:color w:val="auto"/>
                <w:w w:val="91"/>
              </w:rPr>
              <w:t>Paying users</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17.77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Average revenue per paying user</w:t>
      </w:r>
    </w:p>
    <w:p>
      <w:pPr>
        <w:spacing w:after="0" w:line="119" w:lineRule="exact"/>
        <w:rPr>
          <w:sz w:val="20"/>
          <w:szCs w:val="20"/>
          <w:color w:val="auto"/>
        </w:rPr>
      </w:pPr>
    </w:p>
    <w:p>
      <w:pPr>
        <w:jc w:val="both"/>
        <w:ind w:right="460" w:firstLine="433"/>
        <w:spacing w:after="0" w:line="268"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202" w:lineRule="exact"/>
        <w:rPr>
          <w:sz w:val="20"/>
          <w:szCs w:val="20"/>
          <w:color w:val="auto"/>
        </w:rPr>
      </w:pPr>
    </w:p>
    <w:p>
      <w:pPr>
        <w:ind w:right="280" w:firstLine="433"/>
        <w:spacing w:after="0" w:line="326" w:lineRule="auto"/>
        <w:rPr>
          <w:sz w:val="20"/>
          <w:szCs w:val="20"/>
          <w:color w:val="auto"/>
        </w:rPr>
      </w:pPr>
      <w:r>
        <w:rPr>
          <w:rFonts w:ascii="Arial" w:cs="Arial" w:eastAsia="Arial" w:hAnsi="Arial"/>
          <w:sz w:val="15"/>
          <w:szCs w:val="15"/>
          <w:color w:val="auto"/>
        </w:rPr>
        <w:t>As a result of the repackaging and repricing of our existing Dropbox Standard and Dropbox Advanced plans, combined with an increased mix of sales towards our higher-priced subscription plans, and offset by the impact of unfavorable foreign exchange rates across multiple currencies, we experienced an increase in our average revenue per paying user during the year ended December 31, 2022, compared to the year ended December 31, 2021.</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below table sets forth our ARPU for the years ended December 31, 2022 and 2021:</w:t>
      </w:r>
    </w:p>
    <w:p>
      <w:pPr>
        <w:spacing w:after="0" w:line="389" w:lineRule="exact"/>
        <w:rPr>
          <w:sz w:val="20"/>
          <w:szCs w:val="20"/>
          <w:color w:val="auto"/>
        </w:rPr>
      </w:pPr>
    </w:p>
    <w:p>
      <w:pPr>
        <w:jc w:val="center"/>
        <w:ind w:left="7840"/>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4991100</wp:posOffset>
            </wp:positionH>
            <wp:positionV relativeFrom="paragraph">
              <wp:posOffset>20955</wp:posOffset>
            </wp:positionV>
            <wp:extent cx="21482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8205" cy="8255"/>
                    </a:xfrm>
                    <a:prstGeom prst="rect">
                      <a:avLst/>
                    </a:prstGeom>
                    <a:noFill/>
                  </pic:spPr>
                </pic:pic>
              </a:graphicData>
            </a:graphic>
          </wp:anchor>
        </w:drawing>
      </w:r>
    </w:p>
    <w:p>
      <w:pPr>
        <w:spacing w:after="0" w:line="21" w:lineRule="exact"/>
        <w:rPr>
          <w:sz w:val="20"/>
          <w:szCs w:val="20"/>
          <w:color w:val="auto"/>
        </w:rPr>
      </w:pPr>
    </w:p>
    <w:p>
      <w:pPr>
        <w:ind w:left="8500"/>
        <w:spacing w:after="0"/>
        <w:tabs>
          <w:tab w:leader="none" w:pos="1022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130" cy="141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4991100</wp:posOffset>
            </wp:positionH>
            <wp:positionV relativeFrom="paragraph">
              <wp:posOffset>20955</wp:posOffset>
            </wp:positionV>
            <wp:extent cx="21482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8205" cy="8255"/>
                    </a:xfrm>
                    <a:prstGeom prst="rect">
                      <a:avLst/>
                    </a:prstGeom>
                    <a:noFill/>
                  </pic:spPr>
                </pic:pic>
              </a:graphicData>
            </a:graphic>
          </wp:anchor>
        </w:drawing>
      </w:r>
    </w:p>
    <w:p>
      <w:pPr>
        <w:spacing w:after="0" w:line="66" w:lineRule="exact"/>
        <w:rPr>
          <w:sz w:val="20"/>
          <w:szCs w:val="20"/>
          <w:color w:val="auto"/>
        </w:rPr>
      </w:pPr>
    </w:p>
    <w:p>
      <w:pPr>
        <w:ind w:left="20"/>
        <w:spacing w:after="0"/>
        <w:tabs>
          <w:tab w:leader="none" w:pos="7860" w:val="left"/>
          <w:tab w:leader="none" w:pos="8920" w:val="left"/>
          <w:tab w:leader="none" w:pos="9600" w:val="left"/>
          <w:tab w:leader="none" w:pos="10680" w:val="left"/>
        </w:tabs>
        <w:rPr>
          <w:sz w:val="20"/>
          <w:szCs w:val="20"/>
          <w:color w:val="auto"/>
        </w:rPr>
      </w:pPr>
      <w:r>
        <w:rPr>
          <w:rFonts w:ascii="Arial" w:cs="Arial" w:eastAsia="Arial" w:hAnsi="Arial"/>
          <w:sz w:val="17"/>
          <w:szCs w:val="17"/>
          <w:color w:val="auto"/>
        </w:rPr>
        <w:t>ARPU</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134.51</w:t>
        <w:tab/>
        <w:t>$</w:t>
      </w:r>
      <w:r>
        <w:rPr>
          <w:sz w:val="20"/>
          <w:szCs w:val="20"/>
          <w:color w:val="auto"/>
        </w:rPr>
        <w:tab/>
      </w:r>
      <w:r>
        <w:rPr>
          <w:rFonts w:ascii="Arial" w:cs="Arial" w:eastAsia="Arial" w:hAnsi="Arial"/>
          <w:sz w:val="15"/>
          <w:szCs w:val="15"/>
          <w:color w:val="auto"/>
        </w:rPr>
        <w:t>133.73</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w:t>
      </w:r>
    </w:p>
    <w:p>
      <w:pPr>
        <w:spacing w:after="0" w:line="125"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Free cash flow</w:t>
      </w:r>
    </w:p>
    <w:p>
      <w:pPr>
        <w:spacing w:after="0" w:line="119"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316" w:lineRule="exact"/>
        <w:rPr>
          <w:sz w:val="20"/>
          <w:szCs w:val="20"/>
          <w:color w:val="auto"/>
        </w:rPr>
      </w:pPr>
    </w:p>
    <w:p>
      <w:pPr>
        <w:jc w:val="both"/>
        <w:ind w:right="80" w:firstLine="433"/>
        <w:spacing w:after="0" w:line="273" w:lineRule="auto"/>
        <w:rPr>
          <w:sz w:val="20"/>
          <w:szCs w:val="20"/>
          <w:color w:val="auto"/>
        </w:rPr>
      </w:pPr>
      <w:r>
        <w:rPr>
          <w:rFonts w:ascii="Arial" w:cs="Arial" w:eastAsia="Arial" w:hAnsi="Arial"/>
          <w:sz w:val="17"/>
          <w:szCs w:val="17"/>
          <w:color w:val="auto"/>
        </w:rPr>
        <w:t>Our FCF increased for the year ended December 31, 2022, compared to the year ended December 31, 2021, primarily due to an increase in cash provided by operating activities, which was driven by increased subscription sales, as a majority of our paying users are invoiced in advance, and operating efficiencies, such as hiring in lower cost locations and reduced brand and other marketing campaign spend.</w:t>
      </w:r>
    </w:p>
    <w:p>
      <w:pPr>
        <w:spacing w:after="0" w:line="198"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We expect our FCF to generally increase in future periods as we increase subscription sales and drive operating efficiencies. We expect to continue to purchase infrastructure equipment to support our user base and anticipate that our capital expenditures will remain approximately consistent in future periods as we continue to invest in our internal infrastructure, network and security. The timing of our operating expenses as described below, may result in FCF to vary from period to period as a percentage of revenue.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FCF to the most comparable GAAP measure,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820" w:type="dxa"/>
            <w:vAlign w:val="bottom"/>
            <w:tcBorders>
              <w:bottom w:val="single" w:sz="8" w:color="auto"/>
            </w:tcBorders>
            <w:gridSpan w:val="4"/>
          </w:tcPr>
          <w:p>
            <w:pPr>
              <w:jc w:val="center"/>
              <w:ind w:left="473"/>
              <w:spacing w:after="0"/>
              <w:rPr>
                <w:sz w:val="20"/>
                <w:szCs w:val="20"/>
                <w:color w:val="auto"/>
              </w:rPr>
            </w:pPr>
            <w:r>
              <w:rPr>
                <w:rFonts w:ascii="Arial" w:cs="Arial" w:eastAsia="Arial" w:hAnsi="Arial"/>
                <w:sz w:val="17"/>
                <w:szCs w:val="17"/>
                <w:b w:val="1"/>
                <w:bCs w:val="1"/>
                <w:color w:val="auto"/>
                <w:w w:val="91"/>
              </w:rPr>
              <w:t>Year ended December 31,</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40" w:type="dxa"/>
            <w:vAlign w:val="bottom"/>
            <w:gridSpan w:val="3"/>
          </w:tcPr>
          <w:p>
            <w:pPr>
              <w:jc w:val="center"/>
              <w:ind w:right="433"/>
              <w:spacing w:after="0"/>
              <w:rPr>
                <w:sz w:val="20"/>
                <w:szCs w:val="20"/>
                <w:color w:val="auto"/>
              </w:rPr>
            </w:pPr>
            <w:r>
              <w:rPr>
                <w:rFonts w:ascii="Arial" w:cs="Arial" w:eastAsia="Arial" w:hAnsi="Arial"/>
                <w:sz w:val="14"/>
                <w:szCs w:val="14"/>
                <w:i w:val="1"/>
                <w:iCs w:val="1"/>
                <w:color w:val="auto"/>
                <w:w w:val="97"/>
              </w:rPr>
              <w:t>(In millions)</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4740" w:type="dxa"/>
            <w:vAlign w:val="bottom"/>
            <w:gridSpan w:val="2"/>
            <w:shd w:val="clear" w:color="auto" w:fill="CCEEFF"/>
          </w:tcPr>
          <w:p>
            <w:pPr>
              <w:jc w:val="right"/>
              <w:ind w:right="87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7"/>
                <w:szCs w:val="17"/>
                <w:color w:val="auto"/>
              </w:rPr>
              <w:t>797.3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7"/>
                <w:szCs w:val="17"/>
                <w:color w:val="auto"/>
              </w:rPr>
              <w:t>729.8</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expenditures</w:t>
            </w:r>
          </w:p>
        </w:tc>
        <w:tc>
          <w:tcPr>
            <w:tcW w:w="36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8"/>
              </w:rPr>
              <w:t>(33.8)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4"/>
              </w:rPr>
              <w:t>(22.1)</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4740" w:type="dxa"/>
            <w:vAlign w:val="bottom"/>
            <w:gridSpan w:val="2"/>
            <w:shd w:val="clear" w:color="auto" w:fill="CCEEFF"/>
          </w:tcPr>
          <w:p>
            <w:pPr>
              <w:jc w:val="right"/>
              <w:ind w:right="87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7"/>
                <w:szCs w:val="17"/>
                <w:color w:val="auto"/>
              </w:rPr>
              <w:t>763.5</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7"/>
                <w:szCs w:val="17"/>
                <w:color w:val="auto"/>
              </w:rPr>
              <w:t>707.7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073"/>
              <w:spacing w:after="0"/>
              <w:rPr>
                <w:sz w:val="20"/>
                <w:szCs w:val="20"/>
                <w:color w:val="auto"/>
              </w:rPr>
            </w:pPr>
            <w:r>
              <w:rPr>
                <w:rFonts w:ascii="Arial" w:cs="Arial" w:eastAsia="Arial" w:hAnsi="Arial"/>
                <w:sz w:val="17"/>
                <w:szCs w:val="17"/>
                <w:color w:val="auto"/>
              </w:rPr>
              <w:t>50</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2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2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generate revenue from sales of subscriptions to our platform.</w:t>
      </w:r>
    </w:p>
    <w:p>
      <w:pPr>
        <w:spacing w:after="0" w:line="250"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202"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Our revenue is driven primarily by conversions and upsells to our paid plans. We also generate revenue from transaction-based products and fees from the referral of users to our partners. We generate over 90% of our revenue from self-serve channels. No customer represented more than 1% of our revenue in the periods presented.</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revenue growth is impacted by our number of paying users, as well as our ability to increase the average revenue per paying user. Our overall paying</w:t>
      </w:r>
    </w:p>
    <w:p>
      <w:pPr>
        <w:spacing w:after="0" w:line="7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user growth rate has declined and we expect growth in paying users to fluctuate from period to period in the future. Accordingly, if we do not increase the average revenue per paying user, for example through pricing and packaging changes or increased sales of our higher priced subscription plans, to offset slower growth or decline in paying users, our revenue and revenue growth rate will decline.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119" w:lineRule="exact"/>
        <w:rPr>
          <w:sz w:val="20"/>
          <w:szCs w:val="20"/>
          <w:color w:val="auto"/>
        </w:rPr>
      </w:pPr>
    </w:p>
    <w:p>
      <w:pPr>
        <w:ind w:right="20" w:firstLine="433"/>
        <w:spacing w:after="0" w:line="27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 paying</w:t>
      </w:r>
      <w:r>
        <w:rPr>
          <w:rFonts w:ascii="Arial" w:cs="Arial" w:eastAsia="Arial" w:hAnsi="Arial"/>
          <w:sz w:val="16"/>
          <w:szCs w:val="16"/>
          <w:i w:val="1"/>
          <w:iCs w:val="1"/>
          <w:color w:val="auto"/>
        </w:rPr>
        <w:t xml:space="preserve"> </w:t>
      </w:r>
      <w:r>
        <w:rPr>
          <w:rFonts w:ascii="Arial" w:cs="Arial" w:eastAsia="Arial" w:hAnsi="Arial"/>
          <w:sz w:val="16"/>
          <w:szCs w:val="16"/>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9"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85" w:lineRule="exact"/>
        <w:rPr>
          <w:sz w:val="20"/>
          <w:szCs w:val="20"/>
          <w:color w:val="auto"/>
        </w:rPr>
      </w:pPr>
    </w:p>
    <w:p>
      <w:pPr>
        <w:ind w:right="100" w:firstLine="433"/>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is gross profit expressed as a percentage of revenue. Our gross margin may fluctuate from period to period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timing of additional capital expenditures and the related depreciation expense, or other increases in our infrastructure costs, as well as revenue fluctuations. We generally expect our gross margin to remain relatively constant in both the near term and the long term.</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9"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consist primarily of employee-related costs for our engineering, product, and design</w:t>
      </w:r>
      <w:r>
        <w:rPr>
          <w:rFonts w:ascii="Arial" w:cs="Arial" w:eastAsia="Arial" w:hAnsi="Arial"/>
          <w:sz w:val="16"/>
          <w:szCs w:val="16"/>
          <w:i w:val="1"/>
          <w:iCs w:val="1"/>
          <w:color w:val="auto"/>
        </w:rPr>
        <w:t xml:space="preserve"> </w:t>
      </w:r>
      <w:r>
        <w:rPr>
          <w:rFonts w:ascii="Arial" w:cs="Arial" w:eastAsia="Arial" w:hAnsi="Arial"/>
          <w:sz w:val="16"/>
          <w:szCs w:val="16"/>
          <w:color w:val="auto"/>
        </w:rPr>
        <w:t>teams,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189" w:lineRule="exact"/>
        <w:rPr>
          <w:sz w:val="20"/>
          <w:szCs w:val="20"/>
          <w:color w:val="auto"/>
        </w:rPr>
      </w:pPr>
    </w:p>
    <w:p>
      <w:pPr>
        <w:ind w:right="320" w:firstLine="433"/>
        <w:spacing w:after="0" w:line="322" w:lineRule="auto"/>
        <w:rPr>
          <w:sz w:val="20"/>
          <w:szCs w:val="20"/>
          <w:color w:val="auto"/>
        </w:rPr>
      </w:pPr>
      <w:r>
        <w:rPr>
          <w:rFonts w:ascii="Arial" w:cs="Arial" w:eastAsia="Arial" w:hAnsi="Arial"/>
          <w:sz w:val="16"/>
          <w:szCs w:val="16"/>
          <w:color w:val="auto"/>
        </w:rPr>
        <w:t>We plan to continue hiring employees for our engineering, product, and design teams to support our research and development efforts. We expect that research and development costs will increase in absolute dollars in future periods and fluctuate from period to period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00" w:firstLine="433"/>
        <w:spacing w:after="0" w:line="309"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relate to both self-serve and outbound sales activities, and consist primarily of employee-related</w:t>
      </w:r>
      <w:r>
        <w:rPr>
          <w:rFonts w:ascii="Arial" w:cs="Arial" w:eastAsia="Arial" w:hAnsi="Arial"/>
          <w:sz w:val="15"/>
          <w:szCs w:val="15"/>
          <w:i w:val="1"/>
          <w:iCs w:val="1"/>
          <w:color w:val="auto"/>
        </w:rPr>
        <w:t xml:space="preserve"> </w:t>
      </w:r>
      <w:r>
        <w:rPr>
          <w:rFonts w:ascii="Arial" w:cs="Arial" w:eastAsia="Arial" w:hAnsi="Arial"/>
          <w:sz w:val="15"/>
          <w:szCs w:val="15"/>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75" w:lineRule="exact"/>
        <w:rPr>
          <w:sz w:val="20"/>
          <w:szCs w:val="20"/>
          <w:color w:val="auto"/>
        </w:rPr>
      </w:pPr>
    </w:p>
    <w:p>
      <w:pPr>
        <w:ind w:right="40" w:firstLine="433"/>
        <w:spacing w:after="0" w:line="326" w:lineRule="auto"/>
        <w:rPr>
          <w:sz w:val="20"/>
          <w:szCs w:val="20"/>
          <w:color w:val="auto"/>
        </w:rPr>
      </w:pPr>
      <w:r>
        <w:rPr>
          <w:rFonts w:ascii="Arial" w:cs="Arial" w:eastAsia="Arial" w:hAnsi="Arial"/>
          <w:sz w:val="15"/>
          <w:szCs w:val="15"/>
          <w:color w:val="auto"/>
        </w:rPr>
        <w:t>We plan to continue to invest in sales and marketing to grow our user base and increase our brand awareness, including marketing efforts to continue to drive our self-serve business model. We expect that sales and marketing expenses will generally increase in absolute dollars in future periods and fluctuate from period to period as a percentage of revenue. The trend and timing of sales and marketing expenses will depend in part on the timing of marketing campaigns.</w:t>
      </w:r>
    </w:p>
    <w:p>
      <w:pPr>
        <w:spacing w:after="0" w:line="163" w:lineRule="exact"/>
        <w:rPr>
          <w:sz w:val="20"/>
          <w:szCs w:val="20"/>
          <w:color w:val="auto"/>
        </w:rPr>
      </w:pPr>
    </w:p>
    <w:p>
      <w:pPr>
        <w:ind w:right="60" w:firstLine="433"/>
        <w:spacing w:after="0" w:line="273"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administrative teams, as well as certain executives. In addition, general and administrative expenses include allocated overhead, outside legal, accounting and other professional fees, and non-income-based taxes.</w:t>
      </w:r>
    </w:p>
    <w:p>
      <w:pPr>
        <w:spacing w:after="0" w:line="198" w:lineRule="exact"/>
        <w:rPr>
          <w:sz w:val="20"/>
          <w:szCs w:val="20"/>
          <w:color w:val="auto"/>
        </w:rPr>
      </w:pPr>
    </w:p>
    <w:p>
      <w:pPr>
        <w:ind w:firstLine="433"/>
        <w:spacing w:after="0" w:line="326" w:lineRule="auto"/>
        <w:rPr>
          <w:sz w:val="20"/>
          <w:szCs w:val="20"/>
          <w:color w:val="auto"/>
        </w:rPr>
      </w:pPr>
      <w:r>
        <w:rPr>
          <w:rFonts w:ascii="Arial" w:cs="Arial" w:eastAsia="Arial" w:hAnsi="Arial"/>
          <w:sz w:val="15"/>
          <w:szCs w:val="15"/>
          <w:color w:val="auto"/>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fluctuate in absolute dollars in future periods and remain relatively constant in both the near term and the long term as a percentage of revenue.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Impairment related to real estate assets</w:t>
      </w:r>
    </w:p>
    <w:p>
      <w:pPr>
        <w:spacing w:after="0" w:line="250"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Impairment related to real estate assets consists primarily of impairment charges related to certain right-of-use assets and other lease related assets. The impairment changes are described in Note 9 "Leases". We expect that allocable expenses will decrease in absolute dollars in future periods, as a result of lower operating lease expense related to our right-of-use assets and common area maintenance expense following the impairment charge recorded during the year ended December 31, 2022.</w:t>
      </w:r>
    </w:p>
    <w:p>
      <w:pPr>
        <w:spacing w:after="0" w:line="30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income (expense), net</w:t>
      </w:r>
    </w:p>
    <w:p>
      <w:pPr>
        <w:spacing w:after="0" w:line="106" w:lineRule="exact"/>
        <w:rPr>
          <w:sz w:val="20"/>
          <w:szCs w:val="20"/>
          <w:color w:val="auto"/>
        </w:rPr>
      </w:pPr>
    </w:p>
    <w:p>
      <w:pPr>
        <w:ind w:right="120" w:firstLine="433"/>
        <w:spacing w:after="0" w:line="322" w:lineRule="auto"/>
        <w:rPr>
          <w:sz w:val="20"/>
          <w:szCs w:val="20"/>
          <w:color w:val="auto"/>
        </w:rPr>
      </w:pPr>
      <w:r>
        <w:rPr>
          <w:rFonts w:ascii="Arial" w:cs="Arial" w:eastAsia="Arial" w:hAnsi="Arial"/>
          <w:sz w:val="16"/>
          <w:szCs w:val="16"/>
          <w:color w:val="auto"/>
        </w:rPr>
        <w:t>Interest income (expense), net consists primarily of interest income earned on our money market funds classified as cash and cash equivalents and short-term investments as well as interest expense related to our finance lease obligations for infrastructure and amortization of debt issuance costs.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9" w:lineRule="exact"/>
        <w:rPr>
          <w:sz w:val="20"/>
          <w:szCs w:val="20"/>
          <w:color w:val="auto"/>
        </w:rPr>
      </w:pPr>
    </w:p>
    <w:p>
      <w:pPr>
        <w:ind w:right="120" w:firstLine="433"/>
        <w:spacing w:after="0" w:line="322" w:lineRule="auto"/>
        <w:rPr>
          <w:sz w:val="20"/>
          <w:szCs w:val="20"/>
          <w:color w:val="auto"/>
        </w:rPr>
      </w:pPr>
      <w:r>
        <w:rPr>
          <w:rFonts w:ascii="Arial" w:cs="Arial" w:eastAsia="Arial" w:hAnsi="Arial"/>
          <w:sz w:val="16"/>
          <w:szCs w:val="16"/>
          <w:color w:val="auto"/>
        </w:rPr>
        <w:t>Other income, net consists of other non-operating gains or losses, including those related to gains or losses on sale of assets, foreign currency transaction gains and losses, lease arrangements, which include sublease income, and realized gains and losses related to our short-term investments.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Benefit from (provision for) income taxes</w:t>
      </w:r>
    </w:p>
    <w:p>
      <w:pPr>
        <w:spacing w:after="0" w:line="119"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Benefit from (provision for) income taxes consists primarily of U.S. federal, state and foreign jurisdiction income taxes. For 2022, the difference between the U.S. statutory rate and our effective tax rate is primarily due to changes to the valuation allowance on deferred tax assets, research credits and the impact of capitalization of research and experimental expenditures. For 2021, the difference between the U.S. statutory rate and our effective tax rate is primarily due to changes to the valuation allowance on deferred tax assets. Our effective tax rate is also impacted by earnings realized in foreign jurisdictions with statutory tax rates lower than the federal statutory tax rate. We maintain a full valuation allowance on net deferred tax assets when we have concluded that it is not more likely than not that the deferred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286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7"/>
                <w:szCs w:val="17"/>
                <w:b w:val="1"/>
                <w:bCs w:val="1"/>
                <w:color w:val="auto"/>
              </w:rPr>
              <w:t>Year ended December 31,</w:t>
            </w:r>
          </w:p>
        </w:tc>
        <w:tc>
          <w:tcPr>
            <w:tcW w:w="620" w:type="dxa"/>
            <w:vAlign w:val="bottom"/>
            <w:tcBorders>
              <w:bottom w:val="single" w:sz="8" w:color="auto"/>
            </w:tcBorders>
          </w:tcPr>
          <w:p>
            <w:pPr>
              <w:spacing w:after="0"/>
              <w:rPr>
                <w:sz w:val="19"/>
                <w:szCs w:val="19"/>
                <w:color w:val="auto"/>
              </w:rPr>
            </w:pPr>
          </w:p>
        </w:tc>
      </w:tr>
      <w:tr>
        <w:trPr>
          <w:trHeight w:val="216"/>
        </w:trPr>
        <w:tc>
          <w:tcPr>
            <w:tcW w:w="77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206"/>
        </w:trPr>
        <w:tc>
          <w:tcPr>
            <w:tcW w:w="7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0" w:type="dxa"/>
            <w:vAlign w:val="bottom"/>
            <w:gridSpan w:val="3"/>
          </w:tcPr>
          <w:p>
            <w:pPr>
              <w:jc w:val="right"/>
              <w:ind w:right="693"/>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17"/>
                <w:szCs w:val="17"/>
                <w:color w:val="auto"/>
              </w:rPr>
            </w:pPr>
          </w:p>
        </w:tc>
      </w:tr>
      <w:tr>
        <w:trPr>
          <w:trHeight w:val="24"/>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2,324.9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2,157.9</w:t>
            </w:r>
          </w:p>
        </w:tc>
      </w:tr>
      <w:tr>
        <w:trPr>
          <w:trHeight w:val="223"/>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Cost of revenue</w:t>
            </w:r>
            <w:r>
              <w:rPr>
                <w:rFonts w:ascii="Arial" w:cs="Arial" w:eastAsia="Arial" w:hAnsi="Arial"/>
                <w:sz w:val="10"/>
                <w:szCs w:val="10"/>
                <w:color w:val="auto"/>
              </w:rPr>
              <w:t>(1)</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444.2</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444.2</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1,880.7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1,713.7</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Operating expenses:</w:t>
            </w:r>
            <w:r>
              <w:rPr>
                <w:rFonts w:ascii="Arial" w:cs="Arial" w:eastAsia="Arial" w:hAnsi="Arial"/>
                <w:sz w:val="10"/>
                <w:szCs w:val="10"/>
                <w:color w:val="auto"/>
              </w:rPr>
              <w:t>(1)</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755.9</w:t>
            </w:r>
          </w:p>
        </w:tc>
      </w:tr>
      <w:tr>
        <w:trPr>
          <w:trHeight w:val="223"/>
        </w:trPr>
        <w:tc>
          <w:tcPr>
            <w:tcW w:w="77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409.4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427.5</w:t>
            </w:r>
          </w:p>
        </w:tc>
      </w:tr>
      <w:tr>
        <w:trPr>
          <w:trHeight w:val="223"/>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224.6</w:t>
            </w:r>
          </w:p>
        </w:tc>
      </w:tr>
      <w:tr>
        <w:trPr>
          <w:trHeight w:val="223"/>
        </w:trPr>
        <w:tc>
          <w:tcPr>
            <w:tcW w:w="7760" w:type="dxa"/>
            <w:vAlign w:val="bottom"/>
            <w:tcBorders>
              <w:bottom w:val="single" w:sz="8" w:color="CCEEFF"/>
            </w:tcBorders>
          </w:tcPr>
          <w:p>
            <w:pPr>
              <w:ind w:left="340"/>
              <w:spacing w:after="0" w:line="223" w:lineRule="exact"/>
              <w:rPr>
                <w:sz w:val="20"/>
                <w:szCs w:val="20"/>
                <w:color w:val="auto"/>
              </w:rPr>
            </w:pPr>
            <w:r>
              <w:rPr>
                <w:rFonts w:ascii="Arial" w:cs="Arial" w:eastAsia="Arial" w:hAnsi="Arial"/>
                <w:sz w:val="17"/>
                <w:szCs w:val="17"/>
                <w:color w:val="auto"/>
              </w:rPr>
              <w:t>Impairment related to real estate assets</w:t>
            </w:r>
            <w:r>
              <w:rPr>
                <w:rFonts w:ascii="Arial" w:cs="Arial" w:eastAsia="Arial" w:hAnsi="Arial"/>
                <w:sz w:val="22"/>
                <w:szCs w:val="22"/>
                <w:color w:val="auto"/>
                <w:vertAlign w:val="superscript"/>
              </w:rPr>
              <w:t>(2)</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175.2</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1,699.4</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1,439.3</w:t>
            </w:r>
          </w:p>
        </w:tc>
      </w:tr>
      <w:tr>
        <w:trPr>
          <w:trHeight w:val="216"/>
        </w:trPr>
        <w:tc>
          <w:tcPr>
            <w:tcW w:w="776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181.3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274.4</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2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w:t>
            </w:r>
          </w:p>
        </w:tc>
      </w:tr>
      <w:tr>
        <w:trPr>
          <w:trHeight w:val="223"/>
        </w:trPr>
        <w:tc>
          <w:tcPr>
            <w:tcW w:w="776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Benefit from income taxes</w:t>
            </w:r>
            <w:r>
              <w:rPr>
                <w:rFonts w:ascii="Arial" w:cs="Arial" w:eastAsia="Arial" w:hAnsi="Arial"/>
                <w:sz w:val="22"/>
                <w:szCs w:val="22"/>
                <w:color w:val="auto"/>
                <w:vertAlign w:val="superscript"/>
              </w:rPr>
              <w:t>(3)</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360.5</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r>
      <w:tr>
        <w:trPr>
          <w:trHeight w:val="241"/>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20" w:hanging="297"/>
        <w:spacing w:after="0"/>
        <w:tabs>
          <w:tab w:leader="none" w:pos="420" w:val="left"/>
        </w:tabs>
        <w:numPr>
          <w:ilvl w:val="0"/>
          <w:numId w:val="28"/>
        </w:numPr>
        <w:rPr>
          <w:rFonts w:ascii="Arial" w:cs="Arial" w:eastAsia="Arial" w:hAnsi="Arial"/>
          <w:sz w:val="20"/>
          <w:szCs w:val="20"/>
          <w:color w:val="auto"/>
          <w:vertAlign w:val="superscript"/>
        </w:rPr>
      </w:pPr>
      <w:r>
        <w:rPr>
          <w:rFonts w:ascii="Arial" w:cs="Arial" w:eastAsia="Arial" w:hAnsi="Arial"/>
          <w:sz w:val="16"/>
          <w:szCs w:val="16"/>
          <w:color w:val="auto"/>
        </w:rPr>
        <w:t>Includes stock-based compensation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29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7"/>
                <w:szCs w:val="17"/>
                <w:b w:val="1"/>
                <w:bCs w:val="1"/>
                <w:color w:val="auto"/>
              </w:rPr>
              <w:t>Year ended December 31,</w:t>
            </w:r>
          </w:p>
        </w:tc>
        <w:tc>
          <w:tcPr>
            <w:tcW w:w="560" w:type="dxa"/>
            <w:vAlign w:val="bottom"/>
            <w:tcBorders>
              <w:bottom w:val="single" w:sz="8" w:color="auto"/>
            </w:tcBorders>
          </w:tcPr>
          <w:p>
            <w:pPr>
              <w:spacing w:after="0"/>
              <w:rPr>
                <w:sz w:val="19"/>
                <w:szCs w:val="19"/>
                <w:color w:val="auto"/>
              </w:rPr>
            </w:pPr>
          </w:p>
        </w:tc>
      </w:tr>
      <w:tr>
        <w:trPr>
          <w:trHeight w:val="216"/>
        </w:trPr>
        <w:tc>
          <w:tcPr>
            <w:tcW w:w="776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r>
      <w:tr>
        <w:trPr>
          <w:trHeight w:val="206"/>
        </w:trPr>
        <w:tc>
          <w:tcPr>
            <w:tcW w:w="7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gridSpan w:val="3"/>
          </w:tcPr>
          <w:p>
            <w:pPr>
              <w:jc w:val="right"/>
              <w:ind w:right="753"/>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17"/>
                <w:szCs w:val="17"/>
                <w:color w:val="auto"/>
              </w:rPr>
            </w:pPr>
          </w:p>
        </w:tc>
      </w:tr>
      <w:tr>
        <w:trPr>
          <w:trHeight w:val="24"/>
        </w:trPr>
        <w:tc>
          <w:tcPr>
            <w:tcW w:w="7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r>
      <w:tr>
        <w:trPr>
          <w:trHeight w:val="223"/>
        </w:trPr>
        <w:tc>
          <w:tcPr>
            <w:tcW w:w="776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232.3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190.1</w:t>
            </w:r>
          </w:p>
        </w:tc>
      </w:tr>
      <w:tr>
        <w:trPr>
          <w:trHeight w:val="223"/>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r>
      <w:tr>
        <w:trPr>
          <w:trHeight w:val="223"/>
        </w:trPr>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General and administrative</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r>
      <w:tr>
        <w:trPr>
          <w:trHeight w:val="241"/>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440" w:right="260" w:hanging="317"/>
        <w:spacing w:after="0" w:line="222" w:lineRule="auto"/>
        <w:tabs>
          <w:tab w:leader="none" w:pos="428" w:val="left"/>
        </w:tabs>
        <w:numPr>
          <w:ilvl w:val="0"/>
          <w:numId w:val="29"/>
        </w:numPr>
        <w:rPr>
          <w:rFonts w:ascii="Arial" w:cs="Arial" w:eastAsia="Arial" w:hAnsi="Arial"/>
          <w:sz w:val="20"/>
          <w:szCs w:val="20"/>
          <w:color w:val="auto"/>
          <w:vertAlign w:val="superscript"/>
        </w:rPr>
      </w:pPr>
      <w:r>
        <w:rPr>
          <w:rFonts w:ascii="Arial" w:cs="Arial" w:eastAsia="Arial" w:hAnsi="Arial"/>
          <w:sz w:val="16"/>
          <w:szCs w:val="16"/>
          <w:color w:val="auto"/>
        </w:rPr>
        <w:t>Includes impairment charges related to real estate assets as a result of adverse changes in the corporate real estate market which has impacted our subleasing strategy in conjunction with our shift to Virtual First. See Note 9 "Leases" for further information.</w:t>
      </w:r>
    </w:p>
    <w:p>
      <w:pPr>
        <w:spacing w:after="0" w:line="207" w:lineRule="exact"/>
        <w:rPr>
          <w:rFonts w:ascii="Arial" w:cs="Arial" w:eastAsia="Arial" w:hAnsi="Arial"/>
          <w:sz w:val="20"/>
          <w:szCs w:val="20"/>
          <w:color w:val="auto"/>
          <w:vertAlign w:val="superscript"/>
        </w:rPr>
      </w:pPr>
    </w:p>
    <w:p>
      <w:pPr>
        <w:ind w:left="440" w:right="100" w:hanging="317"/>
        <w:spacing w:after="0" w:line="227" w:lineRule="auto"/>
        <w:tabs>
          <w:tab w:leader="none" w:pos="428" w:val="left"/>
        </w:tabs>
        <w:numPr>
          <w:ilvl w:val="0"/>
          <w:numId w:val="29"/>
        </w:numPr>
        <w:rPr>
          <w:rFonts w:ascii="Arial" w:cs="Arial" w:eastAsia="Arial" w:hAnsi="Arial"/>
          <w:sz w:val="20"/>
          <w:szCs w:val="20"/>
          <w:color w:val="auto"/>
          <w:vertAlign w:val="superscript"/>
        </w:rPr>
      </w:pPr>
      <w:r>
        <w:rPr>
          <w:rFonts w:ascii="Arial" w:cs="Arial" w:eastAsia="Arial" w:hAnsi="Arial"/>
          <w:sz w:val="16"/>
          <w:szCs w:val="16"/>
          <w:color w:val="auto"/>
        </w:rPr>
        <w:t>Results of Operations for the year-ended 2022 include a one-time benefit from income taxes of $420.2 million due to the release of a valuation allowance on the U.S. federal and certain state deferred tax assets. Results of Operations for the year-ended 2021 include a one-time benefit from income taxes of $38.1 million from the release of a valuation allowance on the Irish deferred tax assets.</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for each of the periods presented as a percentage of revenue:</w:t>
      </w:r>
    </w:p>
    <w:p>
      <w:pPr>
        <w:spacing w:after="0" w:line="139" w:lineRule="exact"/>
        <w:rPr>
          <w:sz w:val="20"/>
          <w:szCs w:val="20"/>
          <w:color w:val="auto"/>
        </w:rPr>
      </w:pPr>
    </w:p>
    <w:p>
      <w:pPr>
        <w:ind w:left="8440"/>
        <w:spacing w:after="0"/>
        <w:rPr>
          <w:sz w:val="20"/>
          <w:szCs w:val="20"/>
          <w:color w:val="auto"/>
        </w:rPr>
      </w:pPr>
      <w:r>
        <w:rPr>
          <w:rFonts w:ascii="Arial" w:cs="Arial" w:eastAsia="Arial" w:hAnsi="Arial"/>
          <w:sz w:val="17"/>
          <w:szCs w:val="17"/>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r>
      <w:tr>
        <w:trPr>
          <w:trHeight w:val="255"/>
        </w:trPr>
        <w:tc>
          <w:tcPr>
            <w:tcW w:w="7540" w:type="dxa"/>
            <w:vAlign w:val="bottom"/>
          </w:tcPr>
          <w:p>
            <w:pPr>
              <w:spacing w:after="0"/>
              <w:rPr>
                <w:sz w:val="22"/>
                <w:szCs w:val="22"/>
                <w:color w:val="auto"/>
              </w:rPr>
            </w:pPr>
          </w:p>
        </w:tc>
        <w:tc>
          <w:tcPr>
            <w:tcW w:w="3100" w:type="dxa"/>
            <w:vAlign w:val="bottom"/>
            <w:gridSpan w:val="4"/>
          </w:tcPr>
          <w:p>
            <w:pPr>
              <w:jc w:val="right"/>
              <w:ind w:right="173"/>
              <w:spacing w:after="0"/>
              <w:rPr>
                <w:sz w:val="20"/>
                <w:szCs w:val="20"/>
                <w:color w:val="auto"/>
              </w:rPr>
            </w:pPr>
            <w:r>
              <w:rPr>
                <w:rFonts w:ascii="Arial" w:cs="Arial" w:eastAsia="Arial" w:hAnsi="Arial"/>
                <w:sz w:val="17"/>
                <w:szCs w:val="17"/>
                <w:i w:val="1"/>
                <w:iCs w:val="1"/>
                <w:color w:val="auto"/>
              </w:rPr>
              <w:t>As a percentage of revenue*</w:t>
            </w:r>
          </w:p>
        </w:tc>
        <w:tc>
          <w:tcPr>
            <w:tcW w:w="600" w:type="dxa"/>
            <w:vAlign w:val="bottom"/>
          </w:tcPr>
          <w:p>
            <w:pPr>
              <w:spacing w:after="0"/>
              <w:rPr>
                <w:sz w:val="22"/>
                <w:szCs w:val="22"/>
                <w:color w:val="auto"/>
              </w:rPr>
            </w:pPr>
          </w:p>
        </w:tc>
      </w:tr>
      <w:tr>
        <w:trPr>
          <w:trHeight w:val="223"/>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23"/>
        </w:trPr>
        <w:tc>
          <w:tcPr>
            <w:tcW w:w="8740" w:type="dxa"/>
            <w:vAlign w:val="bottom"/>
            <w:gridSpan w:val="2"/>
          </w:tcPr>
          <w:p>
            <w:pPr>
              <w:ind w:left="380"/>
              <w:spacing w:after="0"/>
              <w:rPr>
                <w:sz w:val="20"/>
                <w:szCs w:val="20"/>
                <w:color w:val="auto"/>
              </w:rPr>
            </w:pPr>
            <w:r>
              <w:rPr>
                <w:rFonts w:ascii="Arial" w:cs="Arial" w:eastAsia="Arial" w:hAnsi="Arial"/>
                <w:sz w:val="17"/>
                <w:szCs w:val="17"/>
                <w:color w:val="auto"/>
              </w:rPr>
              <w:t>Cost of revenue</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21</w:t>
            </w:r>
          </w:p>
        </w:tc>
      </w:tr>
      <w:tr>
        <w:trPr>
          <w:trHeight w:val="21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79</w:t>
            </w:r>
          </w:p>
        </w:tc>
      </w:tr>
      <w:tr>
        <w:trPr>
          <w:trHeight w:val="223"/>
        </w:trPr>
        <w:tc>
          <w:tcPr>
            <w:tcW w:w="874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87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35</w:t>
            </w:r>
          </w:p>
        </w:tc>
      </w:tr>
      <w:tr>
        <w:trPr>
          <w:trHeight w:val="223"/>
        </w:trPr>
        <w:tc>
          <w:tcPr>
            <w:tcW w:w="8740" w:type="dxa"/>
            <w:vAlign w:val="bottom"/>
            <w:gridSpan w:val="2"/>
          </w:tcPr>
          <w:p>
            <w:pPr>
              <w:ind w:left="340"/>
              <w:spacing w:after="0"/>
              <w:rPr>
                <w:sz w:val="20"/>
                <w:szCs w:val="20"/>
                <w:color w:val="auto"/>
              </w:rPr>
            </w:pPr>
            <w:r>
              <w:rPr>
                <w:rFonts w:ascii="Arial" w:cs="Arial" w:eastAsia="Arial" w:hAnsi="Arial"/>
                <w:sz w:val="17"/>
                <w:szCs w:val="17"/>
                <w:color w:val="auto"/>
              </w:rPr>
              <w:t>Sales and marketing</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20</w:t>
            </w:r>
          </w:p>
        </w:tc>
      </w:tr>
      <w:tr>
        <w:trPr>
          <w:trHeight w:val="223"/>
        </w:trPr>
        <w:tc>
          <w:tcPr>
            <w:tcW w:w="87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w:t>
            </w:r>
          </w:p>
        </w:tc>
      </w:tr>
      <w:tr>
        <w:trPr>
          <w:trHeight w:val="223"/>
        </w:trPr>
        <w:tc>
          <w:tcPr>
            <w:tcW w:w="8740" w:type="dxa"/>
            <w:vAlign w:val="bottom"/>
            <w:gridSpan w:val="2"/>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1</w:t>
            </w:r>
          </w:p>
        </w:tc>
      </w:tr>
      <w:tr>
        <w:trPr>
          <w:trHeight w:val="223"/>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67</w:t>
            </w:r>
          </w:p>
        </w:tc>
      </w:tr>
      <w:tr>
        <w:trPr>
          <w:trHeight w:val="216"/>
        </w:trPr>
        <w:tc>
          <w:tcPr>
            <w:tcW w:w="754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1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13</w:t>
            </w:r>
          </w:p>
        </w:tc>
      </w:tr>
      <w:tr>
        <w:trPr>
          <w:trHeight w:val="223"/>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900" w:type="dxa"/>
            <w:vAlign w:val="bottom"/>
            <w:gridSpan w:val="3"/>
            <w:shd w:val="clear" w:color="auto" w:fill="CCEEFF"/>
          </w:tcPr>
          <w:p>
            <w:pPr>
              <w:jc w:val="right"/>
              <w:ind w:right="143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8740" w:type="dxa"/>
            <w:vAlign w:val="bottom"/>
            <w:gridSpan w:val="2"/>
          </w:tcPr>
          <w:p>
            <w:pPr>
              <w:ind w:left="20"/>
              <w:spacing w:after="0"/>
              <w:rPr>
                <w:sz w:val="20"/>
                <w:szCs w:val="20"/>
                <w:color w:val="auto"/>
              </w:rPr>
            </w:pPr>
            <w:r>
              <w:rPr>
                <w:rFonts w:ascii="Arial" w:cs="Arial" w:eastAsia="Arial" w:hAnsi="Arial"/>
                <w:sz w:val="17"/>
                <w:szCs w:val="17"/>
                <w:color w:val="auto"/>
              </w:rPr>
              <w:t>Other income, net</w:t>
            </w:r>
          </w:p>
        </w:tc>
        <w:tc>
          <w:tcPr>
            <w:tcW w:w="1900" w:type="dxa"/>
            <w:vAlign w:val="bottom"/>
            <w:gridSpan w:val="3"/>
          </w:tcPr>
          <w:p>
            <w:pPr>
              <w:jc w:val="right"/>
              <w:ind w:right="1433"/>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1</w:t>
            </w:r>
          </w:p>
        </w:tc>
      </w:tr>
      <w:tr>
        <w:trPr>
          <w:trHeight w:val="21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14</w:t>
            </w:r>
          </w:p>
        </w:tc>
      </w:tr>
      <w:tr>
        <w:trPr>
          <w:trHeight w:val="223"/>
        </w:trPr>
        <w:tc>
          <w:tcPr>
            <w:tcW w:w="8740" w:type="dxa"/>
            <w:vAlign w:val="bottom"/>
            <w:gridSpan w:val="2"/>
          </w:tcPr>
          <w:p>
            <w:pPr>
              <w:ind w:left="20"/>
              <w:spacing w:after="0"/>
              <w:rPr>
                <w:sz w:val="20"/>
                <w:szCs w:val="20"/>
                <w:color w:val="auto"/>
              </w:rPr>
            </w:pPr>
            <w:r>
              <w:rPr>
                <w:rFonts w:ascii="Arial" w:cs="Arial" w:eastAsia="Arial" w:hAnsi="Arial"/>
                <w:sz w:val="17"/>
                <w:szCs w:val="17"/>
                <w:color w:val="auto"/>
              </w:rPr>
              <w:t>Benefit from income taxes</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2</w:t>
            </w:r>
          </w:p>
        </w:tc>
      </w:tr>
      <w:tr>
        <w:trPr>
          <w:trHeight w:val="241"/>
        </w:trPr>
        <w:tc>
          <w:tcPr>
            <w:tcW w:w="7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Percentages may not foot due to rounding.</w:t>
      </w:r>
    </w:p>
    <w:p>
      <w:pPr>
        <w:spacing w:after="0" w:line="31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Comparison of the year ended December 31, 2022 and 2021</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Revenue</w:t>
      </w:r>
    </w:p>
    <w:p>
      <w:pPr>
        <w:spacing w:after="0" w:line="389" w:lineRule="exact"/>
        <w:rPr>
          <w:sz w:val="20"/>
          <w:szCs w:val="20"/>
          <w:color w:val="auto"/>
        </w:rPr>
      </w:pPr>
    </w:p>
    <w:p>
      <w:pPr>
        <w:jc w:val="center"/>
        <w:ind w:left="1100"/>
        <w:spacing w:after="0"/>
        <w:rPr>
          <w:sz w:val="20"/>
          <w:szCs w:val="20"/>
          <w:color w:val="auto"/>
        </w:rPr>
      </w:pPr>
      <w:r>
        <w:rPr>
          <w:rFonts w:ascii="Arial" w:cs="Arial" w:eastAsia="Arial" w:hAnsi="Arial"/>
          <w:sz w:val="17"/>
          <w:szCs w:val="17"/>
          <w:b w:val="1"/>
          <w:bCs w:val="1"/>
          <w:color w:val="auto"/>
        </w:rPr>
        <w:t>Year ended</w:t>
      </w:r>
    </w:p>
    <w:p>
      <w:pPr>
        <w:spacing w:after="0" w:line="8" w:lineRule="exact"/>
        <w:rPr>
          <w:sz w:val="20"/>
          <w:szCs w:val="20"/>
          <w:color w:val="auto"/>
        </w:rPr>
      </w:pPr>
    </w:p>
    <w:p>
      <w:pPr>
        <w:jc w:val="center"/>
        <w:ind w:left="110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 Change</w:t>
            </w:r>
          </w:p>
        </w:tc>
      </w:tr>
      <w:tr>
        <w:trPr>
          <w:trHeight w:val="206"/>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73"/>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
        </w:trPr>
        <w:tc>
          <w:tcPr>
            <w:tcW w:w="4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bl>
    <w:p>
      <w:pPr>
        <w:spacing w:after="0" w:line="289" w:lineRule="exact"/>
        <w:rPr>
          <w:sz w:val="20"/>
          <w:szCs w:val="20"/>
          <w:color w:val="auto"/>
        </w:rPr>
      </w:pPr>
    </w:p>
    <w:p>
      <w:pPr>
        <w:ind w:right="120" w:firstLine="433"/>
        <w:spacing w:after="0" w:line="326" w:lineRule="auto"/>
        <w:rPr>
          <w:sz w:val="20"/>
          <w:szCs w:val="20"/>
          <w:color w:val="auto"/>
        </w:rPr>
      </w:pPr>
      <w:r>
        <w:rPr>
          <w:rFonts w:ascii="Arial" w:cs="Arial" w:eastAsia="Arial" w:hAnsi="Arial"/>
          <w:sz w:val="15"/>
          <w:szCs w:val="15"/>
          <w:color w:val="auto"/>
        </w:rPr>
        <w:t>Revenue increased $167.0 million or 8% during the year ended December 31, 2022, as compared to the year ended December 31, 2021, primarily due to an increase of $201.9 million from additional paying users and the repricing and repackaging of the Dropbox Standard and Dropbox Advanced plans in the second quarter of 2022. These increases were offset by a $34.9 million unfavorable impact from changes in foreign exchange rates across multiple currencies.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Cost of revenue, gross profit, and gross margin</w:t>
      </w:r>
    </w:p>
    <w:p>
      <w:pPr>
        <w:spacing w:after="0" w:line="384" w:lineRule="exact"/>
        <w:rPr>
          <w:sz w:val="20"/>
          <w:szCs w:val="20"/>
          <w:color w:val="auto"/>
        </w:rPr>
      </w:pPr>
    </w:p>
    <w:p>
      <w:pPr>
        <w:jc w:val="center"/>
        <w:ind w:left="1280"/>
        <w:spacing w:after="0"/>
        <w:rPr>
          <w:sz w:val="20"/>
          <w:szCs w:val="20"/>
          <w:color w:val="auto"/>
        </w:rPr>
      </w:pPr>
      <w:r>
        <w:rPr>
          <w:rFonts w:ascii="Arial" w:cs="Arial" w:eastAsia="Arial" w:hAnsi="Arial"/>
          <w:sz w:val="17"/>
          <w:szCs w:val="17"/>
          <w:b w:val="1"/>
          <w:bCs w:val="1"/>
          <w:color w:val="auto"/>
        </w:rPr>
        <w:t>Year ended</w:t>
      </w:r>
    </w:p>
    <w:p>
      <w:pPr>
        <w:jc w:val="center"/>
        <w:ind w:left="128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9"/>
                <w:szCs w:val="19"/>
                <w:color w:val="auto"/>
              </w:rPr>
            </w:pPr>
          </w:p>
        </w:tc>
        <w:tc>
          <w:tcPr>
            <w:tcW w:w="160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 Change</w:t>
            </w:r>
          </w:p>
        </w:tc>
      </w:tr>
      <w:tr>
        <w:trPr>
          <w:trHeight w:val="206"/>
        </w:trPr>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jc w:val="right"/>
              <w:ind w:right="73"/>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444.2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ind w:left="1220"/>
              <w:spacing w:after="0"/>
              <w:rPr>
                <w:sz w:val="20"/>
                <w:szCs w:val="20"/>
                <w:color w:val="auto"/>
              </w:rPr>
            </w:pPr>
            <w:r>
              <w:rPr>
                <w:rFonts w:ascii="Arial" w:cs="Arial" w:eastAsia="Arial" w:hAnsi="Arial"/>
                <w:sz w:val="17"/>
                <w:szCs w:val="17"/>
                <w:color w:val="auto"/>
                <w:w w:val="97"/>
              </w:rPr>
              <w:t>— %</w:t>
            </w:r>
          </w:p>
        </w:tc>
      </w:tr>
      <w:tr>
        <w:trPr>
          <w:trHeight w:val="223"/>
        </w:trPr>
        <w:tc>
          <w:tcPr>
            <w:tcW w:w="462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Arial" w:cs="Arial" w:eastAsia="Arial" w:hAnsi="Arial"/>
                <w:sz w:val="17"/>
                <w:szCs w:val="17"/>
                <w:color w:val="auto"/>
              </w:rPr>
              <w:t>1,880.7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7"/>
                <w:szCs w:val="17"/>
                <w:color w:val="auto"/>
              </w:rPr>
              <w:t>1,713.7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167.0</w:t>
            </w:r>
          </w:p>
        </w:tc>
        <w:tc>
          <w:tcPr>
            <w:tcW w:w="120" w:type="dxa"/>
            <w:vAlign w:val="bottom"/>
          </w:tcPr>
          <w:p>
            <w:pPr>
              <w:spacing w:after="0"/>
              <w:rPr>
                <w:sz w:val="19"/>
                <w:szCs w:val="19"/>
                <w:color w:val="auto"/>
              </w:rPr>
            </w:pPr>
          </w:p>
        </w:tc>
        <w:tc>
          <w:tcPr>
            <w:tcW w:w="1600" w:type="dxa"/>
            <w:vAlign w:val="bottom"/>
          </w:tcPr>
          <w:p>
            <w:pPr>
              <w:ind w:left="1220"/>
              <w:spacing w:after="0"/>
              <w:rPr>
                <w:sz w:val="20"/>
                <w:szCs w:val="20"/>
                <w:color w:val="auto"/>
              </w:rPr>
            </w:pPr>
            <w:r>
              <w:rPr>
                <w:rFonts w:ascii="Arial" w:cs="Arial" w:eastAsia="Arial" w:hAnsi="Arial"/>
                <w:sz w:val="17"/>
                <w:szCs w:val="17"/>
                <w:color w:val="auto"/>
                <w:w w:val="92"/>
              </w:rPr>
              <w:t>10 %</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bl>
    <w:p>
      <w:pPr>
        <w:spacing w:after="0" w:line="302" w:lineRule="exact"/>
        <w:rPr>
          <w:sz w:val="20"/>
          <w:szCs w:val="20"/>
          <w:color w:val="auto"/>
        </w:rPr>
      </w:pPr>
    </w:p>
    <w:p>
      <w:pPr>
        <w:jc w:val="both"/>
        <w:ind w:right="200" w:firstLine="433"/>
        <w:spacing w:after="0" w:line="273" w:lineRule="auto"/>
        <w:rPr>
          <w:sz w:val="20"/>
          <w:szCs w:val="20"/>
          <w:color w:val="auto"/>
        </w:rPr>
      </w:pPr>
      <w:r>
        <w:rPr>
          <w:rFonts w:ascii="Arial" w:cs="Arial" w:eastAsia="Arial" w:hAnsi="Arial"/>
          <w:sz w:val="17"/>
          <w:szCs w:val="17"/>
          <w:color w:val="auto"/>
        </w:rPr>
        <w:t>Cost of revenue stayed flat during the year ended December 31, 2022, as compared to the year ended December 31, 2021, primarily due to decreases of $5.1 million in infrastructure costs and $2.3 million in allocated overhead. These decreases were offset by increases of $3.6 million in credit card transaction fees, $2.4 million in outside services, and $1.0 million in employee-related costs.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60" w:firstLine="433"/>
        <w:spacing w:after="0" w:line="289" w:lineRule="auto"/>
        <w:rPr>
          <w:sz w:val="20"/>
          <w:szCs w:val="20"/>
          <w:color w:val="auto"/>
        </w:rPr>
      </w:pPr>
      <w:r>
        <w:rPr>
          <w:rFonts w:ascii="Arial" w:cs="Arial" w:eastAsia="Arial" w:hAnsi="Arial"/>
          <w:sz w:val="17"/>
          <w:szCs w:val="17"/>
          <w:color w:val="auto"/>
        </w:rPr>
        <w:t>Our gross margin increased from 79% during the year ended December 31, 2021 to 81% during the year ended December 31, 2022, primarily due to an 8% increase in revenue during the period and our cost of revenue staying flat, as described above.</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Research and development</w:t>
      </w:r>
    </w:p>
    <w:p>
      <w:pPr>
        <w:spacing w:after="0" w:line="384" w:lineRule="exact"/>
        <w:rPr>
          <w:sz w:val="20"/>
          <w:szCs w:val="20"/>
          <w:color w:val="auto"/>
        </w:rPr>
      </w:pPr>
    </w:p>
    <w:p>
      <w:pPr>
        <w:jc w:val="center"/>
        <w:ind w:left="1320"/>
        <w:spacing w:after="0"/>
        <w:rPr>
          <w:sz w:val="20"/>
          <w:szCs w:val="20"/>
          <w:color w:val="auto"/>
        </w:rPr>
      </w:pPr>
      <w:r>
        <w:rPr>
          <w:rFonts w:ascii="Arial" w:cs="Arial" w:eastAsia="Arial" w:hAnsi="Arial"/>
          <w:sz w:val="17"/>
          <w:szCs w:val="17"/>
          <w:b w:val="1"/>
          <w:bCs w:val="1"/>
          <w:color w:val="auto"/>
        </w:rPr>
        <w:t>Year ended</w:t>
      </w:r>
    </w:p>
    <w:p>
      <w:pPr>
        <w:jc w:val="center"/>
        <w:ind w:left="132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 Change</w:t>
            </w:r>
          </w:p>
        </w:tc>
      </w:tr>
      <w:tr>
        <w:trPr>
          <w:trHeight w:val="206"/>
        </w:trPr>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r>
    </w:tbl>
    <w:p>
      <w:pPr>
        <w:spacing w:after="0" w:line="289" w:lineRule="exact"/>
        <w:rPr>
          <w:sz w:val="20"/>
          <w:szCs w:val="20"/>
          <w:color w:val="auto"/>
        </w:rPr>
      </w:pPr>
    </w:p>
    <w:p>
      <w:pPr>
        <w:ind w:right="260" w:firstLine="433"/>
        <w:spacing w:after="0" w:line="273" w:lineRule="auto"/>
        <w:rPr>
          <w:sz w:val="20"/>
          <w:szCs w:val="20"/>
          <w:color w:val="auto"/>
        </w:rPr>
      </w:pPr>
      <w:r>
        <w:rPr>
          <w:rFonts w:ascii="Arial" w:cs="Arial" w:eastAsia="Arial" w:hAnsi="Arial"/>
          <w:sz w:val="17"/>
          <w:szCs w:val="17"/>
          <w:color w:val="auto"/>
        </w:rPr>
        <w:t>Research and development expenses increased $136.0 million or 18% during the year ended December 31, 2022, as compared to the year ended December 31, 2021, primarily due to increases of $112.0 million in employee-related costs driven by an increase in headcount partially due to high levels of attrition in 2021 and $13.5 million in allocated overhead.</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Sales and marketing</w:t>
      </w:r>
    </w:p>
    <w:p>
      <w:pPr>
        <w:spacing w:after="0" w:line="376" w:lineRule="exact"/>
        <w:rPr>
          <w:sz w:val="20"/>
          <w:szCs w:val="20"/>
          <w:color w:val="auto"/>
        </w:rPr>
      </w:pPr>
    </w:p>
    <w:p>
      <w:pPr>
        <w:jc w:val="center"/>
        <w:ind w:left="1320"/>
        <w:spacing w:after="0"/>
        <w:rPr>
          <w:sz w:val="20"/>
          <w:szCs w:val="20"/>
          <w:color w:val="auto"/>
        </w:rPr>
      </w:pPr>
      <w:r>
        <w:rPr>
          <w:rFonts w:ascii="Arial" w:cs="Arial" w:eastAsia="Arial" w:hAnsi="Arial"/>
          <w:sz w:val="17"/>
          <w:szCs w:val="17"/>
          <w:b w:val="1"/>
          <w:bCs w:val="1"/>
          <w:color w:val="auto"/>
        </w:rPr>
        <w:t>Year ended</w:t>
      </w:r>
    </w:p>
    <w:p>
      <w:pPr>
        <w:spacing w:after="0" w:line="8" w:lineRule="exact"/>
        <w:rPr>
          <w:sz w:val="20"/>
          <w:szCs w:val="20"/>
          <w:color w:val="auto"/>
        </w:rPr>
      </w:pPr>
    </w:p>
    <w:p>
      <w:pPr>
        <w:jc w:val="center"/>
        <w:ind w:left="132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 Change</w:t>
            </w:r>
          </w:p>
        </w:tc>
      </w:tr>
      <w:tr>
        <w:trPr>
          <w:trHeight w:val="206"/>
        </w:trPr>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bl>
    <w:p>
      <w:pPr>
        <w:spacing w:after="0" w:line="289" w:lineRule="exact"/>
        <w:rPr>
          <w:sz w:val="20"/>
          <w:szCs w:val="20"/>
          <w:color w:val="auto"/>
        </w:rPr>
      </w:pPr>
    </w:p>
    <w:p>
      <w:pPr>
        <w:ind w:right="280" w:firstLine="433"/>
        <w:spacing w:after="0" w:line="273" w:lineRule="auto"/>
        <w:rPr>
          <w:sz w:val="20"/>
          <w:szCs w:val="20"/>
          <w:color w:val="auto"/>
        </w:rPr>
      </w:pPr>
      <w:r>
        <w:rPr>
          <w:rFonts w:ascii="Arial" w:cs="Arial" w:eastAsia="Arial" w:hAnsi="Arial"/>
          <w:sz w:val="17"/>
          <w:szCs w:val="17"/>
          <w:color w:val="auto"/>
        </w:rPr>
        <w:t>Sales and marketing expenses decreased $18.1 million or 4% during the year ended December 31, 2022, as compared to the year ended December 31, 2021, primarily due to decreases of $7.6 million in employee-related costs due to severance expenses associated with the reduction in force in 2021, $6.4 million related to brand and other marketing campaigns, and $2.9 million in allocated overhead.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General and administrative</w:t>
      </w:r>
    </w:p>
    <w:p>
      <w:pPr>
        <w:spacing w:after="0" w:line="384" w:lineRule="exact"/>
        <w:rPr>
          <w:sz w:val="20"/>
          <w:szCs w:val="20"/>
          <w:color w:val="auto"/>
        </w:rPr>
      </w:pPr>
    </w:p>
    <w:p>
      <w:pPr>
        <w:jc w:val="center"/>
        <w:ind w:left="1320"/>
        <w:spacing w:after="0"/>
        <w:rPr>
          <w:sz w:val="20"/>
          <w:szCs w:val="20"/>
          <w:color w:val="auto"/>
        </w:rPr>
      </w:pPr>
      <w:r>
        <w:rPr>
          <w:rFonts w:ascii="Arial" w:cs="Arial" w:eastAsia="Arial" w:hAnsi="Arial"/>
          <w:sz w:val="17"/>
          <w:szCs w:val="17"/>
          <w:b w:val="1"/>
          <w:bCs w:val="1"/>
          <w:color w:val="auto"/>
        </w:rPr>
        <w:t>Year ended</w:t>
      </w:r>
    </w:p>
    <w:p>
      <w:pPr>
        <w:jc w:val="center"/>
        <w:ind w:left="132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 Change</w:t>
            </w:r>
          </w:p>
        </w:tc>
      </w:tr>
      <w:tr>
        <w:trPr>
          <w:trHeight w:val="206"/>
        </w:trPr>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bl>
    <w:p>
      <w:pPr>
        <w:spacing w:after="0" w:line="289" w:lineRule="exact"/>
        <w:rPr>
          <w:sz w:val="20"/>
          <w:szCs w:val="20"/>
          <w:color w:val="auto"/>
        </w:rPr>
      </w:pPr>
    </w:p>
    <w:p>
      <w:pPr>
        <w:ind w:right="220" w:firstLine="433"/>
        <w:spacing w:after="0" w:line="273" w:lineRule="auto"/>
        <w:rPr>
          <w:sz w:val="20"/>
          <w:szCs w:val="20"/>
          <w:color w:val="auto"/>
        </w:rPr>
      </w:pPr>
      <w:r>
        <w:rPr>
          <w:rFonts w:ascii="Arial" w:cs="Arial" w:eastAsia="Arial" w:hAnsi="Arial"/>
          <w:sz w:val="17"/>
          <w:szCs w:val="17"/>
          <w:color w:val="auto"/>
        </w:rPr>
        <w:t>General and administrative expense decreased $1.7 million or 1% during the year ended December 31, 2022, as compared to the year ended December 31, 2021, primarily due to decreases of $5.0 million in non-income based taxes, $3.6 million in allocated overhead and $1.9 million in legal fees. These decreases were offset by increases of $5.6 million in outside services and $4.2 million in employee-related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60" w:type="dxa"/>
            <w:vAlign w:val="bottom"/>
          </w:tcPr>
          <w:p>
            <w:pPr>
              <w:ind w:left="440"/>
              <w:spacing w:after="0"/>
              <w:rPr>
                <w:sz w:val="20"/>
                <w:szCs w:val="20"/>
                <w:color w:val="auto"/>
              </w:rPr>
            </w:pPr>
            <w:r>
              <w:rPr>
                <w:rFonts w:ascii="Arial" w:cs="Arial" w:eastAsia="Arial" w:hAnsi="Arial"/>
                <w:sz w:val="17"/>
                <w:szCs w:val="17"/>
                <w:i w:val="1"/>
                <w:iCs w:val="1"/>
                <w:color w:val="auto"/>
              </w:rPr>
              <w:t>Impairment related to real estate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7"/>
        </w:trPr>
        <w:tc>
          <w:tcPr>
            <w:tcW w:w="4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3"/>
          </w:tcPr>
          <w:p>
            <w:pPr>
              <w:jc w:val="center"/>
              <w:ind w:left="536"/>
              <w:spacing w:after="0"/>
              <w:rPr>
                <w:sz w:val="20"/>
                <w:szCs w:val="20"/>
                <w:color w:val="auto"/>
              </w:rPr>
            </w:pPr>
            <w:r>
              <w:rPr>
                <w:rFonts w:ascii="Arial" w:cs="Arial" w:eastAsia="Arial" w:hAnsi="Arial"/>
                <w:sz w:val="17"/>
                <w:szCs w:val="17"/>
                <w:b w:val="1"/>
                <w:bCs w:val="1"/>
                <w:color w:val="auto"/>
                <w:w w:val="91"/>
              </w:rPr>
              <w:t>Year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9"/>
        </w:trPr>
        <w:tc>
          <w:tcPr>
            <w:tcW w:w="4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7"/>
                <w:szCs w:val="17"/>
                <w:b w:val="1"/>
                <w:bCs w:val="1"/>
                <w:color w:val="auto"/>
                <w:w w:val="92"/>
              </w:rPr>
              <w:t>December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4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 Change</w:t>
            </w:r>
          </w:p>
        </w:tc>
      </w:tr>
      <w:tr>
        <w:trPr>
          <w:trHeight w:val="206"/>
        </w:trPr>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3"/>
          </w:tcPr>
          <w:p>
            <w:pPr>
              <w:jc w:val="center"/>
              <w:ind w:left="556"/>
              <w:spacing w:after="0"/>
              <w:rPr>
                <w:sz w:val="20"/>
                <w:szCs w:val="20"/>
                <w:color w:val="auto"/>
              </w:rPr>
            </w:pPr>
            <w:r>
              <w:rPr>
                <w:rFonts w:ascii="Arial" w:cs="Arial" w:eastAsia="Arial" w:hAnsi="Arial"/>
                <w:sz w:val="14"/>
                <w:szCs w:val="14"/>
                <w:i w:val="1"/>
                <w:iCs w:val="1"/>
                <w:color w:val="auto"/>
                <w:w w:val="97"/>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538"/>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related to real estate assets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143.9</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460 %</w:t>
            </w:r>
          </w:p>
        </w:tc>
      </w:tr>
    </w:tbl>
    <w:p>
      <w:pPr>
        <w:spacing w:after="0" w:line="302" w:lineRule="exact"/>
        <w:rPr>
          <w:sz w:val="20"/>
          <w:szCs w:val="20"/>
          <w:color w:val="auto"/>
        </w:rPr>
      </w:pPr>
    </w:p>
    <w:p>
      <w:pPr>
        <w:ind w:right="80" w:firstLine="433"/>
        <w:spacing w:after="0" w:line="246" w:lineRule="auto"/>
        <w:rPr>
          <w:sz w:val="20"/>
          <w:szCs w:val="20"/>
          <w:color w:val="auto"/>
        </w:rPr>
      </w:pPr>
      <w:r>
        <w:rPr>
          <w:rFonts w:ascii="Arial" w:cs="Arial" w:eastAsia="Arial" w:hAnsi="Arial"/>
          <w:sz w:val="17"/>
          <w:szCs w:val="17"/>
          <w:color w:val="auto"/>
        </w:rPr>
        <w:t>Impairment related to real estate assets was $175.2 million and $31.3 million during the year ended December 31, 2022 and 2021, respectively, related to real estate assets as a result of our Virtual First strategy and the impact of updated assumptions, including future rent rates, expected vacancy periods, and increased common area fees for our San Francisco headquarters, as we continue to monitor the corporate real estate market where we have space available for sublease.</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Interest income (expense), net</w:t>
      </w:r>
    </w:p>
    <w:p>
      <w:pPr>
        <w:spacing w:after="0" w:line="119" w:lineRule="exact"/>
        <w:rPr>
          <w:sz w:val="20"/>
          <w:szCs w:val="20"/>
          <w:color w:val="auto"/>
        </w:rPr>
      </w:pPr>
    </w:p>
    <w:p>
      <w:pPr>
        <w:ind w:right="440" w:firstLine="433"/>
        <w:spacing w:after="0" w:line="289" w:lineRule="auto"/>
        <w:rPr>
          <w:sz w:val="20"/>
          <w:szCs w:val="20"/>
          <w:color w:val="auto"/>
        </w:rPr>
      </w:pPr>
      <w:r>
        <w:rPr>
          <w:rFonts w:ascii="Arial" w:cs="Arial" w:eastAsia="Arial" w:hAnsi="Arial"/>
          <w:sz w:val="17"/>
          <w:szCs w:val="17"/>
          <w:color w:val="auto"/>
        </w:rPr>
        <w:t>Interest income (expense), net increased $8.5 million during the year ended December 31, 2022, as compared to the year ended December 31, 2021, primarily due to higher interest income as a result of interest rate increases.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Other income, net</w:t>
      </w:r>
    </w:p>
    <w:p>
      <w:pPr>
        <w:spacing w:after="0" w:line="119"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Other income, net decreased $22.0 million during the year ended December 31, 2022, as compared to the year ended December 31, 2021, primarily due to $13.6 million related to the partial termination of our headquarters head lease in 2021, $6.2 million in losses related to the termination of a datacenter lease, and $8.0 million reduction in sales of retired infrastructure assets. These decreases were offset by a $5.0 million gain related to the sale of equity investments and increases of $2.1 million in foreign currency transaction gains.</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Benefit from income taxes</w:t>
      </w:r>
    </w:p>
    <w:p>
      <w:pPr>
        <w:spacing w:after="0" w:line="119"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Benefit from income taxes increased by $324.0 million during the year ended December 31, 2022 as compared to the year ended December 31, 2021, primarily due to $420.2 million of tax benefits from the release of a valuation allowance on U.S. deferred tax assets, offset by the impact of capitalization of research and experimental expenditures and tax expense for our Irish subsidiary, which no longer maintains a valuation allowance on deferred tax assets during the year ended December 31, 2022.</w:t>
      </w:r>
    </w:p>
    <w:p>
      <w:pPr>
        <w:spacing w:after="0" w:line="176"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The Tax Cuts and Jobs Act of 2017 ("TCJA") requires taxpayers to capitalize and amortize research and development costs pursuant to Internal Revenue Code ("IRC") Section 174. Although Congress may consider legislation that would defer the capitalization and amortization requirement to later years, we have no assurance that the requirement will be repealed or otherwise modified. The requirement was effective for the Company beginning January 1, 2022. For the tax year ended December 31, 2022, the Company recorded an increase to income tax payable as well as deferred tax assets of approximately $123.9 million due to Section 174 capitalization.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6" w:lineRule="exact"/>
        <w:rPr>
          <w:sz w:val="20"/>
          <w:szCs w:val="20"/>
          <w:color w:val="auto"/>
        </w:rPr>
      </w:pPr>
    </w:p>
    <w:p>
      <w:pPr>
        <w:ind w:right="100" w:firstLine="393"/>
        <w:spacing w:after="0" w:line="265" w:lineRule="auto"/>
        <w:rPr>
          <w:sz w:val="20"/>
          <w:szCs w:val="20"/>
          <w:color w:val="auto"/>
        </w:rPr>
      </w:pPr>
      <w:r>
        <w:rPr>
          <w:rFonts w:ascii="Arial" w:cs="Arial" w:eastAsia="Arial" w:hAnsi="Arial"/>
          <w:sz w:val="17"/>
          <w:szCs w:val="17"/>
          <w:color w:val="auto"/>
        </w:rPr>
        <w:t>As of December 31, 2022, we had cash and cash equivalents of $232.8 million and short-term investments of $1,110.6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December 31, 2022, we had $155.8 million of our cash and cash equivalents held by our foreign subsidiaries. We do not expect to incur material taxes in the event we repatriate any of these amounts.</w:t>
      </w:r>
    </w:p>
    <w:p>
      <w:pPr>
        <w:spacing w:after="0" w:line="206" w:lineRule="exact"/>
        <w:rPr>
          <w:sz w:val="20"/>
          <w:szCs w:val="20"/>
          <w:color w:val="auto"/>
        </w:rPr>
      </w:pPr>
    </w:p>
    <w:p>
      <w:pPr>
        <w:ind w:right="200" w:firstLine="393"/>
        <w:spacing w:after="0" w:line="265" w:lineRule="auto"/>
        <w:rPr>
          <w:sz w:val="20"/>
          <w:szCs w:val="20"/>
          <w:color w:val="auto"/>
        </w:rPr>
      </w:pPr>
      <w:r>
        <w:rPr>
          <w:rFonts w:ascii="Arial" w:cs="Arial" w:eastAsia="Arial" w:hAnsi="Arial"/>
          <w:sz w:val="17"/>
          <w:szCs w:val="17"/>
          <w:color w:val="auto"/>
        </w:rPr>
        <w:t>We have historically financed our operations primarily through cash generated from our operations, the issuance of the Notes and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In February 2021, we issued approximately $1.4 billion in aggregate principal amount of convertible senior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will not bear regular interest and the principal will not accrete. The Notes of each series may bear special interest as the remedy relating to our failure to comply with certain of our reporting obligations. These Notes can be converted or repurchased prior to maturity if certain conditions are met.</w:t>
      </w:r>
    </w:p>
    <w:p>
      <w:pPr>
        <w:spacing w:after="0" w:line="113" w:lineRule="exact"/>
        <w:rPr>
          <w:sz w:val="20"/>
          <w:szCs w:val="20"/>
          <w:color w:val="auto"/>
        </w:rPr>
      </w:pPr>
    </w:p>
    <w:p>
      <w:pPr>
        <w:ind w:firstLine="393"/>
        <w:spacing w:after="0" w:line="280" w:lineRule="auto"/>
        <w:rPr>
          <w:sz w:val="20"/>
          <w:szCs w:val="20"/>
          <w:color w:val="auto"/>
        </w:rPr>
      </w:pPr>
      <w:r>
        <w:rPr>
          <w:rFonts w:ascii="Arial" w:cs="Arial" w:eastAsia="Arial" w:hAnsi="Arial"/>
          <w:sz w:val="16"/>
          <w:szCs w:val="16"/>
          <w:color w:val="auto"/>
        </w:rPr>
        <w:t xml:space="preserve">Our principal uses of cash in recent periods have been funding our operations, repurchases of our Class A common stock, purchases of short-term investments, the satisfaction of tax withholding obligations in connection with the settlement of restricted stock units and awards, making principal payments on our finance lease obligations, and capital expenditures. In February 2022, our Board of Directors authorized the repurchase of up to $1.2 billion of the outstanding shares of our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w:t>
      </w:r>
      <w:r>
        <w:rPr>
          <w:rFonts w:ascii="Arial" w:cs="Arial" w:eastAsia="Arial" w:hAnsi="Arial"/>
          <w:sz w:val="16"/>
          <w:szCs w:val="16"/>
          <w:color w:val="212529"/>
        </w:rPr>
        <w:t>During</w:t>
      </w:r>
      <w:r>
        <w:rPr>
          <w:rFonts w:ascii="Arial" w:cs="Arial" w:eastAsia="Arial" w:hAnsi="Arial"/>
          <w:sz w:val="16"/>
          <w:szCs w:val="16"/>
          <w:color w:val="auto"/>
        </w:rPr>
        <w:t xml:space="preserve"> </w:t>
      </w:r>
      <w:r>
        <w:rPr>
          <w:rFonts w:ascii="Arial" w:cs="Arial" w:eastAsia="Arial" w:hAnsi="Arial"/>
          <w:sz w:val="16"/>
          <w:szCs w:val="16"/>
          <w:color w:val="212529"/>
        </w:rPr>
        <w:t xml:space="preserve">the year ended December 31, </w:t>
      </w:r>
      <w:r>
        <w:rPr>
          <w:rFonts w:ascii="Arial" w:cs="Arial" w:eastAsia="Arial" w:hAnsi="Arial"/>
          <w:sz w:val="16"/>
          <w:szCs w:val="16"/>
          <w:color w:val="000000"/>
        </w:rPr>
        <w:t>2022</w:t>
      </w:r>
      <w:r>
        <w:rPr>
          <w:rFonts w:ascii="Arial" w:cs="Arial" w:eastAsia="Arial" w:hAnsi="Arial"/>
          <w:sz w:val="16"/>
          <w:szCs w:val="16"/>
          <w:color w:val="212529"/>
        </w:rPr>
        <w:t xml:space="preserve">, we repurchased and subsequently retired 35.6 million shares of our Class A common stock for an aggregate amount of $795.4 million. </w:t>
      </w:r>
      <w:r>
        <w:rPr>
          <w:rFonts w:ascii="Arial" w:cs="Arial" w:eastAsia="Arial" w:hAnsi="Arial"/>
          <w:sz w:val="16"/>
          <w:szCs w:val="16"/>
          <w:color w:val="000000"/>
        </w:rPr>
        <w:t>The pace of our share repurchases may fluctuate due to various circumstances, including market conditions and our stock price.</w:t>
      </w:r>
    </w:p>
    <w:p>
      <w:pPr>
        <w:spacing w:after="0" w:line="197"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In April 2017, we entered into a $600.0 million credit facility with a syndicate of financial institutions, which we subsequently amended in February 2018 and February 2021. Pursuant to the terms of the revolving credit facility, we may issue letters of credit under the revolving credit facility, which reduce the total amount available for borrowing under such facility.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In February 2021, we amended our revolving credit facility to decrease our borrowing capacity from $725.0 million to $500.0 million. We may from time to time request increases in the borrowing capacity under the revolving credit facility of up to $250.0 million, provided no event of default has occurred or is continuing or would result from such increase. The revolving credit facility terminates on February 23, 2026.</w:t>
      </w:r>
    </w:p>
    <w:p>
      <w:pPr>
        <w:spacing w:after="0" w:line="207" w:lineRule="exact"/>
        <w:rPr>
          <w:sz w:val="20"/>
          <w:szCs w:val="20"/>
          <w:color w:val="auto"/>
        </w:rPr>
      </w:pPr>
    </w:p>
    <w:p>
      <w:pPr>
        <w:ind w:right="140" w:firstLine="393"/>
        <w:spacing w:after="0" w:line="264" w:lineRule="auto"/>
        <w:rPr>
          <w:sz w:val="20"/>
          <w:szCs w:val="20"/>
          <w:color w:val="auto"/>
        </w:rPr>
      </w:pPr>
      <w:r>
        <w:rPr>
          <w:rFonts w:ascii="Arial" w:cs="Arial" w:eastAsia="Arial" w:hAnsi="Arial"/>
          <w:sz w:val="17"/>
          <w:szCs w:val="17"/>
          <w:color w:val="auto"/>
        </w:rPr>
        <w:t>Interest on borrowings under the revolving credit facility accrues at a variable rate tied to LIBOR or an alternative base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 outstanding. There is an additional fronting fee of 0.125% per annum multiplied by the average aggregate daily maximum amount available under all letters of credit.</w:t>
      </w:r>
    </w:p>
    <w:p>
      <w:pPr>
        <w:spacing w:after="0" w:line="205" w:lineRule="exact"/>
        <w:rPr>
          <w:sz w:val="20"/>
          <w:szCs w:val="20"/>
          <w:color w:val="auto"/>
        </w:rPr>
      </w:pPr>
    </w:p>
    <w:p>
      <w:pPr>
        <w:ind w:right="140" w:firstLine="393"/>
        <w:spacing w:after="0" w:line="290" w:lineRule="auto"/>
        <w:rPr>
          <w:sz w:val="20"/>
          <w:szCs w:val="20"/>
          <w:color w:val="auto"/>
        </w:rPr>
      </w:pPr>
      <w:r>
        <w:rPr>
          <w:rFonts w:ascii="Arial" w:cs="Arial" w:eastAsia="Arial" w:hAnsi="Arial"/>
          <w:sz w:val="16"/>
          <w:szCs w:val="16"/>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incurrence covenant and a minimum liquidity balance. We were in compliance with all covenants under the revolving credit facility as of as of December 31, 2022.</w:t>
      </w:r>
    </w:p>
    <w:p>
      <w:pPr>
        <w:spacing w:after="0" w:line="81" w:lineRule="exact"/>
        <w:rPr>
          <w:sz w:val="20"/>
          <w:szCs w:val="20"/>
          <w:color w:val="auto"/>
        </w:rPr>
      </w:pPr>
    </w:p>
    <w:p>
      <w:pPr>
        <w:ind w:right="180" w:firstLine="393"/>
        <w:spacing w:after="0" w:line="360" w:lineRule="auto"/>
        <w:rPr>
          <w:sz w:val="20"/>
          <w:szCs w:val="20"/>
          <w:color w:val="auto"/>
        </w:rPr>
      </w:pPr>
      <w:r>
        <w:rPr>
          <w:rFonts w:ascii="Arial" w:cs="Arial" w:eastAsia="Arial" w:hAnsi="Arial"/>
          <w:sz w:val="15"/>
          <w:szCs w:val="15"/>
          <w:color w:val="auto"/>
        </w:rPr>
        <w:t>As of December 31, 2022, we had no amounts outstanding under the revolving credit facility and an aggregate of $40.6 million in letters of credit issued under the revolving credit facility. Our total available borrowing capacity under the revolving credit facility was $459.4 million as of December 31, 2022.</w:t>
      </w:r>
    </w:p>
    <w:p>
      <w:pPr>
        <w:spacing w:after="0" w:line="46" w:lineRule="exact"/>
        <w:rPr>
          <w:sz w:val="20"/>
          <w:szCs w:val="20"/>
          <w:color w:val="auto"/>
        </w:rPr>
      </w:pPr>
    </w:p>
    <w:p>
      <w:pPr>
        <w:jc w:val="both"/>
        <w:ind w:right="140" w:firstLine="393"/>
        <w:spacing w:after="0" w:line="273" w:lineRule="auto"/>
        <w:rPr>
          <w:sz w:val="20"/>
          <w:szCs w:val="20"/>
          <w:color w:val="auto"/>
        </w:rPr>
      </w:pPr>
      <w:r>
        <w:rPr>
          <w:rFonts w:ascii="Arial" w:cs="Arial" w:eastAsia="Arial" w:hAnsi="Arial"/>
          <w:sz w:val="17"/>
          <w:szCs w:val="17"/>
          <w:color w:val="auto"/>
        </w:rPr>
        <w:t>As of December 31, 2022, we utilized a significant portion of our U.S. federal, state and foreign net operating losses. Future utilization of remaining net operating loss and research credit carryforwards are subject to statutory limits. Accordingly, we expect our cash tax obligations will increase in the foreseeable future.</w:t>
      </w:r>
    </w:p>
    <w:p>
      <w:pPr>
        <w:spacing w:after="0" w:line="107" w:lineRule="exact"/>
        <w:rPr>
          <w:sz w:val="20"/>
          <w:szCs w:val="20"/>
          <w:color w:val="auto"/>
        </w:rPr>
      </w:pPr>
    </w:p>
    <w:p>
      <w:pPr>
        <w:jc w:val="both"/>
        <w:ind w:right="40" w:firstLine="393"/>
        <w:spacing w:after="0" w:line="273" w:lineRule="auto"/>
        <w:rPr>
          <w:sz w:val="20"/>
          <w:szCs w:val="20"/>
          <w:color w:val="auto"/>
        </w:rPr>
      </w:pPr>
      <w:r>
        <w:rPr>
          <w:rFonts w:ascii="Arial" w:cs="Arial" w:eastAsia="Arial" w:hAnsi="Arial"/>
          <w:sz w:val="17"/>
          <w:szCs w:val="17"/>
          <w:color w:val="auto"/>
        </w:rPr>
        <w:t>We believe our existing cash and cash equivalents, together with our short-term investments, cash provided by operations and amounts available under the revolving credit facility, will be sufficient to meet our needs for the foreseeable future. In addition to the convertible notes discussed above, as of December 31, 2022, we have cash commitments due to additional known contractual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cash commitments due to known contractual obligations as of December 31, 2022:</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11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1 - 3 years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3 - 5 years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10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0"/>
                <w:szCs w:val="20"/>
                <w:color w:val="auto"/>
                <w:vertAlign w:val="superscript"/>
              </w:rPr>
              <w:t>(1)</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line="223" w:lineRule="exact"/>
              <w:rPr>
                <w:sz w:val="20"/>
                <w:szCs w:val="20"/>
                <w:color w:val="auto"/>
              </w:rPr>
            </w:pPr>
            <w:r>
              <w:rPr>
                <w:rFonts w:ascii="Arial" w:cs="Arial" w:eastAsia="Arial" w:hAnsi="Arial"/>
                <w:sz w:val="17"/>
                <w:szCs w:val="17"/>
                <w:color w:val="auto"/>
              </w:rPr>
              <w:t>Finance lease commitments</w:t>
            </w:r>
            <w:r>
              <w:rPr>
                <w:rFonts w:ascii="Arial" w:cs="Arial" w:eastAsia="Arial" w:hAnsi="Arial"/>
                <w:sz w:val="20"/>
                <w:szCs w:val="20"/>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Other commitments</w:t>
            </w:r>
            <w:r>
              <w:rPr>
                <w:rFonts w:ascii="Arial" w:cs="Arial" w:eastAsia="Arial" w:hAnsi="Arial"/>
                <w:sz w:val="20"/>
                <w:szCs w:val="20"/>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7"/>
                <w:szCs w:val="17"/>
                <w:color w:val="auto"/>
              </w:rPr>
              <w:t>Total contractual obligations</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1,157.6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640" w:right="320" w:hanging="320"/>
        <w:spacing w:after="0" w:line="227" w:lineRule="auto"/>
        <w:tabs>
          <w:tab w:leader="none" w:pos="628" w:val="left"/>
        </w:tabs>
        <w:numPr>
          <w:ilvl w:val="0"/>
          <w:numId w:val="30"/>
        </w:numPr>
        <w:rPr>
          <w:rFonts w:ascii="Arial" w:cs="Arial" w:eastAsia="Arial" w:hAnsi="Arial"/>
          <w:sz w:val="20"/>
          <w:szCs w:val="20"/>
          <w:color w:val="auto"/>
          <w:vertAlign w:val="superscript"/>
        </w:rPr>
      </w:pPr>
      <w:r>
        <w:rPr>
          <w:rFonts w:ascii="Arial" w:cs="Arial" w:eastAsia="Arial" w:hAnsi="Arial"/>
          <w:sz w:val="16"/>
          <w:szCs w:val="16"/>
          <w:color w:val="auto"/>
        </w:rPr>
        <w:t>Consists of future non-cancelable minimum rental payments under operating leases for our offices and datacenters, excluding rent payments from our subtenants and variable operating expenses with terms of 14 years or less. As of December 31, 2022, we are entitled to non-cancelable rent payments from our subtenants of $95.2 million, which will be collected over the next 10 years.</w:t>
      </w:r>
    </w:p>
    <w:p>
      <w:pPr>
        <w:spacing w:after="0" w:line="1" w:lineRule="exact"/>
        <w:rPr>
          <w:rFonts w:ascii="Arial" w:cs="Arial" w:eastAsia="Arial" w:hAnsi="Arial"/>
          <w:sz w:val="20"/>
          <w:szCs w:val="20"/>
          <w:color w:val="auto"/>
          <w:vertAlign w:val="superscript"/>
        </w:rPr>
      </w:pPr>
    </w:p>
    <w:p>
      <w:pPr>
        <w:ind w:left="620" w:hanging="300"/>
        <w:spacing w:after="0" w:line="202" w:lineRule="auto"/>
        <w:tabs>
          <w:tab w:leader="none" w:pos="620" w:val="left"/>
        </w:tabs>
        <w:numPr>
          <w:ilvl w:val="0"/>
          <w:numId w:val="30"/>
        </w:numPr>
        <w:rPr>
          <w:rFonts w:ascii="Arial" w:cs="Arial" w:eastAsia="Arial" w:hAnsi="Arial"/>
          <w:sz w:val="20"/>
          <w:szCs w:val="20"/>
          <w:color w:val="auto"/>
          <w:vertAlign w:val="superscript"/>
        </w:rPr>
      </w:pPr>
      <w:r>
        <w:rPr>
          <w:rFonts w:ascii="Arial" w:cs="Arial" w:eastAsia="Arial" w:hAnsi="Arial"/>
          <w:sz w:val="16"/>
          <w:szCs w:val="16"/>
          <w:color w:val="auto"/>
        </w:rPr>
        <w:t>Consists of future non-cancelable minimum rental payments under finance leases primarily for our infrastructure with terms of 4 years or less.</w:t>
      </w:r>
    </w:p>
    <w:p>
      <w:pPr>
        <w:ind w:left="640" w:right="340" w:hanging="320"/>
        <w:spacing w:after="0" w:line="221" w:lineRule="auto"/>
        <w:tabs>
          <w:tab w:leader="none" w:pos="628" w:val="left"/>
        </w:tabs>
        <w:numPr>
          <w:ilvl w:val="0"/>
          <w:numId w:val="30"/>
        </w:numPr>
        <w:rPr>
          <w:rFonts w:ascii="Arial" w:cs="Arial" w:eastAsia="Arial" w:hAnsi="Arial"/>
          <w:sz w:val="20"/>
          <w:szCs w:val="20"/>
          <w:color w:val="auto"/>
          <w:vertAlign w:val="superscript"/>
        </w:rPr>
      </w:pPr>
      <w:r>
        <w:rPr>
          <w:rFonts w:ascii="Arial" w:cs="Arial" w:eastAsia="Arial" w:hAnsi="Arial"/>
          <w:sz w:val="16"/>
          <w:szCs w:val="16"/>
          <w:color w:val="auto"/>
        </w:rPr>
        <w:t>Consists of commitments to third-party vendors for services related to our infrastructure, infrastructure warranty contracts, and asset retirement obligations for office modifications with terms of 14 years or less.</w:t>
      </w:r>
    </w:p>
    <w:p>
      <w:pPr>
        <w:spacing w:after="0" w:line="192" w:lineRule="exact"/>
        <w:rPr>
          <w:sz w:val="20"/>
          <w:szCs w:val="20"/>
          <w:color w:val="auto"/>
        </w:rPr>
      </w:pPr>
    </w:p>
    <w:p>
      <w:pPr>
        <w:ind w:right="120" w:firstLine="393"/>
        <w:spacing w:after="0" w:line="261" w:lineRule="auto"/>
        <w:rPr>
          <w:sz w:val="20"/>
          <w:szCs w:val="20"/>
          <w:color w:val="auto"/>
        </w:rPr>
      </w:pPr>
      <w:r>
        <w:rPr>
          <w:rFonts w:ascii="Arial" w:cs="Arial" w:eastAsia="Arial" w:hAnsi="Arial"/>
          <w:sz w:val="17"/>
          <w:szCs w:val="17"/>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60" w:type="dxa"/>
            <w:vAlign w:val="bottom"/>
          </w:tcPr>
          <w:p>
            <w:pPr>
              <w:ind w:left="400"/>
              <w:spacing w:after="0"/>
              <w:rPr>
                <w:sz w:val="20"/>
                <w:szCs w:val="20"/>
                <w:color w:val="auto"/>
              </w:rPr>
            </w:pPr>
            <w:r>
              <w:rPr>
                <w:rFonts w:ascii="Arial" w:cs="Arial" w:eastAsia="Arial" w:hAnsi="Arial"/>
                <w:sz w:val="17"/>
                <w:szCs w:val="17"/>
                <w:color w:val="auto"/>
              </w:rPr>
              <w:t>Our cash flow activities were as follows for the periods presented:</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81"/>
        </w:trPr>
        <w:tc>
          <w:tcPr>
            <w:tcW w:w="766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7"/>
                <w:szCs w:val="17"/>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r>
      <w:tr>
        <w:trPr>
          <w:trHeight w:val="216"/>
        </w:trPr>
        <w:tc>
          <w:tcPr>
            <w:tcW w:w="76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r>
      <w:tr>
        <w:trPr>
          <w:trHeight w:val="206"/>
        </w:trPr>
        <w:tc>
          <w:tcPr>
            <w:tcW w:w="7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60" w:type="dxa"/>
            <w:vAlign w:val="bottom"/>
            <w:gridSpan w:val="3"/>
          </w:tcPr>
          <w:p>
            <w:pPr>
              <w:jc w:val="right"/>
              <w:ind w:right="713"/>
              <w:spacing w:after="0"/>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7"/>
                <w:szCs w:val="17"/>
                <w:color w:val="auto"/>
              </w:rPr>
            </w:pPr>
          </w:p>
        </w:tc>
      </w:tr>
      <w:tr>
        <w:trPr>
          <w:trHeight w:val="24"/>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729.8</w:t>
            </w:r>
          </w:p>
        </w:tc>
      </w:tr>
      <w:tr>
        <w:trPr>
          <w:trHeight w:val="223"/>
        </w:trPr>
        <w:tc>
          <w:tcPr>
            <w:tcW w:w="766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(48.5)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(524.8)</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(1,041.8)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23"/>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41"/>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9"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depreciation and amortization expenses, and impairment related to real estate assets, as well as the effect of changes in operating assets and liabilities.</w:t>
      </w:r>
    </w:p>
    <w:p>
      <w:pPr>
        <w:spacing w:after="0" w:line="176"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For the year ended December 31, 2022, net cash provided by operating activities was $797.3 million, which primarily consisted of our net income</w:t>
      </w:r>
    </w:p>
    <w:p>
      <w:pPr>
        <w:spacing w:after="0" w:line="26"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of $553.2 million, adjusted for an income tax benefit from deferred taxes of $396.3 million, stock-based compensation expense of $330.7 million, impairment related to real estate assets of $175.2 million, depreciation and amortization expenses of $157.1 million, and net cash outflow of $124.3 million from operating assets and liabilities. The outflow from operating assets and liabilities was primarily due to the payment of our corporate bonus and key employee holdback payments related to acquisitions, offset by an increase in deferred revenue from increased subscription sales, as a majority of our paying users are invoiced in advance.</w:t>
      </w: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9" w:lineRule="exact"/>
        <w:rPr>
          <w:sz w:val="20"/>
          <w:szCs w:val="20"/>
          <w:color w:val="auto"/>
        </w:rPr>
      </w:pPr>
    </w:p>
    <w:p>
      <w:pPr>
        <w:ind w:right="60" w:firstLine="393"/>
        <w:spacing w:after="0" w:line="273" w:lineRule="auto"/>
        <w:rPr>
          <w:sz w:val="20"/>
          <w:szCs w:val="20"/>
          <w:color w:val="auto"/>
        </w:rPr>
      </w:pPr>
      <w:r>
        <w:rPr>
          <w:rFonts w:ascii="Arial" w:cs="Arial" w:eastAsia="Arial" w:hAnsi="Arial"/>
          <w:sz w:val="17"/>
          <w:szCs w:val="17"/>
          <w:color w:val="auto"/>
        </w:rPr>
        <w:t>Net cash used in investing activities is primarily impacted by net investment activity, which includes sales, maturities, and purchases of short-term investments, cash paid for acquisitions, purchases of property and equipment to make improvements or modifications to existing and new office spaces, and for purchasing infrastructure equipment in co-location facilities that we directly lease and operate.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year ended December 31, 2022, net cash used in investing activities was $48.5 million, which primarily related to cash paid for acquisitions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$75.4 million and cash paid for capital expenditures of $33.8 million related to our office build-outs, work required to prepare spaces for sublease, purchases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computer equipment, and datacenter build-outs. The increase was partially offset by $31.6 million in net investment activity inflows, driven by the sales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maturities of short-term investments, net of purchases.</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9" w:lineRule="exact"/>
        <w:rPr>
          <w:sz w:val="20"/>
          <w:szCs w:val="20"/>
          <w:color w:val="auto"/>
        </w:rPr>
      </w:pPr>
    </w:p>
    <w:p>
      <w:pPr>
        <w:jc w:val="both"/>
        <w:ind w:right="200" w:firstLine="393"/>
        <w:spacing w:after="0" w:line="273" w:lineRule="auto"/>
        <w:rPr>
          <w:sz w:val="20"/>
          <w:szCs w:val="20"/>
          <w:color w:val="auto"/>
        </w:rPr>
      </w:pPr>
      <w:r>
        <w:rPr>
          <w:rFonts w:ascii="Arial" w:cs="Arial" w:eastAsia="Arial" w:hAnsi="Arial"/>
          <w:sz w:val="17"/>
          <w:szCs w:val="17"/>
          <w:color w:val="auto"/>
        </w:rPr>
        <w:t>Net cash (used in) provided by financing activities is primarily impacted by cash used for repurchases of common stock, tax withholding obligations for the release of restricted stock units (“RSUs”) and restricted stock awards (“RSAs”), and principal payments on finance lease obligations for our infrastructure equipment.</w:t>
      </w:r>
    </w:p>
    <w:p>
      <w:pPr>
        <w:spacing w:after="0" w:line="172"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color w:val="auto"/>
        </w:rPr>
        <w:t>For the year ended December 31, 2022, net cash used in financing activities was $1,041.8 million, which primarily consisted of $795.4 million for the repurchase of our common stock, $127.5 million in principal payments on finance lease obligations, and $119.4 million for the satisfaction of tax withholding obligations for the release of restricted stock units and awards.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Impacts of Stock-Based Compensation</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Co-Founder Grant</w:t>
      </w:r>
    </w:p>
    <w:p>
      <w:pPr>
        <w:spacing w:after="0" w:line="250" w:lineRule="exact"/>
        <w:rPr>
          <w:sz w:val="20"/>
          <w:szCs w:val="20"/>
          <w:color w:val="auto"/>
        </w:rPr>
      </w:pPr>
    </w:p>
    <w:p>
      <w:pPr>
        <w:ind w:right="80" w:firstLine="433"/>
        <w:spacing w:after="0" w:line="265" w:lineRule="auto"/>
        <w:rPr>
          <w:sz w:val="20"/>
          <w:szCs w:val="20"/>
          <w:color w:val="auto"/>
        </w:rPr>
      </w:pPr>
      <w:r>
        <w:rPr>
          <w:rFonts w:ascii="Arial" w:cs="Arial" w:eastAsia="Arial" w:hAnsi="Arial"/>
          <w:sz w:val="17"/>
          <w:szCs w:val="17"/>
          <w:color w:val="auto"/>
        </w:rPr>
        <w:t>In December 2017, the Board of Directors approved the grant to Drew Houston, the Company's Co-Founder and Chief Executive Officer, of 10.3 million shares of Class A common stock in the form of RSAs (the "Co-Founder Grant").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w:t>
      </w:r>
    </w:p>
    <w:p>
      <w:pPr>
        <w:spacing w:after="0" w:line="206" w:lineRule="exact"/>
        <w:rPr>
          <w:sz w:val="20"/>
          <w:szCs w:val="20"/>
          <w:color w:val="auto"/>
        </w:rPr>
      </w:pPr>
    </w:p>
    <w:p>
      <w:pPr>
        <w:jc w:val="both"/>
        <w:ind w:right="80" w:firstLine="433"/>
        <w:spacing w:after="0" w:line="268" w:lineRule="auto"/>
        <w:rPr>
          <w:sz w:val="20"/>
          <w:szCs w:val="20"/>
          <w:color w:val="auto"/>
        </w:rPr>
      </w:pPr>
      <w:r>
        <w:rPr>
          <w:rFonts w:ascii="Arial" w:cs="Arial" w:eastAsia="Arial" w:hAnsi="Arial"/>
          <w:sz w:val="17"/>
          <w:szCs w:val="17"/>
          <w:color w:val="auto"/>
        </w:rPr>
        <w:t>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Company Stock Price</w:t>
            </w:r>
          </w:p>
        </w:tc>
        <w:tc>
          <w:tcPr>
            <w:tcW w:w="56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Shares Eligible to Vest for</w:t>
            </w:r>
          </w:p>
        </w:tc>
      </w:tr>
      <w:tr>
        <w:trPr>
          <w:trHeight w:val="232"/>
        </w:trPr>
        <w:tc>
          <w:tcPr>
            <w:tcW w:w="55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Target</w:t>
            </w:r>
          </w:p>
        </w:tc>
        <w:tc>
          <w:tcPr>
            <w:tcW w:w="56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Mr. Houston</w:t>
            </w:r>
          </w:p>
        </w:tc>
      </w:tr>
      <w:tr>
        <w:trPr>
          <w:trHeight w:val="37"/>
        </w:trPr>
        <w:tc>
          <w:tcPr>
            <w:tcW w:w="54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5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$30.00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2,066,667</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Arial" w:cs="Arial" w:eastAsia="Arial" w:hAnsi="Arial"/>
                <w:sz w:val="17"/>
                <w:szCs w:val="17"/>
                <w:color w:val="auto"/>
                <w:w w:val="92"/>
              </w:rPr>
              <w:t>$37.50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7"/>
                <w:szCs w:val="17"/>
                <w:color w:val="auto"/>
                <w:w w:val="92"/>
              </w:rPr>
              <w:t>1,033,334</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$45.00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1,033,334</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Arial" w:cs="Arial" w:eastAsia="Arial" w:hAnsi="Arial"/>
                <w:sz w:val="17"/>
                <w:szCs w:val="17"/>
                <w:color w:val="auto"/>
                <w:w w:val="92"/>
              </w:rPr>
              <w:t>$52.50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$60.00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Arial" w:cs="Arial" w:eastAsia="Arial" w:hAnsi="Arial"/>
                <w:sz w:val="17"/>
                <w:szCs w:val="17"/>
                <w:color w:val="auto"/>
                <w:w w:val="92"/>
              </w:rPr>
              <w:t>$67.50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$75.00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Arial" w:cs="Arial" w:eastAsia="Arial" w:hAnsi="Arial"/>
                <w:sz w:val="17"/>
                <w:szCs w:val="17"/>
                <w:color w:val="auto"/>
                <w:w w:val="92"/>
              </w:rPr>
              <w:t>$82.50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$90.00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40" w:firstLine="433"/>
        <w:spacing w:after="0" w:line="289" w:lineRule="auto"/>
        <w:rPr>
          <w:sz w:val="20"/>
          <w:szCs w:val="20"/>
          <w:color w:val="auto"/>
        </w:rPr>
      </w:pPr>
      <w:r>
        <w:rPr>
          <w:rFonts w:ascii="Arial" w:cs="Arial" w:eastAsia="Arial" w:hAnsi="Arial"/>
          <w:sz w:val="17"/>
          <w:szCs w:val="17"/>
          <w:color w:val="auto"/>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spacing w:after="0" w:line="185" w:lineRule="exact"/>
        <w:rPr>
          <w:sz w:val="20"/>
          <w:szCs w:val="20"/>
          <w:color w:val="auto"/>
        </w:rPr>
      </w:pPr>
    </w:p>
    <w:p>
      <w:pPr>
        <w:ind w:right="360" w:firstLine="433"/>
        <w:spacing w:after="0" w:line="289" w:lineRule="auto"/>
        <w:rPr>
          <w:sz w:val="20"/>
          <w:szCs w:val="20"/>
          <w:color w:val="auto"/>
        </w:rPr>
      </w:pPr>
      <w:r>
        <w:rPr>
          <w:rFonts w:ascii="Arial" w:cs="Arial" w:eastAsia="Arial" w:hAnsi="Arial"/>
          <w:sz w:val="17"/>
          <w:szCs w:val="17"/>
          <w:color w:val="auto"/>
        </w:rPr>
        <w:t>The Performance Vesting Condition for the Co-Founder Grant was satisfied on the date the Company’s shares of Class A common stock commenced trading on the Nasdaq Global Select Market in connection with the Company’s IPO, which was March 23, 2018.</w:t>
      </w:r>
    </w:p>
    <w:p>
      <w:pPr>
        <w:spacing w:after="0" w:line="185"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The first tranche of the Co-Founder Grant, or 2.1 million shares of Class A common stock,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5"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Our consolidated financial statements and the related notes thereto included elsewhere in this Annual Report on Form 10-K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92" w:lineRule="exact"/>
        <w:rPr>
          <w:sz w:val="20"/>
          <w:szCs w:val="20"/>
          <w:color w:val="auto"/>
        </w:rPr>
      </w:pPr>
    </w:p>
    <w:p>
      <w:pPr>
        <w:ind w:right="340" w:firstLine="433"/>
        <w:spacing w:after="0" w:line="257" w:lineRule="auto"/>
        <w:rPr>
          <w:sz w:val="20"/>
          <w:szCs w:val="20"/>
          <w:color w:val="auto"/>
        </w:rPr>
      </w:pPr>
      <w:r>
        <w:rPr>
          <w:rFonts w:ascii="Arial" w:cs="Arial" w:eastAsia="Arial" w:hAnsi="Arial"/>
          <w:sz w:val="17"/>
          <w:szCs w:val="17"/>
          <w:color w:val="auto"/>
        </w:rPr>
        <w:t>While our significant accounting policies are more fully described in Note 1 “Description of the Business and Summary of Significant Accounting Policies” to our Consolidated Financial Statements in Part II, Item 8 of this Annual Report on Form 10-K, we believe that the accounting policies described below involve a greater degree of judgment and estimation uncertainty.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Impairment related to real estate assets</w:t>
      </w:r>
    </w:p>
    <w:p>
      <w:pPr>
        <w:spacing w:after="0" w:line="250" w:lineRule="exact"/>
        <w:rPr>
          <w:sz w:val="20"/>
          <w:szCs w:val="20"/>
          <w:color w:val="auto"/>
        </w:rPr>
      </w:pPr>
    </w:p>
    <w:p>
      <w:pPr>
        <w:ind w:right="260" w:firstLine="433"/>
        <w:spacing w:after="0" w:line="298" w:lineRule="auto"/>
        <w:rPr>
          <w:sz w:val="20"/>
          <w:szCs w:val="20"/>
          <w:color w:val="auto"/>
        </w:rPr>
      </w:pPr>
      <w:r>
        <w:rPr>
          <w:rFonts w:ascii="Arial" w:cs="Arial" w:eastAsia="Arial" w:hAnsi="Arial"/>
          <w:sz w:val="16"/>
          <w:szCs w:val="16"/>
          <w:color w:val="auto"/>
        </w:rPr>
        <w:t>In accordance with ASC 360, Property, Plant, and Equipment (“ASC 360”), we evaluate our long-lived assets for impairment whenever events and circumstances indicate that the assets might be impaired. When the projected undiscounted cash flows estimated to be generated by those assets are less than their carrying amounts, the assets are adjusted to their estimated fair value and an impairment loss is recorded as a component of operating income.</w:t>
      </w:r>
    </w:p>
    <w:p>
      <w:pPr>
        <w:spacing w:after="0" w:line="180" w:lineRule="exact"/>
        <w:rPr>
          <w:sz w:val="20"/>
          <w:szCs w:val="20"/>
          <w:color w:val="auto"/>
        </w:rPr>
      </w:pPr>
    </w:p>
    <w:p>
      <w:pPr>
        <w:ind w:firstLine="433"/>
        <w:spacing w:after="0" w:line="300" w:lineRule="auto"/>
        <w:rPr>
          <w:sz w:val="20"/>
          <w:szCs w:val="20"/>
          <w:color w:val="auto"/>
        </w:rPr>
      </w:pPr>
      <w:r>
        <w:rPr>
          <w:rFonts w:ascii="Arial" w:cs="Arial" w:eastAsia="Arial" w:hAnsi="Arial"/>
          <w:sz w:val="15"/>
          <w:szCs w:val="15"/>
          <w:color w:val="auto"/>
        </w:rPr>
        <w:t>In the fourth quarter of 2020, as a result of our Virtual First strategy, we reassessed our asset groupings and evaluated the recoverability of our right-of-use and related lease assets, including leasehold improvements, furniture and fixtures, and computer equipment and determined that the carrying value of the respective assets groups was not fully recoverable. During the years ended December 31, 2022 and 2021, we continued to evaluate the recoverability of our real estate assets. In the fourth quarter of 2022, we determined that there were adverse changes in the corporate real estate markets where we plan to sublease office space, particularly in the San Francisco Bay Area. Given the current corporate real estate market, we are assuming reduced demand for corporate office real estate, which we expect will result in increased real estate vacancy periods of two to five years and reduced sublease rent rates. Accordingly, we assessed the recoverability of our real estate assets in the markets that have been impacted and adjusted the carrying value of these assets to their estimated fair values. As a result of our revised subleasing assumptions, we recorded impairment charges related to real estate assets of $175.2 million during the year ended December 31, 2022. Estimating the fair value of our real estate assets required the application of significant judgment. Refer to Note 9, "Leases", for more information.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Income Taxes</w:t>
      </w:r>
    </w:p>
    <w:p>
      <w:pPr>
        <w:spacing w:after="0" w:line="250" w:lineRule="exact"/>
        <w:rPr>
          <w:sz w:val="20"/>
          <w:szCs w:val="20"/>
          <w:color w:val="auto"/>
        </w:rPr>
      </w:pPr>
    </w:p>
    <w:p>
      <w:pPr>
        <w:ind w:right="40" w:firstLine="315"/>
        <w:spacing w:after="0" w:line="273" w:lineRule="auto"/>
        <w:rPr>
          <w:sz w:val="20"/>
          <w:szCs w:val="20"/>
          <w:color w:val="auto"/>
        </w:rPr>
      </w:pPr>
      <w:r>
        <w:rPr>
          <w:rFonts w:ascii="Arial" w:cs="Arial" w:eastAsia="Arial" w:hAnsi="Arial"/>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98" w:lineRule="exact"/>
        <w:rPr>
          <w:sz w:val="20"/>
          <w:szCs w:val="20"/>
          <w:color w:val="auto"/>
        </w:rPr>
      </w:pPr>
    </w:p>
    <w:p>
      <w:pPr>
        <w:ind w:right="100" w:firstLine="315"/>
        <w:spacing w:after="0" w:line="290" w:lineRule="auto"/>
        <w:rPr>
          <w:sz w:val="20"/>
          <w:szCs w:val="20"/>
          <w:color w:val="auto"/>
        </w:rPr>
      </w:pPr>
      <w:r>
        <w:rPr>
          <w:rFonts w:ascii="Arial" w:cs="Arial" w:eastAsia="Arial" w:hAnsi="Arial"/>
          <w:sz w:val="16"/>
          <w:szCs w:val="16"/>
          <w:color w:val="auto"/>
        </w:rPr>
        <w:t>A valuation allowance is provided against deferred tax assets unless it is more likely than not that they will be realized based on all available positive and negative evidence. Such evidence, which requires management's judgment, includes, but is not limited to, recent cumulative earnings or losses, expectations of future taxable income by taxing jurisdiction, and the carry-forward periods available for the utilization of deferred tax assets. To the extent sufficient positive evidence becomes available, we may release all or a portion of our valuation allowance in one or more future periods.</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During the years ended December 31, 2022 and 2021, we evaluated the realizability of our deferred tax assets, which resulted in releasing part of our historical valuation allowance. Future releases of the remaining valuation allowance, if any, would result in the recognition of certain deferred tax assets which may include a material income tax benefit for the period in which such release is recorded. Refer to Note 14, “Income Taxes” to the Consolidated Financial Statements in Part II, Item 8 of this Annual Report on Form 10-K for more information.</w:t>
      </w: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0"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See Note 1, “Description of the Business and Summary of Significant Accounting Policies” to our consolidated financial statements included elsewhere in this Annual Report on Form 10-K for recently adopted accounting pronouncements as of the date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7A. QUANTITATIVE AND QUALITATIVE DISCLOSURES ABOUT MARKET RISK</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59" w:lineRule="exact"/>
        <w:rPr>
          <w:sz w:val="20"/>
          <w:szCs w:val="20"/>
          <w:color w:val="auto"/>
        </w:rPr>
      </w:pPr>
    </w:p>
    <w:p>
      <w:pPr>
        <w:ind w:right="20" w:firstLine="393"/>
        <w:spacing w:after="0" w:line="283" w:lineRule="auto"/>
        <w:rPr>
          <w:sz w:val="20"/>
          <w:szCs w:val="20"/>
          <w:color w:val="auto"/>
        </w:rPr>
      </w:pPr>
      <w:r>
        <w:rPr>
          <w:rFonts w:ascii="Arial" w:cs="Arial" w:eastAsia="Arial" w:hAnsi="Arial"/>
          <w:sz w:val="16"/>
          <w:szCs w:val="16"/>
          <w:color w:val="auto"/>
        </w:rPr>
        <w:t>We had cash and cash equivalents of $232.8 million and short-term investments of $1,110.6 million as of December 31, 2022.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spacing w:after="0" w:line="88" w:lineRule="exact"/>
        <w:rPr>
          <w:sz w:val="20"/>
          <w:szCs w:val="20"/>
          <w:color w:val="auto"/>
        </w:rPr>
      </w:pPr>
    </w:p>
    <w:p>
      <w:pPr>
        <w:jc w:val="both"/>
        <w:ind w:right="140" w:firstLine="393"/>
        <w:spacing w:after="0" w:line="273" w:lineRule="auto"/>
        <w:rPr>
          <w:sz w:val="20"/>
          <w:szCs w:val="20"/>
          <w:color w:val="auto"/>
        </w:rPr>
      </w:pPr>
      <w:r>
        <w:rPr>
          <w:rFonts w:ascii="Arial" w:cs="Arial" w:eastAsia="Arial" w:hAnsi="Arial"/>
          <w:sz w:val="17"/>
          <w:szCs w:val="17"/>
          <w:color w:val="auto"/>
        </w:rPr>
        <w:t>Any borrowings under the revolving credit facility bear interest at a variable rate tied to LIBOR or an alternative base rate. As of December 31, 2022, we had no amounts outstanding under the revolving credit facility. We do not have any other long-term debt or financial liabilities with floating interest rates that would subject us to interest rate fluctuations.</w:t>
      </w:r>
    </w:p>
    <w:p>
      <w:pPr>
        <w:spacing w:after="0" w:line="107" w:lineRule="exact"/>
        <w:rPr>
          <w:sz w:val="20"/>
          <w:szCs w:val="20"/>
          <w:color w:val="auto"/>
        </w:rPr>
      </w:pPr>
    </w:p>
    <w:p>
      <w:pPr>
        <w:ind w:right="160" w:firstLine="393"/>
        <w:spacing w:after="0" w:line="322" w:lineRule="auto"/>
        <w:rPr>
          <w:sz w:val="20"/>
          <w:szCs w:val="20"/>
          <w:color w:val="auto"/>
        </w:rPr>
      </w:pPr>
      <w:r>
        <w:rPr>
          <w:rFonts w:ascii="Arial" w:cs="Arial" w:eastAsia="Arial" w:hAnsi="Arial"/>
          <w:sz w:val="16"/>
          <w:szCs w:val="16"/>
          <w:color w:val="auto"/>
        </w:rPr>
        <w:t>As of December 31, 2022, a hypothetical increase in interest rates by 100 basis points would have resulted in a $15 million reduction in the market value of our investment portfolio. This estimate is based on a sensitivity model that measures market value changes when changes in interest rates occur.</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59"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w:t>
      </w:r>
    </w:p>
    <w:p>
      <w:pPr>
        <w:spacing w:after="0" w:line="93"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Most of our revenue is generated in U.S. dollars, with the remainder generated in Euros, British pounds sterling, Australian dollars, Canadian dollars, and Japanese yen.</w:t>
      </w:r>
    </w:p>
    <w:p>
      <w:pPr>
        <w:spacing w:after="0" w:line="80"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110" w:lineRule="exact"/>
        <w:rPr>
          <w:sz w:val="20"/>
          <w:szCs w:val="20"/>
          <w:color w:val="auto"/>
        </w:rPr>
      </w:pPr>
    </w:p>
    <w:p>
      <w:pPr>
        <w:ind w:right="40" w:firstLine="393"/>
        <w:spacing w:after="0" w:line="261" w:lineRule="auto"/>
        <w:rPr>
          <w:sz w:val="20"/>
          <w:szCs w:val="20"/>
          <w:color w:val="auto"/>
        </w:rPr>
      </w:pPr>
      <w:r>
        <w:rPr>
          <w:rFonts w:ascii="Arial" w:cs="Arial" w:eastAsia="Arial" w:hAnsi="Arial"/>
          <w:sz w:val="17"/>
          <w:szCs w:val="17"/>
          <w:color w:val="auto"/>
        </w:rPr>
        <w:t>As exchange rates may fluctuate significantly between periods, revenue and operating expenses, when converted into U.S. dollars, may also experience significant fluctuations between periods. Volatile market conditions, including those arising from the COVID-19 pandemic and other macroeconomic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year ended December 31, 2022, 27%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recorded $0.2 million gains and $1.8 million losses in net foreign currency transactions in the years ended December 31, 2022 and 2021,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 hypothetical 10% change in foreign currency rates would not have resulted in material gains or losses for the years ended December 31, 2022 and 2021.</w:t>
      </w:r>
    </w:p>
    <w:p>
      <w:pPr>
        <w:spacing w:after="0" w:line="145" w:lineRule="exact"/>
        <w:rPr>
          <w:sz w:val="20"/>
          <w:szCs w:val="20"/>
          <w:color w:val="auto"/>
        </w:rPr>
      </w:pPr>
    </w:p>
    <w:p>
      <w:pPr>
        <w:ind w:right="80" w:firstLine="393"/>
        <w:spacing w:after="0" w:line="289" w:lineRule="auto"/>
        <w:rPr>
          <w:sz w:val="20"/>
          <w:szCs w:val="20"/>
          <w:color w:val="auto"/>
        </w:rPr>
      </w:pPr>
      <w:r>
        <w:rPr>
          <w:rFonts w:ascii="Arial" w:cs="Arial" w:eastAsia="Arial" w:hAnsi="Arial"/>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8. FINANCIAL STATEMENTS AND SUPPLEMENTARY DATA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394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Page</w:t>
            </w:r>
          </w:p>
        </w:tc>
        <w:tc>
          <w:tcPr>
            <w:tcW w:w="20" w:type="dxa"/>
            <w:vAlign w:val="bottom"/>
          </w:tcPr>
          <w:p>
            <w:pPr>
              <w:spacing w:after="0"/>
              <w:rPr>
                <w:sz w:val="19"/>
                <w:szCs w:val="19"/>
                <w:color w:val="auto"/>
              </w:rPr>
            </w:pPr>
          </w:p>
        </w:tc>
      </w:tr>
      <w:tr>
        <w:trPr>
          <w:trHeight w:val="177"/>
        </w:trPr>
        <w:tc>
          <w:tcPr>
            <w:tcW w:w="20" w:type="dxa"/>
            <w:vAlign w:val="bottom"/>
            <w:shd w:val="clear" w:color="auto" w:fill="CCEEFF"/>
          </w:tcPr>
          <w:p>
            <w:pPr>
              <w:spacing w:after="0"/>
              <w:rPr>
                <w:sz w:val="15"/>
                <w:szCs w:val="15"/>
                <w:color w:val="auto"/>
              </w:rPr>
            </w:pPr>
          </w:p>
        </w:tc>
        <w:tc>
          <w:tcPr>
            <w:tcW w:w="5420" w:type="dxa"/>
            <w:vAlign w:val="bottom"/>
            <w:gridSpan w:val="5"/>
            <w:shd w:val="clear" w:color="auto" w:fill="CCEEFF"/>
          </w:tcPr>
          <w:p>
            <w:pPr>
              <w:spacing w:after="0" w:line="177" w:lineRule="exact"/>
              <w:rPr>
                <w:sz w:val="20"/>
                <w:szCs w:val="20"/>
                <w:color w:val="auto"/>
              </w:rPr>
            </w:pPr>
            <w:r>
              <w:rPr>
                <w:rFonts w:ascii="Arial" w:cs="Arial" w:eastAsia="Arial" w:hAnsi="Arial"/>
                <w:sz w:val="17"/>
                <w:szCs w:val="17"/>
                <w:color w:val="0000FF"/>
                <w:w w:val="96"/>
              </w:rPr>
              <w:t xml:space="preserve">Report of Independent Registered Public Accounting Firm </w:t>
            </w:r>
            <w:r>
              <w:rPr>
                <w:rFonts w:ascii="Arial" w:cs="Arial" w:eastAsia="Arial" w:hAnsi="Arial"/>
                <w:sz w:val="17"/>
                <w:szCs w:val="17"/>
                <w:color w:val="000000"/>
                <w:w w:val="96"/>
              </w:rPr>
              <w:t>(PCAOB ID: 42)</w:t>
            </w:r>
          </w:p>
        </w:tc>
        <w:tc>
          <w:tcPr>
            <w:tcW w:w="4940" w:type="dxa"/>
            <w:vAlign w:val="bottom"/>
            <w:gridSpan w:val="3"/>
            <w:shd w:val="clear" w:color="auto" w:fill="CCEEFF"/>
          </w:tcPr>
          <w:p>
            <w:pPr>
              <w:jc w:val="center"/>
              <w:ind w:left="4693"/>
              <w:spacing w:after="0" w:line="177" w:lineRule="exact"/>
              <w:rPr>
                <w:sz w:val="20"/>
                <w:szCs w:val="20"/>
                <w:color w:val="auto"/>
              </w:rPr>
            </w:pPr>
            <w:r>
              <w:rPr>
                <w:rFonts w:ascii="Arial" w:cs="Arial" w:eastAsia="Arial" w:hAnsi="Arial"/>
                <w:sz w:val="17"/>
                <w:szCs w:val="17"/>
                <w:color w:val="0000FF"/>
                <w:w w:val="84"/>
              </w:rPr>
              <w:t>64</w:t>
            </w: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74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60" w:type="dxa"/>
            <w:vAlign w:val="bottom"/>
            <w:tcBorders>
              <w:right w:val="single" w:sz="8" w:color="CCEEFF"/>
            </w:tcBorders>
            <w:shd w:val="clear" w:color="auto" w:fill="0000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2040" w:type="dxa"/>
            <w:vAlign w:val="bottom"/>
          </w:tcPr>
          <w:p>
            <w:pPr>
              <w:spacing w:after="0" w:line="184" w:lineRule="exact"/>
              <w:rPr>
                <w:sz w:val="20"/>
                <w:szCs w:val="20"/>
                <w:color w:val="auto"/>
              </w:rPr>
            </w:pPr>
            <w:r>
              <w:rPr>
                <w:rFonts w:ascii="Arial" w:cs="Arial" w:eastAsia="Arial" w:hAnsi="Arial"/>
                <w:sz w:val="17"/>
                <w:szCs w:val="17"/>
                <w:color w:val="0000FF"/>
                <w:w w:val="90"/>
              </w:rPr>
              <w:t>Consolidated Balance Sheets</w:t>
            </w:r>
          </w:p>
        </w:tc>
        <w:tc>
          <w:tcPr>
            <w:tcW w:w="2080" w:type="dxa"/>
            <w:vAlign w:val="bottom"/>
            <w:gridSpan w:val="3"/>
          </w:tcPr>
          <w:p>
            <w:pPr>
              <w:spacing w:after="0"/>
              <w:rPr>
                <w:sz w:val="15"/>
                <w:szCs w:val="15"/>
                <w:color w:val="auto"/>
              </w:rPr>
            </w:pPr>
          </w:p>
        </w:tc>
        <w:tc>
          <w:tcPr>
            <w:tcW w:w="1300" w:type="dxa"/>
            <w:vAlign w:val="bottom"/>
          </w:tcPr>
          <w:p>
            <w:pPr>
              <w:spacing w:after="0"/>
              <w:rPr>
                <w:sz w:val="15"/>
                <w:szCs w:val="15"/>
                <w:color w:val="auto"/>
              </w:rPr>
            </w:pPr>
          </w:p>
        </w:tc>
        <w:tc>
          <w:tcPr>
            <w:tcW w:w="4940" w:type="dxa"/>
            <w:vAlign w:val="bottom"/>
            <w:gridSpan w:val="3"/>
          </w:tcPr>
          <w:p>
            <w:pPr>
              <w:jc w:val="center"/>
              <w:ind w:left="4693"/>
              <w:spacing w:after="0" w:line="184" w:lineRule="exact"/>
              <w:rPr>
                <w:sz w:val="20"/>
                <w:szCs w:val="20"/>
                <w:color w:val="auto"/>
              </w:rPr>
            </w:pPr>
            <w:r>
              <w:rPr>
                <w:rFonts w:ascii="Arial" w:cs="Arial" w:eastAsia="Arial" w:hAnsi="Arial"/>
                <w:sz w:val="17"/>
                <w:szCs w:val="17"/>
                <w:color w:val="0000FF"/>
                <w:w w:val="84"/>
              </w:rPr>
              <w:t>67</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2780" w:type="dxa"/>
            <w:vAlign w:val="bottom"/>
            <w:tcBorders>
              <w:right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0000FF"/>
                <w:w w:val="92"/>
              </w:rPr>
              <w:t>Consolidated Statements of Operations</w:t>
            </w:r>
          </w:p>
        </w:tc>
        <w:tc>
          <w:tcPr>
            <w:tcW w:w="2640" w:type="dxa"/>
            <w:vAlign w:val="bottom"/>
            <w:gridSpan w:val="3"/>
            <w:shd w:val="clear" w:color="auto" w:fill="CCEEFF"/>
          </w:tcPr>
          <w:p>
            <w:pPr>
              <w:spacing w:after="0"/>
              <w:rPr>
                <w:sz w:val="16"/>
                <w:szCs w:val="16"/>
                <w:color w:val="auto"/>
              </w:rPr>
            </w:pPr>
          </w:p>
        </w:tc>
        <w:tc>
          <w:tcPr>
            <w:tcW w:w="4940" w:type="dxa"/>
            <w:vAlign w:val="bottom"/>
            <w:gridSpan w:val="3"/>
            <w:shd w:val="clear" w:color="auto" w:fill="CCEEFF"/>
          </w:tcPr>
          <w:p>
            <w:pPr>
              <w:jc w:val="center"/>
              <w:ind w:left="4693"/>
              <w:spacing w:after="0" w:line="194" w:lineRule="exact"/>
              <w:rPr>
                <w:sz w:val="20"/>
                <w:szCs w:val="20"/>
                <w:color w:val="auto"/>
              </w:rPr>
            </w:pPr>
            <w:r>
              <w:rPr>
                <w:rFonts w:ascii="Arial" w:cs="Arial" w:eastAsia="Arial" w:hAnsi="Arial"/>
                <w:sz w:val="17"/>
                <w:szCs w:val="17"/>
                <w:color w:val="0000FF"/>
                <w:w w:val="84"/>
              </w:rPr>
              <w:t>68</w:t>
            </w: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740" w:type="dxa"/>
            <w:vAlign w:val="bottom"/>
            <w:tcBorders>
              <w:right w:val="single" w:sz="8" w:color="CCEEFF"/>
            </w:tcBorders>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5420" w:type="dxa"/>
            <w:vAlign w:val="bottom"/>
            <w:gridSpan w:val="5"/>
          </w:tcPr>
          <w:p>
            <w:pPr>
              <w:spacing w:after="0" w:line="184" w:lineRule="exact"/>
              <w:rPr>
                <w:sz w:val="20"/>
                <w:szCs w:val="20"/>
                <w:color w:val="auto"/>
              </w:rPr>
            </w:pPr>
            <w:r>
              <w:rPr>
                <w:rFonts w:ascii="Arial" w:cs="Arial" w:eastAsia="Arial" w:hAnsi="Arial"/>
                <w:sz w:val="17"/>
                <w:szCs w:val="17"/>
                <w:color w:val="0000FF"/>
              </w:rPr>
              <w:t>Consolidated Statements of Comprehensive Income (Loss)</w:t>
            </w:r>
          </w:p>
        </w:tc>
        <w:tc>
          <w:tcPr>
            <w:tcW w:w="4940" w:type="dxa"/>
            <w:vAlign w:val="bottom"/>
            <w:gridSpan w:val="3"/>
          </w:tcPr>
          <w:p>
            <w:pPr>
              <w:jc w:val="center"/>
              <w:ind w:left="4693"/>
              <w:spacing w:after="0" w:line="184" w:lineRule="exact"/>
              <w:rPr>
                <w:sz w:val="20"/>
                <w:szCs w:val="20"/>
                <w:color w:val="auto"/>
              </w:rPr>
            </w:pPr>
            <w:r>
              <w:rPr>
                <w:rFonts w:ascii="Arial" w:cs="Arial" w:eastAsia="Arial" w:hAnsi="Arial"/>
                <w:sz w:val="17"/>
                <w:szCs w:val="17"/>
                <w:color w:val="0000FF"/>
                <w:w w:val="84"/>
              </w:rPr>
              <w:t>69</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tcBorders>
              <w:right w:val="single" w:sz="8" w:color="0000FF"/>
            </w:tcBorders>
            <w:shd w:val="clear" w:color="auto" w:fill="0000FF"/>
          </w:tcPr>
          <w:p>
            <w:pPr>
              <w:spacing w:after="0"/>
              <w:rPr>
                <w:sz w:val="2"/>
                <w:szCs w:val="2"/>
                <w:color w:val="auto"/>
              </w:rPr>
            </w:pPr>
          </w:p>
        </w:tc>
        <w:tc>
          <w:tcPr>
            <w:tcW w:w="13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120" w:type="dxa"/>
            <w:vAlign w:val="bottom"/>
            <w:tcBorders>
              <w:right w:val="single" w:sz="8" w:color="CCEEFF"/>
            </w:tcBorders>
            <w:gridSpan w:val="4"/>
            <w:shd w:val="clear" w:color="auto" w:fill="CCEEFF"/>
          </w:tcPr>
          <w:p>
            <w:pPr>
              <w:spacing w:after="0" w:line="194" w:lineRule="exact"/>
              <w:rPr>
                <w:sz w:val="20"/>
                <w:szCs w:val="20"/>
                <w:color w:val="auto"/>
              </w:rPr>
            </w:pPr>
            <w:r>
              <w:rPr>
                <w:rFonts w:ascii="Arial" w:cs="Arial" w:eastAsia="Arial" w:hAnsi="Arial"/>
                <w:sz w:val="17"/>
                <w:szCs w:val="17"/>
                <w:color w:val="0000FF"/>
                <w:w w:val="94"/>
              </w:rPr>
              <w:t>Consolidated Statements of Stockholders’ (Deficit) Equity</w:t>
            </w:r>
          </w:p>
        </w:tc>
        <w:tc>
          <w:tcPr>
            <w:tcW w:w="1300" w:type="dxa"/>
            <w:vAlign w:val="bottom"/>
            <w:shd w:val="clear" w:color="auto" w:fill="CCEEFF"/>
          </w:tcPr>
          <w:p>
            <w:pPr>
              <w:spacing w:after="0"/>
              <w:rPr>
                <w:sz w:val="16"/>
                <w:szCs w:val="16"/>
                <w:color w:val="auto"/>
              </w:rPr>
            </w:pPr>
          </w:p>
        </w:tc>
        <w:tc>
          <w:tcPr>
            <w:tcW w:w="4940" w:type="dxa"/>
            <w:vAlign w:val="bottom"/>
            <w:gridSpan w:val="3"/>
            <w:shd w:val="clear" w:color="auto" w:fill="CCEEFF"/>
          </w:tcPr>
          <w:p>
            <w:pPr>
              <w:jc w:val="center"/>
              <w:ind w:left="4693"/>
              <w:spacing w:after="0" w:line="194" w:lineRule="exact"/>
              <w:rPr>
                <w:sz w:val="20"/>
                <w:szCs w:val="20"/>
                <w:color w:val="auto"/>
              </w:rPr>
            </w:pPr>
            <w:r>
              <w:rPr>
                <w:rFonts w:ascii="Arial" w:cs="Arial" w:eastAsia="Arial" w:hAnsi="Arial"/>
                <w:sz w:val="17"/>
                <w:szCs w:val="17"/>
                <w:color w:val="0000FF"/>
                <w:w w:val="84"/>
              </w:rPr>
              <w:t>70</w:t>
            </w: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74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60" w:type="dxa"/>
            <w:vAlign w:val="bottom"/>
            <w:tcBorders>
              <w:right w:val="single" w:sz="8" w:color="CCEEFF"/>
            </w:tcBorders>
            <w:shd w:val="clear" w:color="auto" w:fill="0000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4120" w:type="dxa"/>
            <w:vAlign w:val="bottom"/>
            <w:gridSpan w:val="4"/>
          </w:tcPr>
          <w:p>
            <w:pPr>
              <w:spacing w:after="0" w:line="184" w:lineRule="exact"/>
              <w:rPr>
                <w:sz w:val="20"/>
                <w:szCs w:val="20"/>
                <w:color w:val="auto"/>
              </w:rPr>
            </w:pPr>
            <w:r>
              <w:rPr>
                <w:rFonts w:ascii="Arial" w:cs="Arial" w:eastAsia="Arial" w:hAnsi="Arial"/>
                <w:sz w:val="17"/>
                <w:szCs w:val="17"/>
                <w:color w:val="0000FF"/>
              </w:rPr>
              <w:t>Consolidated Statements of Cash Flows</w:t>
            </w:r>
          </w:p>
        </w:tc>
        <w:tc>
          <w:tcPr>
            <w:tcW w:w="1300" w:type="dxa"/>
            <w:vAlign w:val="bottom"/>
          </w:tcPr>
          <w:p>
            <w:pPr>
              <w:spacing w:after="0"/>
              <w:rPr>
                <w:sz w:val="15"/>
                <w:szCs w:val="15"/>
                <w:color w:val="auto"/>
              </w:rPr>
            </w:pPr>
          </w:p>
        </w:tc>
        <w:tc>
          <w:tcPr>
            <w:tcW w:w="4940" w:type="dxa"/>
            <w:vAlign w:val="bottom"/>
            <w:gridSpan w:val="3"/>
          </w:tcPr>
          <w:p>
            <w:pPr>
              <w:jc w:val="center"/>
              <w:ind w:left="4693"/>
              <w:spacing w:after="0" w:line="184" w:lineRule="exact"/>
              <w:rPr>
                <w:sz w:val="20"/>
                <w:szCs w:val="20"/>
                <w:color w:val="auto"/>
              </w:rPr>
            </w:pPr>
            <w:r>
              <w:rPr>
                <w:rFonts w:ascii="Arial" w:cs="Arial" w:eastAsia="Arial" w:hAnsi="Arial"/>
                <w:sz w:val="17"/>
                <w:szCs w:val="17"/>
                <w:color w:val="0000FF"/>
                <w:w w:val="84"/>
              </w:rPr>
              <w:t>71</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spacing w:after="0" w:line="194" w:lineRule="exact"/>
              <w:rPr>
                <w:sz w:val="20"/>
                <w:szCs w:val="20"/>
                <w:color w:val="auto"/>
              </w:rPr>
            </w:pPr>
            <w:r>
              <w:rPr>
                <w:rFonts w:ascii="Arial" w:cs="Arial" w:eastAsia="Arial" w:hAnsi="Arial"/>
                <w:sz w:val="17"/>
                <w:szCs w:val="17"/>
                <w:color w:val="0000FF"/>
              </w:rPr>
              <w:t>Notes to Consolidated Financial Statements</w:t>
            </w:r>
          </w:p>
        </w:tc>
        <w:tc>
          <w:tcPr>
            <w:tcW w:w="4940" w:type="dxa"/>
            <w:vAlign w:val="bottom"/>
            <w:gridSpan w:val="3"/>
            <w:shd w:val="clear" w:color="auto" w:fill="CCEEFF"/>
          </w:tcPr>
          <w:p>
            <w:pPr>
              <w:jc w:val="center"/>
              <w:ind w:left="4693"/>
              <w:spacing w:after="0" w:line="194" w:lineRule="exact"/>
              <w:rPr>
                <w:sz w:val="20"/>
                <w:szCs w:val="20"/>
                <w:color w:val="auto"/>
              </w:rPr>
            </w:pPr>
            <w:r>
              <w:rPr>
                <w:rFonts w:ascii="Arial" w:cs="Arial" w:eastAsia="Arial" w:hAnsi="Arial"/>
                <w:sz w:val="17"/>
                <w:szCs w:val="17"/>
                <w:color w:val="0000FF"/>
                <w:w w:val="84"/>
              </w:rPr>
              <w:t>73</w:t>
            </w: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39"/>
        </w:trPr>
        <w:tc>
          <w:tcPr>
            <w:tcW w:w="20" w:type="dxa"/>
            <w:vAlign w:val="bottom"/>
            <w:tcBorders>
              <w:top w:val="single" w:sz="8" w:color="CCEEFF"/>
            </w:tcBorders>
          </w:tcPr>
          <w:p>
            <w:pPr>
              <w:spacing w:after="0"/>
              <w:rPr>
                <w:sz w:val="24"/>
                <w:szCs w:val="24"/>
                <w:color w:val="auto"/>
              </w:rPr>
            </w:pPr>
          </w:p>
        </w:tc>
        <w:tc>
          <w:tcPr>
            <w:tcW w:w="20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tcPr>
          <w:p>
            <w:pPr>
              <w:jc w:val="right"/>
              <w:ind w:right="3573"/>
              <w:spacing w:after="0"/>
              <w:rPr>
                <w:sz w:val="20"/>
                <w:szCs w:val="20"/>
                <w:color w:val="auto"/>
              </w:rPr>
            </w:pPr>
            <w:r>
              <w:rPr>
                <w:rFonts w:ascii="Arial" w:cs="Arial" w:eastAsia="Arial" w:hAnsi="Arial"/>
                <w:sz w:val="17"/>
                <w:szCs w:val="17"/>
                <w:color w:val="auto"/>
              </w:rPr>
              <w:t>63</w:t>
            </w:r>
          </w:p>
        </w:tc>
        <w:tc>
          <w:tcPr>
            <w:tcW w:w="840" w:type="dxa"/>
            <w:vAlign w:val="bottom"/>
            <w:tcBorders>
              <w:top w:val="single" w:sz="8" w:color="CCEE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Dropbox, Inc.</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30" w:lineRule="exact"/>
        <w:rPr>
          <w:sz w:val="20"/>
          <w:szCs w:val="20"/>
          <w:color w:val="auto"/>
        </w:rPr>
      </w:pPr>
    </w:p>
    <w:p>
      <w:pPr>
        <w:ind w:right="40" w:firstLine="629"/>
        <w:spacing w:after="0" w:line="286" w:lineRule="auto"/>
        <w:rPr>
          <w:sz w:val="20"/>
          <w:szCs w:val="20"/>
          <w:color w:val="auto"/>
        </w:rPr>
      </w:pPr>
      <w:r>
        <w:rPr>
          <w:rFonts w:ascii="Arial" w:cs="Arial" w:eastAsia="Arial" w:hAnsi="Arial"/>
          <w:sz w:val="16"/>
          <w:szCs w:val="16"/>
          <w:color w:val="333333"/>
        </w:rPr>
        <w:t>We have audited the accompanying consolidated balance sheets of Dropbox, Inc. (the Company) as of December 31, 2022 and 2021, the related consolidated statements of operations, comprehensive income (loss), stockholders' (deficit)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89"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333333"/>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22, 2023 expressed an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5" w:lineRule="exact"/>
        <w:rPr>
          <w:sz w:val="20"/>
          <w:szCs w:val="20"/>
          <w:color w:val="auto"/>
        </w:rPr>
      </w:pPr>
    </w:p>
    <w:p>
      <w:pPr>
        <w:jc w:val="both"/>
        <w:ind w:firstLine="629"/>
        <w:spacing w:after="0" w:line="326" w:lineRule="auto"/>
        <w:rPr>
          <w:sz w:val="20"/>
          <w:szCs w:val="20"/>
          <w:color w:val="auto"/>
        </w:rPr>
      </w:pPr>
      <w:r>
        <w:rPr>
          <w:rFonts w:ascii="Arial" w:cs="Arial" w:eastAsia="Arial" w:hAnsi="Arial"/>
          <w:sz w:val="15"/>
          <w:szCs w:val="15"/>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25"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333333"/>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
        <w:spacing w:after="0" w:line="241" w:lineRule="auto"/>
        <w:rPr>
          <w:sz w:val="20"/>
          <w:szCs w:val="20"/>
          <w:color w:val="auto"/>
        </w:rPr>
      </w:pPr>
      <w:r>
        <w:rPr>
          <w:rFonts w:ascii="Arial" w:cs="Arial" w:eastAsia="Arial" w:hAnsi="Arial"/>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from Contracts with Customers</w:t>
      </w:r>
    </w:p>
    <w:p>
      <w:pPr>
        <w:spacing w:after="0" w:line="41"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As described in Note 1 to the consolidated financial statements, the Company derives its revenue from subscription fees from customers for access to its platform, which it recognizes ratably over the related contractual term. The Company’s revenue recognition process involves several applications responsible for the initiation, processing, and recording of transactions from the Company’s various sales channels, and the calculation of revenue in accordance with the Company’s accounting policy.</w:t>
      </w:r>
    </w:p>
    <w:p>
      <w:pPr>
        <w:spacing w:after="0" w:line="17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Auditing the Company's accounting for revenue from contracts with customers was challenging and complex due to the high volume of individually-low-monetary-value transactions, and the dependency on the effective design and operation of multiple applications, some of which are specifically designed for the Company’s business.</w:t>
      </w:r>
    </w:p>
    <w:p>
      <w:pPr>
        <w:spacing w:after="0" w:line="200" w:lineRule="exact"/>
        <w:rPr>
          <w:sz w:val="20"/>
          <w:szCs w:val="20"/>
          <w:color w:val="auto"/>
        </w:rPr>
      </w:pPr>
    </w:p>
    <w:p>
      <w:pPr>
        <w:sectPr>
          <w:pgSz w:w="11900" w:h="16838" w:orient="portrait"/>
          <w:cols w:equalWidth="0" w:num="2">
            <w:col w:w="1280" w:space="180"/>
            <w:col w:w="976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3"/>
          <w:szCs w:val="13"/>
          <w:u w:val="single" w:color="auto"/>
          <w:color w:val="0000FF"/>
        </w:rPr>
        <w:t>Table of Contents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line="256" w:lineRule="auto"/>
        <w:rPr>
          <w:sz w:val="20"/>
          <w:szCs w:val="20"/>
          <w:color w:val="auto"/>
        </w:rPr>
      </w:pPr>
      <w:r>
        <w:rPr>
          <w:rFonts w:ascii="Arial" w:cs="Arial" w:eastAsia="Arial" w:hAnsi="Arial"/>
          <w:sz w:val="15"/>
          <w:szCs w:val="15"/>
          <w:i w:val="1"/>
          <w:iCs w:val="1"/>
          <w:color w:val="auto"/>
        </w:rPr>
        <w:t>How We Addressed the Matter in Our</w:t>
      </w:r>
    </w:p>
    <w:p>
      <w:pPr>
        <w:ind w:left="20"/>
        <w:spacing w:after="0"/>
        <w:rPr>
          <w:sz w:val="20"/>
          <w:szCs w:val="20"/>
          <w:color w:val="auto"/>
        </w:rPr>
      </w:pPr>
      <w:r>
        <w:rPr>
          <w:rFonts w:ascii="Arial" w:cs="Arial" w:eastAsia="Arial" w:hAnsi="Arial"/>
          <w:sz w:val="17"/>
          <w:szCs w:val="17"/>
          <w:i w:val="1"/>
          <w:iCs w:val="1"/>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We obtained an understanding, evaluated the design, and tested the operating effectiveness of internal controls over the Company’s accounting for revenue from contracts with customers. For example, with the assistance of IT professionals, we tested the controls over the initiation and billing of new and recurring subscriptions, the recognition of revenue, and the Company’s cash to billings reconciliation process. We also tested the controls related to the key application interfaces between the initiation, billing, and accounting systems, which included controls related to access to the relevant applications and data and changes to the relevant systems and interfaces, as well as controls over the configuration of the relevant applications.</w:t>
      </w:r>
    </w:p>
    <w:p>
      <w:pPr>
        <w:spacing w:after="0" w:line="205" w:lineRule="exact"/>
        <w:rPr>
          <w:sz w:val="20"/>
          <w:szCs w:val="20"/>
          <w:color w:val="auto"/>
        </w:rPr>
      </w:pPr>
    </w:p>
    <w:p>
      <w:pPr>
        <w:ind w:right="260"/>
        <w:spacing w:after="0" w:line="314" w:lineRule="auto"/>
        <w:rPr>
          <w:sz w:val="20"/>
          <w:szCs w:val="20"/>
          <w:color w:val="auto"/>
        </w:rPr>
      </w:pPr>
      <w:r>
        <w:rPr>
          <w:rFonts w:ascii="Arial" w:cs="Arial" w:eastAsia="Arial" w:hAnsi="Arial"/>
          <w:sz w:val="15"/>
          <w:szCs w:val="15"/>
          <w:color w:val="auto"/>
        </w:rPr>
        <w:t>To test the Company’s accounting for revenue from contracts with customers, we performed substantive audit procedures that included, among others, testing on a sample basis the completeness and accuracy of the underlying data within the Company’s billing system, performing data analytics by extracting data from the billing system to evaluate the completeness and accuracy of recorded revenue and deferred revenue amounts, tracing a sample of sales transactions to source data, and testing a sample of cash to billings reconciliations.</w:t>
      </w:r>
    </w:p>
    <w:p>
      <w:pPr>
        <w:spacing w:after="0" w:line="200" w:lineRule="exact"/>
        <w:rPr>
          <w:sz w:val="20"/>
          <w:szCs w:val="20"/>
          <w:color w:val="auto"/>
        </w:rPr>
      </w:pPr>
    </w:p>
    <w:p>
      <w:pPr>
        <w:sectPr>
          <w:pgSz w:w="11900" w:h="16838" w:orient="portrait"/>
          <w:cols w:equalWidth="0" w:num="2">
            <w:col w:w="1360" w:space="100"/>
            <w:col w:w="9760"/>
          </w:cols>
          <w:pgMar w:left="320" w:top="130" w:right="359" w:bottom="1440" w:gutter="0" w:footer="0" w:header="0"/>
          <w:type w:val="continuous"/>
        </w:sectPr>
      </w:pPr>
    </w:p>
    <w:p>
      <w:pPr>
        <w:spacing w:after="0" w:line="379" w:lineRule="exact"/>
        <w:rPr>
          <w:sz w:val="20"/>
          <w:szCs w:val="20"/>
          <w:color w:val="auto"/>
        </w:rPr>
      </w:pPr>
    </w:p>
    <w:p>
      <w:pPr>
        <w:ind w:left="20" w:right="80"/>
        <w:spacing w:after="0" w:line="241" w:lineRule="auto"/>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line="256" w:lineRule="auto"/>
        <w:rPr>
          <w:sz w:val="20"/>
          <w:szCs w:val="20"/>
          <w:color w:val="auto"/>
        </w:rPr>
      </w:pPr>
      <w:r>
        <w:rPr>
          <w:rFonts w:ascii="Arial" w:cs="Arial" w:eastAsia="Arial" w:hAnsi="Arial"/>
          <w:sz w:val="15"/>
          <w:szCs w:val="15"/>
          <w:i w:val="1"/>
          <w:iCs w:val="1"/>
          <w:color w:val="auto"/>
        </w:rPr>
        <w:t>How We Addressed the Matter in Our</w:t>
      </w:r>
    </w:p>
    <w:p>
      <w:pPr>
        <w:ind w:left="20"/>
        <w:spacing w:after="0"/>
        <w:rPr>
          <w:sz w:val="20"/>
          <w:szCs w:val="20"/>
          <w:color w:val="auto"/>
        </w:rPr>
      </w:pPr>
      <w:r>
        <w:rPr>
          <w:rFonts w:ascii="Arial" w:cs="Arial" w:eastAsia="Arial" w:hAnsi="Arial"/>
          <w:sz w:val="17"/>
          <w:szCs w:val="17"/>
          <w:i w:val="1"/>
          <w:iCs w:val="1"/>
          <w:color w:val="auto"/>
        </w:rPr>
        <w:t>Audit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operating lease right-of-use and related assets</w:t>
      </w:r>
    </w:p>
    <w:p>
      <w:pPr>
        <w:spacing w:after="0" w:line="5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As disclosed in Note 9 to the consolidated financial statements, the Company recorded additional expense of $175.2 million in the year ended December 31, 2022 as a result of the Company's identification of indicators of impairment related to certain of its leased office space assets. In accordance with ASC 360, the Company performed a recoverability test of these leased office space asset groups, comprised of operating lease right-of-use and other related assets, and determined that the carrying value of certain asset groups was not fully recoverable. As a result, the Company measured and recognized an impairment charge related to these assets representing the amount by which the carrying value exceeded the estimated fair value of these asset groups.</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Auditing the Company's impairment measurement involved a high degree of subjectivity due to the significant estimation required by management to determine the fair value of the asset groups. The Company utilized an income approach to value the asset groups, which required the development of a discounted cash flow model utilizing certain key assumptions, including future sublease market rent rates, discount rates, expected vacancy periods, and lease incentives offered to future tenants. These assumptions have a significant effect on the estimated fair values of the asset groups, and the resulting impairment charge, and could be impacted by future economic and market conditions.</w:t>
      </w:r>
    </w:p>
    <w:p>
      <w:pPr>
        <w:spacing w:after="0" w:line="21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obtained an understanding, evaluated the design, and tested the operating effectiveness of internal controls over the Company’s processes to determine the fair values of the asset groups and measure the impairment charge. For example, we tested the controls over the determination of the fair value of the asset groups subject to impairment, including the determination and review of the underlying assumptions used to develop the fair value estimates.</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testing of the Company's impairment measurement included, among other procedures, evaluating the significant assumptions used to estimate fair value. For example, we compared the sublease market rent rate, vacancy period, and tenant lease incentive assumptions used to estimate future cash flows to current industry and economic trends, and assessed the reasonableness of the discount rates used as part of the discounted cash flow model. We also involved our valuation specialists to assist in our evaluation of the significant assumptions used in the fair value estimate.</w:t>
      </w:r>
    </w:p>
    <w:p>
      <w:pPr>
        <w:spacing w:after="0" w:line="200" w:lineRule="exact"/>
        <w:rPr>
          <w:sz w:val="20"/>
          <w:szCs w:val="20"/>
          <w:color w:val="auto"/>
        </w:rPr>
      </w:pPr>
    </w:p>
    <w:p>
      <w:pPr>
        <w:sectPr>
          <w:pgSz w:w="11900" w:h="16838" w:orient="portrait"/>
          <w:cols w:equalWidth="0" w:num="2">
            <w:col w:w="1360" w:space="100"/>
            <w:col w:w="976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Ernst &amp; Young LLP</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 have served as the Company’s auditor since 2013.</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San Francisco, California</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Dropbox, Inc.</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Opinion on Internal Control Over Financial Reporting</w:t>
      </w:r>
    </w:p>
    <w:p>
      <w:pPr>
        <w:spacing w:after="0" w:line="165"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333333"/>
        </w:rPr>
        <w:t>We have audited Dropbox, Inc.’s internal control over financial reporting as of December 31, 2022, based on criteria established in Internal Control— Integrated Framework issued by the Committee of Sponsoring Organizations of the Treadway Commission (2013 framework) (the COSO criteria). In our opinion, Dropbox, Inc. (the Company) maintained, in all material respects, effective internal control over financial reporting as of December 31, 2022, based on the COSO criteria.</w:t>
      </w:r>
    </w:p>
    <w:p>
      <w:pPr>
        <w:spacing w:after="0" w:line="202" w:lineRule="exact"/>
        <w:rPr>
          <w:sz w:val="20"/>
          <w:szCs w:val="20"/>
          <w:color w:val="auto"/>
        </w:rPr>
      </w:pPr>
    </w:p>
    <w:p>
      <w:pPr>
        <w:ind w:right="420" w:firstLine="629"/>
        <w:spacing w:after="0" w:line="268" w:lineRule="auto"/>
        <w:rPr>
          <w:sz w:val="20"/>
          <w:szCs w:val="20"/>
          <w:color w:val="auto"/>
        </w:rPr>
      </w:pPr>
      <w:r>
        <w:rPr>
          <w:rFonts w:ascii="Arial" w:cs="Arial" w:eastAsia="Arial" w:hAnsi="Arial"/>
          <w:sz w:val="17"/>
          <w:szCs w:val="17"/>
          <w:color w:val="333333"/>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(loss), stockholders’ (deficit) equity and cash flows for each of the three years in the period ended December 31, 2022, and the related notes and our report dated February 22, 2023 expressed an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Basis for Opinion</w:t>
      </w:r>
    </w:p>
    <w:p>
      <w:pPr>
        <w:spacing w:after="0" w:line="151"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680" w:firstLine="629"/>
        <w:spacing w:after="0" w:line="289" w:lineRule="auto"/>
        <w:rPr>
          <w:sz w:val="20"/>
          <w:szCs w:val="20"/>
          <w:color w:val="auto"/>
        </w:rPr>
      </w:pPr>
      <w:r>
        <w:rPr>
          <w:rFonts w:ascii="Arial" w:cs="Arial" w:eastAsia="Arial" w:hAnsi="Arial"/>
          <w:sz w:val="17"/>
          <w:szCs w:val="17"/>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5"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Definition and Limitations of Internal Control Over Financial Reporting</w:t>
      </w:r>
    </w:p>
    <w:p>
      <w:pPr>
        <w:spacing w:after="0" w:line="165" w:lineRule="exact"/>
        <w:rPr>
          <w:sz w:val="20"/>
          <w:szCs w:val="20"/>
          <w:color w:val="auto"/>
        </w:rPr>
      </w:pPr>
    </w:p>
    <w:p>
      <w:pPr>
        <w:ind w:right="80" w:firstLine="629"/>
        <w:spacing w:after="0" w:line="303" w:lineRule="auto"/>
        <w:rPr>
          <w:sz w:val="20"/>
          <w:szCs w:val="20"/>
          <w:color w:val="auto"/>
        </w:rPr>
      </w:pPr>
      <w:r>
        <w:rPr>
          <w:rFonts w:ascii="Arial" w:cs="Arial" w:eastAsia="Arial" w:hAnsi="Arial"/>
          <w:sz w:val="15"/>
          <w:szCs w:val="15"/>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333333"/>
        </w:rPr>
        <w:t>San Francisco,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333333"/>
        </w:rPr>
        <w:t>February 22,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millions, except for par value)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w:t>
            </w: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7"/>
                <w:szCs w:val="17"/>
                <w:color w:val="auto"/>
              </w:rPr>
              <w:t>Short-term investments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1,110.6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1,185.1</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Trade and other receivables,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1,849.8</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322.0</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413.9</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356.6</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3,110.1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3,091.3</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and stockholders’ deficit</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7"/>
                <w:szCs w:val="17"/>
                <w:color w:val="auto"/>
              </w:rPr>
              <w:t>Accrued and other current liabilities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140.8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compensation and benefits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w:t>
            </w: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7"/>
                <w:szCs w:val="17"/>
                <w:color w:val="auto"/>
              </w:rPr>
              <w:t>Operating lease liability</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Finance lease obligation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1,175.8</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Operating lease liability, non-current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632.0</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liability, non-current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Convertible senior notes, net, non-current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1,374.0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1,370.3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3,385.2</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10)</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Stockholders’ deficit: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w w:val="99"/>
              </w:rPr>
              <w:t>Convertible preferred stock, $0.00001 par value; no shares authorized, issued and outstanding as of</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December 31, 2022; no shares authorized, issued and outstanding as of December 31, 2021</w:t>
            </w:r>
          </w:p>
        </w:tc>
        <w:tc>
          <w:tcPr>
            <w:tcW w:w="3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7860" w:type="dxa"/>
            <w:vAlign w:val="bottom"/>
          </w:tcPr>
          <w:p>
            <w:pPr>
              <w:ind w:left="340"/>
              <w:spacing w:after="0" w:line="172" w:lineRule="exact"/>
              <w:rPr>
                <w:sz w:val="20"/>
                <w:szCs w:val="20"/>
                <w:color w:val="auto"/>
              </w:rPr>
            </w:pPr>
            <w:r>
              <w:rPr>
                <w:rFonts w:ascii="Arial" w:cs="Arial" w:eastAsia="Arial" w:hAnsi="Arial"/>
                <w:sz w:val="17"/>
                <w:szCs w:val="17"/>
                <w:color w:val="auto"/>
                <w:w w:val="93"/>
              </w:rPr>
              <w:t>Preferred stock, $0.00001 par value; 240.0 shares authorized, and no shares issued and outstanding as of</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860" w:type="dxa"/>
            <w:vAlign w:val="bottom"/>
          </w:tcPr>
          <w:p>
            <w:pPr>
              <w:ind w:left="340"/>
              <w:spacing w:after="0" w:line="184" w:lineRule="exact"/>
              <w:rPr>
                <w:sz w:val="20"/>
                <w:szCs w:val="20"/>
                <w:color w:val="auto"/>
              </w:rPr>
            </w:pPr>
            <w:r>
              <w:rPr>
                <w:rFonts w:ascii="Arial" w:cs="Arial" w:eastAsia="Arial" w:hAnsi="Arial"/>
                <w:sz w:val="17"/>
                <w:szCs w:val="17"/>
                <w:color w:val="auto"/>
                <w:w w:val="95"/>
              </w:rPr>
              <w:t>December 31, 2022; 240.0 shares authorized and no shares issued and outstanding as of December 31,</w:t>
            </w: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860" w:type="dxa"/>
            <w:vAlign w:val="bottom"/>
          </w:tcPr>
          <w:p>
            <w:pPr>
              <w:ind w:left="340"/>
              <w:spacing w:after="0"/>
              <w:rPr>
                <w:sz w:val="20"/>
                <w:szCs w:val="20"/>
                <w:color w:val="auto"/>
              </w:rPr>
            </w:pPr>
            <w:r>
              <w:rPr>
                <w:rFonts w:ascii="Arial" w:cs="Arial" w:eastAsia="Arial" w:hAnsi="Arial"/>
                <w:sz w:val="17"/>
                <w:szCs w:val="17"/>
                <w:color w:val="auto"/>
              </w:rPr>
              <w:t>2021</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w w:val="93"/>
              </w:rPr>
              <w:t>Common stock, $0.00001 par value; Class A common stock - 2,400.0 shares authorized and 267.2 shares</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860" w:type="dxa"/>
            <w:vAlign w:val="bottom"/>
            <w:shd w:val="clear" w:color="auto" w:fill="CCEEFF"/>
          </w:tcPr>
          <w:p>
            <w:pPr>
              <w:ind w:left="340"/>
              <w:spacing w:after="0" w:line="184" w:lineRule="exact"/>
              <w:rPr>
                <w:sz w:val="20"/>
                <w:szCs w:val="20"/>
                <w:color w:val="auto"/>
              </w:rPr>
            </w:pPr>
            <w:r>
              <w:rPr>
                <w:rFonts w:ascii="Arial" w:cs="Arial" w:eastAsia="Arial" w:hAnsi="Arial"/>
                <w:sz w:val="17"/>
                <w:szCs w:val="17"/>
                <w:color w:val="auto"/>
                <w:w w:val="93"/>
              </w:rPr>
              <w:t>issued and outstanding as of December 31, 2022; 2,400.0 shares authorized and 292.7 shares issued and</w:t>
            </w: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860" w:type="dxa"/>
            <w:vAlign w:val="bottom"/>
            <w:shd w:val="clear" w:color="auto" w:fill="CCEEFF"/>
          </w:tcPr>
          <w:p>
            <w:pPr>
              <w:ind w:left="340"/>
              <w:spacing w:after="0" w:line="171" w:lineRule="exact"/>
              <w:rPr>
                <w:sz w:val="20"/>
                <w:szCs w:val="20"/>
                <w:color w:val="auto"/>
              </w:rPr>
            </w:pPr>
            <w:r>
              <w:rPr>
                <w:rFonts w:ascii="Arial" w:cs="Arial" w:eastAsia="Arial" w:hAnsi="Arial"/>
                <w:sz w:val="17"/>
                <w:szCs w:val="17"/>
                <w:color w:val="auto"/>
                <w:w w:val="94"/>
              </w:rPr>
              <w:t>outstanding as of December 31, 2021; Class B common stock - 475.0 shares authorized and 82.2 shares</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shd w:val="clear" w:color="auto" w:fill="CCEEFF"/>
          </w:tcPr>
          <w:p>
            <w:pPr>
              <w:ind w:left="340"/>
              <w:spacing w:after="0" w:line="171" w:lineRule="exact"/>
              <w:rPr>
                <w:sz w:val="20"/>
                <w:szCs w:val="20"/>
                <w:color w:val="auto"/>
              </w:rPr>
            </w:pPr>
            <w:r>
              <w:rPr>
                <w:rFonts w:ascii="Arial" w:cs="Arial" w:eastAsia="Arial" w:hAnsi="Arial"/>
                <w:sz w:val="17"/>
                <w:szCs w:val="17"/>
                <w:color w:val="auto"/>
                <w:w w:val="92"/>
              </w:rPr>
              <w:t>issued and outstanding as of December 31, 2022; 475.0 shares authorized and 82.8 issued and outstanding</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860" w:type="dxa"/>
            <w:vAlign w:val="bottom"/>
            <w:shd w:val="clear" w:color="auto" w:fill="CCEEFF"/>
          </w:tcPr>
          <w:p>
            <w:pPr>
              <w:ind w:left="340"/>
              <w:spacing w:after="0" w:line="184" w:lineRule="exact"/>
              <w:rPr>
                <w:sz w:val="20"/>
                <w:szCs w:val="20"/>
                <w:color w:val="auto"/>
              </w:rPr>
            </w:pPr>
            <w:r>
              <w:rPr>
                <w:rFonts w:ascii="Arial" w:cs="Arial" w:eastAsia="Arial" w:hAnsi="Arial"/>
                <w:sz w:val="17"/>
                <w:szCs w:val="17"/>
                <w:color w:val="auto"/>
                <w:w w:val="97"/>
              </w:rPr>
              <w:t>as of December 31, 2021; Class C common stock - 800.0 shares authorized and no shares issues and</w:t>
            </w: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860" w:type="dxa"/>
            <w:vAlign w:val="bottom"/>
            <w:shd w:val="clear" w:color="auto" w:fill="CCEEFF"/>
          </w:tcPr>
          <w:p>
            <w:pPr>
              <w:ind w:left="340"/>
              <w:spacing w:after="0" w:line="171" w:lineRule="exact"/>
              <w:rPr>
                <w:sz w:val="20"/>
                <w:szCs w:val="20"/>
                <w:color w:val="auto"/>
              </w:rPr>
            </w:pPr>
            <w:r>
              <w:rPr>
                <w:rFonts w:ascii="Arial" w:cs="Arial" w:eastAsia="Arial" w:hAnsi="Arial"/>
                <w:sz w:val="17"/>
                <w:szCs w:val="17"/>
                <w:color w:val="auto"/>
                <w:w w:val="92"/>
              </w:rPr>
              <w:t>outstanding as of December 31, 2022; 800.0 shares authorized and no shares issued and outstanding as of</w:t>
            </w:r>
          </w:p>
        </w:tc>
        <w:tc>
          <w:tcPr>
            <w:tcW w:w="3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December 31, 2021</w:t>
            </w:r>
          </w:p>
        </w:tc>
        <w:tc>
          <w:tcPr>
            <w:tcW w:w="36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Additional paid-in capital</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2,448.1</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deficit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(2,739.4)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Accumulated other comprehensive loss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(293.9)</w:t>
            </w: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deficit</w:t>
            </w: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3,110.1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3,091.3</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millions, except per share data)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2"/>
              </w:rPr>
              <w:t>Year ended December 31,</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2,324.9</w:t>
            </w:r>
          </w:p>
        </w:tc>
        <w:tc>
          <w:tcPr>
            <w:tcW w:w="5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1,913.9</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380"/>
              <w:spacing w:after="0" w:line="223"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1,880.7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1,499.3</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line="223"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727.5</w:t>
            </w:r>
          </w:p>
        </w:tc>
        <w:tc>
          <w:tcPr>
            <w:tcW w:w="0" w:type="dxa"/>
            <w:vAlign w:val="bottom"/>
          </w:tcPr>
          <w:p>
            <w:pPr>
              <w:spacing w:after="0"/>
              <w:rPr>
                <w:sz w:val="1"/>
                <w:szCs w:val="1"/>
                <w:color w:val="auto"/>
              </w:rPr>
            </w:pPr>
          </w:p>
        </w:tc>
      </w:tr>
      <w:tr>
        <w:trPr>
          <w:trHeight w:val="223"/>
        </w:trPr>
        <w:tc>
          <w:tcPr>
            <w:tcW w:w="574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409.4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422.8</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340"/>
              <w:spacing w:after="0" w:line="223" w:lineRule="exact"/>
              <w:rPr>
                <w:sz w:val="20"/>
                <w:szCs w:val="20"/>
                <w:color w:val="auto"/>
              </w:rPr>
            </w:pPr>
            <w:r>
              <w:rPr>
                <w:rFonts w:ascii="Arial" w:cs="Arial" w:eastAsia="Arial" w:hAnsi="Arial"/>
                <w:sz w:val="17"/>
                <w:szCs w:val="17"/>
                <w:color w:val="auto"/>
              </w:rPr>
              <w:t>Impairment related to real estate assets</w:t>
            </w:r>
            <w:r>
              <w:rPr>
                <w:rFonts w:ascii="Arial" w:cs="Arial" w:eastAsia="Arial" w:hAnsi="Arial"/>
                <w:sz w:val="22"/>
                <w:szCs w:val="22"/>
                <w:color w:val="auto"/>
                <w:vertAlign w:val="superscript"/>
              </w:rPr>
              <w:t>(2)</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1,699.4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1,776.3</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(277.0)</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line="223" w:lineRule="exact"/>
              <w:rPr>
                <w:sz w:val="20"/>
                <w:szCs w:val="20"/>
                <w:color w:val="auto"/>
              </w:rPr>
            </w:pPr>
            <w:r>
              <w:rPr>
                <w:rFonts w:ascii="Arial" w:cs="Arial" w:eastAsia="Arial" w:hAnsi="Arial"/>
                <w:sz w:val="17"/>
                <w:szCs w:val="17"/>
                <w:color w:val="auto"/>
              </w:rPr>
              <w:t>Benefit from (provision for) income taxes</w:t>
            </w:r>
            <w:r>
              <w:rPr>
                <w:rFonts w:ascii="Arial" w:cs="Arial" w:eastAsia="Arial" w:hAnsi="Arial"/>
                <w:sz w:val="22"/>
                <w:szCs w:val="22"/>
                <w:color w:val="auto"/>
                <w:vertAlign w:val="superscript"/>
              </w:rPr>
              <w:t>(3)</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553.2</w:t>
            </w:r>
          </w:p>
        </w:tc>
        <w:tc>
          <w:tcPr>
            <w:tcW w:w="5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(loss) per share-basic and diluted:</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(loss) per share</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20"/>
              <w:spacing w:after="0"/>
              <w:rPr>
                <w:sz w:val="20"/>
                <w:szCs w:val="20"/>
                <w:color w:val="auto"/>
              </w:rPr>
            </w:pPr>
            <w:r>
              <w:rPr>
                <w:rFonts w:ascii="Arial" w:cs="Arial" w:eastAsia="Arial" w:hAnsi="Arial"/>
                <w:sz w:val="17"/>
                <w:szCs w:val="17"/>
                <w:color w:val="auto"/>
              </w:rPr>
              <w:t>Diluted net income (loss) per share</w:t>
            </w: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40" w:type="dxa"/>
            <w:vAlign w:val="bottom"/>
            <w:vMerge w:val="continue"/>
          </w:tcPr>
          <w:p>
            <w:pPr>
              <w:spacing w:after="0"/>
              <w:rPr>
                <w:sz w:val="16"/>
                <w:szCs w:val="16"/>
                <w:color w:val="auto"/>
              </w:rPr>
            </w:pPr>
          </w:p>
        </w:tc>
        <w:tc>
          <w:tcPr>
            <w:tcW w:w="1100" w:type="dxa"/>
            <w:vAlign w:val="bottom"/>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1.52</w:t>
            </w:r>
          </w:p>
        </w:tc>
        <w:tc>
          <w:tcPr>
            <w:tcW w:w="50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0.85</w:t>
            </w:r>
          </w:p>
        </w:tc>
        <w:tc>
          <w:tcPr>
            <w:tcW w:w="100" w:type="dxa"/>
            <w:vAlign w:val="bottom"/>
          </w:tcPr>
          <w:p>
            <w:pPr>
              <w:spacing w:after="0"/>
              <w:rPr>
                <w:sz w:val="16"/>
                <w:szCs w:val="16"/>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740" w:type="dxa"/>
            <w:vAlign w:val="bottom"/>
            <w:shd w:val="clear" w:color="auto" w:fill="CCEEFF"/>
          </w:tcPr>
          <w:p>
            <w:pPr>
              <w:ind w:left="20"/>
              <w:spacing w:after="0" w:line="138" w:lineRule="exact"/>
              <w:rPr>
                <w:sz w:val="20"/>
                <w:szCs w:val="20"/>
                <w:color w:val="auto"/>
              </w:rPr>
            </w:pPr>
            <w:r>
              <w:rPr>
                <w:rFonts w:ascii="Arial" w:cs="Arial" w:eastAsia="Arial" w:hAnsi="Arial"/>
                <w:sz w:val="15"/>
                <w:szCs w:val="15"/>
                <w:color w:val="auto"/>
              </w:rPr>
              <w:t>Weighted-average shares used in computing net income (loss) per share</w:t>
            </w:r>
          </w:p>
        </w:tc>
        <w:tc>
          <w:tcPr>
            <w:tcW w:w="1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361.2</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388.0</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414.3</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attributable to common stockholders, basic</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7"/>
                <w:szCs w:val="17"/>
                <w:color w:val="auto"/>
              </w:rPr>
              <w:t>Weighted-average shares used in computing net income (loss) per share</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363.3</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395.8</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414.3</w:t>
            </w:r>
          </w:p>
        </w:tc>
        <w:tc>
          <w:tcPr>
            <w:tcW w:w="0" w:type="dxa"/>
            <w:vAlign w:val="bottom"/>
          </w:tcPr>
          <w:p>
            <w:pPr>
              <w:spacing w:after="0"/>
              <w:rPr>
                <w:sz w:val="1"/>
                <w:szCs w:val="1"/>
                <w:color w:val="auto"/>
              </w:rPr>
            </w:pPr>
          </w:p>
        </w:tc>
      </w:tr>
      <w:tr>
        <w:trPr>
          <w:trHeight w:val="209"/>
        </w:trPr>
        <w:tc>
          <w:tcPr>
            <w:tcW w:w="5740" w:type="dxa"/>
            <w:vAlign w:val="bottom"/>
          </w:tcPr>
          <w:p>
            <w:pPr>
              <w:ind w:left="180"/>
              <w:spacing w:after="0"/>
              <w:rPr>
                <w:sz w:val="20"/>
                <w:szCs w:val="20"/>
                <w:color w:val="auto"/>
              </w:rPr>
            </w:pPr>
            <w:r>
              <w:rPr>
                <w:rFonts w:ascii="Arial" w:cs="Arial" w:eastAsia="Arial" w:hAnsi="Arial"/>
                <w:sz w:val="17"/>
                <w:szCs w:val="17"/>
                <w:color w:val="auto"/>
              </w:rPr>
              <w:t>attributable to common stockholders, diluted</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420" w:hanging="297"/>
        <w:spacing w:after="0"/>
        <w:tabs>
          <w:tab w:leader="none" w:pos="4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Includes stock-based compensation as follows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2"/>
              </w:rPr>
              <w:t>Year ended December 31,</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6"/>
        </w:trPr>
        <w:tc>
          <w:tcPr>
            <w:tcW w:w="57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r>
      <w:tr>
        <w:trPr>
          <w:trHeight w:val="223"/>
        </w:trPr>
        <w:tc>
          <w:tcPr>
            <w:tcW w:w="574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174.1</w:t>
            </w: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r>
      <w:tr>
        <w:trPr>
          <w:trHeight w:val="297"/>
        </w:trPr>
        <w:tc>
          <w:tcPr>
            <w:tcW w:w="5740" w:type="dxa"/>
            <w:vAlign w:val="bottom"/>
          </w:tcPr>
          <w:p>
            <w:pPr>
              <w:ind w:left="34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(4)</w:t>
            </w:r>
          </w:p>
        </w:tc>
        <w:tc>
          <w:tcPr>
            <w:tcW w:w="1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51.3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36.6</w:t>
            </w:r>
          </w:p>
        </w:tc>
      </w:tr>
    </w:tbl>
    <w:p>
      <w:pPr>
        <w:spacing w:after="0" w:line="248" w:lineRule="exact"/>
        <w:rPr>
          <w:sz w:val="20"/>
          <w:szCs w:val="20"/>
          <w:color w:val="auto"/>
        </w:rPr>
      </w:pPr>
    </w:p>
    <w:p>
      <w:pPr>
        <w:ind w:left="440" w:right="100" w:hanging="317"/>
        <w:spacing w:after="0" w:line="227" w:lineRule="auto"/>
        <w:tabs>
          <w:tab w:leader="none" w:pos="428"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Includes impairment charges related to real estate assets as a result of adverse changes in the corporate real estate market which has impacted the Company's subleasing strategy in conjunction with its shift to Virtual First. See Note 9 "Leases" for further information.</w:t>
      </w:r>
    </w:p>
    <w:p>
      <w:pPr>
        <w:spacing w:after="0" w:line="228" w:lineRule="exact"/>
        <w:rPr>
          <w:rFonts w:ascii="Arial" w:cs="Arial" w:eastAsia="Arial" w:hAnsi="Arial"/>
          <w:sz w:val="18"/>
          <w:szCs w:val="18"/>
          <w:color w:val="auto"/>
          <w:vertAlign w:val="superscript"/>
        </w:rPr>
      </w:pPr>
    </w:p>
    <w:p>
      <w:pPr>
        <w:ind w:left="440" w:right="80" w:hanging="317"/>
        <w:spacing w:after="0" w:line="257" w:lineRule="auto"/>
        <w:tabs>
          <w:tab w:leader="none" w:pos="432"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Results of Operations for the year-ended 2022 include a one-time benefit from income taxes of $420.2 million due to the release of a valuation allowance on the U.S. federal and certain state deferred tax assets. Results of Operations for the year-ended 2021 include a one-time benefit from income taxes of $38.1 million from the release of a valuation allowance on the Irish deferred tax assets.</w:t>
      </w:r>
    </w:p>
    <w:p>
      <w:pPr>
        <w:spacing w:after="0" w:line="217" w:lineRule="exact"/>
        <w:rPr>
          <w:rFonts w:ascii="Arial" w:cs="Arial" w:eastAsia="Arial" w:hAnsi="Arial"/>
          <w:sz w:val="14"/>
          <w:szCs w:val="14"/>
          <w:color w:val="auto"/>
        </w:rPr>
      </w:pPr>
    </w:p>
    <w:p>
      <w:pPr>
        <w:ind w:left="440" w:right="700" w:hanging="317"/>
        <w:spacing w:after="0" w:line="227" w:lineRule="auto"/>
        <w:tabs>
          <w:tab w:leader="none" w:pos="428"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millions)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ind w:left="80"/>
              <w:spacing w:after="0"/>
              <w:rPr>
                <w:sz w:val="20"/>
                <w:szCs w:val="20"/>
                <w:color w:val="auto"/>
              </w:rPr>
            </w:pPr>
            <w:r>
              <w:rPr>
                <w:rFonts w:ascii="Arial" w:cs="Arial" w:eastAsia="Arial" w:hAnsi="Arial"/>
                <w:sz w:val="17"/>
                <w:szCs w:val="17"/>
                <w:b w:val="1"/>
                <w:bCs w:val="1"/>
                <w:color w:val="auto"/>
                <w:w w:val="94"/>
              </w:rPr>
              <w:t>Year ended December 31,</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553.2</w:t>
            </w:r>
          </w:p>
        </w:tc>
        <w:tc>
          <w:tcPr>
            <w:tcW w:w="54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 in foreign currency translation adjustments</w:t>
            </w: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54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Change in net unrealized (losses) gains on short-term investments</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comprehensive (loss) income, net of tax</w:t>
            </w:r>
          </w:p>
        </w:tc>
        <w:tc>
          <w:tcPr>
            <w:tcW w:w="1260" w:type="dxa"/>
            <w:vAlign w:val="bottom"/>
            <w:tcBorders>
              <w:bottom w:val="single" w:sz="8" w:color="auto"/>
            </w:tcBorders>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7"/>
                <w:szCs w:val="17"/>
                <w:color w:val="auto"/>
              </w:rPr>
              <w:t>Comprehensive income (loss)</w:t>
            </w: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0" w:type="dxa"/>
            <w:vAlign w:val="bottom"/>
            <w:vMerge w:val="continue"/>
          </w:tcPr>
          <w:p>
            <w:pPr>
              <w:spacing w:after="0"/>
              <w:rPr>
                <w:sz w:val="16"/>
                <w:szCs w:val="16"/>
                <w:color w:val="auto"/>
              </w:rPr>
            </w:pPr>
          </w:p>
        </w:tc>
        <w:tc>
          <w:tcPr>
            <w:tcW w:w="1260" w:type="dxa"/>
            <w:vAlign w:val="bottom"/>
          </w:tcPr>
          <w:p>
            <w:pPr>
              <w:jc w:val="right"/>
              <w:ind w:right="1053"/>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506.9</w:t>
            </w:r>
          </w:p>
        </w:tc>
        <w:tc>
          <w:tcPr>
            <w:tcW w:w="540" w:type="dxa"/>
            <w:vAlign w:val="bottom"/>
            <w:gridSpan w:val="2"/>
          </w:tcPr>
          <w:p>
            <w:pPr>
              <w:jc w:val="right"/>
              <w:ind w:right="253"/>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322.3</w:t>
            </w:r>
          </w:p>
        </w:tc>
        <w:tc>
          <w:tcPr>
            <w:tcW w:w="100" w:type="dxa"/>
            <w:vAlign w:val="bottom"/>
          </w:tcPr>
          <w:p>
            <w:pPr>
              <w:spacing w:after="0"/>
              <w:rPr>
                <w:sz w:val="16"/>
                <w:szCs w:val="16"/>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(248.7)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STOCKHOLDERS’ (DEFICIT) EQUITY</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millions)</w:t>
      </w:r>
    </w:p>
    <w:p>
      <w:pPr>
        <w:sectPr>
          <w:pgSz w:w="11900" w:h="16838" w:orient="portrait"/>
          <w:cols w:equalWidth="0" w:num="1">
            <w:col w:w="11200"/>
          </w:cols>
          <w:pgMar w:left="320" w:top="130" w:right="379" w:bottom="1440" w:gutter="0" w:footer="0" w:header="0"/>
        </w:sectPr>
      </w:pPr>
    </w:p>
    <w:p>
      <w:pPr>
        <w:spacing w:after="0" w:line="226" w:lineRule="exact"/>
        <w:rPr>
          <w:sz w:val="20"/>
          <w:szCs w:val="20"/>
          <w:color w:val="auto"/>
        </w:rPr>
      </w:pPr>
    </w:p>
    <w:tbl>
      <w:tblPr>
        <w:tblLayout w:type="fixed"/>
        <w:tblInd w:w="3200" w:type="dxa"/>
        <w:tblCellMar>
          <w:top w:w="0" w:type="dxa"/>
          <w:left w:w="0" w:type="dxa"/>
          <w:bottom w:w="0" w:type="dxa"/>
          <w:right w:w="0" w:type="dxa"/>
        </w:tblCellMar>
      </w:tblPr>
      <w:tr>
        <w:trPr>
          <w:trHeight w:val="195"/>
        </w:trPr>
        <w:tc>
          <w:tcPr>
            <w:tcW w:w="1580" w:type="dxa"/>
            <w:vAlign w:val="bottom"/>
            <w:gridSpan w:val="2"/>
            <w:vMerge w:val="restart"/>
          </w:tcPr>
          <w:p>
            <w:pPr>
              <w:jc w:val="center"/>
              <w:ind w:right="60"/>
              <w:spacing w:after="0"/>
              <w:rPr>
                <w:sz w:val="20"/>
                <w:szCs w:val="20"/>
                <w:color w:val="auto"/>
              </w:rPr>
            </w:pPr>
            <w:r>
              <w:rPr>
                <w:rFonts w:ascii="Arial" w:cs="Arial" w:eastAsia="Arial" w:hAnsi="Arial"/>
                <w:sz w:val="17"/>
                <w:szCs w:val="17"/>
                <w:b w:val="1"/>
                <w:bCs w:val="1"/>
                <w:color w:val="auto"/>
                <w:w w:val="94"/>
              </w:rPr>
              <w:t>Convertible</w:t>
            </w:r>
          </w:p>
        </w:tc>
        <w:tc>
          <w:tcPr>
            <w:tcW w:w="15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Class A and Class</w:t>
            </w: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1"/>
              </w:rPr>
              <w:t>Accumulated</w:t>
            </w:r>
          </w:p>
        </w:tc>
        <w:tc>
          <w:tcPr>
            <w:tcW w:w="0" w:type="dxa"/>
            <w:vAlign w:val="bottom"/>
          </w:tcPr>
          <w:p>
            <w:pPr>
              <w:spacing w:after="0"/>
              <w:rPr>
                <w:sz w:val="1"/>
                <w:szCs w:val="1"/>
                <w:color w:val="auto"/>
              </w:rPr>
            </w:pPr>
          </w:p>
        </w:tc>
      </w:tr>
      <w:tr>
        <w:trPr>
          <w:trHeight w:val="105"/>
        </w:trPr>
        <w:tc>
          <w:tcPr>
            <w:tcW w:w="158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980" w:type="dxa"/>
            <w:vAlign w:val="bottom"/>
            <w:vMerge w:val="restart"/>
          </w:tcPr>
          <w:p>
            <w:pPr>
              <w:jc w:val="center"/>
              <w:spacing w:after="0" w:line="171" w:lineRule="exact"/>
              <w:rPr>
                <w:sz w:val="20"/>
                <w:szCs w:val="20"/>
                <w:color w:val="auto"/>
              </w:rPr>
            </w:pPr>
            <w:r>
              <w:rPr>
                <w:rFonts w:ascii="Arial" w:cs="Arial" w:eastAsia="Arial" w:hAnsi="Arial"/>
                <w:sz w:val="17"/>
                <w:szCs w:val="17"/>
                <w:b w:val="1"/>
                <w:bCs w:val="1"/>
                <w:color w:val="auto"/>
                <w:w w:val="96"/>
              </w:rPr>
              <w:t>Additional</w:t>
            </w:r>
          </w:p>
        </w:tc>
        <w:tc>
          <w:tcPr>
            <w:tcW w:w="1140" w:type="dxa"/>
            <w:vAlign w:val="bottom"/>
          </w:tcPr>
          <w:p>
            <w:pPr>
              <w:spacing w:after="0"/>
              <w:rPr>
                <w:sz w:val="9"/>
                <w:szCs w:val="9"/>
                <w:color w:val="auto"/>
              </w:rPr>
            </w:pPr>
          </w:p>
        </w:tc>
        <w:tc>
          <w:tcPr>
            <w:tcW w:w="1180" w:type="dxa"/>
            <w:vAlign w:val="bottom"/>
            <w:vMerge w:val="restart"/>
          </w:tcPr>
          <w:p>
            <w:pPr>
              <w:jc w:val="center"/>
              <w:spacing w:after="0" w:line="171" w:lineRule="exact"/>
              <w:rPr>
                <w:sz w:val="20"/>
                <w:szCs w:val="20"/>
                <w:color w:val="auto"/>
              </w:rPr>
            </w:pPr>
            <w:r>
              <w:rPr>
                <w:rFonts w:ascii="Arial" w:cs="Arial" w:eastAsia="Arial" w:hAnsi="Arial"/>
                <w:sz w:val="17"/>
                <w:szCs w:val="17"/>
                <w:b w:val="1"/>
                <w:bCs w:val="1"/>
                <w:color w:val="auto"/>
                <w:w w:val="94"/>
              </w:rPr>
              <w:t>other</w:t>
            </w:r>
          </w:p>
        </w:tc>
        <w:tc>
          <w:tcPr>
            <w:tcW w:w="0" w:type="dxa"/>
            <w:vAlign w:val="bottom"/>
          </w:tcPr>
          <w:p>
            <w:pPr>
              <w:spacing w:after="0"/>
              <w:rPr>
                <w:sz w:val="1"/>
                <w:szCs w:val="1"/>
                <w:color w:val="auto"/>
              </w:rPr>
            </w:pPr>
          </w:p>
        </w:tc>
      </w:tr>
      <w:tr>
        <w:trPr>
          <w:trHeight w:val="66"/>
        </w:trPr>
        <w:tc>
          <w:tcPr>
            <w:tcW w:w="158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w w:val="92"/>
              </w:rPr>
              <w:t>preferred stock</w:t>
            </w:r>
          </w:p>
        </w:tc>
        <w:tc>
          <w:tcPr>
            <w:tcW w:w="15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9"/>
              </w:rPr>
              <w:t>B common stock</w:t>
            </w:r>
          </w:p>
        </w:tc>
        <w:tc>
          <w:tcPr>
            <w:tcW w:w="980" w:type="dxa"/>
            <w:vAlign w:val="bottom"/>
            <w:vMerge w:val="continue"/>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Accumulated</w:t>
            </w: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580" w:type="dxa"/>
            <w:vAlign w:val="bottom"/>
            <w:gridSpan w:val="2"/>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98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3"/>
              </w:rPr>
              <w:t>paid-in</w:t>
            </w:r>
          </w:p>
        </w:tc>
        <w:tc>
          <w:tcPr>
            <w:tcW w:w="1140" w:type="dxa"/>
            <w:vAlign w:val="bottom"/>
            <w:vMerge w:val="continue"/>
          </w:tcPr>
          <w:p>
            <w:pPr>
              <w:spacing w:after="0"/>
              <w:rPr>
                <w:sz w:val="14"/>
                <w:szCs w:val="14"/>
                <w:color w:val="auto"/>
              </w:rPr>
            </w:pPr>
          </w:p>
        </w:tc>
        <w:tc>
          <w:tcPr>
            <w:tcW w:w="118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89"/>
              </w:rPr>
              <w:t>comprehensive</w:t>
            </w:r>
          </w:p>
        </w:tc>
        <w:tc>
          <w:tcPr>
            <w:tcW w:w="0" w:type="dxa"/>
            <w:vAlign w:val="bottom"/>
          </w:tcPr>
          <w:p>
            <w:pPr>
              <w:spacing w:after="0"/>
              <w:rPr>
                <w:sz w:val="1"/>
                <w:szCs w:val="1"/>
                <w:color w:val="auto"/>
              </w:rPr>
            </w:pPr>
          </w:p>
        </w:tc>
      </w:tr>
      <w:tr>
        <w:trPr>
          <w:trHeight w:val="216"/>
        </w:trPr>
        <w:tc>
          <w:tcPr>
            <w:tcW w:w="15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Shares   Amount</w:t>
            </w:r>
          </w:p>
        </w:tc>
        <w:tc>
          <w:tcPr>
            <w:tcW w:w="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Shares   Amount</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6"/>
              </w:rPr>
              <w:t>capital</w:t>
            </w:r>
          </w:p>
        </w:tc>
        <w:tc>
          <w:tcPr>
            <w:tcW w:w="1140" w:type="dxa"/>
            <w:vAlign w:val="bottom"/>
          </w:tcPr>
          <w:p>
            <w:pPr>
              <w:jc w:val="center"/>
              <w:spacing w:after="0"/>
              <w:rPr>
                <w:sz w:val="20"/>
                <w:szCs w:val="20"/>
                <w:color w:val="auto"/>
              </w:rPr>
            </w:pPr>
            <w:r>
              <w:rPr>
                <w:rFonts w:ascii="Arial" w:cs="Arial" w:eastAsia="Arial" w:hAnsi="Arial"/>
                <w:sz w:val="17"/>
                <w:szCs w:val="17"/>
                <w:b w:val="1"/>
                <w:bCs w:val="1"/>
                <w:color w:val="auto"/>
                <w:w w:val="91"/>
              </w:rPr>
              <w:t>deficit</w:t>
            </w: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87"/>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Total</w:t>
      </w:r>
    </w:p>
    <w:p>
      <w:pPr>
        <w:spacing w:after="0" w:line="209" w:lineRule="auto"/>
        <w:rPr>
          <w:sz w:val="20"/>
          <w:szCs w:val="20"/>
          <w:color w:val="auto"/>
        </w:rPr>
      </w:pPr>
      <w:r>
        <w:rPr>
          <w:rFonts w:ascii="Arial" w:cs="Arial" w:eastAsia="Arial" w:hAnsi="Arial"/>
          <w:sz w:val="17"/>
          <w:szCs w:val="17"/>
          <w:b w:val="1"/>
          <w:bCs w:val="1"/>
          <w:color w:val="auto"/>
        </w:rPr>
        <w:t>stockholders’</w:t>
      </w:r>
    </w:p>
    <w:p>
      <w:pPr>
        <w:jc w:val="right"/>
        <w:ind w:right="20"/>
        <w:spacing w:after="0"/>
        <w:rPr>
          <w:sz w:val="20"/>
          <w:szCs w:val="20"/>
          <w:color w:val="auto"/>
        </w:rPr>
      </w:pPr>
      <w:r>
        <w:rPr>
          <w:rFonts w:ascii="Arial" w:cs="Arial" w:eastAsia="Arial" w:hAnsi="Arial"/>
          <w:sz w:val="17"/>
          <w:szCs w:val="17"/>
          <w:b w:val="1"/>
          <w:bCs w:val="1"/>
          <w:color w:val="auto"/>
        </w:rPr>
        <w:t>(deficit)equity</w:t>
      </w:r>
    </w:p>
    <w:p>
      <w:pPr>
        <w:spacing w:after="0" w:line="53" w:lineRule="exact"/>
        <w:rPr>
          <w:sz w:val="20"/>
          <w:szCs w:val="20"/>
          <w:color w:val="auto"/>
        </w:rPr>
      </w:pPr>
    </w:p>
    <w:p>
      <w:pPr>
        <w:sectPr>
          <w:pgSz w:w="11900" w:h="16838" w:orient="portrait"/>
          <w:cols w:equalWidth="0" w:num="2">
            <w:col w:w="9580" w:space="360"/>
            <w:col w:w="1260"/>
          </w:cols>
          <w:pgMar w:left="320" w:top="130" w:right="3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2019</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2,531.3</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(1,726.2)</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808.4</w:t>
            </w: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w w:val="94"/>
              </w:rPr>
              <w:t>Release of restricted stock units and awards</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71"/>
        </w:trPr>
        <w:tc>
          <w:tcPr>
            <w:tcW w:w="32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Shares withheld related to net share</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5"/>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w:t>
            </w: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rPr>
              <w:t>Repurchases of common stock</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(187.3)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(210.2)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(397.5)</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 of stock options and awards</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261.5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261.5</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23"/>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(256.3)</w:t>
            </w: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2020</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2,564.3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333.8</w:t>
            </w: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w w:val="94"/>
              </w:rPr>
              <w:t>Release of restricted stock units and awards</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71"/>
        </w:trPr>
        <w:tc>
          <w:tcPr>
            <w:tcW w:w="32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Shares withheld related to net share</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32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settlement of restricted stock units and</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5"/>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awards</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w:t>
            </w: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rPr>
              <w:t>Repurchases of common stock</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(314.3)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(744.2)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(1,058.5)</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 of stock options and awards</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171"/>
        </w:trPr>
        <w:tc>
          <w:tcPr>
            <w:tcW w:w="3200" w:type="dxa"/>
            <w:vAlign w:val="bottom"/>
          </w:tcPr>
          <w:p>
            <w:pPr>
              <w:ind w:left="20"/>
              <w:spacing w:after="0" w:line="172" w:lineRule="exact"/>
              <w:rPr>
                <w:sz w:val="20"/>
                <w:szCs w:val="20"/>
                <w:color w:val="auto"/>
              </w:rPr>
            </w:pPr>
            <w:r>
              <w:rPr>
                <w:rFonts w:ascii="Arial" w:cs="Arial" w:eastAsia="Arial" w:hAnsi="Arial"/>
                <w:sz w:val="17"/>
                <w:szCs w:val="17"/>
                <w:color w:val="auto"/>
              </w:rPr>
              <w:t>Assumed stock options in connection with</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5"/>
        </w:trPr>
        <w:tc>
          <w:tcPr>
            <w:tcW w:w="3200" w:type="dxa"/>
            <w:vAlign w:val="bottom"/>
          </w:tcPr>
          <w:p>
            <w:pPr>
              <w:ind w:left="20"/>
              <w:spacing w:after="0"/>
              <w:rPr>
                <w:sz w:val="20"/>
                <w:szCs w:val="20"/>
                <w:color w:val="auto"/>
              </w:rPr>
            </w:pPr>
            <w:r>
              <w:rPr>
                <w:rFonts w:ascii="Arial" w:cs="Arial" w:eastAsia="Arial" w:hAnsi="Arial"/>
                <w:sz w:val="17"/>
                <w:szCs w:val="17"/>
                <w:color w:val="auto"/>
              </w:rPr>
              <w:t>acquisition</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171"/>
        </w:trPr>
        <w:tc>
          <w:tcPr>
            <w:tcW w:w="32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4"/>
              </w:rPr>
              <w:t>Purchase of bond hedges in connection with</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5"/>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issuance of convertible senior notes</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w:t>
            </w:r>
          </w:p>
        </w:tc>
      </w:tr>
      <w:tr>
        <w:trPr>
          <w:trHeight w:val="171"/>
        </w:trPr>
        <w:tc>
          <w:tcPr>
            <w:tcW w:w="3200" w:type="dxa"/>
            <w:vAlign w:val="bottom"/>
          </w:tcPr>
          <w:p>
            <w:pPr>
              <w:ind w:left="20"/>
              <w:spacing w:after="0" w:line="172" w:lineRule="exact"/>
              <w:rPr>
                <w:sz w:val="20"/>
                <w:szCs w:val="20"/>
                <w:color w:val="auto"/>
              </w:rPr>
            </w:pPr>
            <w:r>
              <w:rPr>
                <w:rFonts w:ascii="Arial" w:cs="Arial" w:eastAsia="Arial" w:hAnsi="Arial"/>
                <w:sz w:val="17"/>
                <w:szCs w:val="17"/>
                <w:color w:val="auto"/>
                <w:w w:val="94"/>
              </w:rPr>
              <w:t>Sale of warrants in connection with issuance</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5"/>
        </w:trPr>
        <w:tc>
          <w:tcPr>
            <w:tcW w:w="3200" w:type="dxa"/>
            <w:vAlign w:val="bottom"/>
          </w:tcPr>
          <w:p>
            <w:pPr>
              <w:ind w:left="20"/>
              <w:spacing w:after="0"/>
              <w:rPr>
                <w:sz w:val="20"/>
                <w:szCs w:val="20"/>
                <w:color w:val="auto"/>
              </w:rPr>
            </w:pPr>
            <w:r>
              <w:rPr>
                <w:rFonts w:ascii="Arial" w:cs="Arial" w:eastAsia="Arial" w:hAnsi="Arial"/>
                <w:sz w:val="17"/>
                <w:szCs w:val="17"/>
                <w:color w:val="auto"/>
              </w:rPr>
              <w:t>of convertible senior notes</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202.9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202.9</w:t>
            </w:r>
          </w:p>
        </w:tc>
      </w:tr>
      <w:tr>
        <w:trPr>
          <w:trHeight w:val="171"/>
        </w:trPr>
        <w:tc>
          <w:tcPr>
            <w:tcW w:w="32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Tax benefit attributable to bond hedges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32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purchased in connection with issuance of</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5"/>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287.1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287.1</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r>
      <w:tr>
        <w:trPr>
          <w:trHeight w:val="223"/>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335.8</w:t>
            </w: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2021</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2,448.1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(2,739.4)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w:t>
            </w: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w w:val="94"/>
              </w:rPr>
              <w:t>Release of restricted stock units and awards</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71"/>
        </w:trPr>
        <w:tc>
          <w:tcPr>
            <w:tcW w:w="32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Shares withheld related to net share</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32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settlement of restricted stock units and</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5"/>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awards</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w:t>
            </w: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rPr>
              <w:t>Repurchases of common stock</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(287.4)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(508.0)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(795.4)</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 of stock options and awards</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171"/>
        </w:trPr>
        <w:tc>
          <w:tcPr>
            <w:tcW w:w="3200" w:type="dxa"/>
            <w:vAlign w:val="bottom"/>
          </w:tcPr>
          <w:p>
            <w:pPr>
              <w:ind w:left="20"/>
              <w:spacing w:after="0" w:line="172" w:lineRule="exact"/>
              <w:rPr>
                <w:sz w:val="20"/>
                <w:szCs w:val="20"/>
                <w:color w:val="auto"/>
              </w:rPr>
            </w:pPr>
            <w:r>
              <w:rPr>
                <w:rFonts w:ascii="Arial" w:cs="Arial" w:eastAsia="Arial" w:hAnsi="Arial"/>
                <w:sz w:val="17"/>
                <w:szCs w:val="17"/>
                <w:color w:val="auto"/>
              </w:rPr>
              <w:t>Tax benefit attributable to bond hedges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200" w:type="dxa"/>
            <w:vAlign w:val="bottom"/>
          </w:tcPr>
          <w:p>
            <w:pPr>
              <w:ind w:left="20"/>
              <w:spacing w:after="0" w:line="171" w:lineRule="exact"/>
              <w:rPr>
                <w:sz w:val="20"/>
                <w:szCs w:val="20"/>
                <w:color w:val="auto"/>
              </w:rPr>
            </w:pPr>
            <w:r>
              <w:rPr>
                <w:rFonts w:ascii="Arial" w:cs="Arial" w:eastAsia="Arial" w:hAnsi="Arial"/>
                <w:sz w:val="17"/>
                <w:szCs w:val="17"/>
                <w:color w:val="auto"/>
              </w:rPr>
              <w:t>purchased in connection with issuance of</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5"/>
        </w:trPr>
        <w:tc>
          <w:tcPr>
            <w:tcW w:w="3200" w:type="dxa"/>
            <w:vAlign w:val="bottom"/>
          </w:tcPr>
          <w:p>
            <w:pPr>
              <w:ind w:left="20"/>
              <w:spacing w:after="0"/>
              <w:rPr>
                <w:sz w:val="20"/>
                <w:szCs w:val="20"/>
                <w:color w:val="auto"/>
              </w:rPr>
            </w:pPr>
            <w:r>
              <w:rPr>
                <w:rFonts w:ascii="Arial" w:cs="Arial" w:eastAsia="Arial" w:hAnsi="Arial"/>
                <w:sz w:val="17"/>
                <w:szCs w:val="17"/>
                <w:color w:val="auto"/>
              </w:rPr>
              <w:t>convertible senior notes</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61.2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61.2</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330.7</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330.7</w:t>
            </w: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(46.3)</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(46.3)</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553.2</w:t>
            </w:r>
          </w:p>
        </w:tc>
      </w:tr>
      <w:tr>
        <w:trPr>
          <w:trHeight w:val="216"/>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2022</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349.4</w:t>
            </w:r>
          </w:p>
        </w:tc>
        <w:tc>
          <w:tcPr>
            <w:tcW w:w="8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2,511.6</w:t>
            </w:r>
          </w:p>
        </w:tc>
        <w:tc>
          <w:tcPr>
            <w:tcW w:w="60" w:type="dxa"/>
            <w:vAlign w:val="bottom"/>
          </w:tcPr>
          <w:p>
            <w:pPr>
              <w:spacing w:after="0"/>
              <w:rPr>
                <w:sz w:val="18"/>
                <w:szCs w:val="18"/>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(2,772.1)</w:t>
            </w:r>
          </w:p>
        </w:tc>
        <w:tc>
          <w:tcPr>
            <w:tcW w:w="80" w:type="dxa"/>
            <w:vAlign w:val="bottom"/>
          </w:tcPr>
          <w:p>
            <w:pPr>
              <w:spacing w:after="0"/>
              <w:rPr>
                <w:sz w:val="18"/>
                <w:szCs w:val="18"/>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(48.9)</w:t>
            </w:r>
          </w:p>
        </w:tc>
        <w:tc>
          <w:tcPr>
            <w:tcW w:w="60" w:type="dxa"/>
            <w:vAlign w:val="bottom"/>
          </w:tcPr>
          <w:p>
            <w:pPr>
              <w:spacing w:after="0"/>
              <w:rPr>
                <w:sz w:val="18"/>
                <w:szCs w:val="18"/>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(309.4)</w:t>
            </w:r>
          </w:p>
        </w:tc>
      </w:tr>
    </w:tbl>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millions)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w w:val="92"/>
              </w:rPr>
              <w:t>Year ended December 31,</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5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2020</w:t>
            </w:r>
          </w:p>
        </w:tc>
        <w:tc>
          <w:tcPr>
            <w:tcW w:w="40" w:type="dxa"/>
            <w:vAlign w:val="bottom"/>
          </w:tcPr>
          <w:p>
            <w:pPr>
              <w:spacing w:after="0"/>
              <w:rPr>
                <w:sz w:val="18"/>
                <w:szCs w:val="18"/>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260" w:type="dxa"/>
            <w:vAlign w:val="bottom"/>
            <w:gridSpan w:val="2"/>
          </w:tcPr>
          <w:p>
            <w:pPr>
              <w:jc w:val="right"/>
              <w:ind w:right="973"/>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553.2</w:t>
            </w: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335.8</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(256.3)</w:t>
            </w: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Adjustments to reconcile net loss to net cash provided by operating activities: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159.3</w:t>
            </w: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w:t>
            </w:r>
          </w:p>
        </w:tc>
        <w:tc>
          <w:tcPr>
            <w:tcW w:w="40" w:type="dxa"/>
            <w:vAlign w:val="bottom"/>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398.2</w:t>
            </w: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 of debt issuance costs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40" w:type="dxa"/>
            <w:vAlign w:val="bottom"/>
          </w:tcPr>
          <w:p>
            <w:pPr>
              <w:spacing w:after="0"/>
              <w:rPr>
                <w:sz w:val="19"/>
                <w:szCs w:val="19"/>
                <w:color w:val="auto"/>
              </w:rPr>
            </w:pPr>
          </w:p>
        </w:tc>
      </w:tr>
      <w:tr>
        <w:trPr>
          <w:trHeight w:val="223"/>
        </w:trPr>
        <w:tc>
          <w:tcPr>
            <w:tcW w:w="5520" w:type="dxa"/>
            <w:vAlign w:val="bottom"/>
          </w:tcPr>
          <w:p>
            <w:pPr>
              <w:ind w:left="380"/>
              <w:spacing w:after="0"/>
              <w:rPr>
                <w:sz w:val="20"/>
                <w:szCs w:val="20"/>
                <w:color w:val="auto"/>
              </w:rPr>
            </w:pPr>
            <w:r>
              <w:rPr>
                <w:rFonts w:ascii="Arial" w:cs="Arial" w:eastAsia="Arial" w:hAnsi="Arial"/>
                <w:sz w:val="17"/>
                <w:szCs w:val="17"/>
                <w:color w:val="auto"/>
              </w:rPr>
              <w:t>Net gains on equity investments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(17.5)</w:t>
            </w: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 of deferred commissions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40" w:type="dxa"/>
            <w:vAlign w:val="bottom"/>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Net gains on lease termination</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Non-cash operating lease expense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w:t>
            </w:r>
          </w:p>
        </w:tc>
        <w:tc>
          <w:tcPr>
            <w:tcW w:w="40" w:type="dxa"/>
            <w:vAlign w:val="bottom"/>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Deferred taxes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w:t>
            </w: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40" w:type="dxa"/>
            <w:vAlign w:val="bottom"/>
          </w:tcPr>
          <w:p>
            <w:pPr>
              <w:spacing w:after="0"/>
              <w:rPr>
                <w:sz w:val="19"/>
                <w:szCs w:val="19"/>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Trade and other receivables, net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(39.4)</w:t>
            </w: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40" w:type="dxa"/>
            <w:vAlign w:val="bottom"/>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(19.9)</w:t>
            </w: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and other current liabilities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40" w:type="dxa"/>
            <w:vAlign w:val="bottom"/>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Accrued compensation and benefits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11.7</w:t>
            </w: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40" w:type="dxa"/>
            <w:vAlign w:val="bottom"/>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Other non-current liabilities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4.0</w:t>
            </w: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liabilities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40" w:type="dxa"/>
            <w:vAlign w:val="bottom"/>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Tenant improvement allowance reimbursement</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22.5</w:t>
            </w: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paid for lease termination</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1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570.8</w:t>
            </w:r>
          </w:p>
        </w:tc>
        <w:tc>
          <w:tcPr>
            <w:tcW w:w="40" w:type="dxa"/>
            <w:vAlign w:val="bottom"/>
          </w:tcPr>
          <w:p>
            <w:pPr>
              <w:spacing w:after="0"/>
              <w:rPr>
                <w:sz w:val="18"/>
                <w:szCs w:val="18"/>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Capital expenditures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(80.1)</w:t>
            </w: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intangible assets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Business combinations, net of cash acquired</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Purchases of short-term investments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(756.1)</w:t>
            </w:r>
          </w:p>
        </w:tc>
        <w:tc>
          <w:tcPr>
            <w:tcW w:w="40" w:type="dxa"/>
            <w:vAlign w:val="bottom"/>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Proceeds from sales of short-term investments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172.4</w:t>
            </w: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maturities of short-term investments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386.7</w:t>
            </w:r>
          </w:p>
        </w:tc>
        <w:tc>
          <w:tcPr>
            <w:tcW w:w="40" w:type="dxa"/>
            <w:vAlign w:val="bottom"/>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Proceeds from sales of equity investments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26.4</w:t>
            </w:r>
          </w:p>
        </w:tc>
        <w:tc>
          <w:tcPr>
            <w:tcW w:w="40" w:type="dxa"/>
            <w:vAlign w:val="bottom"/>
          </w:tcPr>
          <w:p>
            <w:pPr>
              <w:spacing w:after="0"/>
              <w:rPr>
                <w:sz w:val="19"/>
                <w:szCs w:val="19"/>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40" w:type="dxa"/>
            <w:vAlign w:val="bottom"/>
          </w:tcPr>
          <w:p>
            <w:pPr>
              <w:spacing w:after="0"/>
              <w:rPr>
                <w:sz w:val="19"/>
                <w:szCs w:val="19"/>
                <w:color w:val="auto"/>
              </w:rPr>
            </w:pPr>
          </w:p>
        </w:tc>
      </w:tr>
      <w:tr>
        <w:trPr>
          <w:trHeight w:val="21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(233.6)</w:t>
            </w:r>
          </w:p>
        </w:tc>
        <w:tc>
          <w:tcPr>
            <w:tcW w:w="40" w:type="dxa"/>
            <w:vAlign w:val="bottom"/>
          </w:tcPr>
          <w:p>
            <w:pPr>
              <w:spacing w:after="0"/>
              <w:rPr>
                <w:sz w:val="18"/>
                <w:szCs w:val="18"/>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Proceeds from issuance of convertible senior notes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1,389.1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71"/>
        </w:trPr>
        <w:tc>
          <w:tcPr>
            <w:tcW w:w="552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rPr>
              <w:t>Purchases of convertible note hedge in connection with issuance of</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35"/>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convertible senior notes</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r>
      <w:tr>
        <w:trPr>
          <w:trHeight w:val="171"/>
        </w:trPr>
        <w:tc>
          <w:tcPr>
            <w:tcW w:w="5520" w:type="dxa"/>
            <w:vAlign w:val="bottom"/>
          </w:tcPr>
          <w:p>
            <w:pPr>
              <w:ind w:left="340"/>
              <w:spacing w:after="0" w:line="172" w:lineRule="exact"/>
              <w:rPr>
                <w:sz w:val="20"/>
                <w:szCs w:val="20"/>
                <w:color w:val="auto"/>
              </w:rPr>
            </w:pPr>
            <w:r>
              <w:rPr>
                <w:rFonts w:ascii="Arial" w:cs="Arial" w:eastAsia="Arial" w:hAnsi="Arial"/>
                <w:sz w:val="17"/>
                <w:szCs w:val="17"/>
                <w:color w:val="auto"/>
                <w:w w:val="93"/>
              </w:rPr>
              <w:t>Proceeds from sale of warrants in connection with issuance of convertible</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5"/>
        </w:trPr>
        <w:tc>
          <w:tcPr>
            <w:tcW w:w="5520" w:type="dxa"/>
            <w:vAlign w:val="bottom"/>
          </w:tcPr>
          <w:p>
            <w:pPr>
              <w:ind w:left="340"/>
              <w:spacing w:after="0"/>
              <w:rPr>
                <w:sz w:val="20"/>
                <w:szCs w:val="20"/>
                <w:color w:val="auto"/>
              </w:rPr>
            </w:pPr>
            <w:r>
              <w:rPr>
                <w:rFonts w:ascii="Arial" w:cs="Arial" w:eastAsia="Arial" w:hAnsi="Arial"/>
                <w:sz w:val="17"/>
                <w:szCs w:val="17"/>
                <w:color w:val="auto"/>
              </w:rPr>
              <w:t>senior notes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202.9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Payments of debt issuance costs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878"/>
        </w:trPr>
        <w:tc>
          <w:tcPr>
            <w:tcW w:w="5520" w:type="dxa"/>
            <w:vAlign w:val="bottom"/>
          </w:tcPr>
          <w:p>
            <w:pPr>
              <w:spacing w:after="0"/>
              <w:rPr>
                <w:sz w:val="24"/>
                <w:szCs w:val="24"/>
                <w:color w:val="auto"/>
              </w:rPr>
            </w:pPr>
          </w:p>
        </w:tc>
        <w:tc>
          <w:tcPr>
            <w:tcW w:w="1260" w:type="dxa"/>
            <w:vAlign w:val="bottom"/>
            <w:gridSpan w:val="2"/>
          </w:tcPr>
          <w:p>
            <w:pPr>
              <w:jc w:val="right"/>
              <w:ind w:right="973"/>
              <w:spacing w:after="0"/>
              <w:rPr>
                <w:sz w:val="20"/>
                <w:szCs w:val="20"/>
                <w:color w:val="auto"/>
              </w:rPr>
            </w:pPr>
            <w:r>
              <w:rPr>
                <w:rFonts w:ascii="Arial" w:cs="Arial" w:eastAsia="Arial" w:hAnsi="Arial"/>
                <w:sz w:val="17"/>
                <w:szCs w:val="17"/>
                <w:color w:val="auto"/>
                <w:w w:val="94"/>
              </w:rPr>
              <w:t>71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5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ind w:left="340"/>
              <w:spacing w:after="0"/>
              <w:rPr>
                <w:sz w:val="20"/>
                <w:szCs w:val="20"/>
                <w:color w:val="auto"/>
              </w:rPr>
            </w:pPr>
            <w:r>
              <w:rPr>
                <w:rFonts w:ascii="Arial" w:cs="Arial" w:eastAsia="Arial" w:hAnsi="Arial"/>
                <w:sz w:val="17"/>
                <w:szCs w:val="17"/>
                <w:color w:val="auto"/>
                <w:w w:val="93"/>
              </w:rPr>
              <w:t>Payments for taxes related to net share settlement of restricted stock units</w:t>
            </w: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600" w:type="dxa"/>
            <w:vAlign w:val="bottom"/>
          </w:tcPr>
          <w:p>
            <w:pPr>
              <w:ind w:left="340"/>
              <w:spacing w:after="0"/>
              <w:rPr>
                <w:sz w:val="20"/>
                <w:szCs w:val="20"/>
                <w:color w:val="auto"/>
              </w:rPr>
            </w:pPr>
            <w:r>
              <w:rPr>
                <w:rFonts w:ascii="Arial" w:cs="Arial" w:eastAsia="Arial" w:hAnsi="Arial"/>
                <w:sz w:val="17"/>
                <w:szCs w:val="17"/>
                <w:color w:val="auto"/>
              </w:rPr>
              <w:t>and awards</w:t>
            </w:r>
          </w:p>
        </w:tc>
        <w:tc>
          <w:tcPr>
            <w:tcW w:w="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(119.4)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(124.8)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(92.2)</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issuance of common stock, net of taxes withheld</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3"/>
        </w:trPr>
        <w:tc>
          <w:tcPr>
            <w:tcW w:w="5600" w:type="dxa"/>
            <w:vAlign w:val="bottom"/>
          </w:tcPr>
          <w:p>
            <w:pPr>
              <w:ind w:left="340"/>
              <w:spacing w:after="0"/>
              <w:rPr>
                <w:sz w:val="20"/>
                <w:szCs w:val="20"/>
                <w:color w:val="auto"/>
              </w:rPr>
            </w:pPr>
            <w:r>
              <w:rPr>
                <w:rFonts w:ascii="Arial" w:cs="Arial" w:eastAsia="Arial" w:hAnsi="Arial"/>
                <w:sz w:val="17"/>
                <w:szCs w:val="17"/>
                <w:color w:val="auto"/>
              </w:rPr>
              <w:t>Principal payments on finance lease obligations</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(127.5)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(110.4)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 repurchases</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(397.5)</w:t>
            </w:r>
          </w:p>
        </w:tc>
        <w:tc>
          <w:tcPr>
            <w:tcW w:w="0" w:type="dxa"/>
            <w:vAlign w:val="bottom"/>
          </w:tcPr>
          <w:p>
            <w:pPr>
              <w:spacing w:after="0"/>
              <w:rPr>
                <w:sz w:val="1"/>
                <w:szCs w:val="1"/>
                <w:color w:val="auto"/>
              </w:rPr>
            </w:pPr>
          </w:p>
        </w:tc>
      </w:tr>
      <w:tr>
        <w:trPr>
          <w:trHeight w:val="223"/>
        </w:trPr>
        <w:tc>
          <w:tcPr>
            <w:tcW w:w="5600" w:type="dxa"/>
            <w:vAlign w:val="bottom"/>
          </w:tcPr>
          <w:p>
            <w:pPr>
              <w:ind w:left="340"/>
              <w:spacing w:after="0"/>
              <w:rPr>
                <w:sz w:val="20"/>
                <w:szCs w:val="20"/>
                <w:color w:val="auto"/>
              </w:rPr>
            </w:pPr>
            <w:r>
              <w:rPr>
                <w:rFonts w:ascii="Arial" w:cs="Arial" w:eastAsia="Arial" w:hAnsi="Arial"/>
                <w:sz w:val="17"/>
                <w:szCs w:val="17"/>
                <w:color w:val="auto"/>
              </w:rPr>
              <w:t>Other</w:t>
            </w:r>
          </w:p>
        </w:tc>
        <w:tc>
          <w:tcPr>
            <w:tcW w:w="6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6"/>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(1,041.8)</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(577.7)</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cash and cash equivalents</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(236.4)</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equivalents—beginning of period</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equivalents—end of period</w:t>
            </w:r>
          </w:p>
        </w:tc>
        <w:tc>
          <w:tcPr>
            <w:tcW w:w="62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314.9</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7"/>
                <w:szCs w:val="17"/>
                <w:b w:val="1"/>
                <w:bCs w:val="1"/>
                <w:color w:val="auto"/>
              </w:rPr>
              <w:t>Supplemental cash flow data:</w:t>
            </w: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paid during the period for:</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660"/>
              <w:spacing w:after="0"/>
              <w:rPr>
                <w:sz w:val="20"/>
                <w:szCs w:val="20"/>
                <w:color w:val="auto"/>
              </w:rPr>
            </w:pPr>
            <w:r>
              <w:rPr>
                <w:rFonts w:ascii="Arial" w:cs="Arial" w:eastAsia="Arial" w:hAnsi="Arial"/>
                <w:sz w:val="17"/>
                <w:szCs w:val="17"/>
                <w:color w:val="auto"/>
              </w:rPr>
              <w:t>Interest</w:t>
            </w:r>
          </w:p>
        </w:tc>
        <w:tc>
          <w:tcPr>
            <w:tcW w:w="62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Income taxes</w:t>
            </w: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7"/>
                <w:szCs w:val="17"/>
                <w:color w:val="auto"/>
              </w:rPr>
              <w:t>Non-cash investing and financing activities: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660"/>
              <w:spacing w:after="0" w:line="172" w:lineRule="exact"/>
              <w:rPr>
                <w:sz w:val="20"/>
                <w:szCs w:val="20"/>
                <w:color w:val="auto"/>
              </w:rPr>
            </w:pPr>
            <w:r>
              <w:rPr>
                <w:rFonts w:ascii="Arial" w:cs="Arial" w:eastAsia="Arial" w:hAnsi="Arial"/>
                <w:sz w:val="17"/>
                <w:szCs w:val="17"/>
                <w:color w:val="auto"/>
                <w:w w:val="91"/>
              </w:rPr>
              <w:t>Property and equipment received and accrued in accounts payable and</w:t>
            </w:r>
          </w:p>
        </w:tc>
        <w:tc>
          <w:tcPr>
            <w:tcW w:w="620" w:type="dxa"/>
            <w:vAlign w:val="bottom"/>
            <w:vMerge w:val="restart"/>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413"/>
              <w:spacing w:after="0"/>
              <w:rPr>
                <w:sz w:val="20"/>
                <w:szCs w:val="20"/>
                <w:color w:val="auto"/>
              </w:rPr>
            </w:pPr>
            <w:r>
              <w:rPr>
                <w:rFonts w:ascii="Arial" w:cs="Arial" w:eastAsia="Arial" w:hAnsi="Arial"/>
                <w:sz w:val="17"/>
                <w:szCs w:val="17"/>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accrued liabilities</w:t>
            </w: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7"/>
                <w:szCs w:val="17"/>
                <w:color w:val="auto"/>
              </w:rPr>
              <w:t>Property and equipment acquired under finance leases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00" w:type="dxa"/>
            <w:vAlign w:val="bottom"/>
            <w:vMerge w:val="continue"/>
          </w:tcPr>
          <w:p>
            <w:pPr>
              <w:spacing w:after="0"/>
              <w:rPr>
                <w:sz w:val="16"/>
                <w:szCs w:val="16"/>
                <w:color w:val="auto"/>
              </w:rPr>
            </w:pPr>
          </w:p>
        </w:tc>
        <w:tc>
          <w:tcPr>
            <w:tcW w:w="62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127.3</w:t>
            </w: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the Business and Summary of Significant Accounting Policies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w:t>
      </w:r>
    </w:p>
    <w:p>
      <w:pPr>
        <w:spacing w:after="0" w:line="119" w:lineRule="exact"/>
        <w:rPr>
          <w:sz w:val="20"/>
          <w:szCs w:val="20"/>
          <w:color w:val="auto"/>
        </w:rPr>
      </w:pPr>
    </w:p>
    <w:p>
      <w:pPr>
        <w:ind w:right="280" w:firstLine="433"/>
        <w:spacing w:after="0" w:line="322" w:lineRule="auto"/>
        <w:rPr>
          <w:sz w:val="20"/>
          <w:szCs w:val="20"/>
          <w:color w:val="auto"/>
        </w:rPr>
      </w:pPr>
      <w:r>
        <w:rPr>
          <w:rFonts w:ascii="Arial" w:cs="Arial" w:eastAsia="Arial" w:hAnsi="Arial"/>
          <w:sz w:val="16"/>
          <w:szCs w:val="16"/>
          <w:color w:val="auto"/>
        </w:rPr>
        <w:t>Dropbox, Inc. (the “Company” or “Dropbox”) helps keep life organized and work moving. The Company was incorporated in May 2007 as Evenflow, Inc., a Delaware corporation, and changed its name to Dropbox, Inc. in October 2009. The Company is headquartered in San Francisco, California.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19" w:lineRule="exact"/>
        <w:rPr>
          <w:sz w:val="20"/>
          <w:szCs w:val="20"/>
          <w:color w:val="auto"/>
        </w:rPr>
      </w:pPr>
    </w:p>
    <w:p>
      <w:pPr>
        <w:ind w:right="100" w:firstLine="433"/>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9"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Management evaluates these estimates and assumptions on a regular basis. Actual results may differ materially from these estimates.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most significant estimates and judgments involve the valuation of right-of-use and other lease related assets and income taxes.</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Financial information about segments and geographic areas</w:t>
      </w:r>
    </w:p>
    <w:p>
      <w:pPr>
        <w:spacing w:after="0" w:line="119" w:lineRule="exact"/>
        <w:rPr>
          <w:sz w:val="20"/>
          <w:szCs w:val="20"/>
          <w:color w:val="auto"/>
        </w:rPr>
      </w:pPr>
    </w:p>
    <w:p>
      <w:pPr>
        <w:ind w:right="360" w:firstLine="433"/>
        <w:spacing w:after="0" w:line="290" w:lineRule="auto"/>
        <w:rPr>
          <w:sz w:val="20"/>
          <w:szCs w:val="20"/>
          <w:color w:val="auto"/>
        </w:rPr>
      </w:pPr>
      <w:r>
        <w:rPr>
          <w:rFonts w:ascii="Arial" w:cs="Arial" w:eastAsia="Arial" w:hAnsi="Arial"/>
          <w:sz w:val="16"/>
          <w:szCs w:val="16"/>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for information regarding the Company’s long-lived assets and revenue by geography.</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19"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(loss) income, net of tax.</w:t>
      </w:r>
    </w:p>
    <w:p>
      <w:pPr>
        <w:spacing w:after="0" w:line="19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The Company recorded net foreign currency transaction gains of $0.2 million and losses of $1.8 million in the years ended December 31, 2022 and 2021, respectively.</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9" w:lineRule="exact"/>
        <w:rPr>
          <w:sz w:val="20"/>
          <w:szCs w:val="20"/>
          <w:color w:val="auto"/>
        </w:rPr>
      </w:pPr>
    </w:p>
    <w:p>
      <w:pPr>
        <w:jc w:val="both"/>
        <w:ind w:right="260" w:firstLine="433"/>
        <w:spacing w:after="0" w:line="273" w:lineRule="auto"/>
        <w:rPr>
          <w:sz w:val="20"/>
          <w:szCs w:val="20"/>
          <w:color w:val="auto"/>
        </w:rPr>
      </w:pPr>
      <w:r>
        <w:rPr>
          <w:rFonts w:ascii="Arial" w:cs="Arial" w:eastAsia="Arial" w:hAnsi="Arial"/>
          <w:sz w:val="17"/>
          <w:szCs w:val="17"/>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303" w:lineRule="exact"/>
        <w:rPr>
          <w:sz w:val="20"/>
          <w:szCs w:val="20"/>
          <w:color w:val="auto"/>
        </w:rPr>
      </w:pPr>
    </w:p>
    <w:p>
      <w:pPr>
        <w:ind w:left="940" w:hanging="306"/>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19" w:lineRule="exact"/>
        <w:rPr>
          <w:rFonts w:ascii="Arial" w:cs="Arial" w:eastAsia="Arial" w:hAnsi="Arial"/>
          <w:sz w:val="17"/>
          <w:szCs w:val="17"/>
          <w:color w:val="auto"/>
        </w:rPr>
      </w:pPr>
    </w:p>
    <w:p>
      <w:pPr>
        <w:ind w:left="940" w:hanging="306"/>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39" w:lineRule="exact"/>
        <w:rPr>
          <w:sz w:val="20"/>
          <w:szCs w:val="20"/>
          <w:color w:val="auto"/>
        </w:rPr>
      </w:pPr>
    </w:p>
    <w:p>
      <w:pPr>
        <w:ind w:left="940" w:hanging="306"/>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19" w:lineRule="exact"/>
        <w:rPr>
          <w:rFonts w:ascii="Arial" w:cs="Arial" w:eastAsia="Arial" w:hAnsi="Arial"/>
          <w:sz w:val="17"/>
          <w:szCs w:val="17"/>
          <w:color w:val="auto"/>
        </w:rPr>
      </w:pPr>
    </w:p>
    <w:p>
      <w:pPr>
        <w:ind w:left="940" w:hanging="306"/>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19" w:lineRule="exact"/>
        <w:rPr>
          <w:rFonts w:ascii="Arial" w:cs="Arial" w:eastAsia="Arial" w:hAnsi="Arial"/>
          <w:sz w:val="17"/>
          <w:szCs w:val="17"/>
          <w:color w:val="auto"/>
        </w:rPr>
      </w:pPr>
    </w:p>
    <w:p>
      <w:pPr>
        <w:ind w:left="940" w:hanging="306"/>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50" w:lineRule="exact"/>
        <w:rPr>
          <w:sz w:val="20"/>
          <w:szCs w:val="20"/>
          <w:color w:val="auto"/>
        </w:rPr>
      </w:pPr>
    </w:p>
    <w:p>
      <w:pPr>
        <w:ind w:right="100" w:firstLine="433"/>
        <w:spacing w:after="0" w:line="309"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75" w:lineRule="exact"/>
        <w:rPr>
          <w:sz w:val="20"/>
          <w:szCs w:val="20"/>
          <w:color w:val="auto"/>
        </w:rPr>
      </w:pPr>
    </w:p>
    <w:p>
      <w:pPr>
        <w:jc w:val="both"/>
        <w:ind w:right="100" w:firstLine="433"/>
        <w:spacing w:after="0" w:line="273" w:lineRule="auto"/>
        <w:rPr>
          <w:sz w:val="20"/>
          <w:szCs w:val="20"/>
          <w:color w:val="auto"/>
        </w:rPr>
      </w:pPr>
      <w:r>
        <w:rPr>
          <w:rFonts w:ascii="Arial" w:cs="Arial" w:eastAsia="Arial" w:hAnsi="Arial"/>
          <w:sz w:val="17"/>
          <w:szCs w:val="17"/>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98" w:lineRule="exact"/>
        <w:rPr>
          <w:sz w:val="20"/>
          <w:szCs w:val="20"/>
          <w:color w:val="auto"/>
        </w:rPr>
      </w:pPr>
    </w:p>
    <w:p>
      <w:pPr>
        <w:ind w:right="460" w:firstLine="433"/>
        <w:spacing w:after="0" w:line="289" w:lineRule="auto"/>
        <w:rPr>
          <w:sz w:val="20"/>
          <w:szCs w:val="20"/>
          <w:color w:val="auto"/>
        </w:rPr>
      </w:pPr>
      <w:r>
        <w:rPr>
          <w:rFonts w:ascii="Arial" w:cs="Arial" w:eastAsia="Arial" w:hAnsi="Arial"/>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85" w:lineRule="exact"/>
        <w:rPr>
          <w:sz w:val="20"/>
          <w:szCs w:val="20"/>
          <w:color w:val="auto"/>
        </w:rPr>
      </w:pPr>
    </w:p>
    <w:p>
      <w:pPr>
        <w:jc w:val="both"/>
        <w:ind w:right="140" w:firstLine="433"/>
        <w:spacing w:after="0" w:line="273" w:lineRule="auto"/>
        <w:rPr>
          <w:sz w:val="20"/>
          <w:szCs w:val="20"/>
          <w:color w:val="auto"/>
        </w:rPr>
      </w:pPr>
      <w:r>
        <w:rPr>
          <w:rFonts w:ascii="Arial" w:cs="Arial" w:eastAsia="Arial" w:hAnsi="Arial"/>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72" w:lineRule="exact"/>
        <w:rPr>
          <w:sz w:val="20"/>
          <w:szCs w:val="20"/>
          <w:color w:val="auto"/>
        </w:rPr>
      </w:pPr>
    </w:p>
    <w:p>
      <w:pPr>
        <w:ind w:right="400" w:firstLine="433"/>
        <w:spacing w:after="0" w:line="289" w:lineRule="auto"/>
        <w:rPr>
          <w:sz w:val="20"/>
          <w:szCs w:val="20"/>
          <w:color w:val="auto"/>
        </w:rPr>
      </w:pPr>
      <w:r>
        <w:rPr>
          <w:rFonts w:ascii="Arial" w:cs="Arial" w:eastAsia="Arial" w:hAnsi="Arial"/>
          <w:sz w:val="17"/>
          <w:szCs w:val="17"/>
          <w:color w:val="auto"/>
        </w:rPr>
        <w:t>The Company recognized $671.5 million, $610.5 million, and $554.2 million of revenue during the years ended December 31, 2022, 2021, and 2020 respectively, that was included in the deferred revenue balances at the beginning of their respective periods.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2022, future estimated revenue related to performance obligations that were unsatisfied or partially unsatisfied was $774.2 million.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substantial majority of the unsatisfied performance obligations will be satisfied over the next twelve months.</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ind w:firstLine="433"/>
        <w:spacing w:after="0" w:line="283" w:lineRule="auto"/>
        <w:rPr>
          <w:sz w:val="20"/>
          <w:szCs w:val="20"/>
          <w:color w:val="auto"/>
        </w:rPr>
      </w:pPr>
      <w:r>
        <w:rPr>
          <w:rFonts w:ascii="Arial" w:cs="Arial" w:eastAsia="Arial" w:hAnsi="Arial"/>
          <w:sz w:val="16"/>
          <w:szCs w:val="16"/>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 based vesting condition over a four-year period vesting quarterly, as the only stock-based payment awards to its employees, with the exception of awards granted to its co-founder and certain executives, and has not granted any stock options to employees under the Dropbox Equity Incentive Plans. The Company recognizes compensation expense associated with RSUs on a straight-line basis over the requisite service period and accounts for forfeitures in the period in which they occur.</w:t>
      </w:r>
    </w:p>
    <w:p>
      <w:pPr>
        <w:spacing w:after="0" w:line="193" w:lineRule="exact"/>
        <w:rPr>
          <w:sz w:val="20"/>
          <w:szCs w:val="20"/>
          <w:color w:val="auto"/>
        </w:rPr>
      </w:pPr>
    </w:p>
    <w:p>
      <w:pPr>
        <w:ind w:right="20" w:firstLine="433"/>
        <w:spacing w:after="0" w:line="289" w:lineRule="auto"/>
        <w:rPr>
          <w:sz w:val="20"/>
          <w:szCs w:val="20"/>
          <w:color w:val="auto"/>
        </w:rPr>
      </w:pPr>
      <w:r>
        <w:rPr>
          <w:rFonts w:ascii="Arial" w:cs="Arial" w:eastAsia="Arial" w:hAnsi="Arial"/>
          <w:sz w:val="17"/>
          <w:szCs w:val="17"/>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185" w:lineRule="exact"/>
        <w:rPr>
          <w:sz w:val="20"/>
          <w:szCs w:val="20"/>
          <w:color w:val="auto"/>
        </w:rPr>
      </w:pPr>
    </w:p>
    <w:p>
      <w:pPr>
        <w:ind w:right="380" w:firstLine="433"/>
        <w:spacing w:after="0" w:line="326" w:lineRule="auto"/>
        <w:rPr>
          <w:sz w:val="20"/>
          <w:szCs w:val="20"/>
          <w:color w:val="auto"/>
        </w:rPr>
      </w:pPr>
      <w:r>
        <w:rPr>
          <w:rFonts w:ascii="Arial" w:cs="Arial" w:eastAsia="Arial" w:hAnsi="Arial"/>
          <w:sz w:val="15"/>
          <w:szCs w:val="15"/>
          <w:color w:val="auto"/>
        </w:rPr>
        <w:t>In March 2021, in connection with the acquisition of DocSend, Inc. (“DocSend”), the Company assumed unvested stock options and an immaterial number of unvested RSUs that had been granted under DocSend's 2013 Stock Plan and DocSend's 2015 Stock Option and Grant Plan. The fair value of the DocSend options assumed were based upon the Black-Scholes option-pricing model. See Note 12 "Stockholders' (Deficit)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39" w:lineRule="exact"/>
        <w:rPr>
          <w:sz w:val="20"/>
          <w:szCs w:val="20"/>
          <w:color w:val="auto"/>
        </w:rPr>
      </w:pPr>
    </w:p>
    <w:p>
      <w:pPr>
        <w:ind w:firstLine="433"/>
        <w:spacing w:after="0" w:line="279" w:lineRule="auto"/>
        <w:rPr>
          <w:sz w:val="20"/>
          <w:szCs w:val="20"/>
          <w:color w:val="auto"/>
        </w:rPr>
      </w:pPr>
      <w:r>
        <w:rPr>
          <w:rFonts w:ascii="Arial" w:cs="Arial" w:eastAsia="Arial" w:hAnsi="Arial"/>
          <w:sz w:val="16"/>
          <w:szCs w:val="16"/>
          <w:color w:val="auto"/>
        </w:rPr>
        <w:t>In December 2017, the Board of Directors approved the Company’s Co-Founder Grant, consisting of 10.3 million shares of Class A Common Stock in the form of restricted stock awards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Company estimated the grant date fair value of the Co-Founder Grant using a model based on multiple stock price paths developed through the use of a Monte Carlo simulation that incorporates into the valuation the possibility that the certain stock price targets may not be satisfied. The first tranche of the Co-Founder Grant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See Note 12, "Stockholders' (Deficit) Equity" for further information.</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9" w:lineRule="exact"/>
        <w:rPr>
          <w:sz w:val="20"/>
          <w:szCs w:val="20"/>
          <w:color w:val="auto"/>
        </w:rPr>
      </w:pPr>
    </w:p>
    <w:p>
      <w:pPr>
        <w:ind w:right="20" w:firstLine="433"/>
        <w:spacing w:after="0" w:line="279"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Advertising and promotional expense</w:t>
      </w:r>
    </w:p>
    <w:p>
      <w:pPr>
        <w:spacing w:after="0" w:line="119" w:lineRule="exact"/>
        <w:rPr>
          <w:sz w:val="20"/>
          <w:szCs w:val="20"/>
          <w:color w:val="auto"/>
        </w:rPr>
      </w:pPr>
    </w:p>
    <w:p>
      <w:pPr>
        <w:jc w:val="both"/>
        <w:ind w:right="260" w:firstLine="433"/>
        <w:spacing w:after="0" w:line="273" w:lineRule="auto"/>
        <w:rPr>
          <w:sz w:val="20"/>
          <w:szCs w:val="20"/>
          <w:color w:val="auto"/>
        </w:rPr>
      </w:pPr>
      <w:r>
        <w:rPr>
          <w:rFonts w:ascii="Arial" w:cs="Arial" w:eastAsia="Arial" w:hAnsi="Arial"/>
          <w:sz w:val="17"/>
          <w:szCs w:val="17"/>
          <w:color w:val="auto"/>
        </w:rPr>
        <w:t>Advertising and promotional expenses are primarily included in sales and marketing expenses within the consolidated statements of operations and are expensed when incurred. Advertising and promotional expenses were $94.8 million, $108.6 million, and $81.4 million during the years ended December 31, 2022, 2021, and 2020, respectively.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9"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67" w:lineRule="exact"/>
        <w:rPr>
          <w:sz w:val="20"/>
          <w:szCs w:val="20"/>
          <w:color w:val="auto"/>
        </w:rPr>
      </w:pPr>
    </w:p>
    <w:p>
      <w:pPr>
        <w:ind w:right="40" w:firstLine="433"/>
        <w:spacing w:after="0" w:line="289" w:lineRule="auto"/>
        <w:rPr>
          <w:sz w:val="20"/>
          <w:szCs w:val="20"/>
          <w:color w:val="auto"/>
        </w:rPr>
      </w:pPr>
      <w:r>
        <w:rPr>
          <w:rFonts w:ascii="Arial" w:cs="Arial" w:eastAsia="Arial" w:hAnsi="Arial"/>
          <w:sz w:val="17"/>
          <w:szCs w:val="17"/>
          <w:color w:val="auto"/>
        </w:rPr>
        <w:t>The Company monitors its credit risk by considering factors such as historical experience, credit ratings, current economic conditions, and reasonable and supportable forecasts.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19" w:lineRule="exact"/>
        <w:rPr>
          <w:sz w:val="20"/>
          <w:szCs w:val="20"/>
          <w:color w:val="auto"/>
        </w:rPr>
      </w:pPr>
    </w:p>
    <w:p>
      <w:pPr>
        <w:ind w:right="20" w:firstLine="393"/>
        <w:spacing w:after="0" w:line="283" w:lineRule="auto"/>
        <w:rPr>
          <w:sz w:val="20"/>
          <w:szCs w:val="20"/>
          <w:color w:val="auto"/>
        </w:rPr>
      </w:pPr>
      <w:r>
        <w:rPr>
          <w:rFonts w:ascii="Arial" w:cs="Arial" w:eastAsia="Arial" w:hAnsi="Arial"/>
          <w:sz w:val="16"/>
          <w:szCs w:val="16"/>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consolidated balance sheets.</w:t>
      </w:r>
    </w:p>
    <w:p>
      <w:pPr>
        <w:spacing w:after="0" w:line="193" w:lineRule="exact"/>
        <w:rPr>
          <w:sz w:val="20"/>
          <w:szCs w:val="20"/>
          <w:color w:val="auto"/>
        </w:rPr>
      </w:pPr>
    </w:p>
    <w:p>
      <w:pPr>
        <w:ind w:right="20" w:firstLine="393"/>
        <w:spacing w:after="0" w:line="314" w:lineRule="auto"/>
        <w:rPr>
          <w:sz w:val="20"/>
          <w:szCs w:val="20"/>
          <w:color w:val="auto"/>
        </w:rPr>
      </w:pPr>
      <w:r>
        <w:rPr>
          <w:rFonts w:ascii="Arial" w:cs="Arial" w:eastAsia="Arial" w:hAnsi="Arial"/>
          <w:sz w:val="15"/>
          <w:szCs w:val="15"/>
          <w:color w:val="auto"/>
        </w:rPr>
        <w:t>The Company's short-term investments are recorded at fair value each reporting period. Unrealized gains and losses on these short-term investments are reported as a separate component of accumulated other comprehensive loss in the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year ended December 31, 2022.</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19"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98" w:lineRule="exact"/>
        <w:rPr>
          <w:sz w:val="20"/>
          <w:szCs w:val="20"/>
          <w:color w:val="auto"/>
        </w:rPr>
      </w:pPr>
    </w:p>
    <w:p>
      <w:pPr>
        <w:ind w:right="20" w:firstLine="433"/>
        <w:spacing w:after="0" w:line="326" w:lineRule="auto"/>
        <w:rPr>
          <w:sz w:val="20"/>
          <w:szCs w:val="20"/>
          <w:color w:val="auto"/>
        </w:rPr>
      </w:pPr>
      <w:r>
        <w:rPr>
          <w:rFonts w:ascii="Arial" w:cs="Arial" w:eastAsia="Arial" w:hAnsi="Arial"/>
          <w:sz w:val="15"/>
          <w:szCs w:val="15"/>
          <w:color w:val="auto"/>
        </w:rPr>
        <w:t>Trade accounts receivable are typically unsecured and are derived from revenue earned from customers located around the world. Two distribution partners accounted for 12% and 30% of total trade and other receivables, net as of December 31, 2022. Two distribution partners accounted for 14% and 29% of total trade and other receivables, net as of December 31, 2021. No customer accounted for more than 10% of the Company’s revenue in the periods presented.</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Trade and other receivables, net</w:t>
      </w:r>
    </w:p>
    <w:p>
      <w:pPr>
        <w:spacing w:after="0" w:line="119" w:lineRule="exact"/>
        <w:rPr>
          <w:sz w:val="20"/>
          <w:szCs w:val="20"/>
          <w:color w:val="auto"/>
        </w:rPr>
      </w:pPr>
    </w:p>
    <w:p>
      <w:pPr>
        <w:ind w:right="300" w:firstLine="433"/>
        <w:spacing w:after="0" w:line="289" w:lineRule="auto"/>
        <w:rPr>
          <w:sz w:val="20"/>
          <w:szCs w:val="20"/>
          <w:color w:val="auto"/>
        </w:rPr>
      </w:pPr>
      <w:r>
        <w:rPr>
          <w:rFonts w:ascii="Arial" w:cs="Arial" w:eastAsia="Arial" w:hAnsi="Arial"/>
          <w:sz w:val="17"/>
          <w:szCs w:val="17"/>
          <w:color w:val="auto"/>
        </w:rPr>
        <w:t>Trade and other receivables, net consists primarily of trade receivables that are recorded at the invoice amount, net of an allowance for expected credit losses.</w:t>
      </w:r>
    </w:p>
    <w:p>
      <w:pPr>
        <w:spacing w:after="0" w:line="185" w:lineRule="exact"/>
        <w:rPr>
          <w:sz w:val="20"/>
          <w:szCs w:val="20"/>
          <w:color w:val="auto"/>
        </w:rPr>
      </w:pPr>
    </w:p>
    <w:p>
      <w:pPr>
        <w:ind w:right="100" w:firstLine="433"/>
        <w:spacing w:after="0" w:line="264" w:lineRule="auto"/>
        <w:rPr>
          <w:sz w:val="20"/>
          <w:szCs w:val="20"/>
          <w:color w:val="auto"/>
        </w:rPr>
      </w:pPr>
      <w:r>
        <w:rPr>
          <w:rFonts w:ascii="Arial" w:cs="Arial" w:eastAsia="Arial" w:hAnsi="Arial"/>
          <w:sz w:val="17"/>
          <w:szCs w:val="17"/>
          <w:color w:val="auto"/>
        </w:rPr>
        <w:t>The allowance for expected credit losses is based on the Company’s assessment of the collectability of accounts receivable. The Company assesses collectability by reviewing accounts receivable on a collective basis where similar characteristics exist and on an individual basis when the Company identifies specific customers with known disputes or collectability issues. The Company regularly reviews the adequacy of the allowance for expected credit losses by considering the age of each outstanding invoice, the collection history of each customer, and other relevant factors, including contractual term and current and future economic conditions. The Company's allowance for expected credit losses was $0.7 million and $1.0 million as of December 31, 2022 and 2021, respectively.</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Non-trade receivables</w:t>
      </w:r>
    </w:p>
    <w:p>
      <w:pPr>
        <w:spacing w:after="0" w:line="119" w:lineRule="exact"/>
        <w:rPr>
          <w:sz w:val="20"/>
          <w:szCs w:val="20"/>
          <w:color w:val="auto"/>
        </w:rPr>
      </w:pPr>
    </w:p>
    <w:p>
      <w:pPr>
        <w:jc w:val="both"/>
        <w:ind w:firstLine="433"/>
        <w:spacing w:after="0" w:line="298" w:lineRule="auto"/>
        <w:rPr>
          <w:sz w:val="20"/>
          <w:szCs w:val="20"/>
          <w:color w:val="auto"/>
        </w:rPr>
      </w:pPr>
      <w:r>
        <w:rPr>
          <w:rFonts w:ascii="Arial" w:cs="Arial" w:eastAsia="Arial" w:hAnsi="Arial"/>
          <w:sz w:val="16"/>
          <w:szCs w:val="16"/>
          <w:color w:val="auto"/>
        </w:rPr>
        <w:t>The Company records non-trade receivables to reflect amounts due for activities outside of its subscription agreements, such as indemnification assets and receivables from tenants. Non-trade receivables totaled $6.5 million and $4.1 million, as of December 31, 2022 and 2021, respectively, and are classified within prepaid expenses and other current assets in the accompanying consolidated balance sheets. See "—Lease obligations” for further discussion.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Deferred commissions, net</w:t>
      </w:r>
    </w:p>
    <w:p>
      <w:pPr>
        <w:spacing w:after="0" w:line="119" w:lineRule="exact"/>
        <w:rPr>
          <w:sz w:val="20"/>
          <w:szCs w:val="20"/>
          <w:color w:val="auto"/>
        </w:rPr>
      </w:pPr>
    </w:p>
    <w:p>
      <w:pPr>
        <w:ind w:right="160" w:firstLine="433"/>
        <w:spacing w:after="0" w:line="265" w:lineRule="auto"/>
        <w:rPr>
          <w:sz w:val="20"/>
          <w:szCs w:val="20"/>
          <w:color w:val="auto"/>
        </w:rPr>
      </w:pPr>
      <w:r>
        <w:rPr>
          <w:rFonts w:ascii="Arial" w:cs="Arial" w:eastAsia="Arial" w:hAnsi="Arial"/>
          <w:sz w:val="17"/>
          <w:szCs w:val="17"/>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consolidated balance sheets. The Company deferred incremental costs of obtaining a contract of $33.5 million and $23.7 million during the years ended December 31, 2022 and 2021, respectively.</w:t>
      </w:r>
    </w:p>
    <w:p>
      <w:pPr>
        <w:spacing w:after="0" w:line="206" w:lineRule="exact"/>
        <w:rPr>
          <w:sz w:val="20"/>
          <w:szCs w:val="20"/>
          <w:color w:val="auto"/>
        </w:rPr>
      </w:pPr>
    </w:p>
    <w:p>
      <w:pPr>
        <w:jc w:val="both"/>
        <w:ind w:right="660" w:firstLine="433"/>
        <w:spacing w:after="0" w:line="360" w:lineRule="auto"/>
        <w:rPr>
          <w:sz w:val="20"/>
          <w:szCs w:val="20"/>
          <w:color w:val="auto"/>
        </w:rPr>
      </w:pPr>
      <w:r>
        <w:rPr>
          <w:rFonts w:ascii="Arial" w:cs="Arial" w:eastAsia="Arial" w:hAnsi="Arial"/>
          <w:sz w:val="15"/>
          <w:szCs w:val="15"/>
          <w:color w:val="auto"/>
        </w:rPr>
        <w:t>Deferred commissions, net included in prepaid and other current assets were $33.6 million and $30.8 million as of December 31, 2022 and 2021, respectively. Deferred commissions, net included in other assets were $25.7 million and $34.6 million as of December 31, 2022 and 2021, respectively.</w:t>
      </w:r>
    </w:p>
    <w:p>
      <w:pPr>
        <w:spacing w:after="0" w:line="125" w:lineRule="exact"/>
        <w:rPr>
          <w:sz w:val="20"/>
          <w:szCs w:val="20"/>
          <w:color w:val="auto"/>
        </w:rPr>
      </w:pPr>
    </w:p>
    <w:p>
      <w:pPr>
        <w:ind w:right="40" w:firstLine="433"/>
        <w:spacing w:after="0" w:line="247" w:lineRule="auto"/>
        <w:rPr>
          <w:sz w:val="20"/>
          <w:szCs w:val="20"/>
          <w:color w:val="auto"/>
        </w:rPr>
      </w:pPr>
      <w:r>
        <w:rPr>
          <w:rFonts w:ascii="Arial" w:cs="Arial" w:eastAsia="Arial" w:hAnsi="Arial"/>
          <w:sz w:val="17"/>
          <w:szCs w:val="17"/>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costs was $39.5 million, $32.3 million, and $24.4 million for the years ended December 31, 2022, 2021, and 2020, respectively. Amortization of deferred commissions costs are included in sales and marketing expense in the accompanying consolidated statements of operations. There was no material impairment loss in relation to the deferred costs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9" w:lineRule="exact"/>
        <w:rPr>
          <w:sz w:val="20"/>
          <w:szCs w:val="20"/>
          <w:color w:val="auto"/>
        </w:rPr>
      </w:pPr>
    </w:p>
    <w:p>
      <w:pPr>
        <w:jc w:val="both"/>
        <w:ind w:right="220" w:firstLine="433"/>
        <w:spacing w:after="0" w:line="273"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estimated useful lives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40" w:type="dxa"/>
            <w:vAlign w:val="bottom"/>
            <w:tcBorders>
              <w:bottom w:val="single" w:sz="8" w:color="CCEEFF"/>
            </w:tcBorders>
          </w:tcPr>
          <w:p>
            <w:pPr>
              <w:spacing w:after="0"/>
              <w:rPr>
                <w:sz w:val="19"/>
                <w:szCs w:val="19"/>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Useful life</w:t>
            </w: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5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20 to 30 years</w:t>
            </w:r>
          </w:p>
        </w:tc>
      </w:tr>
      <w:tr>
        <w:trPr>
          <w:trHeight w:val="223"/>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Datacenter and other computer equipment</w:t>
            </w:r>
          </w:p>
        </w:tc>
        <w:tc>
          <w:tcPr>
            <w:tcW w:w="5540" w:type="dxa"/>
            <w:vAlign w:val="bottom"/>
          </w:tcPr>
          <w:p>
            <w:pPr>
              <w:jc w:val="center"/>
              <w:spacing w:after="0"/>
              <w:rPr>
                <w:sz w:val="20"/>
                <w:szCs w:val="20"/>
                <w:color w:val="auto"/>
              </w:rPr>
            </w:pPr>
            <w:r>
              <w:rPr>
                <w:rFonts w:ascii="Arial" w:cs="Arial" w:eastAsia="Arial" w:hAnsi="Arial"/>
                <w:sz w:val="17"/>
                <w:szCs w:val="17"/>
                <w:color w:val="auto"/>
                <w:w w:val="92"/>
              </w:rPr>
              <w:t>3 to 5 years</w:t>
            </w:r>
          </w:p>
        </w:tc>
      </w:tr>
      <w:tr>
        <w:trPr>
          <w:trHeight w:val="22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Office equipment and other</w:t>
            </w:r>
          </w:p>
        </w:tc>
        <w:tc>
          <w:tcPr>
            <w:tcW w:w="5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 to 7 years</w:t>
            </w:r>
          </w:p>
        </w:tc>
      </w:tr>
      <w:tr>
        <w:trPr>
          <w:trHeight w:val="222"/>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5540" w:type="dxa"/>
            <w:vAlign w:val="bottom"/>
          </w:tcPr>
          <w:p>
            <w:pPr>
              <w:jc w:val="center"/>
              <w:spacing w:after="0"/>
              <w:rPr>
                <w:sz w:val="20"/>
                <w:szCs w:val="20"/>
                <w:color w:val="auto"/>
              </w:rPr>
            </w:pPr>
            <w:r>
              <w:rPr>
                <w:rFonts w:ascii="Arial" w:cs="Arial" w:eastAsia="Arial" w:hAnsi="Arial"/>
                <w:sz w:val="17"/>
                <w:szCs w:val="17"/>
                <w:color w:val="auto"/>
                <w:w w:val="93"/>
              </w:rPr>
              <w:t>Lesser of estimated useful life or remaining lease term</w:t>
            </w:r>
          </w:p>
        </w:tc>
      </w:tr>
    </w:tbl>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 leases office space, datacenters, and equipment under non-cancelable finance and operating leases with various expiration dates through</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2036. The Company determines if an arrangement contains a lease at inception.</w:t>
      </w:r>
    </w:p>
    <w:p>
      <w:pPr>
        <w:spacing w:after="0" w:line="238" w:lineRule="exact"/>
        <w:rPr>
          <w:sz w:val="20"/>
          <w:szCs w:val="20"/>
          <w:color w:val="auto"/>
        </w:rPr>
      </w:pPr>
    </w:p>
    <w:p>
      <w:pPr>
        <w:ind w:right="240" w:firstLine="433"/>
        <w:spacing w:after="0" w:line="314" w:lineRule="auto"/>
        <w:rPr>
          <w:sz w:val="20"/>
          <w:szCs w:val="20"/>
          <w:color w:val="auto"/>
        </w:rPr>
      </w:pPr>
      <w:r>
        <w:rPr>
          <w:rFonts w:ascii="Arial" w:cs="Arial" w:eastAsia="Arial" w:hAnsi="Arial"/>
          <w:sz w:val="15"/>
          <w:szCs w:val="15"/>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73"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206" w:lineRule="exact"/>
        <w:rPr>
          <w:sz w:val="20"/>
          <w:szCs w:val="20"/>
          <w:color w:val="auto"/>
        </w:rPr>
      </w:pPr>
    </w:p>
    <w:p>
      <w:pPr>
        <w:ind w:right="240" w:firstLine="433"/>
        <w:spacing w:after="0" w:line="289" w:lineRule="auto"/>
        <w:rPr>
          <w:sz w:val="20"/>
          <w:szCs w:val="20"/>
          <w:color w:val="auto"/>
        </w:rPr>
      </w:pPr>
      <w:r>
        <w:rPr>
          <w:rFonts w:ascii="Arial" w:cs="Arial" w:eastAsia="Arial" w:hAnsi="Arial"/>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290" w:lineRule="exact"/>
        <w:rPr>
          <w:sz w:val="20"/>
          <w:szCs w:val="20"/>
          <w:color w:val="auto"/>
        </w:rPr>
      </w:pPr>
    </w:p>
    <w:p>
      <w:pPr>
        <w:ind w:right="80" w:firstLine="433"/>
        <w:spacing w:after="0" w:line="305" w:lineRule="auto"/>
        <w:rPr>
          <w:sz w:val="20"/>
          <w:szCs w:val="20"/>
          <w:color w:val="auto"/>
        </w:rPr>
      </w:pPr>
      <w:r>
        <w:rPr>
          <w:rFonts w:ascii="Arial" w:cs="Arial" w:eastAsia="Arial" w:hAnsi="Arial"/>
          <w:sz w:val="15"/>
          <w:szCs w:val="15"/>
          <w:color w:val="auto"/>
        </w:rPr>
        <w:t>As part of the Company's Virtual First strategy, Dropbox has retained a portion of its office space for in-person collaboration while the remainder will be subleased. During the year ended December 31, 2022, the Company recorded impairment charges of $175.2 million related to real estate assets as a result of adverse changes in the corporate real estate market which has impacted its subleasing strategy in conjunction with its shift to Virtual First. During the year ended December 31, 2021, the Company recorded an impairment charge of $31.3 million related to its operating leases and related real estate assets, and assets acquired as part of the acquisition of DocSend in the first quarter of 2021. These impairment charges were recorded as a result of adverse changes in the corporate real estate market which impacted its subleasing strategy in conjunction with its shift to Virtual First. See Note 9 "Leases" for further information.</w:t>
      </w:r>
    </w:p>
    <w:p>
      <w:pPr>
        <w:spacing w:after="0" w:line="180"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Internal use software</w:t>
      </w:r>
    </w:p>
    <w:p>
      <w:pPr>
        <w:spacing w:after="0" w:line="119"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color w:val="auto"/>
        </w:rPr>
        <w:t>The Company capitalizes certain costs related to developed or modified software solely for its internal use and cloud based applications used to deliver its platform. The Company capitalizes costs during the application development stage once the preliminary project stage is complete, management authorizes and commits to funding the project, and it is probable that the project will be completed and that the software will be used to perform the function intended. Costs related to preliminary project activities and post implementation activities are expensed as incurred. Capitalized internal use software costs were not material to the Company’s consolidated financial statements during the years ended December 31, 2022, 2021, and 2020.</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9"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Long-lived assets, including goodwill and other acquired intangible assets, net</w:t>
      </w:r>
    </w:p>
    <w:p>
      <w:pPr>
        <w:spacing w:after="0" w:line="119" w:lineRule="exact"/>
        <w:rPr>
          <w:sz w:val="20"/>
          <w:szCs w:val="20"/>
          <w:color w:val="auto"/>
        </w:rPr>
      </w:pPr>
    </w:p>
    <w:p>
      <w:pPr>
        <w:jc w:val="both"/>
        <w:ind w:right="140" w:firstLine="433"/>
        <w:spacing w:after="0" w:line="286"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89" w:lineRule="exact"/>
        <w:rPr>
          <w:sz w:val="20"/>
          <w:szCs w:val="20"/>
          <w:color w:val="auto"/>
        </w:rPr>
      </w:pPr>
    </w:p>
    <w:p>
      <w:pPr>
        <w:jc w:val="both"/>
        <w:ind w:right="100" w:firstLine="172"/>
        <w:spacing w:after="0" w:line="273" w:lineRule="auto"/>
        <w:rPr>
          <w:sz w:val="20"/>
          <w:szCs w:val="20"/>
          <w:color w:val="auto"/>
        </w:rPr>
      </w:pPr>
      <w:r>
        <w:rPr>
          <w:rFonts w:ascii="Arial" w:cs="Arial" w:eastAsia="Arial" w:hAnsi="Arial"/>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 At December 31, 2022, the single reporting unit had a zero or negative carrying value of net assets. Goodwill allocated to the single reporting unit is $403.3 million at December 31, 2022.</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Company has not recorded impairment charges on goodwill or intangible assets for the periods presented in these consolidated financial statements.</w:t>
      </w:r>
    </w:p>
    <w:p>
      <w:pPr>
        <w:spacing w:after="0" w:line="262" w:lineRule="exact"/>
        <w:rPr>
          <w:sz w:val="20"/>
          <w:szCs w:val="20"/>
          <w:color w:val="auto"/>
        </w:rPr>
      </w:pPr>
    </w:p>
    <w:p>
      <w:pPr>
        <w:ind w:right="180" w:firstLine="172"/>
        <w:spacing w:after="0" w:line="273" w:lineRule="auto"/>
        <w:rPr>
          <w:sz w:val="20"/>
          <w:szCs w:val="20"/>
          <w:color w:val="auto"/>
        </w:rPr>
      </w:pPr>
      <w:r>
        <w:rPr>
          <w:rFonts w:ascii="Arial" w:cs="Arial" w:eastAsia="Arial" w:hAnsi="Arial"/>
          <w:sz w:val="17"/>
          <w:szCs w:val="17"/>
          <w:color w:val="auto"/>
        </w:rPr>
        <w:t>The Company recorded impairment charges of $175.2 million and $31.3 million related to real estate assets and other lease related obligations during the years ended December 31, 2022 and 2021, respectively, in conjunction with its decision to move towards a Virtual First work model. See Note 9 "Leases" for further information.</w:t>
      </w:r>
    </w:p>
    <w:p>
      <w:pPr>
        <w:spacing w:after="0" w:line="198" w:lineRule="exact"/>
        <w:rPr>
          <w:sz w:val="20"/>
          <w:szCs w:val="20"/>
          <w:color w:val="auto"/>
        </w:rPr>
      </w:pPr>
    </w:p>
    <w:p>
      <w:pPr>
        <w:ind w:right="300" w:firstLine="165"/>
        <w:spacing w:after="0" w:line="268" w:lineRule="auto"/>
        <w:rPr>
          <w:sz w:val="20"/>
          <w:szCs w:val="20"/>
          <w:color w:val="auto"/>
        </w:rPr>
      </w:pPr>
      <w:r>
        <w:rPr>
          <w:rFonts w:ascii="Arial" w:cs="Arial" w:eastAsia="Arial" w:hAnsi="Arial"/>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98" w:lineRule="exact"/>
        <w:rPr>
          <w:sz w:val="20"/>
          <w:szCs w:val="20"/>
          <w:color w:val="auto"/>
        </w:rPr>
      </w:pPr>
    </w:p>
    <w:p>
      <w:pPr>
        <w:ind w:right="40" w:firstLine="433"/>
        <w:spacing w:after="0" w:line="289" w:lineRule="auto"/>
        <w:rPr>
          <w:sz w:val="20"/>
          <w:szCs w:val="20"/>
          <w:color w:val="auto"/>
        </w:rPr>
      </w:pPr>
      <w:r>
        <w:rPr>
          <w:rFonts w:ascii="Arial" w:cs="Arial" w:eastAsia="Arial" w:hAnsi="Arial"/>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or losses, expectations of future taxable income by taxing jurisdiction, and the carry-forward periods available for the utilization of deferred tax assets. As of December 31, 2022, the Company determined that all of its deferred tax assets related to federal and certain states are more likely than not to be realized, resulting in a benefit to income taxes of $420.2 million from the release of the valuation allowance. As of December 31, 2021, the Company released the valuation allowance on its Irish deferred tax assets resulting in an income tax benefit of $38.1 million.</w:t>
      </w:r>
    </w:p>
    <w:p>
      <w:pPr>
        <w:spacing w:after="0" w:line="202"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76" w:lineRule="exact"/>
        <w:rPr>
          <w:sz w:val="20"/>
          <w:szCs w:val="20"/>
          <w:color w:val="auto"/>
        </w:rPr>
      </w:pPr>
    </w:p>
    <w:p>
      <w:pPr>
        <w:ind w:right="260" w:firstLine="433"/>
        <w:spacing w:after="0" w:line="268"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176" w:lineRule="exact"/>
        <w:rPr>
          <w:sz w:val="20"/>
          <w:szCs w:val="20"/>
          <w:color w:val="auto"/>
        </w:rPr>
      </w:pPr>
    </w:p>
    <w:p>
      <w:pPr>
        <w:ind w:right="20" w:firstLine="433"/>
        <w:spacing w:after="0" w:line="322"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36" w:lineRule="exact"/>
        <w:rPr>
          <w:sz w:val="20"/>
          <w:szCs w:val="20"/>
          <w:color w:val="auto"/>
        </w:rPr>
      </w:pPr>
    </w:p>
    <w:p>
      <w:pPr>
        <w:ind w:right="120" w:firstLine="433"/>
        <w:spacing w:after="0" w:line="289" w:lineRule="auto"/>
        <w:rPr>
          <w:sz w:val="20"/>
          <w:szCs w:val="20"/>
          <w:color w:val="auto"/>
        </w:rPr>
      </w:pPr>
      <w:r>
        <w:rPr>
          <w:rFonts w:ascii="Arial" w:cs="Arial" w:eastAsia="Arial" w:hAnsi="Arial"/>
          <w:sz w:val="17"/>
          <w:szCs w:val="17"/>
          <w:color w:val="auto"/>
        </w:rPr>
        <w:t>The Tax Cuts and Jobs Act of 2017 ("TCJA") subjects a U.S. shareholder to current tax global intangible low-taxed income ("GILTI") earned by foreign subsidiaries. We account for GILTI as a period cost as incurred.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19" w:lineRule="exact"/>
        <w:rPr>
          <w:sz w:val="20"/>
          <w:szCs w:val="20"/>
          <w:color w:val="auto"/>
        </w:rPr>
      </w:pPr>
    </w:p>
    <w:p>
      <w:pPr>
        <w:ind w:firstLine="433"/>
        <w:spacing w:after="0" w:line="281"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w:t>
      </w:r>
    </w:p>
    <w:p>
      <w:pPr>
        <w:spacing w:after="0" w:line="119"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quoted prices in active markets for identical assets and liabilities,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inactive markets, or other inputs that are observable or can be corroborated by observable market data for substantially the full term of the assets or liabilities.</w:t>
      </w:r>
    </w:p>
    <w:p>
      <w:pPr>
        <w:spacing w:after="0" w:line="67" w:lineRule="exact"/>
        <w:rPr>
          <w:sz w:val="20"/>
          <w:szCs w:val="20"/>
          <w:color w:val="auto"/>
        </w:rPr>
      </w:pPr>
    </w:p>
    <w:p>
      <w:pPr>
        <w:ind w:right="20" w:firstLine="433"/>
        <w:spacing w:after="0" w:line="289"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that are generally unobservable and typically reflect management’s estimate of assumptions that market participants would use in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 or liability.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issued accounting pronouncements not yet adopted</w:t>
      </w:r>
    </w:p>
    <w:p>
      <w:pPr>
        <w:spacing w:after="0" w:line="250" w:lineRule="exact"/>
        <w:rPr>
          <w:sz w:val="20"/>
          <w:szCs w:val="20"/>
          <w:color w:val="auto"/>
        </w:rPr>
      </w:pPr>
    </w:p>
    <w:p>
      <w:pPr>
        <w:ind w:right="140" w:firstLine="433"/>
        <w:spacing w:after="0" w:line="283" w:lineRule="auto"/>
        <w:rPr>
          <w:sz w:val="20"/>
          <w:szCs w:val="20"/>
          <w:color w:val="auto"/>
        </w:rPr>
      </w:pPr>
      <w:r>
        <w:rPr>
          <w:rFonts w:ascii="Arial" w:cs="Arial" w:eastAsia="Arial" w:hAnsi="Arial"/>
          <w:sz w:val="16"/>
          <w:szCs w:val="16"/>
          <w:color w:val="auto"/>
        </w:rPr>
        <w:t xml:space="preserve">In March 2022, the FASB issued ASU 2022-02, </w:t>
      </w:r>
      <w:r>
        <w:rPr>
          <w:rFonts w:ascii="Arial" w:cs="Arial" w:eastAsia="Arial" w:hAnsi="Arial"/>
          <w:sz w:val="16"/>
          <w:szCs w:val="16"/>
          <w:i w:val="1"/>
          <w:iCs w:val="1"/>
          <w:color w:val="auto"/>
        </w:rPr>
        <w:t>Financial Instruments—Credit Losses (Topic 326): Troubled Debt Restructurings and Vintage</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which eliminates the accounting guidance on troubled debt restructurings for creditors in ASC 310-40 and amends the guidance on "vintage</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to require disclosure of current-period gross write-offs by year of origination. The ASU also updates the requirements related to accounting for credit losses under ASC 326 and adds enhanced disclosures for creditors with respect to loan refinancings and restructurings for borrowers experiencing financial difficulty. The amendments in ASU 2022-02 are effective for fiscal years beginning after December 15, 2022, and interim periods within those fiscal years. The Company does not expect the adoption of ASU 2022-02 to have a significant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37" w:lineRule="exact"/>
        <w:rPr>
          <w:sz w:val="20"/>
          <w:szCs w:val="20"/>
          <w:color w:val="auto"/>
        </w:rPr>
      </w:pPr>
    </w:p>
    <w:p>
      <w:pPr>
        <w:ind w:right="80" w:firstLine="433"/>
        <w:spacing w:after="0" w:line="249" w:lineRule="auto"/>
        <w:rPr>
          <w:sz w:val="20"/>
          <w:szCs w:val="20"/>
          <w:color w:val="auto"/>
        </w:rPr>
      </w:pPr>
      <w:r>
        <w:rPr>
          <w:rFonts w:ascii="Arial" w:cs="Arial" w:eastAsia="Arial" w:hAnsi="Arial"/>
          <w:sz w:val="17"/>
          <w:szCs w:val="17"/>
          <w:color w:val="auto"/>
        </w:rPr>
        <w:t xml:space="preserve">In May 2021, the FASB issued ASU 2021-04, </w:t>
      </w:r>
      <w:r>
        <w:rPr>
          <w:rFonts w:ascii="Arial" w:cs="Arial" w:eastAsia="Arial" w:hAnsi="Arial"/>
          <w:sz w:val="17"/>
          <w:szCs w:val="17"/>
          <w:i w:val="1"/>
          <w:iCs w:val="1"/>
          <w:color w:val="auto"/>
        </w:rPr>
        <w:t>Earnings Per Share (Topic 260), Debt - 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 Stock Compensation (Topic 718), and Derivatives and Hedging - Contracts in Entity's Own Equity (Subtopic 815-40) </w:t>
      </w:r>
      <w:r>
        <w:rPr>
          <w:rFonts w:ascii="Arial" w:cs="Arial" w:eastAsia="Arial" w:hAnsi="Arial"/>
          <w:sz w:val="17"/>
          <w:szCs w:val="17"/>
          <w:color w:val="auto"/>
        </w:rPr>
        <w:t>to clarify and reduce</w:t>
      </w:r>
      <w:r>
        <w:rPr>
          <w:rFonts w:ascii="Arial" w:cs="Arial" w:eastAsia="Arial" w:hAnsi="Arial"/>
          <w:sz w:val="17"/>
          <w:szCs w:val="17"/>
          <w:i w:val="1"/>
          <w:iCs w:val="1"/>
          <w:color w:val="auto"/>
        </w:rPr>
        <w:t xml:space="preserve"> </w:t>
      </w:r>
      <w:r>
        <w:rPr>
          <w:rFonts w:ascii="Arial" w:cs="Arial" w:eastAsia="Arial" w:hAnsi="Arial"/>
          <w:sz w:val="17"/>
          <w:szCs w:val="17"/>
          <w:color w:val="auto"/>
        </w:rPr>
        <w:t>diversity in an issuer’s accounting for modifications or exchanges of freestanding equity-classified written call options (for example, warrants) that remain equity classified after modification or exchange. The Company adopted ASU 2021-04 on January 1, 2022. The adoption of the standard did not have a material impact on the Company's consolidated financial statements.</w:t>
      </w:r>
    </w:p>
    <w:p>
      <w:pPr>
        <w:spacing w:after="0" w:line="2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 xml:space="preserve">In July 2021, the FASB issued ASU 2021-05, </w:t>
      </w:r>
      <w:r>
        <w:rPr>
          <w:rFonts w:ascii="Arial" w:cs="Arial" w:eastAsia="Arial" w:hAnsi="Arial"/>
          <w:sz w:val="17"/>
          <w:szCs w:val="17"/>
          <w:i w:val="1"/>
          <w:iCs w:val="1"/>
          <w:color w:val="auto"/>
        </w:rPr>
        <w:t>Leases (Topic 842)</w:t>
      </w:r>
      <w:r>
        <w:rPr>
          <w:rFonts w:ascii="Arial" w:cs="Arial" w:eastAsia="Arial" w:hAnsi="Arial"/>
          <w:sz w:val="17"/>
          <w:szCs w:val="17"/>
          <w:color w:val="auto"/>
        </w:rPr>
        <w:t>, which amends ASC 842 so that lessors are no longer required to recognize a selling loss upon commencement of a lease with variable lease payments that, prior to the amendments, would have been classified as a sales-type or direct financing lease. Furthermore, a lessor must classify as an operating lease any lease that would otherwise be classified as a sales-type or direct financing lease and that would result in the recognition of a selling loss at lease commencement, provided that the lease includes variable lease payments that do not depend on an index or rate. The Company adopted ASU 2021-05 on January 1, 2022. The adoption of the standard did not have a material impact on the Company's consolidated financial statements.</w:t>
      </w:r>
    </w:p>
    <w:p>
      <w:pPr>
        <w:spacing w:after="0" w:line="205"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which requires entities to recognize and measure contract assets and contract liabilities acquired in a business combination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Topic 606, Revenue from Contracts with Customers, instead of fair value at the acquisition date in accordance with Topic 805. The amendments in ASU 2021-08 results in the acquirer recording acquired contract assets and liabilities on the same basis as they would have been recorded by the acquiree before the acquisition under ASC Topic 606. The amendments in ASU 2021-08 are effective for fiscal years beginning after December 15, 2022, but early adoption is permitted, including in an interim period. The Company adopted this guidance in the fourth quarter of 2022 on a prospective basis. The adoption of this standard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Short-Term Investments</w:t>
      </w:r>
    </w:p>
    <w:p>
      <w:pPr>
        <w:spacing w:after="0" w:line="125" w:lineRule="exact"/>
        <w:rPr>
          <w:sz w:val="20"/>
          <w:szCs w:val="20"/>
          <w:color w:val="auto"/>
        </w:rPr>
      </w:pPr>
    </w:p>
    <w:p>
      <w:pPr>
        <w:ind w:right="40" w:firstLine="175"/>
        <w:spacing w:after="0" w:line="289" w:lineRule="auto"/>
        <w:rPr>
          <w:sz w:val="20"/>
          <w:szCs w:val="20"/>
          <w:color w:val="auto"/>
        </w:rPr>
      </w:pPr>
      <w:r>
        <w:rPr>
          <w:rFonts w:ascii="Arial" w:cs="Arial" w:eastAsia="Arial" w:hAnsi="Arial"/>
          <w:sz w:val="17"/>
          <w:szCs w:val="17"/>
          <w:color w:val="auto"/>
        </w:rPr>
        <w:t>The amortized cost, unrealized gains and losses and estimated fair value of the Company's cash, cash equivalents and short-term investments as of December 31, 2022 consisted of the following:</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Amortized cost</w:t>
            </w:r>
          </w:p>
        </w:tc>
        <w:tc>
          <w:tcPr>
            <w:tcW w:w="220" w:type="dxa"/>
            <w:vAlign w:val="bottom"/>
          </w:tcPr>
          <w:p>
            <w:pPr>
              <w:spacing w:after="0"/>
              <w:rPr>
                <w:sz w:val="19"/>
                <w:szCs w:val="19"/>
                <w:color w:val="auto"/>
              </w:rPr>
            </w:pPr>
          </w:p>
        </w:tc>
        <w:tc>
          <w:tcPr>
            <w:tcW w:w="1720" w:type="dxa"/>
            <w:vAlign w:val="bottom"/>
            <w:gridSpan w:val="2"/>
          </w:tcPr>
          <w:p>
            <w:pPr>
              <w:ind w:left="100"/>
              <w:spacing w:after="0"/>
              <w:rPr>
                <w:sz w:val="20"/>
                <w:szCs w:val="20"/>
                <w:color w:val="auto"/>
              </w:rPr>
            </w:pPr>
            <w:r>
              <w:rPr>
                <w:rFonts w:ascii="Arial" w:cs="Arial" w:eastAsia="Arial" w:hAnsi="Arial"/>
                <w:sz w:val="17"/>
                <w:szCs w:val="17"/>
                <w:b w:val="1"/>
                <w:bCs w:val="1"/>
                <w:color w:val="auto"/>
              </w:rPr>
              <w:t>Unrealized gain</w:t>
            </w:r>
          </w:p>
        </w:tc>
        <w:tc>
          <w:tcPr>
            <w:tcW w:w="24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Arial" w:cs="Arial" w:eastAsia="Arial" w:hAnsi="Arial"/>
                <w:sz w:val="17"/>
                <w:szCs w:val="17"/>
                <w:b w:val="1"/>
                <w:bCs w:val="1"/>
                <w:color w:val="auto"/>
              </w:rPr>
              <w:t>Unrealized loss</w:t>
            </w:r>
          </w:p>
        </w:tc>
        <w:tc>
          <w:tcPr>
            <w:tcW w:w="160" w:type="dxa"/>
            <w:vAlign w:val="bottom"/>
          </w:tcPr>
          <w:p>
            <w:pPr>
              <w:spacing w:after="0"/>
              <w:rPr>
                <w:sz w:val="19"/>
                <w:szCs w:val="19"/>
                <w:color w:val="auto"/>
              </w:rPr>
            </w:pPr>
          </w:p>
        </w:tc>
        <w:tc>
          <w:tcPr>
            <w:tcW w:w="1740" w:type="dxa"/>
            <w:vAlign w:val="bottom"/>
          </w:tcPr>
          <w:p>
            <w:pPr>
              <w:jc w:val="right"/>
              <w:ind w:right="93"/>
              <w:spacing w:after="0"/>
              <w:rPr>
                <w:sz w:val="20"/>
                <w:szCs w:val="20"/>
                <w:color w:val="auto"/>
              </w:rPr>
            </w:pPr>
            <w:r>
              <w:rPr>
                <w:rFonts w:ascii="Arial" w:cs="Arial" w:eastAsia="Arial" w:hAnsi="Arial"/>
                <w:sz w:val="17"/>
                <w:szCs w:val="17"/>
                <w:b w:val="1"/>
                <w:bCs w:val="1"/>
                <w:color w:val="auto"/>
                <w:w w:val="95"/>
              </w:rPr>
              <w:t>Estimated fair value</w:t>
            </w:r>
          </w:p>
        </w:tc>
      </w:tr>
      <w:tr>
        <w:trPr>
          <w:trHeight w:val="33"/>
        </w:trPr>
        <w:tc>
          <w:tcPr>
            <w:tcW w:w="34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r>
      <w:tr>
        <w:trPr>
          <w:trHeight w:val="223"/>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w:t>
            </w:r>
          </w:p>
        </w:tc>
      </w:tr>
      <w:tr>
        <w:trPr>
          <w:trHeight w:val="223"/>
        </w:trPr>
        <w:tc>
          <w:tcPr>
            <w:tcW w:w="3460" w:type="dxa"/>
            <w:vAlign w:val="bottom"/>
          </w:tcPr>
          <w:p>
            <w:pPr>
              <w:spacing w:after="0"/>
              <w:rPr>
                <w:sz w:val="20"/>
                <w:szCs w:val="20"/>
                <w:color w:val="auto"/>
              </w:rPr>
            </w:pPr>
            <w:r>
              <w:rPr>
                <w:rFonts w:ascii="Arial" w:cs="Arial" w:eastAsia="Arial" w:hAnsi="Arial"/>
                <w:sz w:val="17"/>
                <w:szCs w:val="17"/>
                <w:color w:val="auto"/>
              </w:rPr>
              <w:t>Cash equivalents</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Money market funds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r>
      <w:tr>
        <w:trPr>
          <w:trHeight w:val="223"/>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Commercial paper</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Total cash &amp; cash equivalents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232.8</w:t>
            </w:r>
          </w:p>
        </w:tc>
      </w:tr>
      <w:tr>
        <w:trPr>
          <w:trHeight w:val="203"/>
        </w:trPr>
        <w:tc>
          <w:tcPr>
            <w:tcW w:w="3460" w:type="dxa"/>
            <w:vAlign w:val="bottom"/>
          </w:tcPr>
          <w:p>
            <w:pPr>
              <w:spacing w:after="0"/>
              <w:rPr>
                <w:sz w:val="20"/>
                <w:szCs w:val="20"/>
                <w:color w:val="auto"/>
              </w:rPr>
            </w:pPr>
            <w:r>
              <w:rPr>
                <w:rFonts w:ascii="Arial" w:cs="Arial" w:eastAsia="Arial" w:hAnsi="Arial"/>
                <w:sz w:val="17"/>
                <w:szCs w:val="17"/>
                <w:color w:val="auto"/>
              </w:rPr>
              <w:t>Short-term investments</w:t>
            </w: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r>
      <w:tr>
        <w:trPr>
          <w:trHeight w:val="223"/>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Corporate notes and obligations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489.5</w:t>
            </w:r>
          </w:p>
        </w:tc>
      </w:tr>
      <w:tr>
        <w:trPr>
          <w:trHeight w:val="223"/>
        </w:trPr>
        <w:tc>
          <w:tcPr>
            <w:tcW w:w="3460" w:type="dxa"/>
            <w:vAlign w:val="bottom"/>
          </w:tcPr>
          <w:p>
            <w:pPr>
              <w:ind w:left="120"/>
              <w:spacing w:after="0"/>
              <w:rPr>
                <w:sz w:val="20"/>
                <w:szCs w:val="20"/>
                <w:color w:val="auto"/>
              </w:rPr>
            </w:pPr>
            <w:r>
              <w:rPr>
                <w:rFonts w:ascii="Arial" w:cs="Arial" w:eastAsia="Arial" w:hAnsi="Arial"/>
                <w:sz w:val="17"/>
                <w:szCs w:val="17"/>
                <w:color w:val="auto"/>
              </w:rPr>
              <w:t>U.S. Treasury securities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360.2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346.4</w:t>
            </w:r>
          </w:p>
        </w:tc>
      </w:tr>
      <w:tr>
        <w:trPr>
          <w:trHeight w:val="223"/>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Asset backed securities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w:t>
            </w:r>
          </w:p>
        </w:tc>
      </w:tr>
      <w:tr>
        <w:trPr>
          <w:trHeight w:val="223"/>
        </w:trPr>
        <w:tc>
          <w:tcPr>
            <w:tcW w:w="3460" w:type="dxa"/>
            <w:vAlign w:val="bottom"/>
          </w:tcPr>
          <w:p>
            <w:pPr>
              <w:ind w:left="120"/>
              <w:spacing w:after="0"/>
              <w:rPr>
                <w:sz w:val="20"/>
                <w:szCs w:val="20"/>
                <w:color w:val="auto"/>
              </w:rPr>
            </w:pPr>
            <w:r>
              <w:rPr>
                <w:rFonts w:ascii="Arial" w:cs="Arial" w:eastAsia="Arial" w:hAnsi="Arial"/>
                <w:sz w:val="17"/>
                <w:szCs w:val="17"/>
                <w:color w:val="auto"/>
              </w:rPr>
              <w:t>Municipal securities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61.2</w:t>
            </w:r>
          </w:p>
        </w:tc>
      </w:tr>
      <w:tr>
        <w:trPr>
          <w:trHeight w:val="223"/>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Commercial paper</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r>
      <w:tr>
        <w:trPr>
          <w:trHeight w:val="223"/>
        </w:trPr>
        <w:tc>
          <w:tcPr>
            <w:tcW w:w="3460" w:type="dxa"/>
            <w:vAlign w:val="bottom"/>
          </w:tcPr>
          <w:p>
            <w:pPr>
              <w:ind w:left="120"/>
              <w:spacing w:after="0"/>
              <w:rPr>
                <w:sz w:val="20"/>
                <w:szCs w:val="20"/>
                <w:color w:val="auto"/>
              </w:rPr>
            </w:pPr>
            <w:r>
              <w:rPr>
                <w:rFonts w:ascii="Arial" w:cs="Arial" w:eastAsia="Arial" w:hAnsi="Arial"/>
                <w:sz w:val="17"/>
                <w:szCs w:val="17"/>
                <w:color w:val="auto"/>
              </w:rPr>
              <w:t>Certificates of deposit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29.1</w:t>
            </w:r>
          </w:p>
        </w:tc>
      </w:tr>
      <w:tr>
        <w:trPr>
          <w:trHeight w:val="223"/>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agency obligations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23"/>
        </w:trPr>
        <w:tc>
          <w:tcPr>
            <w:tcW w:w="3460" w:type="dxa"/>
            <w:vAlign w:val="bottom"/>
          </w:tcPr>
          <w:p>
            <w:pPr>
              <w:ind w:left="120"/>
              <w:spacing w:after="0"/>
              <w:rPr>
                <w:sz w:val="20"/>
                <w:szCs w:val="20"/>
                <w:color w:val="auto"/>
              </w:rPr>
            </w:pPr>
            <w:r>
              <w:rPr>
                <w:rFonts w:ascii="Arial" w:cs="Arial" w:eastAsia="Arial" w:hAnsi="Arial"/>
                <w:sz w:val="17"/>
                <w:szCs w:val="17"/>
                <w:color w:val="auto"/>
              </w:rPr>
              <w:t>Foreign government obligations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23"/>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Supranational securities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short-term investments</w:t>
            </w:r>
          </w:p>
        </w:tc>
        <w:tc>
          <w:tcPr>
            <w:tcW w:w="2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1,158.5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1,110.6</w:t>
            </w:r>
          </w:p>
        </w:tc>
      </w:tr>
      <w:tr>
        <w:trPr>
          <w:trHeight w:val="241"/>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1,343.4</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900" w:firstLine="393"/>
        <w:spacing w:after="0" w:line="289" w:lineRule="auto"/>
        <w:rPr>
          <w:sz w:val="20"/>
          <w:szCs w:val="20"/>
          <w:color w:val="auto"/>
        </w:rPr>
      </w:pPr>
      <w:r>
        <w:rPr>
          <w:rFonts w:ascii="Arial" w:cs="Arial" w:eastAsia="Arial" w:hAnsi="Arial"/>
          <w:sz w:val="17"/>
          <w:szCs w:val="17"/>
          <w:color w:val="auto"/>
        </w:rPr>
        <w:t>The amortized cost, unrealized gains and losses and estimated fair value of the Company's cash, cash equivalents and short-term investments as of December 31, 2021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Amortized cost</w:t>
            </w:r>
          </w:p>
        </w:tc>
        <w:tc>
          <w:tcPr>
            <w:tcW w:w="22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Arial" w:cs="Arial" w:eastAsia="Arial" w:hAnsi="Arial"/>
                <w:sz w:val="17"/>
                <w:szCs w:val="17"/>
                <w:b w:val="1"/>
                <w:bCs w:val="1"/>
                <w:color w:val="auto"/>
              </w:rPr>
              <w:t>Unrealized gain</w:t>
            </w:r>
          </w:p>
        </w:tc>
        <w:tc>
          <w:tcPr>
            <w:tcW w:w="26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Arial" w:cs="Arial" w:eastAsia="Arial" w:hAnsi="Arial"/>
                <w:sz w:val="17"/>
                <w:szCs w:val="17"/>
                <w:b w:val="1"/>
                <w:bCs w:val="1"/>
                <w:color w:val="auto"/>
              </w:rPr>
              <w:t>Unrealized loss</w:t>
            </w:r>
          </w:p>
        </w:tc>
        <w:tc>
          <w:tcPr>
            <w:tcW w:w="160" w:type="dxa"/>
            <w:vAlign w:val="bottom"/>
          </w:tcPr>
          <w:p>
            <w:pPr>
              <w:spacing w:after="0"/>
              <w:rPr>
                <w:sz w:val="19"/>
                <w:szCs w:val="19"/>
                <w:color w:val="auto"/>
              </w:rPr>
            </w:pPr>
          </w:p>
        </w:tc>
        <w:tc>
          <w:tcPr>
            <w:tcW w:w="1740" w:type="dxa"/>
            <w:vAlign w:val="bottom"/>
          </w:tcPr>
          <w:p>
            <w:pPr>
              <w:jc w:val="right"/>
              <w:ind w:right="93"/>
              <w:spacing w:after="0"/>
              <w:rPr>
                <w:sz w:val="20"/>
                <w:szCs w:val="20"/>
                <w:color w:val="auto"/>
              </w:rPr>
            </w:pPr>
            <w:r>
              <w:rPr>
                <w:rFonts w:ascii="Arial" w:cs="Arial" w:eastAsia="Arial" w:hAnsi="Arial"/>
                <w:sz w:val="17"/>
                <w:szCs w:val="17"/>
                <w:b w:val="1"/>
                <w:bCs w:val="1"/>
                <w:color w:val="auto"/>
                <w:w w:val="95"/>
              </w:rPr>
              <w:t>Estimated fair value</w:t>
            </w:r>
          </w:p>
        </w:tc>
      </w:tr>
      <w:tr>
        <w:trPr>
          <w:trHeight w:val="33"/>
        </w:trPr>
        <w:tc>
          <w:tcPr>
            <w:tcW w:w="34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r>
      <w:tr>
        <w:trPr>
          <w:trHeight w:val="223"/>
        </w:trPr>
        <w:tc>
          <w:tcPr>
            <w:tcW w:w="346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w:t>
            </w:r>
          </w:p>
        </w:tc>
      </w:tr>
      <w:tr>
        <w:trPr>
          <w:trHeight w:val="216"/>
        </w:trPr>
        <w:tc>
          <w:tcPr>
            <w:tcW w:w="3460" w:type="dxa"/>
            <w:vAlign w:val="bottom"/>
          </w:tcPr>
          <w:p>
            <w:pPr>
              <w:ind w:left="140"/>
              <w:spacing w:after="0"/>
              <w:rPr>
                <w:sz w:val="20"/>
                <w:szCs w:val="20"/>
                <w:color w:val="auto"/>
              </w:rPr>
            </w:pPr>
            <w:r>
              <w:rPr>
                <w:rFonts w:ascii="Arial" w:cs="Arial" w:eastAsia="Arial" w:hAnsi="Arial"/>
                <w:sz w:val="17"/>
                <w:szCs w:val="17"/>
                <w:color w:val="auto"/>
              </w:rPr>
              <w:t>Total cash and cash equivalents</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533.0</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533.0</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3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603.8</w:t>
            </w: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w:t>
            </w: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139.6</w:t>
            </w: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Supranational Securities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32.1</w:t>
            </w:r>
          </w:p>
        </w:tc>
      </w:tr>
      <w:tr>
        <w:trPr>
          <w:trHeight w:val="21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1,193.8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1,185.1</w:t>
            </w:r>
          </w:p>
        </w:tc>
      </w:tr>
      <w:tr>
        <w:trPr>
          <w:trHeight w:val="216"/>
        </w:trPr>
        <w:tc>
          <w:tcPr>
            <w:tcW w:w="3460" w:type="dxa"/>
            <w:vAlign w:val="bottom"/>
          </w:tcPr>
          <w:p>
            <w:pPr>
              <w:ind w:left="1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1,726.8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1,718.1</w:t>
            </w: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right="160" w:firstLine="393"/>
        <w:spacing w:after="0" w:line="289" w:lineRule="auto"/>
        <w:rPr>
          <w:sz w:val="20"/>
          <w:szCs w:val="20"/>
          <w:color w:val="auto"/>
        </w:rPr>
      </w:pPr>
      <w:r>
        <w:rPr>
          <w:rFonts w:ascii="Arial" w:cs="Arial" w:eastAsia="Arial" w:hAnsi="Arial"/>
          <w:sz w:val="17"/>
          <w:szCs w:val="17"/>
          <w:color w:val="auto"/>
        </w:rPr>
        <w:t>Included in cash and cash equivalents is cash in transit from payment processors for credit and debit card transactions of $12.4 million and $8.3 million as of December 31, 2022 and December 31, 2021, respectively.</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All short-term investments were designated as available-for-sale securities as of December 31, 2022.</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the contractual maturities of the Company’s short-term investments as of December 31, 2022:</w:t>
      </w:r>
    </w:p>
    <w:p>
      <w:pPr>
        <w:spacing w:after="0" w:line="126"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6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gridSpan w:val="2"/>
          </w:tcPr>
          <w:p>
            <w:pPr>
              <w:ind w:left="180"/>
              <w:spacing w:after="0"/>
              <w:rPr>
                <w:sz w:val="20"/>
                <w:szCs w:val="20"/>
                <w:color w:val="auto"/>
              </w:rPr>
            </w:pPr>
            <w:r>
              <w:rPr>
                <w:rFonts w:ascii="Arial" w:cs="Arial" w:eastAsia="Arial" w:hAnsi="Arial"/>
                <w:sz w:val="17"/>
                <w:szCs w:val="17"/>
                <w:b w:val="1"/>
                <w:bCs w:val="1"/>
                <w:color w:val="auto"/>
              </w:rPr>
              <w:t>Amortized cost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w w:val="98"/>
              </w:rPr>
              <w:t>Estimated fair value</w:t>
            </w:r>
          </w:p>
        </w:tc>
      </w:tr>
      <w:tr>
        <w:trPr>
          <w:trHeight w:val="33"/>
        </w:trPr>
        <w:tc>
          <w:tcPr>
            <w:tcW w:w="69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23"/>
        </w:trPr>
        <w:tc>
          <w:tcPr>
            <w:tcW w:w="6960" w:type="dxa"/>
            <w:vAlign w:val="bottom"/>
          </w:tcPr>
          <w:p>
            <w:pPr>
              <w:ind w:left="20"/>
              <w:spacing w:after="0"/>
              <w:rPr>
                <w:sz w:val="20"/>
                <w:szCs w:val="20"/>
                <w:color w:val="auto"/>
              </w:rPr>
            </w:pPr>
            <w:r>
              <w:rPr>
                <w:rFonts w:ascii="Arial" w:cs="Arial" w:eastAsia="Arial" w:hAnsi="Arial"/>
                <w:sz w:val="17"/>
                <w:szCs w:val="17"/>
                <w:color w:val="auto"/>
              </w:rPr>
              <w:t>Due between one to three years</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556.8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after three years</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6960" w:type="dxa"/>
            <w:vAlign w:val="bottom"/>
          </w:tcPr>
          <w:p>
            <w:pPr>
              <w:ind w:left="14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1,158.5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340" w:firstLine="393"/>
        <w:spacing w:after="0" w:line="289" w:lineRule="auto"/>
        <w:rPr>
          <w:sz w:val="20"/>
          <w:szCs w:val="20"/>
          <w:color w:val="auto"/>
        </w:rPr>
      </w:pPr>
      <w:r>
        <w:rPr>
          <w:rFonts w:ascii="Arial" w:cs="Arial" w:eastAsia="Arial" w:hAnsi="Arial"/>
          <w:sz w:val="17"/>
          <w:szCs w:val="17"/>
          <w:color w:val="auto"/>
        </w:rPr>
        <w:t>The Company had 710 short-term investments in unrealized loss positions as of December 31, 2022. There were no material gains or losses from short-term investments that were reclassified out of accumulated other comprehensive loss for the year ended December 31, 2022.</w:t>
      </w:r>
    </w:p>
    <w:p>
      <w:pPr>
        <w:spacing w:after="0" w:line="185" w:lineRule="exact"/>
        <w:rPr>
          <w:sz w:val="20"/>
          <w:szCs w:val="20"/>
          <w:color w:val="auto"/>
        </w:rPr>
      </w:pPr>
    </w:p>
    <w:p>
      <w:pPr>
        <w:ind w:right="280" w:firstLine="393"/>
        <w:spacing w:after="0" w:line="268" w:lineRule="auto"/>
        <w:rPr>
          <w:sz w:val="20"/>
          <w:szCs w:val="20"/>
          <w:color w:val="auto"/>
        </w:rPr>
      </w:pPr>
      <w:r>
        <w:rPr>
          <w:rFonts w:ascii="Arial" w:cs="Arial" w:eastAsia="Arial" w:hAnsi="Arial"/>
          <w:sz w:val="17"/>
          <w:szCs w:val="17"/>
          <w:color w:val="auto"/>
        </w:rPr>
        <w:t>As of December 31, 2022, the Company’s short-term investments portfolio consisted of nine security types, seven of which were in an unrealized loss position. The Company’s short-term investments had unrealized losses of approximately $48.2 million as of December 31, 2022. The following tables present the breakdown of the short-term investments that have been in a continuous unrealized loss position aggregated by investment category, as of December 31, 2022 and December 31, 2021:</w:t>
      </w: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5"/>
          </w:tcPr>
          <w:p>
            <w:pPr>
              <w:ind w:left="220"/>
              <w:spacing w:after="0"/>
              <w:rPr>
                <w:sz w:val="20"/>
                <w:szCs w:val="20"/>
                <w:color w:val="auto"/>
              </w:rPr>
            </w:pPr>
            <w:r>
              <w:rPr>
                <w:rFonts w:ascii="Arial" w:cs="Arial" w:eastAsia="Arial" w:hAnsi="Arial"/>
                <w:sz w:val="17"/>
                <w:szCs w:val="17"/>
                <w:b w:val="1"/>
                <w:bCs w:val="1"/>
                <w:color w:val="auto"/>
              </w:rPr>
              <w:t>As of December 31, 2022</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5"/>
          </w:tcPr>
          <w:p>
            <w:pPr>
              <w:ind w:left="420"/>
              <w:spacing w:after="0"/>
              <w:rPr>
                <w:sz w:val="20"/>
                <w:szCs w:val="20"/>
                <w:color w:val="auto"/>
              </w:rPr>
            </w:pPr>
            <w:r>
              <w:rPr>
                <w:rFonts w:ascii="Arial" w:cs="Arial" w:eastAsia="Arial" w:hAnsi="Arial"/>
                <w:sz w:val="17"/>
                <w:szCs w:val="17"/>
                <w:b w:val="1"/>
                <w:bCs w:val="1"/>
                <w:color w:val="auto"/>
              </w:rPr>
              <w:t>Less than 12 months</w:t>
            </w:r>
          </w:p>
        </w:tc>
        <w:tc>
          <w:tcPr>
            <w:tcW w:w="180" w:type="dxa"/>
            <w:vAlign w:val="bottom"/>
          </w:tcPr>
          <w:p>
            <w:pPr>
              <w:spacing w:after="0"/>
              <w:rPr>
                <w:sz w:val="18"/>
                <w:szCs w:val="18"/>
                <w:color w:val="auto"/>
              </w:rPr>
            </w:pPr>
          </w:p>
        </w:tc>
        <w:tc>
          <w:tcPr>
            <w:tcW w:w="2640" w:type="dxa"/>
            <w:vAlign w:val="bottom"/>
            <w:gridSpan w:val="5"/>
          </w:tcPr>
          <w:p>
            <w:pPr>
              <w:ind w:left="380"/>
              <w:spacing w:after="0"/>
              <w:rPr>
                <w:sz w:val="20"/>
                <w:szCs w:val="20"/>
                <w:color w:val="auto"/>
              </w:rPr>
            </w:pPr>
            <w:r>
              <w:rPr>
                <w:rFonts w:ascii="Arial" w:cs="Arial" w:eastAsia="Arial" w:hAnsi="Arial"/>
                <w:sz w:val="17"/>
                <w:szCs w:val="17"/>
                <w:b w:val="1"/>
                <w:bCs w:val="1"/>
                <w:color w:val="auto"/>
              </w:rPr>
              <w:t>More than 12 months</w:t>
            </w:r>
          </w:p>
        </w:tc>
        <w:tc>
          <w:tcPr>
            <w:tcW w:w="1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7"/>
                <w:szCs w:val="17"/>
                <w:b w:val="1"/>
                <w:bCs w:val="1"/>
                <w:color w:val="auto"/>
              </w:rPr>
              <w:t>Total</w:t>
            </w:r>
          </w:p>
        </w:tc>
        <w:tc>
          <w:tcPr>
            <w:tcW w:w="1100" w:type="dxa"/>
            <w:vAlign w:val="bottom"/>
          </w:tcPr>
          <w:p>
            <w:pPr>
              <w:spacing w:after="0"/>
              <w:rPr>
                <w:sz w:val="18"/>
                <w:szCs w:val="18"/>
                <w:color w:val="auto"/>
              </w:rPr>
            </w:pPr>
          </w:p>
        </w:tc>
      </w:tr>
      <w:tr>
        <w:trPr>
          <w:trHeight w:val="164"/>
        </w:trPr>
        <w:tc>
          <w:tcPr>
            <w:tcW w:w="29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73"/>
              <w:spacing w:after="0" w:line="163" w:lineRule="exact"/>
              <w:rPr>
                <w:sz w:val="20"/>
                <w:szCs w:val="20"/>
                <w:color w:val="auto"/>
              </w:rPr>
            </w:pPr>
            <w:r>
              <w:rPr>
                <w:rFonts w:ascii="Arial" w:cs="Arial" w:eastAsia="Arial" w:hAnsi="Arial"/>
                <w:sz w:val="17"/>
                <w:szCs w:val="17"/>
                <w:b w:val="1"/>
                <w:bCs w:val="1"/>
                <w:color w:val="auto"/>
                <w:w w:val="89"/>
              </w:rPr>
              <w:t>Gross</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73"/>
              <w:spacing w:after="0" w:line="163" w:lineRule="exact"/>
              <w:rPr>
                <w:sz w:val="20"/>
                <w:szCs w:val="20"/>
                <w:color w:val="auto"/>
              </w:rPr>
            </w:pPr>
            <w:r>
              <w:rPr>
                <w:rFonts w:ascii="Arial" w:cs="Arial" w:eastAsia="Arial" w:hAnsi="Arial"/>
                <w:sz w:val="17"/>
                <w:szCs w:val="17"/>
                <w:b w:val="1"/>
                <w:bCs w:val="1"/>
                <w:color w:val="auto"/>
                <w:w w:val="89"/>
              </w:rPr>
              <w:t>Gross</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93"/>
              <w:spacing w:after="0" w:line="163" w:lineRule="exact"/>
              <w:rPr>
                <w:sz w:val="20"/>
                <w:szCs w:val="20"/>
                <w:color w:val="auto"/>
              </w:rPr>
            </w:pPr>
            <w:r>
              <w:rPr>
                <w:rFonts w:ascii="Arial" w:cs="Arial" w:eastAsia="Arial" w:hAnsi="Arial"/>
                <w:sz w:val="17"/>
                <w:szCs w:val="17"/>
                <w:b w:val="1"/>
                <w:bCs w:val="1"/>
                <w:color w:val="auto"/>
                <w:w w:val="89"/>
              </w:rPr>
              <w:t>Gross</w:t>
            </w:r>
          </w:p>
        </w:tc>
      </w:tr>
      <w:tr>
        <w:trPr>
          <w:trHeight w:val="178"/>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00"/>
              <w:spacing w:after="0" w:line="178" w:lineRule="exact"/>
              <w:rPr>
                <w:sz w:val="20"/>
                <w:szCs w:val="20"/>
                <w:color w:val="auto"/>
              </w:rPr>
            </w:pPr>
            <w:r>
              <w:rPr>
                <w:rFonts w:ascii="Arial" w:cs="Arial" w:eastAsia="Arial" w:hAnsi="Arial"/>
                <w:sz w:val="17"/>
                <w:szCs w:val="17"/>
                <w:b w:val="1"/>
                <w:bCs w:val="1"/>
                <w:color w:val="auto"/>
                <w:w w:val="95"/>
              </w:rPr>
              <w:t>Unrealized</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00"/>
              <w:spacing w:after="0" w:line="178" w:lineRule="exact"/>
              <w:rPr>
                <w:sz w:val="20"/>
                <w:szCs w:val="20"/>
                <w:color w:val="auto"/>
              </w:rPr>
            </w:pPr>
            <w:r>
              <w:rPr>
                <w:rFonts w:ascii="Arial" w:cs="Arial" w:eastAsia="Arial" w:hAnsi="Arial"/>
                <w:sz w:val="17"/>
                <w:szCs w:val="17"/>
                <w:b w:val="1"/>
                <w:bCs w:val="1"/>
                <w:color w:val="auto"/>
                <w:w w:val="95"/>
              </w:rPr>
              <w:t>Unrealized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3"/>
              <w:spacing w:after="0" w:line="178" w:lineRule="exact"/>
              <w:rPr>
                <w:sz w:val="20"/>
                <w:szCs w:val="20"/>
                <w:color w:val="auto"/>
              </w:rPr>
            </w:pPr>
            <w:r>
              <w:rPr>
                <w:rFonts w:ascii="Arial" w:cs="Arial" w:eastAsia="Arial" w:hAnsi="Arial"/>
                <w:sz w:val="17"/>
                <w:szCs w:val="17"/>
                <w:b w:val="1"/>
                <w:bCs w:val="1"/>
                <w:color w:val="auto"/>
                <w:w w:val="95"/>
              </w:rPr>
              <w:t>Unrealized</w:t>
            </w:r>
          </w:p>
        </w:tc>
      </w:tr>
      <w:tr>
        <w:trPr>
          <w:trHeight w:val="228"/>
        </w:trPr>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7"/>
                <w:szCs w:val="17"/>
                <w:b w:val="1"/>
                <w:bCs w:val="1"/>
                <w:color w:val="auto"/>
              </w:rPr>
              <w:t>Fair Value</w:t>
            </w:r>
          </w:p>
        </w:tc>
        <w:tc>
          <w:tcPr>
            <w:tcW w:w="1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1"/>
              </w:rPr>
              <w:t>Losses</w:t>
            </w:r>
          </w:p>
        </w:tc>
        <w:tc>
          <w:tcPr>
            <w:tcW w:w="18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7"/>
                <w:szCs w:val="17"/>
                <w:b w:val="1"/>
                <w:bCs w:val="1"/>
                <w:color w:val="auto"/>
              </w:rPr>
              <w:t>Fair Value</w:t>
            </w:r>
          </w:p>
        </w:tc>
        <w:tc>
          <w:tcPr>
            <w:tcW w:w="1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1"/>
              </w:rPr>
              <w:t>Losses</w:t>
            </w:r>
          </w:p>
        </w:tc>
        <w:tc>
          <w:tcPr>
            <w:tcW w:w="1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b w:val="1"/>
                <w:bCs w:val="1"/>
                <w:color w:val="auto"/>
              </w:rPr>
              <w:t>Fair Value</w:t>
            </w:r>
          </w:p>
        </w:tc>
        <w:tc>
          <w:tcPr>
            <w:tcW w:w="200" w:type="dxa"/>
            <w:vAlign w:val="bottom"/>
          </w:tcPr>
          <w:p>
            <w:pPr>
              <w:spacing w:after="0"/>
              <w:rPr>
                <w:sz w:val="19"/>
                <w:szCs w:val="19"/>
                <w:color w:val="auto"/>
              </w:rPr>
            </w:pPr>
          </w:p>
        </w:tc>
        <w:tc>
          <w:tcPr>
            <w:tcW w:w="1100" w:type="dxa"/>
            <w:vAlign w:val="bottom"/>
          </w:tcPr>
          <w:p>
            <w:pPr>
              <w:jc w:val="center"/>
              <w:ind w:right="93"/>
              <w:spacing w:after="0"/>
              <w:rPr>
                <w:sz w:val="20"/>
                <w:szCs w:val="20"/>
                <w:color w:val="auto"/>
              </w:rPr>
            </w:pPr>
            <w:r>
              <w:rPr>
                <w:rFonts w:ascii="Arial" w:cs="Arial" w:eastAsia="Arial" w:hAnsi="Arial"/>
                <w:sz w:val="17"/>
                <w:szCs w:val="17"/>
                <w:b w:val="1"/>
                <w:bCs w:val="1"/>
                <w:color w:val="auto"/>
                <w:w w:val="81"/>
              </w:rPr>
              <w:t>Losses</w:t>
            </w:r>
          </w:p>
        </w:tc>
      </w:tr>
      <w:tr>
        <w:trPr>
          <w:trHeight w:val="21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 notes and obligations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w:t>
            </w:r>
          </w:p>
        </w:tc>
      </w:tr>
      <w:tr>
        <w:trPr>
          <w:trHeight w:val="223"/>
        </w:trPr>
        <w:tc>
          <w:tcPr>
            <w:tcW w:w="296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(14.0)</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backed securities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23"/>
        </w:trPr>
        <w:tc>
          <w:tcPr>
            <w:tcW w:w="2960" w:type="dxa"/>
            <w:vAlign w:val="bottom"/>
          </w:tcPr>
          <w:p>
            <w:pPr>
              <w:ind w:left="20"/>
              <w:spacing w:after="0"/>
              <w:rPr>
                <w:sz w:val="20"/>
                <w:szCs w:val="20"/>
                <w:color w:val="auto"/>
              </w:rPr>
            </w:pPr>
            <w:r>
              <w:rPr>
                <w:rFonts w:ascii="Arial" w:cs="Arial" w:eastAsia="Arial" w:hAnsi="Arial"/>
                <w:sz w:val="17"/>
                <w:szCs w:val="17"/>
                <w:color w:val="auto"/>
              </w:rPr>
              <w:t>Municipal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agency obligations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3"/>
        </w:trPr>
        <w:tc>
          <w:tcPr>
            <w:tcW w:w="2960" w:type="dxa"/>
            <w:vAlign w:val="bottom"/>
          </w:tcPr>
          <w:p>
            <w:pPr>
              <w:ind w:left="20"/>
              <w:spacing w:after="0"/>
              <w:rPr>
                <w:sz w:val="20"/>
                <w:szCs w:val="20"/>
                <w:color w:val="auto"/>
              </w:rPr>
            </w:pPr>
            <w:r>
              <w:rPr>
                <w:rFonts w:ascii="Arial" w:cs="Arial" w:eastAsia="Arial" w:hAnsi="Arial"/>
                <w:sz w:val="17"/>
                <w:szCs w:val="17"/>
                <w:color w:val="auto"/>
              </w:rPr>
              <w:t>Foreign government obligations</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Supranational securities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296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633.7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948.0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(48.2)</w:t>
            </w: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69"/>
        </w:trPr>
        <w:tc>
          <w:tcPr>
            <w:tcW w:w="2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220"/>
              <w:spacing w:after="0"/>
              <w:rPr>
                <w:sz w:val="20"/>
                <w:szCs w:val="20"/>
                <w:color w:val="auto"/>
              </w:rPr>
            </w:pPr>
            <w:r>
              <w:rPr>
                <w:rFonts w:ascii="Arial" w:cs="Arial" w:eastAsia="Arial" w:hAnsi="Arial"/>
                <w:sz w:val="17"/>
                <w:szCs w:val="17"/>
                <w:b w:val="1"/>
                <w:bCs w:val="1"/>
                <w:color w:val="auto"/>
              </w:rPr>
              <w:t>As of December 31, 2021</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5"/>
          </w:tcPr>
          <w:p>
            <w:pPr>
              <w:ind w:left="420"/>
              <w:spacing w:after="0"/>
              <w:rPr>
                <w:sz w:val="20"/>
                <w:szCs w:val="20"/>
                <w:color w:val="auto"/>
              </w:rPr>
            </w:pPr>
            <w:r>
              <w:rPr>
                <w:rFonts w:ascii="Arial" w:cs="Arial" w:eastAsia="Arial" w:hAnsi="Arial"/>
                <w:sz w:val="17"/>
                <w:szCs w:val="17"/>
                <w:b w:val="1"/>
                <w:bCs w:val="1"/>
                <w:color w:val="auto"/>
              </w:rPr>
              <w:t>Less than 12 months</w:t>
            </w:r>
          </w:p>
        </w:tc>
        <w:tc>
          <w:tcPr>
            <w:tcW w:w="180" w:type="dxa"/>
            <w:vAlign w:val="bottom"/>
          </w:tcPr>
          <w:p>
            <w:pPr>
              <w:spacing w:after="0"/>
              <w:rPr>
                <w:sz w:val="18"/>
                <w:szCs w:val="18"/>
                <w:color w:val="auto"/>
              </w:rPr>
            </w:pPr>
          </w:p>
        </w:tc>
        <w:tc>
          <w:tcPr>
            <w:tcW w:w="2640" w:type="dxa"/>
            <w:vAlign w:val="bottom"/>
            <w:gridSpan w:val="5"/>
          </w:tcPr>
          <w:p>
            <w:pPr>
              <w:ind w:left="380"/>
              <w:spacing w:after="0"/>
              <w:rPr>
                <w:sz w:val="20"/>
                <w:szCs w:val="20"/>
                <w:color w:val="auto"/>
              </w:rPr>
            </w:pPr>
            <w:r>
              <w:rPr>
                <w:rFonts w:ascii="Arial" w:cs="Arial" w:eastAsia="Arial" w:hAnsi="Arial"/>
                <w:sz w:val="17"/>
                <w:szCs w:val="17"/>
                <w:b w:val="1"/>
                <w:bCs w:val="1"/>
                <w:color w:val="auto"/>
              </w:rPr>
              <w:t>More than 12 months</w:t>
            </w:r>
          </w:p>
        </w:tc>
        <w:tc>
          <w:tcPr>
            <w:tcW w:w="1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7"/>
                <w:szCs w:val="17"/>
                <w:b w:val="1"/>
                <w:bCs w:val="1"/>
                <w:color w:val="auto"/>
              </w:rPr>
              <w:t>Total</w:t>
            </w:r>
          </w:p>
        </w:tc>
        <w:tc>
          <w:tcPr>
            <w:tcW w:w="1100" w:type="dxa"/>
            <w:vAlign w:val="bottom"/>
          </w:tcPr>
          <w:p>
            <w:pPr>
              <w:spacing w:after="0"/>
              <w:rPr>
                <w:sz w:val="18"/>
                <w:szCs w:val="18"/>
                <w:color w:val="auto"/>
              </w:rPr>
            </w:pPr>
          </w:p>
        </w:tc>
      </w:tr>
      <w:tr>
        <w:trPr>
          <w:trHeight w:val="164"/>
        </w:trPr>
        <w:tc>
          <w:tcPr>
            <w:tcW w:w="29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73"/>
              <w:spacing w:after="0" w:line="163" w:lineRule="exact"/>
              <w:rPr>
                <w:sz w:val="20"/>
                <w:szCs w:val="20"/>
                <w:color w:val="auto"/>
              </w:rPr>
            </w:pPr>
            <w:r>
              <w:rPr>
                <w:rFonts w:ascii="Arial" w:cs="Arial" w:eastAsia="Arial" w:hAnsi="Arial"/>
                <w:sz w:val="17"/>
                <w:szCs w:val="17"/>
                <w:b w:val="1"/>
                <w:bCs w:val="1"/>
                <w:color w:val="auto"/>
                <w:w w:val="89"/>
              </w:rPr>
              <w:t>Gross</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73"/>
              <w:spacing w:after="0" w:line="163" w:lineRule="exact"/>
              <w:rPr>
                <w:sz w:val="20"/>
                <w:szCs w:val="20"/>
                <w:color w:val="auto"/>
              </w:rPr>
            </w:pPr>
            <w:r>
              <w:rPr>
                <w:rFonts w:ascii="Arial" w:cs="Arial" w:eastAsia="Arial" w:hAnsi="Arial"/>
                <w:sz w:val="17"/>
                <w:szCs w:val="17"/>
                <w:b w:val="1"/>
                <w:bCs w:val="1"/>
                <w:color w:val="auto"/>
                <w:w w:val="89"/>
              </w:rPr>
              <w:t>Gross</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93"/>
              <w:spacing w:after="0" w:line="163" w:lineRule="exact"/>
              <w:rPr>
                <w:sz w:val="20"/>
                <w:szCs w:val="20"/>
                <w:color w:val="auto"/>
              </w:rPr>
            </w:pPr>
            <w:r>
              <w:rPr>
                <w:rFonts w:ascii="Arial" w:cs="Arial" w:eastAsia="Arial" w:hAnsi="Arial"/>
                <w:sz w:val="17"/>
                <w:szCs w:val="17"/>
                <w:b w:val="1"/>
                <w:bCs w:val="1"/>
                <w:color w:val="auto"/>
                <w:w w:val="89"/>
              </w:rPr>
              <w:t>Gross</w:t>
            </w:r>
          </w:p>
        </w:tc>
      </w:tr>
      <w:tr>
        <w:trPr>
          <w:trHeight w:val="170"/>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5"/>
              </w:rPr>
              <w:t>Unrealized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5"/>
              </w:rPr>
              <w:t>Unrealized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3"/>
              <w:spacing w:after="0" w:line="171" w:lineRule="exact"/>
              <w:rPr>
                <w:sz w:val="20"/>
                <w:szCs w:val="20"/>
                <w:color w:val="auto"/>
              </w:rPr>
            </w:pPr>
            <w:r>
              <w:rPr>
                <w:rFonts w:ascii="Arial" w:cs="Arial" w:eastAsia="Arial" w:hAnsi="Arial"/>
                <w:sz w:val="17"/>
                <w:szCs w:val="17"/>
                <w:b w:val="1"/>
                <w:bCs w:val="1"/>
                <w:color w:val="auto"/>
                <w:w w:val="95"/>
              </w:rPr>
              <w:t>Unrealized</w:t>
            </w:r>
          </w:p>
        </w:tc>
      </w:tr>
      <w:tr>
        <w:trPr>
          <w:trHeight w:val="236"/>
        </w:trPr>
        <w:tc>
          <w:tcPr>
            <w:tcW w:w="2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Fair Value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81"/>
              </w:rPr>
              <w:t>Losses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Fair Value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81"/>
              </w:rPr>
              <w:t>Losses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Fair Value</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81"/>
              </w:rPr>
              <w:t>Losses</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notes and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3"/>
        </w:trPr>
        <w:tc>
          <w:tcPr>
            <w:tcW w:w="296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backed securities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3"/>
        </w:trPr>
        <w:tc>
          <w:tcPr>
            <w:tcW w:w="2960" w:type="dxa"/>
            <w:vAlign w:val="bottom"/>
          </w:tcPr>
          <w:p>
            <w:pPr>
              <w:ind w:left="20"/>
              <w:spacing w:after="0"/>
              <w:rPr>
                <w:sz w:val="20"/>
                <w:szCs w:val="20"/>
                <w:color w:val="auto"/>
              </w:rPr>
            </w:pPr>
            <w:r>
              <w:rPr>
                <w:rFonts w:ascii="Arial" w:cs="Arial" w:eastAsia="Arial" w:hAnsi="Arial"/>
                <w:sz w:val="17"/>
                <w:szCs w:val="17"/>
                <w:color w:val="auto"/>
              </w:rPr>
              <w:t>Municipal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agency obligations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3"/>
        </w:trPr>
        <w:tc>
          <w:tcPr>
            <w:tcW w:w="2960" w:type="dxa"/>
            <w:vAlign w:val="bottom"/>
          </w:tcPr>
          <w:p>
            <w:pPr>
              <w:ind w:left="20"/>
              <w:spacing w:after="0"/>
              <w:rPr>
                <w:sz w:val="20"/>
                <w:szCs w:val="20"/>
                <w:color w:val="auto"/>
              </w:rPr>
            </w:pPr>
            <w:r>
              <w:rPr>
                <w:rFonts w:ascii="Arial" w:cs="Arial" w:eastAsia="Arial" w:hAnsi="Arial"/>
                <w:sz w:val="17"/>
                <w:szCs w:val="17"/>
                <w:color w:val="auto"/>
              </w:rPr>
              <w:t>Foreign government obligations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Supranational securities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296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941.0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941.0</w:t>
            </w:r>
          </w:p>
        </w:tc>
        <w:tc>
          <w:tcPr>
            <w:tcW w:w="8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0"/>
        </w:trPr>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80" w:firstLine="393"/>
        <w:spacing w:after="0" w:line="326" w:lineRule="auto"/>
        <w:rPr>
          <w:sz w:val="20"/>
          <w:szCs w:val="20"/>
          <w:color w:val="auto"/>
        </w:rPr>
      </w:pPr>
      <w:r>
        <w:rPr>
          <w:rFonts w:ascii="Arial" w:cs="Arial" w:eastAsia="Arial" w:hAnsi="Arial"/>
          <w:sz w:val="15"/>
          <w:szCs w:val="15"/>
          <w:color w:val="auto"/>
        </w:rPr>
        <w:t>Unrealized losses on short-term investments have not been recorded into income because management does not intend to sell nor will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spacing w:after="0" w:line="163"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The Company recorded $15.7 million, $7.5 million, and $12.5 million in interest income from its cash, cash equivalents and short-term investments for the years ended December 31, 2022, 2021 and 2020,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w:t>
      </w:r>
    </w:p>
    <w:p>
      <w:pPr>
        <w:spacing w:after="0" w:line="125" w:lineRule="exact"/>
        <w:rPr>
          <w:sz w:val="20"/>
          <w:szCs w:val="20"/>
          <w:color w:val="auto"/>
        </w:rPr>
      </w:pPr>
    </w:p>
    <w:p>
      <w:pPr>
        <w:ind w:right="160" w:firstLine="433"/>
        <w:spacing w:after="0" w:line="273" w:lineRule="auto"/>
        <w:rPr>
          <w:sz w:val="20"/>
          <w:szCs w:val="20"/>
          <w:color w:val="auto"/>
        </w:rPr>
      </w:pPr>
      <w:r>
        <w:rPr>
          <w:rFonts w:ascii="Arial" w:cs="Arial" w:eastAsia="Arial" w:hAnsi="Arial"/>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39" w:lineRule="exact"/>
        <w:rPr>
          <w:sz w:val="20"/>
          <w:szCs w:val="20"/>
          <w:color w:val="auto"/>
        </w:rPr>
      </w:pPr>
    </w:p>
    <w:p>
      <w:pPr>
        <w:ind w:right="240" w:firstLine="433"/>
        <w:spacing w:after="0" w:line="289" w:lineRule="auto"/>
        <w:rPr>
          <w:sz w:val="20"/>
          <w:szCs w:val="20"/>
          <w:color w:val="auto"/>
        </w:rPr>
      </w:pPr>
      <w:r>
        <w:rPr>
          <w:rFonts w:ascii="Arial" w:cs="Arial" w:eastAsia="Arial" w:hAnsi="Arial"/>
          <w:sz w:val="17"/>
          <w:szCs w:val="17"/>
          <w:color w:val="auto"/>
        </w:rPr>
        <w:t>The following table presents information about the Company’s financial instruments that are measured at fair value on a recurring basis using the input categories discussed in Note 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7"/>
                <w:szCs w:val="17"/>
                <w:b w:val="1"/>
                <w:bCs w:val="1"/>
                <w:color w:val="auto"/>
              </w:rPr>
              <w:t>As of December 31, 2022</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3500" w:type="dxa"/>
            <w:vAlign w:val="bottom"/>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Level 3</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r>
      <w:tr>
        <w:trPr>
          <w:trHeight w:val="32"/>
        </w:trPr>
        <w:tc>
          <w:tcPr>
            <w:tcW w:w="3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350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1280" w:type="dxa"/>
            <w:vAlign w:val="bottom"/>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139.5</w:t>
            </w:r>
          </w:p>
        </w:tc>
        <w:tc>
          <w:tcPr>
            <w:tcW w:w="100" w:type="dxa"/>
            <w:vAlign w:val="bottom"/>
          </w:tcPr>
          <w:p>
            <w:pPr>
              <w:spacing w:after="0"/>
              <w:rPr>
                <w:sz w:val="19"/>
                <w:szCs w:val="19"/>
                <w:color w:val="auto"/>
              </w:rPr>
            </w:pPr>
          </w:p>
        </w:tc>
        <w:tc>
          <w:tcPr>
            <w:tcW w:w="1240" w:type="dxa"/>
            <w:vAlign w:val="bottom"/>
          </w:tcPr>
          <w:p>
            <w:pPr>
              <w:jc w:val="right"/>
              <w:ind w:right="1033"/>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193"/>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139.5</w:t>
            </w:r>
          </w:p>
        </w:tc>
      </w:tr>
      <w:tr>
        <w:trPr>
          <w:trHeight w:val="223"/>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3500" w:type="dxa"/>
            <w:vAlign w:val="bottom"/>
          </w:tcPr>
          <w:p>
            <w:pPr>
              <w:ind w:left="140"/>
              <w:spacing w:after="0"/>
              <w:rPr>
                <w:sz w:val="20"/>
                <w:szCs w:val="20"/>
                <w:color w:val="auto"/>
              </w:rPr>
            </w:pPr>
            <w:r>
              <w:rPr>
                <w:rFonts w:ascii="Arial" w:cs="Arial" w:eastAsia="Arial" w:hAnsi="Arial"/>
                <w:sz w:val="17"/>
                <w:szCs w:val="17"/>
                <w:color w:val="auto"/>
              </w:rPr>
              <w:t>Total cash equivalents</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139.5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142.7</w:t>
            </w:r>
          </w:p>
        </w:tc>
      </w:tr>
      <w:tr>
        <w:trPr>
          <w:trHeight w:val="20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1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23"/>
        </w:trPr>
        <w:tc>
          <w:tcPr>
            <w:tcW w:w="350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489.5</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489.5</w:t>
            </w:r>
          </w:p>
        </w:tc>
      </w:tr>
      <w:tr>
        <w:trPr>
          <w:trHeight w:val="223"/>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346.4</w:t>
            </w:r>
          </w:p>
        </w:tc>
      </w:tr>
      <w:tr>
        <w:trPr>
          <w:trHeight w:val="223"/>
        </w:trPr>
        <w:tc>
          <w:tcPr>
            <w:tcW w:w="350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111.6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111.6</w:t>
            </w:r>
          </w:p>
        </w:tc>
      </w:tr>
      <w:tr>
        <w:trPr>
          <w:trHeight w:val="223"/>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w:t>
            </w:r>
          </w:p>
        </w:tc>
      </w:tr>
      <w:tr>
        <w:trPr>
          <w:trHeight w:val="223"/>
        </w:trPr>
        <w:tc>
          <w:tcPr>
            <w:tcW w:w="350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46.4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46.4</w:t>
            </w:r>
          </w:p>
        </w:tc>
      </w:tr>
      <w:tr>
        <w:trPr>
          <w:trHeight w:val="223"/>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223"/>
        </w:trPr>
        <w:tc>
          <w:tcPr>
            <w:tcW w:w="350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23"/>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23"/>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Supranational securities</w:t>
            </w: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1,110.6</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1,110.6</w:t>
            </w:r>
          </w:p>
        </w:tc>
      </w:tr>
      <w:tr>
        <w:trPr>
          <w:trHeight w:val="216"/>
        </w:trPr>
        <w:tc>
          <w:tcPr>
            <w:tcW w:w="3500" w:type="dxa"/>
            <w:vAlign w:val="bottom"/>
          </w:tcPr>
          <w:p>
            <w:pPr>
              <w:ind w:left="20"/>
              <w:spacing w:after="0"/>
              <w:rPr>
                <w:sz w:val="20"/>
                <w:szCs w:val="20"/>
                <w:color w:val="auto"/>
              </w:rPr>
            </w:pPr>
            <w:r>
              <w:rPr>
                <w:rFonts w:ascii="Arial" w:cs="Arial" w:eastAsia="Arial" w:hAnsi="Arial"/>
                <w:sz w:val="17"/>
                <w:szCs w:val="17"/>
                <w:color w:val="auto"/>
              </w:rPr>
              <w:t>Total</w:t>
            </w:r>
          </w:p>
        </w:tc>
        <w:tc>
          <w:tcPr>
            <w:tcW w:w="1280" w:type="dxa"/>
            <w:vAlign w:val="bottom"/>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139.5</w:t>
            </w:r>
          </w:p>
        </w:tc>
        <w:tc>
          <w:tcPr>
            <w:tcW w:w="100" w:type="dxa"/>
            <w:vAlign w:val="bottom"/>
          </w:tcPr>
          <w:p>
            <w:pPr>
              <w:spacing w:after="0"/>
              <w:rPr>
                <w:sz w:val="18"/>
                <w:szCs w:val="18"/>
                <w:color w:val="auto"/>
              </w:rPr>
            </w:pPr>
          </w:p>
        </w:tc>
        <w:tc>
          <w:tcPr>
            <w:tcW w:w="1240" w:type="dxa"/>
            <w:vAlign w:val="bottom"/>
          </w:tcPr>
          <w:p>
            <w:pPr>
              <w:jc w:val="right"/>
              <w:ind w:right="1033"/>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5"/>
              </w:rPr>
              <w:t>1,113.8</w:t>
            </w:r>
          </w:p>
        </w:tc>
        <w:tc>
          <w:tcPr>
            <w:tcW w:w="120" w:type="dxa"/>
            <w:vAlign w:val="bottom"/>
          </w:tcPr>
          <w:p>
            <w:pPr>
              <w:spacing w:after="0"/>
              <w:rPr>
                <w:sz w:val="18"/>
                <w:szCs w:val="18"/>
                <w:color w:val="auto"/>
              </w:rPr>
            </w:pPr>
          </w:p>
        </w:tc>
        <w:tc>
          <w:tcPr>
            <w:tcW w:w="1380" w:type="dxa"/>
            <w:vAlign w:val="bottom"/>
          </w:tcPr>
          <w:p>
            <w:pPr>
              <w:jc w:val="right"/>
              <w:ind w:right="1193"/>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1,253.3</w:t>
            </w:r>
          </w:p>
        </w:tc>
      </w:tr>
      <w:tr>
        <w:trPr>
          <w:trHeight w:val="20"/>
        </w:trPr>
        <w:tc>
          <w:tcPr>
            <w:tcW w:w="35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7"/>
                <w:szCs w:val="17"/>
                <w:b w:val="1"/>
                <w:bCs w:val="1"/>
                <w:color w:val="auto"/>
              </w:rPr>
              <w:t>As of December 31, 2021</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Level 3</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32"/>
        </w:trPr>
        <w:tc>
          <w:tcPr>
            <w:tcW w:w="3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Money market funds</w:t>
            </w:r>
          </w:p>
        </w:tc>
        <w:tc>
          <w:tcPr>
            <w:tcW w:w="1280" w:type="dxa"/>
            <w:vAlign w:val="bottom"/>
            <w:tcBorders>
              <w:bottom w:val="single" w:sz="8" w:color="auto"/>
            </w:tcBorders>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390.3</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33"/>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19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390.3</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Equivalents</w:t>
            </w: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119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237.5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237.5</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69.8</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1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1,185.1</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1,185.1</w:t>
            </w: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80" w:type="dxa"/>
            <w:vAlign w:val="bottom"/>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1,185.1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93"/>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ind w:right="140" w:firstLine="433"/>
        <w:spacing w:after="0" w:line="249" w:lineRule="auto"/>
        <w:rPr>
          <w:sz w:val="20"/>
          <w:szCs w:val="20"/>
          <w:color w:val="auto"/>
        </w:rPr>
      </w:pPr>
      <w:r>
        <w:rPr>
          <w:rFonts w:ascii="Arial" w:cs="Arial" w:eastAsia="Arial" w:hAnsi="Arial"/>
          <w:sz w:val="17"/>
          <w:szCs w:val="17"/>
          <w:color w:val="auto"/>
        </w:rPr>
        <w:t>As of December 31, 2021, the Company had an investment in a non-marketable equity security in a privately held Company without a readily determinable market value. The investment had a carrying value of $5.6 million and was categorized as Level 3 as of December 31, 2021. The investment was sold during the twelve months ended December 31, 2022 resulting in a gain of $5.0 million.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no transfers between levels of the fair value hierarchy.</w:t>
      </w:r>
    </w:p>
    <w:p>
      <w:pPr>
        <w:spacing w:after="0" w:line="250" w:lineRule="exact"/>
        <w:rPr>
          <w:sz w:val="20"/>
          <w:szCs w:val="20"/>
          <w:color w:val="auto"/>
        </w:rPr>
      </w:pPr>
    </w:p>
    <w:p>
      <w:pPr>
        <w:ind w:right="20" w:firstLine="433"/>
        <w:spacing w:after="0" w:line="289" w:lineRule="auto"/>
        <w:rPr>
          <w:sz w:val="20"/>
          <w:szCs w:val="20"/>
          <w:color w:val="auto"/>
        </w:rPr>
      </w:pPr>
      <w:r>
        <w:rPr>
          <w:rFonts w:ascii="Arial" w:cs="Arial" w:eastAsia="Arial" w:hAnsi="Arial"/>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54" w:lineRule="exact"/>
        <w:rPr>
          <w:sz w:val="20"/>
          <w:szCs w:val="20"/>
          <w:color w:val="auto"/>
        </w:rPr>
      </w:pPr>
    </w:p>
    <w:p>
      <w:pPr>
        <w:jc w:val="both"/>
        <w:ind w:right="280" w:firstLine="433"/>
        <w:spacing w:after="0" w:line="273" w:lineRule="auto"/>
        <w:rPr>
          <w:sz w:val="20"/>
          <w:szCs w:val="20"/>
          <w:color w:val="auto"/>
        </w:rPr>
      </w:pPr>
      <w:r>
        <w:rPr>
          <w:rFonts w:ascii="Arial" w:cs="Arial" w:eastAsia="Arial" w:hAnsi="Arial"/>
          <w:sz w:val="17"/>
          <w:szCs w:val="17"/>
          <w:color w:val="auto"/>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December 31, 2022. Refer to Note 8 "Debt" for further details on the 2026 Notes and 2028 Notes.</w:t>
      </w:r>
    </w:p>
    <w:p>
      <w:pPr>
        <w:spacing w:after="0" w:line="198"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The estimated fair value of the 2026 Notes and the 2028 Notes, based on a market approach as of December 31, 2022 was approximately $631.5 million and $632.2 million, respectively. The Notes were categorized as Level 2 instruments as the estimated fair value was determined based on the estimated or actual bids and offers of the Notes in an over-the-counter market on the last business day of the period.</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Property and Equipment, Net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consisted of the following:</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7020" w:type="dxa"/>
            <w:vAlign w:val="bottom"/>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5"/>
              </w:rPr>
              <w:t>As of December 31,</w:t>
            </w:r>
          </w:p>
        </w:tc>
        <w:tc>
          <w:tcPr>
            <w:tcW w:w="1280" w:type="dxa"/>
            <w:vAlign w:val="bottom"/>
            <w:tcBorders>
              <w:top w:val="single" w:sz="8" w:color="auto"/>
              <w:bottom w:val="single" w:sz="8" w:color="auto"/>
            </w:tcBorders>
          </w:tcPr>
          <w:p>
            <w:pPr>
              <w:spacing w:after="0"/>
              <w:rPr>
                <w:sz w:val="20"/>
                <w:szCs w:val="20"/>
                <w:color w:val="auto"/>
              </w:rPr>
            </w:pPr>
          </w:p>
        </w:tc>
      </w:tr>
      <w:tr>
        <w:trPr>
          <w:trHeight w:val="216"/>
        </w:trPr>
        <w:tc>
          <w:tcPr>
            <w:tcW w:w="70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2022</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53"/>
              <w:spacing w:after="0"/>
              <w:rPr>
                <w:sz w:val="20"/>
                <w:szCs w:val="20"/>
                <w:color w:val="auto"/>
              </w:rPr>
            </w:pPr>
            <w:r>
              <w:rPr>
                <w:rFonts w:ascii="Arial" w:cs="Arial" w:eastAsia="Arial" w:hAnsi="Arial"/>
                <w:sz w:val="17"/>
                <w:szCs w:val="17"/>
                <w:b w:val="1"/>
                <w:bCs w:val="1"/>
                <w:color w:val="auto"/>
              </w:rPr>
              <w:t>2021</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Datacenter and other computer equipment</w:t>
            </w:r>
          </w:p>
        </w:tc>
        <w:tc>
          <w:tcPr>
            <w:tcW w:w="1280" w:type="dxa"/>
            <w:vAlign w:val="bottom"/>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634.5</w:t>
            </w:r>
          </w:p>
        </w:tc>
      </w:tr>
      <w:tr>
        <w:trPr>
          <w:trHeight w:val="223"/>
        </w:trPr>
        <w:tc>
          <w:tcPr>
            <w:tcW w:w="702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21.7</w:t>
            </w:r>
          </w:p>
        </w:tc>
      </w:tr>
      <w:tr>
        <w:trPr>
          <w:trHeight w:val="22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r>
      <w:tr>
        <w:trPr>
          <w:trHeight w:val="223"/>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Construction in progress</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r>
      <w:tr>
        <w:trPr>
          <w:trHeight w:val="216"/>
        </w:trPr>
        <w:tc>
          <w:tcPr>
            <w:tcW w:w="7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property and equipment</w:t>
            </w: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774.6</w:t>
            </w:r>
          </w:p>
        </w:tc>
      </w:tr>
      <w:tr>
        <w:trPr>
          <w:trHeight w:val="223"/>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Accumulated depreciation and amortization</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(503.5)</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(452.6)</w:t>
            </w:r>
          </w:p>
        </w:tc>
      </w:tr>
      <w:tr>
        <w:trPr>
          <w:trHeight w:val="241"/>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308.4</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The Company leases certain infrastructure, computer equipment, and furniture from various third parties, through equipment finance leases. Infrastructure assets as of December 31, 2022 and 2021, respectively, included a total of $456.4 million and $469.4 million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$240.9 million and $237.6 million as of December 31, 2022 and 2021, respectively.</w:t>
      </w:r>
    </w:p>
    <w:p>
      <w:pPr>
        <w:spacing w:after="0" w:line="180" w:lineRule="exact"/>
        <w:rPr>
          <w:sz w:val="20"/>
          <w:szCs w:val="20"/>
          <w:color w:val="auto"/>
        </w:rPr>
      </w:pPr>
    </w:p>
    <w:p>
      <w:pPr>
        <w:ind w:right="620" w:firstLine="433"/>
        <w:spacing w:after="0" w:line="289" w:lineRule="auto"/>
        <w:rPr>
          <w:sz w:val="20"/>
          <w:szCs w:val="20"/>
          <w:color w:val="auto"/>
        </w:rPr>
      </w:pPr>
      <w:r>
        <w:rPr>
          <w:rFonts w:ascii="Arial" w:cs="Arial" w:eastAsia="Arial" w:hAnsi="Arial"/>
          <w:sz w:val="17"/>
          <w:szCs w:val="17"/>
          <w:color w:val="auto"/>
        </w:rPr>
        <w:t>Depreciation expense related to property and equipment was $140.9 million and $135.7 million for the years ended December 31, 2022 and 2021 respectively.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Business Combinations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Business Combination</w:t>
      </w:r>
    </w:p>
    <w:p>
      <w:pPr>
        <w:spacing w:after="0" w:line="230"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On December 15, 2022, the Company acquired 100% ownership of FormSwift, a cloud-based service that gives individuals and businesses a simple solution to create, complete, edit, and save critical business forms and agreements. The Company believes the combination of Dropbox, Dropbox Sign, DocSend, and FormSwift will help customers across industries manage end-to-end document workflows—from content collaboration to sharing and e-signature —giving them more control over their most important agreements. The results of FormSwift's operations have been included in the Company’s consolidated results of operations since the date of acquisition and were immaterial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20" w:type="dxa"/>
            <w:vAlign w:val="bottom"/>
          </w:tcPr>
          <w:p>
            <w:pPr>
              <w:ind w:left="440"/>
              <w:spacing w:after="0"/>
              <w:rPr>
                <w:sz w:val="20"/>
                <w:szCs w:val="20"/>
                <w:color w:val="auto"/>
              </w:rPr>
            </w:pPr>
            <w:r>
              <w:rPr>
                <w:rFonts w:ascii="Arial" w:cs="Arial" w:eastAsia="Arial" w:hAnsi="Arial"/>
                <w:sz w:val="17"/>
                <w:szCs w:val="17"/>
                <w:color w:val="auto"/>
              </w:rPr>
              <w:t>The purchase consideration transferred consisted of the following:</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59"/>
        </w:trPr>
        <w:tc>
          <w:tcPr>
            <w:tcW w:w="8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tcPr>
          <w:p>
            <w:pPr>
              <w:jc w:val="right"/>
              <w:ind w:right="553"/>
              <w:spacing w:after="0"/>
              <w:rPr>
                <w:sz w:val="20"/>
                <w:szCs w:val="20"/>
                <w:color w:val="auto"/>
              </w:rPr>
            </w:pPr>
            <w:r>
              <w:rPr>
                <w:rFonts w:ascii="Arial" w:cs="Arial" w:eastAsia="Arial" w:hAnsi="Arial"/>
                <w:sz w:val="17"/>
                <w:szCs w:val="17"/>
                <w:b w:val="1"/>
                <w:bCs w:val="1"/>
                <w:color w:val="auto"/>
              </w:rPr>
              <w:t>Purchase consideration</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stockholders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23"/>
        </w:trPr>
        <w:tc>
          <w:tcPr>
            <w:tcW w:w="8120" w:type="dxa"/>
            <w:vAlign w:val="bottom"/>
          </w:tcPr>
          <w:p>
            <w:pPr>
              <w:ind w:left="20"/>
              <w:spacing w:after="0"/>
              <w:rPr>
                <w:sz w:val="20"/>
                <w:szCs w:val="20"/>
                <w:color w:val="auto"/>
              </w:rPr>
            </w:pPr>
            <w:r>
              <w:rPr>
                <w:rFonts w:ascii="Arial" w:cs="Arial" w:eastAsia="Arial" w:hAnsi="Arial"/>
                <w:sz w:val="17"/>
                <w:szCs w:val="17"/>
                <w:color w:val="auto"/>
              </w:rPr>
              <w:t>Cash paid for extinguishing shadow stock units</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costs paid by Dropbox on behalf of FormSwift</w:t>
            </w:r>
          </w:p>
        </w:tc>
        <w:tc>
          <w:tcPr>
            <w:tcW w:w="38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8120" w:type="dxa"/>
            <w:vAlign w:val="bottom"/>
          </w:tcPr>
          <w:p>
            <w:pPr>
              <w:ind w:left="20"/>
              <w:spacing w:after="0"/>
              <w:rPr>
                <w:sz w:val="20"/>
                <w:szCs w:val="20"/>
                <w:color w:val="auto"/>
              </w:rPr>
            </w:pPr>
            <w:r>
              <w:rPr>
                <w:rFonts w:ascii="Arial" w:cs="Arial" w:eastAsia="Arial" w:hAnsi="Arial"/>
                <w:sz w:val="17"/>
                <w:szCs w:val="17"/>
                <w:color w:val="auto"/>
              </w:rPr>
              <w:t>Cash purchase consideration</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tcPr>
          <w:p>
            <w:pPr>
              <w:jc w:val="right"/>
              <w:spacing w:after="0"/>
              <w:rPr>
                <w:sz w:val="20"/>
                <w:szCs w:val="20"/>
                <w:color w:val="auto"/>
              </w:rPr>
            </w:pPr>
            <w:r>
              <w:rPr>
                <w:rFonts w:ascii="Arial" w:cs="Arial" w:eastAsia="Arial" w:hAnsi="Arial"/>
                <w:sz w:val="17"/>
                <w:szCs w:val="17"/>
                <w:color w:val="auto"/>
              </w:rPr>
              <w:t>55.2</w:t>
            </w:r>
          </w:p>
        </w:tc>
      </w:tr>
      <w:tr>
        <w:trPr>
          <w:trHeight w:val="223"/>
        </w:trPr>
        <w:tc>
          <w:tcPr>
            <w:tcW w:w="81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Indemnification holdback </w:t>
            </w:r>
            <w:r>
              <w:rPr>
                <w:rFonts w:ascii="Arial" w:cs="Arial" w:eastAsia="Arial" w:hAnsi="Arial"/>
                <w:sz w:val="22"/>
                <w:szCs w:val="22"/>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r>
      <w:tr>
        <w:trPr>
          <w:trHeight w:val="216"/>
        </w:trPr>
        <w:tc>
          <w:tcPr>
            <w:tcW w:w="8120" w:type="dxa"/>
            <w:vAlign w:val="bottom"/>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tcPr>
          <w:p>
            <w:pPr>
              <w:jc w:val="right"/>
              <w:spacing w:after="0"/>
              <w:rPr>
                <w:sz w:val="20"/>
                <w:szCs w:val="20"/>
                <w:color w:val="auto"/>
              </w:rPr>
            </w:pPr>
            <w:r>
              <w:rPr>
                <w:rFonts w:ascii="Arial" w:cs="Arial" w:eastAsia="Arial" w:hAnsi="Arial"/>
                <w:sz w:val="17"/>
                <w:szCs w:val="17"/>
                <w:color w:val="auto"/>
              </w:rPr>
              <w:t>69.5</w:t>
            </w:r>
          </w:p>
        </w:tc>
      </w:tr>
    </w:tbl>
    <w:p>
      <w:pPr>
        <w:spacing w:after="0" w:line="284" w:lineRule="exact"/>
        <w:rPr>
          <w:sz w:val="20"/>
          <w:szCs w:val="20"/>
          <w:color w:val="auto"/>
        </w:rPr>
      </w:pPr>
    </w:p>
    <w:p>
      <w:pPr>
        <w:ind w:right="20" w:firstLine="438"/>
        <w:spacing w:after="0" w:line="243" w:lineRule="auto"/>
        <w:tabs>
          <w:tab w:leader="none" w:pos="573" w:val="left"/>
        </w:tabs>
        <w:numPr>
          <w:ilvl w:val="0"/>
          <w:numId w:val="35"/>
        </w:numPr>
        <w:rPr>
          <w:rFonts w:ascii="Arial" w:cs="Arial" w:eastAsia="Arial" w:hAnsi="Arial"/>
          <w:sz w:val="16"/>
          <w:szCs w:val="16"/>
          <w:color w:val="auto"/>
          <w:vertAlign w:val="superscript"/>
        </w:rPr>
      </w:pPr>
      <w:r>
        <w:rPr>
          <w:rFonts w:ascii="Arial" w:cs="Arial" w:eastAsia="Arial" w:hAnsi="Arial"/>
          <w:sz w:val="13"/>
          <w:szCs w:val="13"/>
          <w:color w:val="auto"/>
        </w:rPr>
        <w:t>Approximately $14.3 million of the total purchase consideration was withheld as an indemnification holdback to be used for the purpose of satisfying any indemnification claims made by the Company for a period of 18 months following the transaction close date. Any remaining indemnity will be released to the seller's representative following the 18 month period.</w:t>
      </w:r>
    </w:p>
    <w:p>
      <w:pPr>
        <w:spacing w:after="0" w:line="180" w:lineRule="exact"/>
        <w:rPr>
          <w:sz w:val="20"/>
          <w:szCs w:val="20"/>
          <w:color w:val="auto"/>
        </w:rPr>
      </w:pPr>
    </w:p>
    <w:p>
      <w:pPr>
        <w:ind w:right="320" w:firstLine="433"/>
        <w:spacing w:after="0" w:line="246" w:lineRule="auto"/>
        <w:rPr>
          <w:sz w:val="20"/>
          <w:szCs w:val="20"/>
          <w:color w:val="auto"/>
        </w:rPr>
      </w:pPr>
      <w:r>
        <w:rPr>
          <w:rFonts w:ascii="Arial" w:cs="Arial" w:eastAsia="Arial" w:hAnsi="Arial"/>
          <w:sz w:val="17"/>
          <w:szCs w:val="17"/>
          <w:color w:val="auto"/>
        </w:rPr>
        <w:t>In addition to the total purchase consideration above, the Company has compensation agreements with key FormSwift personnel consisting of $25.7 million in cash payments subject to ongoing employee service. The related expenses are recognized within research and development expenses over the required service period of three years. The cash payment was transferred to a paying agent escrow account immediately upon the acquisition close date. The related payments will be paid out by the escrow agent as they vest.</w:t>
      </w:r>
    </w:p>
    <w:p>
      <w:pPr>
        <w:spacing w:after="0" w:line="221" w:lineRule="exact"/>
        <w:rPr>
          <w:sz w:val="20"/>
          <w:szCs w:val="20"/>
          <w:color w:val="auto"/>
        </w:rPr>
      </w:pPr>
    </w:p>
    <w:p>
      <w:pPr>
        <w:jc w:val="both"/>
        <w:ind w:right="120" w:firstLine="433"/>
        <w:spacing w:after="0" w:line="273"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 The fair value of assets and liabilities acquired may change as additional information is received during the measurement period. The measurement period will end no later than one-year from the acquisition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acquired:</w:t>
            </w:r>
          </w:p>
        </w:tc>
        <w:tc>
          <w:tcPr>
            <w:tcW w:w="13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3"/>
        </w:trPr>
        <w:tc>
          <w:tcPr>
            <w:tcW w:w="830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1340" w:type="dxa"/>
            <w:vAlign w:val="bottom"/>
          </w:tcPr>
          <w:p>
            <w:pPr>
              <w:jc w:val="right"/>
              <w:ind w:right="1133"/>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23"/>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Acquisition-related intangible assets</w:t>
            </w:r>
          </w:p>
        </w:tc>
        <w:tc>
          <w:tcPr>
            <w:tcW w:w="1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r>
      <w:tr>
        <w:trPr>
          <w:trHeight w:val="223"/>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Accounts receivable, prepaid and other assets</w:t>
            </w:r>
          </w:p>
        </w:tc>
        <w:tc>
          <w:tcPr>
            <w:tcW w:w="1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241"/>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 acquired</w:t>
            </w: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8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assumed:</w:t>
            </w:r>
          </w:p>
        </w:tc>
        <w:tc>
          <w:tcPr>
            <w:tcW w:w="13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3"/>
        </w:trPr>
        <w:tc>
          <w:tcPr>
            <w:tcW w:w="8300" w:type="dxa"/>
            <w:vAlign w:val="bottom"/>
          </w:tcPr>
          <w:p>
            <w:pPr>
              <w:ind w:left="120"/>
              <w:spacing w:after="0"/>
              <w:rPr>
                <w:sz w:val="20"/>
                <w:szCs w:val="20"/>
                <w:color w:val="auto"/>
              </w:rPr>
            </w:pPr>
            <w:r>
              <w:rPr>
                <w:rFonts w:ascii="Arial" w:cs="Arial" w:eastAsia="Arial" w:hAnsi="Arial"/>
                <w:sz w:val="17"/>
                <w:szCs w:val="17"/>
                <w:color w:val="auto"/>
              </w:rPr>
              <w:t>Accounts payable, accrued and other liabilities</w:t>
            </w:r>
          </w:p>
        </w:tc>
        <w:tc>
          <w:tcPr>
            <w:tcW w:w="1340" w:type="dxa"/>
            <w:vAlign w:val="bottom"/>
          </w:tcPr>
          <w:p>
            <w:pPr>
              <w:jc w:val="right"/>
              <w:ind w:right="1133"/>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3"/>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13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16"/>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Total liabilities assumed</w:t>
            </w:r>
          </w:p>
        </w:tc>
        <w:tc>
          <w:tcPr>
            <w:tcW w:w="1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assets acquired, excluding goodwill</w:t>
            </w:r>
          </w:p>
        </w:tc>
        <w:tc>
          <w:tcPr>
            <w:tcW w:w="13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w:t>
            </w:r>
          </w:p>
        </w:tc>
      </w:tr>
      <w:tr>
        <w:trPr>
          <w:trHeight w:val="21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purchase consideration</w:t>
            </w:r>
          </w:p>
        </w:tc>
        <w:tc>
          <w:tcPr>
            <w:tcW w:w="1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w:t>
            </w:r>
          </w:p>
        </w:tc>
      </w:tr>
      <w:tr>
        <w:trPr>
          <w:trHeight w:val="241"/>
        </w:trPr>
        <w:tc>
          <w:tcPr>
            <w:tcW w:w="8300" w:type="dxa"/>
            <w:vAlign w:val="bottom"/>
            <w:tcBorders>
              <w:bottom w:val="single" w:sz="8" w:color="CCEEFF"/>
            </w:tcBorders>
            <w:shd w:val="clear" w:color="auto" w:fill="CCEEFF"/>
          </w:tcPr>
          <w:p>
            <w:pPr>
              <w:ind w:left="20"/>
              <w:spacing w:after="0" w:line="217" w:lineRule="exact"/>
              <w:rPr>
                <w:sz w:val="20"/>
                <w:szCs w:val="20"/>
                <w:color w:val="auto"/>
              </w:rPr>
            </w:pPr>
            <w:r>
              <w:rPr>
                <w:rFonts w:ascii="Arial" w:cs="Arial" w:eastAsia="Arial" w:hAnsi="Arial"/>
                <w:sz w:val="17"/>
                <w:szCs w:val="17"/>
                <w:color w:val="auto"/>
              </w:rPr>
              <w:t xml:space="preserve">Goodwill </w:t>
            </w:r>
            <w:r>
              <w:rPr>
                <w:rFonts w:ascii="Arial" w:cs="Arial" w:eastAsia="Arial" w:hAnsi="Arial"/>
                <w:sz w:val="22"/>
                <w:szCs w:val="22"/>
                <w:color w:val="auto"/>
                <w:vertAlign w:val="superscript"/>
              </w:rPr>
              <w:t>(2)</w:t>
            </w: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28" w:lineRule="exact"/>
        <w:rPr>
          <w:sz w:val="20"/>
          <w:szCs w:val="20"/>
          <w:color w:val="auto"/>
        </w:rPr>
      </w:pPr>
    </w:p>
    <w:p>
      <w:pPr>
        <w:ind w:left="580" w:hanging="142"/>
        <w:spacing w:after="0"/>
        <w:tabs>
          <w:tab w:leader="none" w:pos="580" w:val="left"/>
        </w:tabs>
        <w:numPr>
          <w:ilvl w:val="0"/>
          <w:numId w:val="36"/>
        </w:numPr>
        <w:rPr>
          <w:rFonts w:ascii="Arial" w:cs="Arial" w:eastAsia="Arial" w:hAnsi="Arial"/>
          <w:sz w:val="15"/>
          <w:szCs w:val="15"/>
          <w:color w:val="auto"/>
          <w:vertAlign w:val="superscript"/>
        </w:rPr>
      </w:pPr>
      <w:r>
        <w:rPr>
          <w:rFonts w:ascii="Arial" w:cs="Arial" w:eastAsia="Arial" w:hAnsi="Arial"/>
          <w:sz w:val="12"/>
          <w:szCs w:val="12"/>
          <w:color w:val="auto"/>
        </w:rPr>
        <w:t>The goodwill recognized was primarily attributable to the opportunity to expand the user base of the Company's platform. A portion of the goodwill is deductible for U.S. federal income tax</w:t>
      </w:r>
    </w:p>
    <w:p>
      <w:pPr>
        <w:spacing w:after="0" w:line="9" w:lineRule="exact"/>
        <w:rPr>
          <w:rFonts w:ascii="Arial" w:cs="Arial" w:eastAsia="Arial" w:hAnsi="Arial"/>
          <w:sz w:val="15"/>
          <w:szCs w:val="15"/>
          <w:color w:val="auto"/>
          <w:vertAlign w:val="superscript"/>
        </w:rPr>
      </w:pPr>
    </w:p>
    <w:p>
      <w:pPr>
        <w:spacing w:after="0"/>
        <w:rPr>
          <w:rFonts w:ascii="Arial" w:cs="Arial" w:eastAsia="Arial" w:hAnsi="Arial"/>
          <w:sz w:val="15"/>
          <w:szCs w:val="15"/>
          <w:color w:val="auto"/>
          <w:vertAlign w:val="superscript"/>
        </w:rPr>
      </w:pPr>
      <w:r>
        <w:rPr>
          <w:rFonts w:ascii="Arial" w:cs="Arial" w:eastAsia="Arial" w:hAnsi="Arial"/>
          <w:sz w:val="14"/>
          <w:szCs w:val="14"/>
          <w:color w:val="auto"/>
        </w:rPr>
        <w:t>purposes.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40" w:type="dxa"/>
            <w:vAlign w:val="bottom"/>
          </w:tcPr>
          <w:p>
            <w:pPr>
              <w:jc w:val="center"/>
              <w:ind w:left="53"/>
              <w:spacing w:after="0"/>
              <w:rPr>
                <w:sz w:val="20"/>
                <w:szCs w:val="20"/>
                <w:color w:val="auto"/>
              </w:rPr>
            </w:pPr>
            <w:r>
              <w:rPr>
                <w:rFonts w:ascii="Arial" w:cs="Arial" w:eastAsia="Arial" w:hAnsi="Arial"/>
                <w:sz w:val="17"/>
                <w:szCs w:val="17"/>
                <w:color w:val="auto"/>
                <w:w w:val="92"/>
              </w:rPr>
              <w:t>Estimated weighted average</w:t>
            </w:r>
          </w:p>
        </w:tc>
      </w:tr>
      <w:tr>
        <w:trPr>
          <w:trHeight w:val="170"/>
        </w:trPr>
        <w:tc>
          <w:tcPr>
            <w:tcW w:w="6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jc w:val="center"/>
              <w:ind w:left="73"/>
              <w:spacing w:after="0" w:line="171" w:lineRule="exact"/>
              <w:rPr>
                <w:sz w:val="20"/>
                <w:szCs w:val="20"/>
                <w:color w:val="auto"/>
              </w:rPr>
            </w:pPr>
            <w:r>
              <w:rPr>
                <w:rFonts w:ascii="Arial" w:cs="Arial" w:eastAsia="Arial" w:hAnsi="Arial"/>
                <w:sz w:val="17"/>
                <w:szCs w:val="17"/>
                <w:color w:val="auto"/>
                <w:w w:val="95"/>
              </w:rPr>
              <w:t>useful lives</w:t>
            </w:r>
          </w:p>
        </w:tc>
      </w:tr>
      <w:tr>
        <w:trPr>
          <w:trHeight w:val="235"/>
        </w:trPr>
        <w:tc>
          <w:tcPr>
            <w:tcW w:w="6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ind w:right="213"/>
              <w:spacing w:after="0"/>
              <w:rPr>
                <w:sz w:val="20"/>
                <w:szCs w:val="20"/>
                <w:color w:val="auto"/>
              </w:rPr>
            </w:pPr>
            <w:r>
              <w:rPr>
                <w:rFonts w:ascii="Arial" w:cs="Arial" w:eastAsia="Arial" w:hAnsi="Arial"/>
                <w:sz w:val="17"/>
                <w:szCs w:val="17"/>
                <w:color w:val="auto"/>
                <w:w w:val="98"/>
              </w:rPr>
              <w:t>Estimated fair values</w:t>
            </w:r>
          </w:p>
        </w:tc>
        <w:tc>
          <w:tcPr>
            <w:tcW w:w="2240" w:type="dxa"/>
            <w:vAlign w:val="bottom"/>
          </w:tcPr>
          <w:p>
            <w:pPr>
              <w:ind w:left="880"/>
              <w:spacing w:after="0"/>
              <w:rPr>
                <w:sz w:val="20"/>
                <w:szCs w:val="20"/>
                <w:color w:val="auto"/>
              </w:rPr>
            </w:pPr>
            <w:r>
              <w:rPr>
                <w:rFonts w:ascii="Arial" w:cs="Arial" w:eastAsia="Arial" w:hAnsi="Arial"/>
                <w:sz w:val="17"/>
                <w:szCs w:val="17"/>
                <w:color w:val="auto"/>
              </w:rPr>
              <w:t>(In years)</w:t>
            </w: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2240" w:type="dxa"/>
            <w:vAlign w:val="bottom"/>
            <w:shd w:val="clear" w:color="auto" w:fill="CCEEFF"/>
          </w:tcPr>
          <w:p>
            <w:pPr>
              <w:jc w:val="center"/>
              <w:ind w:left="53"/>
              <w:spacing w:after="0"/>
              <w:rPr>
                <w:sz w:val="20"/>
                <w:szCs w:val="20"/>
                <w:color w:val="auto"/>
              </w:rPr>
            </w:pPr>
            <w:r>
              <w:rPr>
                <w:rFonts w:ascii="Arial" w:cs="Arial" w:eastAsia="Arial" w:hAnsi="Arial"/>
                <w:sz w:val="17"/>
                <w:szCs w:val="17"/>
                <w:color w:val="auto"/>
                <w:w w:val="92"/>
              </w:rPr>
              <w:t>5.0</w:t>
            </w:r>
          </w:p>
        </w:tc>
      </w:tr>
      <w:tr>
        <w:trPr>
          <w:trHeight w:val="223"/>
        </w:trPr>
        <w:tc>
          <w:tcPr>
            <w:tcW w:w="692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16.4</w:t>
            </w:r>
          </w:p>
        </w:tc>
        <w:tc>
          <w:tcPr>
            <w:tcW w:w="2240" w:type="dxa"/>
            <w:vAlign w:val="bottom"/>
          </w:tcPr>
          <w:p>
            <w:pPr>
              <w:jc w:val="center"/>
              <w:ind w:left="53"/>
              <w:spacing w:after="0"/>
              <w:rPr>
                <w:sz w:val="20"/>
                <w:szCs w:val="20"/>
                <w:color w:val="auto"/>
              </w:rPr>
            </w:pPr>
            <w:r>
              <w:rPr>
                <w:rFonts w:ascii="Arial" w:cs="Arial" w:eastAsia="Arial" w:hAnsi="Arial"/>
                <w:sz w:val="17"/>
                <w:szCs w:val="17"/>
                <w:color w:val="auto"/>
                <w:w w:val="92"/>
              </w:rPr>
              <w:t>2.0</w:t>
            </w: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240" w:type="dxa"/>
            <w:vAlign w:val="bottom"/>
            <w:shd w:val="clear" w:color="auto" w:fill="CCEEFF"/>
          </w:tcPr>
          <w:p>
            <w:pPr>
              <w:jc w:val="center"/>
              <w:ind w:left="53"/>
              <w:spacing w:after="0"/>
              <w:rPr>
                <w:sz w:val="20"/>
                <w:szCs w:val="20"/>
                <w:color w:val="auto"/>
              </w:rPr>
            </w:pPr>
            <w:r>
              <w:rPr>
                <w:rFonts w:ascii="Arial" w:cs="Arial" w:eastAsia="Arial" w:hAnsi="Arial"/>
                <w:sz w:val="17"/>
                <w:szCs w:val="17"/>
                <w:color w:val="auto"/>
                <w:w w:val="92"/>
              </w:rPr>
              <w:t>1.0</w:t>
            </w: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224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302" w:lineRule="exact"/>
        <w:rPr>
          <w:sz w:val="20"/>
          <w:szCs w:val="20"/>
          <w:color w:val="auto"/>
        </w:rPr>
      </w:pPr>
    </w:p>
    <w:p>
      <w:pPr>
        <w:ind w:right="160" w:firstLine="433"/>
        <w:spacing w:after="0" w:line="268" w:lineRule="auto"/>
        <w:rPr>
          <w:sz w:val="20"/>
          <w:szCs w:val="20"/>
          <w:color w:val="auto"/>
        </w:rPr>
      </w:pPr>
      <w:r>
        <w:rPr>
          <w:rFonts w:ascii="Arial" w:cs="Arial" w:eastAsia="Arial" w:hAnsi="Arial"/>
          <w:sz w:val="17"/>
          <w:szCs w:val="17"/>
          <w:color w:val="auto"/>
        </w:rPr>
        <w:t>The fair values of the acquisition-related intangible assets were determined using the following methodologies: the multi-period excess earnings method for developed technology, the with and without method for customer relationships, and the relief from royalty method for the trade name, respectively. The valuation model inputs required the application of significant judgment by management. The acquired intangible assets have a total weighted average amortization period of 3.7 years.</w:t>
      </w:r>
    </w:p>
    <w:p>
      <w:pPr>
        <w:spacing w:after="0" w:line="202" w:lineRule="exact"/>
        <w:rPr>
          <w:sz w:val="20"/>
          <w:szCs w:val="20"/>
          <w:color w:val="auto"/>
        </w:rPr>
      </w:pPr>
    </w:p>
    <w:p>
      <w:pPr>
        <w:ind w:right="120" w:firstLine="433"/>
        <w:spacing w:after="0" w:line="289" w:lineRule="auto"/>
        <w:rPr>
          <w:sz w:val="20"/>
          <w:szCs w:val="20"/>
          <w:color w:val="auto"/>
        </w:rPr>
      </w:pPr>
      <w:r>
        <w:rPr>
          <w:rFonts w:ascii="Arial" w:cs="Arial" w:eastAsia="Arial" w:hAnsi="Arial"/>
          <w:sz w:val="17"/>
          <w:szCs w:val="17"/>
          <w:color w:val="auto"/>
        </w:rPr>
        <w:t>One-time acquisition-related diligence costs of $1.3 million were expensed within general and administrative expenses as incurred during the year ended December 31, 2022.</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Business Combination</w:t>
      </w:r>
    </w:p>
    <w:p>
      <w:pPr>
        <w:spacing w:after="0" w:line="256"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On March 22, 2021, the Company acquired all outstanding stock of DocSend, a secure document sharing and analytics company. The Company believes the combination of Dropbox, Dropbox Sign, and DocSend will help customers across industries manage end-to-end document workflows—from content collaboration to sharing and e-signature—giving them more control over their business results. The results of DocSend's operations have been included in the Company’s consolidated results of operations since the date of acquisition.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20" w:type="dxa"/>
            <w:vAlign w:val="bottom"/>
          </w:tcPr>
          <w:p>
            <w:pPr>
              <w:spacing w:after="0"/>
              <w:rPr>
                <w:sz w:val="20"/>
                <w:szCs w:val="20"/>
                <w:color w:val="auto"/>
              </w:rPr>
            </w:pPr>
            <w:r>
              <w:rPr>
                <w:rFonts w:ascii="Arial" w:cs="Arial" w:eastAsia="Arial" w:hAnsi="Arial"/>
                <w:sz w:val="17"/>
                <w:szCs w:val="17"/>
                <w:color w:val="auto"/>
              </w:rPr>
              <w:t>The purchase consideration transferred consisted of the following:</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49"/>
        </w:trPr>
        <w:tc>
          <w:tcPr>
            <w:tcW w:w="8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60" w:type="dxa"/>
            <w:vAlign w:val="bottom"/>
          </w:tcPr>
          <w:p>
            <w:pPr>
              <w:jc w:val="right"/>
              <w:ind w:right="553"/>
              <w:spacing w:after="0"/>
              <w:rPr>
                <w:sz w:val="20"/>
                <w:szCs w:val="20"/>
                <w:color w:val="auto"/>
              </w:rPr>
            </w:pPr>
            <w:r>
              <w:rPr>
                <w:rFonts w:ascii="Arial" w:cs="Arial" w:eastAsia="Arial" w:hAnsi="Arial"/>
                <w:sz w:val="17"/>
                <w:szCs w:val="17"/>
                <w:b w:val="1"/>
                <w:bCs w:val="1"/>
                <w:color w:val="auto"/>
              </w:rPr>
              <w:t>Purchase consideration</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w:t>
            </w:r>
          </w:p>
        </w:tc>
      </w:tr>
      <w:tr>
        <w:trPr>
          <w:trHeight w:val="223"/>
        </w:trPr>
        <w:tc>
          <w:tcPr>
            <w:tcW w:w="812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DocSend</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3"/>
        </w:trPr>
        <w:tc>
          <w:tcPr>
            <w:tcW w:w="81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Fair value of assumed DocSend options attributable to pre-combination services</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3"/>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price adjustments</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r>
    </w:tbl>
    <w:p>
      <w:pPr>
        <w:spacing w:after="0" w:line="269" w:lineRule="exact"/>
        <w:rPr>
          <w:sz w:val="20"/>
          <w:szCs w:val="20"/>
          <w:color w:val="auto"/>
        </w:rPr>
      </w:pPr>
    </w:p>
    <w:p>
      <w:pPr>
        <w:ind w:left="440"/>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 xml:space="preserve"> The fair value of options assumed was based upon the Black-Scholes option-pricing model.</w:t>
      </w:r>
    </w:p>
    <w:p>
      <w:pPr>
        <w:spacing w:after="0" w:line="292" w:lineRule="exact"/>
        <w:rPr>
          <w:sz w:val="20"/>
          <w:szCs w:val="20"/>
          <w:color w:val="auto"/>
        </w:rPr>
      </w:pPr>
    </w:p>
    <w:p>
      <w:pPr>
        <w:ind w:firstLine="433"/>
        <w:spacing w:after="0" w:line="290" w:lineRule="auto"/>
        <w:rPr>
          <w:sz w:val="20"/>
          <w:szCs w:val="20"/>
          <w:color w:val="auto"/>
        </w:rPr>
      </w:pPr>
      <w:r>
        <w:rPr>
          <w:rFonts w:ascii="Arial" w:cs="Arial" w:eastAsia="Arial" w:hAnsi="Arial"/>
          <w:sz w:val="15"/>
          <w:szCs w:val="15"/>
          <w:color w:val="auto"/>
        </w:rPr>
        <w:t>In addition to the total purchase consideration above, the Company has compensation agreements with key DocSend personnel consisting of $30.7 million in cash payments subject to ongoing employee service. The related expenses are recognized within sales and marketing and research and development expenses over the required service period of approximately three years. The payments began in the first quarter of 2022, with $10.2 million paid during the year ended December 31, 2022. The remaining balance of $20.5 million will be paid out over the next year in accordance with the acquisition agreement.</w:t>
      </w:r>
    </w:p>
    <w:p>
      <w:pPr>
        <w:spacing w:after="0" w:line="189" w:lineRule="exact"/>
        <w:rPr>
          <w:sz w:val="20"/>
          <w:szCs w:val="20"/>
          <w:color w:val="auto"/>
        </w:rPr>
      </w:pPr>
    </w:p>
    <w:p>
      <w:pPr>
        <w:ind w:right="120" w:firstLine="433"/>
        <w:spacing w:after="0" w:line="289"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7740" w:type="dxa"/>
            <w:vAlign w:val="bottom"/>
            <w:shd w:val="clear" w:color="auto" w:fill="CCEEFF"/>
          </w:tcPr>
          <w:p>
            <w:pPr>
              <w:spacing w:after="0"/>
              <w:rPr>
                <w:sz w:val="20"/>
                <w:szCs w:val="20"/>
                <w:color w:val="auto"/>
              </w:rPr>
            </w:pPr>
            <w:r>
              <w:rPr>
                <w:rFonts w:ascii="Arial" w:cs="Arial" w:eastAsia="Arial" w:hAnsi="Arial"/>
                <w:sz w:val="17"/>
                <w:szCs w:val="17"/>
                <w:color w:val="auto"/>
              </w:rPr>
              <w:t>Assets acquired:</w:t>
            </w:r>
          </w:p>
        </w:tc>
        <w:tc>
          <w:tcPr>
            <w:tcW w:w="1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3"/>
        </w:trPr>
        <w:tc>
          <w:tcPr>
            <w:tcW w:w="774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3"/>
        </w:trPr>
        <w:tc>
          <w:tcPr>
            <w:tcW w:w="7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Acquisition-related intangible assets</w:t>
            </w:r>
          </w:p>
        </w:tc>
        <w:tc>
          <w:tcPr>
            <w:tcW w:w="1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223"/>
        </w:trPr>
        <w:tc>
          <w:tcPr>
            <w:tcW w:w="77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Accounts receivable, prepaid and other assets</w:t>
            </w:r>
          </w:p>
        </w:tc>
        <w:tc>
          <w:tcPr>
            <w:tcW w:w="1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r>
      <w:tr>
        <w:trPr>
          <w:trHeight w:val="24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 acquired</w:t>
            </w: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3"/>
        </w:trPr>
        <w:tc>
          <w:tcPr>
            <w:tcW w:w="7740" w:type="dxa"/>
            <w:vAlign w:val="bottom"/>
            <w:shd w:val="clear" w:color="auto" w:fill="CCEEFF"/>
          </w:tcPr>
          <w:p>
            <w:pPr>
              <w:spacing w:after="0"/>
              <w:rPr>
                <w:sz w:val="20"/>
                <w:szCs w:val="20"/>
                <w:color w:val="auto"/>
              </w:rPr>
            </w:pPr>
            <w:r>
              <w:rPr>
                <w:rFonts w:ascii="Arial" w:cs="Arial" w:eastAsia="Arial" w:hAnsi="Arial"/>
                <w:sz w:val="17"/>
                <w:szCs w:val="17"/>
                <w:color w:val="auto"/>
              </w:rPr>
              <w:t>Liabilities assumed:</w:t>
            </w:r>
          </w:p>
        </w:tc>
        <w:tc>
          <w:tcPr>
            <w:tcW w:w="1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3"/>
        </w:trPr>
        <w:tc>
          <w:tcPr>
            <w:tcW w:w="7740" w:type="dxa"/>
            <w:vAlign w:val="bottom"/>
          </w:tcPr>
          <w:p>
            <w:pPr>
              <w:ind w:left="120"/>
              <w:spacing w:after="0"/>
              <w:rPr>
                <w:sz w:val="20"/>
                <w:szCs w:val="20"/>
                <w:color w:val="auto"/>
              </w:rPr>
            </w:pPr>
            <w:r>
              <w:rPr>
                <w:rFonts w:ascii="Arial" w:cs="Arial" w:eastAsia="Arial" w:hAnsi="Arial"/>
                <w:sz w:val="17"/>
                <w:szCs w:val="17"/>
                <w:color w:val="auto"/>
              </w:rPr>
              <w:t>Accounts payable, accrued and other liabilities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3"/>
        </w:trPr>
        <w:tc>
          <w:tcPr>
            <w:tcW w:w="7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revenue</w:t>
            </w:r>
          </w:p>
        </w:tc>
        <w:tc>
          <w:tcPr>
            <w:tcW w:w="1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3"/>
        </w:trPr>
        <w:tc>
          <w:tcPr>
            <w:tcW w:w="77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Deferred tax liability</w:t>
            </w:r>
          </w:p>
        </w:tc>
        <w:tc>
          <w:tcPr>
            <w:tcW w:w="1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assumed</w:t>
            </w:r>
          </w:p>
        </w:tc>
        <w:tc>
          <w:tcPr>
            <w:tcW w:w="1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16"/>
        </w:trPr>
        <w:tc>
          <w:tcPr>
            <w:tcW w:w="7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assets acquired, excluding goodwill</w:t>
            </w:r>
          </w:p>
        </w:tc>
        <w:tc>
          <w:tcPr>
            <w:tcW w:w="1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7"/>
                <w:szCs w:val="17"/>
                <w:color w:val="auto"/>
              </w:rPr>
              <w:t>Total purchase consideration</w:t>
            </w:r>
          </w:p>
        </w:tc>
        <w:tc>
          <w:tcPr>
            <w:tcW w:w="1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w:t>
            </w:r>
          </w:p>
        </w:tc>
      </w:tr>
      <w:tr>
        <w:trPr>
          <w:trHeight w:val="216"/>
        </w:trPr>
        <w:tc>
          <w:tcPr>
            <w:tcW w:w="7740" w:type="dxa"/>
            <w:vAlign w:val="bottom"/>
          </w:tcPr>
          <w:p>
            <w:pPr>
              <w:spacing w:after="0" w:line="217" w:lineRule="exact"/>
              <w:rPr>
                <w:sz w:val="20"/>
                <w:szCs w:val="20"/>
                <w:color w:val="auto"/>
              </w:rPr>
            </w:pPr>
            <w:r>
              <w:rPr>
                <w:rFonts w:ascii="Arial" w:cs="Arial" w:eastAsia="Arial" w:hAnsi="Arial"/>
                <w:sz w:val="17"/>
                <w:szCs w:val="17"/>
                <w:color w:val="auto"/>
              </w:rPr>
              <w:t xml:space="preserve">Goodwill </w:t>
            </w:r>
            <w:r>
              <w:rPr>
                <w:rFonts w:ascii="Arial" w:cs="Arial" w:eastAsia="Arial" w:hAnsi="Arial"/>
                <w:sz w:val="22"/>
                <w:szCs w:val="22"/>
                <w:color w:val="auto"/>
                <w:vertAlign w:val="superscript"/>
              </w:rPr>
              <w:t>(2)</w:t>
            </w:r>
          </w:p>
        </w:tc>
        <w:tc>
          <w:tcPr>
            <w:tcW w:w="1300" w:type="dxa"/>
            <w:vAlign w:val="bottom"/>
            <w:tcBorders>
              <w:bottom w:val="single" w:sz="8" w:color="auto"/>
            </w:tcBorders>
          </w:tcPr>
          <w:p>
            <w:pPr>
              <w:jc w:val="right"/>
              <w:ind w:right="1113"/>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110.2</w:t>
            </w:r>
          </w:p>
        </w:tc>
      </w:tr>
      <w:tr>
        <w:trPr>
          <w:trHeight w:val="20"/>
        </w:trPr>
        <w:tc>
          <w:tcPr>
            <w:tcW w:w="7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80" w:hanging="142"/>
        <w:spacing w:after="0"/>
        <w:tabs>
          <w:tab w:leader="none" w:pos="580" w:val="left"/>
        </w:tabs>
        <w:numPr>
          <w:ilvl w:val="0"/>
          <w:numId w:val="37"/>
        </w:numPr>
        <w:rPr>
          <w:rFonts w:ascii="Arial" w:cs="Arial" w:eastAsia="Arial" w:hAnsi="Arial"/>
          <w:sz w:val="8"/>
          <w:szCs w:val="8"/>
          <w:color w:val="auto"/>
        </w:rPr>
      </w:pPr>
      <w:r>
        <w:rPr>
          <w:rFonts w:ascii="Arial" w:cs="Arial" w:eastAsia="Arial" w:hAnsi="Arial"/>
          <w:sz w:val="13"/>
          <w:szCs w:val="13"/>
          <w:color w:val="auto"/>
        </w:rPr>
        <w:t>The goodwill recognized was primarily attributable to the opportunity to expand the user base of the Company's platform. The goodwill is not deductible for U.S. federal income tax</w:t>
      </w:r>
    </w:p>
    <w:p>
      <w:pPr>
        <w:spacing w:after="0" w:line="29" w:lineRule="exact"/>
        <w:rPr>
          <w:rFonts w:ascii="Arial" w:cs="Arial" w:eastAsia="Arial" w:hAnsi="Arial"/>
          <w:sz w:val="8"/>
          <w:szCs w:val="8"/>
          <w:color w:val="auto"/>
        </w:rPr>
      </w:pPr>
    </w:p>
    <w:p>
      <w:pPr>
        <w:spacing w:after="0"/>
        <w:rPr>
          <w:rFonts w:ascii="Arial" w:cs="Arial" w:eastAsia="Arial" w:hAnsi="Arial"/>
          <w:sz w:val="8"/>
          <w:szCs w:val="8"/>
          <w:color w:val="auto"/>
        </w:rPr>
      </w:pPr>
      <w:r>
        <w:rPr>
          <w:rFonts w:ascii="Arial" w:cs="Arial" w:eastAsia="Arial" w:hAnsi="Arial"/>
          <w:sz w:val="14"/>
          <w:szCs w:val="14"/>
          <w:color w:val="auto"/>
        </w:rPr>
        <w:t>purposes.</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120"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60" w:type="dxa"/>
            <w:vAlign w:val="bottom"/>
          </w:tcPr>
          <w:p>
            <w:pPr>
              <w:jc w:val="center"/>
              <w:ind w:left="73"/>
              <w:spacing w:after="0"/>
              <w:rPr>
                <w:sz w:val="20"/>
                <w:szCs w:val="20"/>
                <w:color w:val="auto"/>
              </w:rPr>
            </w:pPr>
            <w:r>
              <w:rPr>
                <w:rFonts w:ascii="Arial" w:cs="Arial" w:eastAsia="Arial" w:hAnsi="Arial"/>
                <w:sz w:val="17"/>
                <w:szCs w:val="17"/>
                <w:color w:val="auto"/>
                <w:w w:val="92"/>
              </w:rPr>
              <w:t>Estimated weighted average</w:t>
            </w:r>
          </w:p>
        </w:tc>
      </w:tr>
      <w:tr>
        <w:trPr>
          <w:trHeight w:val="170"/>
        </w:trPr>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60" w:type="dxa"/>
            <w:vAlign w:val="bottom"/>
          </w:tcPr>
          <w:p>
            <w:pPr>
              <w:jc w:val="center"/>
              <w:ind w:left="53"/>
              <w:spacing w:after="0" w:line="171" w:lineRule="exact"/>
              <w:rPr>
                <w:sz w:val="20"/>
                <w:szCs w:val="20"/>
                <w:color w:val="auto"/>
              </w:rPr>
            </w:pPr>
            <w:r>
              <w:rPr>
                <w:rFonts w:ascii="Arial" w:cs="Arial" w:eastAsia="Arial" w:hAnsi="Arial"/>
                <w:sz w:val="17"/>
                <w:szCs w:val="17"/>
                <w:color w:val="auto"/>
                <w:w w:val="95"/>
              </w:rPr>
              <w:t>useful lives</w:t>
            </w:r>
          </w:p>
        </w:tc>
      </w:tr>
      <w:tr>
        <w:trPr>
          <w:trHeight w:val="235"/>
        </w:trPr>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ind w:right="213"/>
              <w:spacing w:after="0"/>
              <w:rPr>
                <w:sz w:val="20"/>
                <w:szCs w:val="20"/>
                <w:color w:val="auto"/>
              </w:rPr>
            </w:pPr>
            <w:r>
              <w:rPr>
                <w:rFonts w:ascii="Arial" w:cs="Arial" w:eastAsia="Arial" w:hAnsi="Arial"/>
                <w:sz w:val="17"/>
                <w:szCs w:val="17"/>
                <w:color w:val="auto"/>
                <w:w w:val="98"/>
              </w:rPr>
              <w:t>Estimated fair values</w:t>
            </w:r>
          </w:p>
        </w:tc>
        <w:tc>
          <w:tcPr>
            <w:tcW w:w="2260" w:type="dxa"/>
            <w:vAlign w:val="bottom"/>
          </w:tcPr>
          <w:p>
            <w:pPr>
              <w:ind w:left="900"/>
              <w:spacing w:after="0"/>
              <w:rPr>
                <w:sz w:val="20"/>
                <w:szCs w:val="20"/>
                <w:color w:val="auto"/>
              </w:rPr>
            </w:pPr>
            <w:r>
              <w:rPr>
                <w:rFonts w:ascii="Arial" w:cs="Arial" w:eastAsia="Arial" w:hAnsi="Arial"/>
                <w:sz w:val="17"/>
                <w:szCs w:val="17"/>
                <w:color w:val="auto"/>
              </w:rPr>
              <w:t>(In years)</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260" w:type="dxa"/>
            <w:vAlign w:val="bottom"/>
            <w:shd w:val="clear" w:color="auto" w:fill="CCEEFF"/>
          </w:tcPr>
          <w:p>
            <w:pPr>
              <w:jc w:val="center"/>
              <w:ind w:left="73"/>
              <w:spacing w:after="0"/>
              <w:rPr>
                <w:sz w:val="20"/>
                <w:szCs w:val="20"/>
                <w:color w:val="auto"/>
              </w:rPr>
            </w:pPr>
            <w:r>
              <w:rPr>
                <w:rFonts w:ascii="Arial" w:cs="Arial" w:eastAsia="Arial" w:hAnsi="Arial"/>
                <w:sz w:val="17"/>
                <w:szCs w:val="17"/>
                <w:color w:val="auto"/>
                <w:w w:val="92"/>
              </w:rPr>
              <w:t>5.0</w:t>
            </w:r>
          </w:p>
        </w:tc>
      </w:tr>
      <w:tr>
        <w:trPr>
          <w:trHeight w:val="223"/>
        </w:trPr>
        <w:tc>
          <w:tcPr>
            <w:tcW w:w="638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8.1</w:t>
            </w:r>
          </w:p>
        </w:tc>
        <w:tc>
          <w:tcPr>
            <w:tcW w:w="2260" w:type="dxa"/>
            <w:vAlign w:val="bottom"/>
          </w:tcPr>
          <w:p>
            <w:pPr>
              <w:jc w:val="center"/>
              <w:ind w:left="73"/>
              <w:spacing w:after="0"/>
              <w:rPr>
                <w:sz w:val="20"/>
                <w:szCs w:val="20"/>
                <w:color w:val="auto"/>
              </w:rPr>
            </w:pPr>
            <w:r>
              <w:rPr>
                <w:rFonts w:ascii="Arial" w:cs="Arial" w:eastAsia="Arial" w:hAnsi="Arial"/>
                <w:sz w:val="17"/>
                <w:szCs w:val="17"/>
                <w:color w:val="auto"/>
                <w:w w:val="92"/>
              </w:rPr>
              <w:t>5.0</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60" w:type="dxa"/>
            <w:vAlign w:val="bottom"/>
            <w:shd w:val="clear" w:color="auto" w:fill="CCEEFF"/>
          </w:tcPr>
          <w:p>
            <w:pPr>
              <w:jc w:val="center"/>
              <w:ind w:left="73"/>
              <w:spacing w:after="0"/>
              <w:rPr>
                <w:sz w:val="20"/>
                <w:szCs w:val="20"/>
                <w:color w:val="auto"/>
              </w:rPr>
            </w:pPr>
            <w:r>
              <w:rPr>
                <w:rFonts w:ascii="Arial" w:cs="Arial" w:eastAsia="Arial" w:hAnsi="Arial"/>
                <w:sz w:val="17"/>
                <w:szCs w:val="17"/>
                <w:color w:val="auto"/>
                <w:w w:val="92"/>
              </w:rPr>
              <w:t>5.0</w:t>
            </w:r>
          </w:p>
        </w:tc>
      </w:tr>
      <w:tr>
        <w:trPr>
          <w:trHeight w:val="216"/>
        </w:trPr>
        <w:tc>
          <w:tcPr>
            <w:tcW w:w="638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226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80" w:firstLine="433"/>
        <w:spacing w:after="0" w:line="326" w:lineRule="auto"/>
        <w:rPr>
          <w:sz w:val="20"/>
          <w:szCs w:val="20"/>
          <w:color w:val="auto"/>
        </w:rPr>
      </w:pPr>
      <w:r>
        <w:rPr>
          <w:rFonts w:ascii="Arial" w:cs="Arial" w:eastAsia="Arial" w:hAnsi="Arial"/>
          <w:sz w:val="15"/>
          <w:szCs w:val="15"/>
          <w:color w:val="auto"/>
        </w:rPr>
        <w:t>The fair values of the acquisition-related intangible assets were determined using the following methodologies: the multi-period excess earnings method for customer relationships, and the relief from royalty method for developed technology, and the trade name, respectively. The valuation model inputs required the application of significant judgment by management. The acquired intangible assets have a total weighted average amortization period of 5.0 years.</w:t>
      </w:r>
    </w:p>
    <w:p>
      <w:pPr>
        <w:spacing w:after="0" w:line="163" w:lineRule="exact"/>
        <w:rPr>
          <w:sz w:val="20"/>
          <w:szCs w:val="20"/>
          <w:color w:val="auto"/>
        </w:rPr>
      </w:pPr>
    </w:p>
    <w:p>
      <w:pPr>
        <w:jc w:val="both"/>
        <w:ind w:right="80" w:firstLine="433"/>
        <w:spacing w:after="0" w:line="289" w:lineRule="auto"/>
        <w:rPr>
          <w:sz w:val="20"/>
          <w:szCs w:val="20"/>
          <w:color w:val="auto"/>
        </w:rPr>
      </w:pPr>
      <w:r>
        <w:rPr>
          <w:rFonts w:ascii="Arial" w:cs="Arial" w:eastAsia="Arial" w:hAnsi="Arial"/>
          <w:sz w:val="17"/>
          <w:szCs w:val="17"/>
          <w:color w:val="auto"/>
        </w:rPr>
        <w:t>One-time acquisition-related diligence costs of $1.2 million were expensed within general and administrative expenses as incurred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Intangible Assets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60" w:type="dxa"/>
            <w:vAlign w:val="bottom"/>
          </w:tcPr>
          <w:p>
            <w:pPr>
              <w:ind w:left="440"/>
              <w:spacing w:after="0"/>
              <w:rPr>
                <w:sz w:val="20"/>
                <w:szCs w:val="20"/>
                <w:color w:val="auto"/>
              </w:rPr>
            </w:pPr>
            <w:r>
              <w:rPr>
                <w:rFonts w:ascii="Arial" w:cs="Arial" w:eastAsia="Arial" w:hAnsi="Arial"/>
                <w:sz w:val="17"/>
                <w:szCs w:val="17"/>
                <w:color w:val="auto"/>
              </w:rPr>
              <w:t>Intangible assets consisted of the following:</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6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jc w:val="center"/>
              <w:ind w:left="33"/>
              <w:spacing w:after="0"/>
              <w:rPr>
                <w:sz w:val="20"/>
                <w:szCs w:val="20"/>
                <w:color w:val="auto"/>
              </w:rPr>
            </w:pPr>
            <w:r>
              <w:rPr>
                <w:rFonts w:ascii="Arial" w:cs="Arial" w:eastAsia="Arial" w:hAnsi="Arial"/>
                <w:sz w:val="17"/>
                <w:szCs w:val="17"/>
                <w:b w:val="1"/>
                <w:bCs w:val="1"/>
                <w:color w:val="auto"/>
                <w:w w:val="94"/>
              </w:rPr>
              <w:t>Weighted-</w:t>
            </w:r>
          </w:p>
        </w:tc>
        <w:tc>
          <w:tcPr>
            <w:tcW w:w="0" w:type="dxa"/>
            <w:vAlign w:val="bottom"/>
          </w:tcPr>
          <w:p>
            <w:pPr>
              <w:spacing w:after="0"/>
              <w:rPr>
                <w:sz w:val="1"/>
                <w:szCs w:val="1"/>
                <w:color w:val="auto"/>
              </w:rPr>
            </w:pPr>
          </w:p>
        </w:tc>
      </w:tr>
      <w:tr>
        <w:trPr>
          <w:trHeight w:val="178"/>
        </w:trPr>
        <w:tc>
          <w:tcPr>
            <w:tcW w:w="6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40" w:type="dxa"/>
            <w:vAlign w:val="bottom"/>
          </w:tcPr>
          <w:p>
            <w:pPr>
              <w:jc w:val="center"/>
              <w:ind w:left="33"/>
              <w:spacing w:after="0" w:line="178" w:lineRule="exact"/>
              <w:rPr>
                <w:sz w:val="20"/>
                <w:szCs w:val="20"/>
                <w:color w:val="auto"/>
              </w:rPr>
            </w:pPr>
            <w:r>
              <w:rPr>
                <w:rFonts w:ascii="Arial" w:cs="Arial" w:eastAsia="Arial" w:hAnsi="Arial"/>
                <w:sz w:val="17"/>
                <w:szCs w:val="17"/>
                <w:b w:val="1"/>
                <w:bCs w:val="1"/>
                <w:color w:val="auto"/>
                <w:w w:val="90"/>
              </w:rPr>
              <w:t>average</w:t>
            </w:r>
          </w:p>
        </w:tc>
        <w:tc>
          <w:tcPr>
            <w:tcW w:w="0" w:type="dxa"/>
            <w:vAlign w:val="bottom"/>
          </w:tcPr>
          <w:p>
            <w:pPr>
              <w:spacing w:after="0"/>
              <w:rPr>
                <w:sz w:val="1"/>
                <w:szCs w:val="1"/>
                <w:color w:val="auto"/>
              </w:rPr>
            </w:pPr>
          </w:p>
        </w:tc>
      </w:tr>
      <w:tr>
        <w:trPr>
          <w:trHeight w:val="176"/>
        </w:trPr>
        <w:tc>
          <w:tcPr>
            <w:tcW w:w="6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40" w:type="dxa"/>
            <w:vAlign w:val="bottom"/>
          </w:tcPr>
          <w:p>
            <w:pPr>
              <w:jc w:val="center"/>
              <w:ind w:left="33"/>
              <w:spacing w:after="0" w:line="176" w:lineRule="exact"/>
              <w:rPr>
                <w:sz w:val="20"/>
                <w:szCs w:val="20"/>
                <w:color w:val="auto"/>
              </w:rPr>
            </w:pPr>
            <w:r>
              <w:rPr>
                <w:rFonts w:ascii="Arial" w:cs="Arial" w:eastAsia="Arial" w:hAnsi="Arial"/>
                <w:sz w:val="17"/>
                <w:szCs w:val="17"/>
                <w:b w:val="1"/>
                <w:bCs w:val="1"/>
                <w:color w:val="auto"/>
                <w:w w:val="95"/>
              </w:rPr>
              <w:t>remaining</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2720" w:type="dxa"/>
            <w:vAlign w:val="bottom"/>
            <w:gridSpan w:val="4"/>
            <w:vMerge w:val="restart"/>
          </w:tcPr>
          <w:p>
            <w:pPr>
              <w:jc w:val="right"/>
              <w:ind w:right="273"/>
              <w:spacing w:after="0"/>
              <w:rPr>
                <w:sz w:val="20"/>
                <w:szCs w:val="20"/>
                <w:color w:val="auto"/>
              </w:rPr>
            </w:pPr>
            <w:r>
              <w:rPr>
                <w:rFonts w:ascii="Arial" w:cs="Arial" w:eastAsia="Arial" w:hAnsi="Arial"/>
                <w:sz w:val="17"/>
                <w:szCs w:val="17"/>
                <w:b w:val="1"/>
                <w:bCs w:val="1"/>
                <w:color w:val="auto"/>
              </w:rPr>
              <w:t>As of December 31,</w:t>
            </w:r>
          </w:p>
        </w:tc>
        <w:tc>
          <w:tcPr>
            <w:tcW w:w="520" w:type="dxa"/>
            <w:vAlign w:val="bottom"/>
          </w:tcPr>
          <w:p>
            <w:pPr>
              <w:spacing w:after="0"/>
              <w:rPr>
                <w:sz w:val="14"/>
                <w:szCs w:val="14"/>
                <w:color w:val="auto"/>
              </w:rPr>
            </w:pPr>
          </w:p>
        </w:tc>
        <w:tc>
          <w:tcPr>
            <w:tcW w:w="1540" w:type="dxa"/>
            <w:vAlign w:val="bottom"/>
          </w:tcPr>
          <w:p>
            <w:pPr>
              <w:jc w:val="center"/>
              <w:ind w:left="33"/>
              <w:spacing w:after="0" w:line="172" w:lineRule="exact"/>
              <w:rPr>
                <w:sz w:val="20"/>
                <w:szCs w:val="20"/>
                <w:color w:val="auto"/>
              </w:rPr>
            </w:pPr>
            <w:r>
              <w:rPr>
                <w:rFonts w:ascii="Arial" w:cs="Arial" w:eastAsia="Arial" w:hAnsi="Arial"/>
                <w:sz w:val="17"/>
                <w:szCs w:val="17"/>
                <w:b w:val="1"/>
                <w:bCs w:val="1"/>
                <w:color w:val="auto"/>
                <w:w w:val="93"/>
              </w:rPr>
              <w:t>useful life</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19"/>
                <w:szCs w:val="19"/>
                <w:color w:val="auto"/>
              </w:rPr>
            </w:pPr>
          </w:p>
        </w:tc>
        <w:tc>
          <w:tcPr>
            <w:tcW w:w="2720" w:type="dxa"/>
            <w:vAlign w:val="bottom"/>
            <w:tcBorders>
              <w:bottom w:val="single" w:sz="8" w:color="auto"/>
            </w:tcBorders>
            <w:gridSpan w:val="4"/>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40" w:type="dxa"/>
            <w:vAlign w:val="bottom"/>
          </w:tcPr>
          <w:p>
            <w:pPr>
              <w:jc w:val="center"/>
              <w:ind w:left="33"/>
              <w:spacing w:after="0"/>
              <w:rPr>
                <w:sz w:val="20"/>
                <w:szCs w:val="20"/>
                <w:color w:val="auto"/>
              </w:rPr>
            </w:pPr>
            <w:r>
              <w:rPr>
                <w:rFonts w:ascii="Arial" w:cs="Arial" w:eastAsia="Arial" w:hAnsi="Arial"/>
                <w:sz w:val="17"/>
                <w:szCs w:val="17"/>
                <w:color w:val="auto"/>
                <w:w w:val="91"/>
              </w:rPr>
              <w:t>(In years)</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28.6</w:t>
            </w:r>
          </w:p>
        </w:tc>
        <w:tc>
          <w:tcPr>
            <w:tcW w:w="154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7"/>
                <w:szCs w:val="17"/>
                <w:color w:val="auto"/>
              </w:rPr>
              <w:t>Software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9.0</w:t>
            </w:r>
          </w:p>
        </w:tc>
        <w:tc>
          <w:tcPr>
            <w:tcW w:w="154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 and trade names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7"/>
                <w:szCs w:val="17"/>
                <w:color w:val="auto"/>
              </w:rPr>
              <w:t>Licenses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w:t>
            </w:r>
          </w:p>
        </w:tc>
        <w:tc>
          <w:tcPr>
            <w:tcW w:w="1540" w:type="dxa"/>
            <w:vAlign w:val="bottom"/>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Assembled workforce in asset acquisitions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intangibles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w:t>
            </w: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Amortization expense was $16.3 million, $15.6 million, and $14.1 million for the years ended December 31, 2022, 2021, and 2020, respectively.</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Expected future amortization expense for intangible assets as of December 31, 2022, is as follows: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9200" w:type="dxa"/>
            <w:vAlign w:val="bottom"/>
          </w:tcPr>
          <w:p>
            <w:pPr>
              <w:ind w:left="20"/>
              <w:spacing w:after="0"/>
              <w:rPr>
                <w:sz w:val="20"/>
                <w:szCs w:val="20"/>
                <w:color w:val="auto"/>
              </w:rPr>
            </w:pPr>
            <w:r>
              <w:rPr>
                <w:rFonts w:ascii="Arial" w:cs="Arial" w:eastAsia="Arial" w:hAnsi="Arial"/>
                <w:sz w:val="17"/>
                <w:szCs w:val="17"/>
                <w:color w:val="auto"/>
              </w:rPr>
              <w:t>2023</w:t>
            </w:r>
          </w:p>
        </w:tc>
        <w:tc>
          <w:tcPr>
            <w:tcW w:w="860" w:type="dxa"/>
            <w:vAlign w:val="bottom"/>
          </w:tcPr>
          <w:p>
            <w:pPr>
              <w:jc w:val="right"/>
              <w:ind w:right="67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30.4</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r>
      <w:tr>
        <w:trPr>
          <w:trHeight w:val="223"/>
        </w:trPr>
        <w:tc>
          <w:tcPr>
            <w:tcW w:w="9200" w:type="dxa"/>
            <w:vAlign w:val="bottom"/>
          </w:tcPr>
          <w:p>
            <w:pPr>
              <w:ind w:left="20"/>
              <w:spacing w:after="0"/>
              <w:rPr>
                <w:sz w:val="20"/>
                <w:szCs w:val="20"/>
                <w:color w:val="auto"/>
              </w:rPr>
            </w:pPr>
            <w:r>
              <w:rPr>
                <w:rFonts w:ascii="Arial" w:cs="Arial" w:eastAsia="Arial" w:hAnsi="Arial"/>
                <w:sz w:val="17"/>
                <w:szCs w:val="17"/>
                <w:color w:val="auto"/>
              </w:rPr>
              <w:t>2025</w:t>
            </w: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23"/>
        </w:trPr>
        <w:tc>
          <w:tcPr>
            <w:tcW w:w="9200" w:type="dxa"/>
            <w:vAlign w:val="bottom"/>
          </w:tcPr>
          <w:p>
            <w:pPr>
              <w:ind w:left="20"/>
              <w:spacing w:after="0"/>
              <w:rPr>
                <w:sz w:val="20"/>
                <w:szCs w:val="20"/>
                <w:color w:val="auto"/>
              </w:rPr>
            </w:pPr>
            <w:r>
              <w:rPr>
                <w:rFonts w:ascii="Arial" w:cs="Arial" w:eastAsia="Arial" w:hAnsi="Arial"/>
                <w:sz w:val="17"/>
                <w:szCs w:val="17"/>
                <w:color w:val="auto"/>
              </w:rPr>
              <w:t>2027</w:t>
            </w: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8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6"/>
        </w:trPr>
        <w:tc>
          <w:tcPr>
            <w:tcW w:w="9200" w:type="dxa"/>
            <w:vAlign w:val="bottom"/>
          </w:tcPr>
          <w:p>
            <w:pPr>
              <w:ind w:left="34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88.3</w:t>
            </w:r>
          </w:p>
        </w:tc>
      </w:tr>
      <w:tr>
        <w:trPr>
          <w:trHeight w:val="20"/>
        </w:trPr>
        <w:tc>
          <w:tcPr>
            <w:tcW w:w="9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w:t>
      </w:r>
    </w:p>
    <w:p>
      <w:pPr>
        <w:spacing w:after="0" w:line="125" w:lineRule="exact"/>
        <w:rPr>
          <w:sz w:val="20"/>
          <w:szCs w:val="20"/>
          <w:color w:val="auto"/>
        </w:rPr>
      </w:pPr>
    </w:p>
    <w:p>
      <w:pPr>
        <w:ind w:right="400" w:firstLine="433"/>
        <w:spacing w:after="0" w:line="289"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208280</wp:posOffset>
            </wp:positionV>
            <wp:extent cx="7119620" cy="141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Balance at December 31, 2021</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FormSwift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7119620" cy="141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 acquisition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24130</wp:posOffset>
            </wp:positionV>
            <wp:extent cx="7119620" cy="166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9620" cy="16637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Balance at December 31, 2022</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jc w:val="right"/>
              <w:ind w:right="63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356.6</w:t>
            </w:r>
          </w:p>
        </w:tc>
      </w:tr>
      <w:tr>
        <w:trPr>
          <w:trHeight w:val="223"/>
        </w:trPr>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35.7</w:t>
            </w:r>
          </w:p>
        </w:tc>
      </w:tr>
      <w:tr>
        <w:trPr>
          <w:trHeight w:val="223"/>
        </w:trPr>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23"/>
        </w:trPr>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216"/>
        </w:trPr>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403.3</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00" w:space="720"/>
            <w:col w:w="2020"/>
          </w:cols>
          <w:pgMar w:left="320" w:top="1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39" w:lineRule="exact"/>
        <w:rPr>
          <w:sz w:val="20"/>
          <w:szCs w:val="20"/>
          <w:color w:val="auto"/>
        </w:rPr>
      </w:pPr>
    </w:p>
    <w:p>
      <w:pPr>
        <w:ind w:right="80" w:firstLine="433"/>
        <w:spacing w:after="0" w:line="289" w:lineRule="auto"/>
        <w:rPr>
          <w:sz w:val="20"/>
          <w:szCs w:val="20"/>
          <w:color w:val="auto"/>
        </w:rPr>
      </w:pPr>
      <w:r>
        <w:rPr>
          <w:rFonts w:ascii="Arial" w:cs="Arial" w:eastAsia="Arial" w:hAnsi="Arial"/>
          <w:sz w:val="17"/>
          <w:szCs w:val="17"/>
          <w:color w:val="auto"/>
        </w:rPr>
        <w:t>Goodwill amounts are not amortized but tested for impairment on an annual basis. There was no impairment of goodwill as of December 31, 2022, 2021, and 2020.</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Debt</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11" w:lineRule="exact"/>
        <w:rPr>
          <w:sz w:val="20"/>
          <w:szCs w:val="20"/>
          <w:color w:val="auto"/>
        </w:rPr>
      </w:pPr>
    </w:p>
    <w:p>
      <w:pPr>
        <w:ind w:right="120" w:firstLine="433"/>
        <w:spacing w:after="0" w:line="287" w:lineRule="auto"/>
        <w:rPr>
          <w:sz w:val="20"/>
          <w:szCs w:val="20"/>
          <w:color w:val="auto"/>
        </w:rPr>
      </w:pPr>
      <w:r>
        <w:rPr>
          <w:rFonts w:ascii="Arial" w:cs="Arial" w:eastAsia="Arial" w:hAnsi="Arial"/>
          <w:sz w:val="15"/>
          <w:szCs w:val="15"/>
          <w:color w:val="auto"/>
        </w:rPr>
        <w:t>In February 2018, the Company entered into an amendment to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and extended the term of the agreement</w:t>
      </w:r>
    </w:p>
    <w:p>
      <w:pPr>
        <w:spacing w:after="0" w:line="1" w:lineRule="exact"/>
        <w:rPr>
          <w:sz w:val="20"/>
          <w:szCs w:val="20"/>
          <w:color w:val="auto"/>
        </w:rPr>
      </w:pPr>
    </w:p>
    <w:p>
      <w:pPr>
        <w:ind w:right="820"/>
        <w:spacing w:after="0" w:line="271" w:lineRule="auto"/>
        <w:rPr>
          <w:sz w:val="20"/>
          <w:szCs w:val="20"/>
          <w:color w:val="auto"/>
        </w:rPr>
      </w:pPr>
      <w:r>
        <w:rPr>
          <w:rFonts w:ascii="Arial" w:cs="Arial" w:eastAsia="Arial" w:hAnsi="Arial"/>
          <w:sz w:val="16"/>
          <w:szCs w:val="16"/>
          <w:color w:val="auto"/>
        </w:rPr>
        <w:t>through February 2026. The Company may from time to time request increases in its borrowing capacity under the revolving credit facility of up to $250.0 million, provided no event of default has occurred or is continuing or would result from such increase. In conjunction with the February 2021</w:t>
      </w:r>
    </w:p>
    <w:p>
      <w:pPr>
        <w:ind w:right="500"/>
        <w:spacing w:after="0" w:line="238" w:lineRule="auto"/>
        <w:rPr>
          <w:sz w:val="20"/>
          <w:szCs w:val="20"/>
          <w:color w:val="auto"/>
        </w:rPr>
      </w:pPr>
      <w:r>
        <w:rPr>
          <w:rFonts w:ascii="Arial" w:cs="Arial" w:eastAsia="Arial" w:hAnsi="Arial"/>
          <w:sz w:val="17"/>
          <w:szCs w:val="17"/>
          <w:color w:val="auto"/>
        </w:rPr>
        <w:t>amendment, the Company paid upfront issuance fees of $1.7 million, which are being amortized over the remaining term of the agreement</w:t>
      </w:r>
      <w:r>
        <w:rPr>
          <w:rFonts w:ascii="Arial" w:cs="Arial" w:eastAsia="Arial" w:hAnsi="Arial"/>
          <w:sz w:val="20"/>
          <w:szCs w:val="20"/>
          <w:color w:val="008080"/>
        </w:rPr>
        <w:t>,</w:t>
      </w:r>
      <w:r>
        <w:rPr>
          <w:rFonts w:ascii="Arial" w:cs="Arial" w:eastAsia="Arial" w:hAnsi="Arial"/>
          <w:sz w:val="17"/>
          <w:szCs w:val="17"/>
          <w:color w:val="auto"/>
        </w:rPr>
        <w:t xml:space="preserve"> and wrote-off $0.2 million in unamortized deferred debt issuance costs.</w:t>
      </w:r>
    </w:p>
    <w:p>
      <w:pPr>
        <w:spacing w:after="0" w:line="225"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1.375% or at an alternative base rate plus a spread of 0.375%.</w:t>
      </w:r>
    </w:p>
    <w:p>
      <w:pPr>
        <w:spacing w:after="0" w:line="211"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December 31, 2022 and 2021, respectively.</w:t>
      </w:r>
    </w:p>
    <w:p>
      <w:pPr>
        <w:spacing w:after="0" w:line="206"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The Company had an aggregate of $40.6 million of letters of credit outstanding under the revolving credit facility as of December 31, 2022, and the Company’s total available borrowing capacity under the revolving credit facility was $459.4 million as of December 31, 2022. The Company’s letters of credit have final expiration dates through 2036.</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50" w:lineRule="exact"/>
        <w:rPr>
          <w:sz w:val="20"/>
          <w:szCs w:val="20"/>
          <w:color w:val="auto"/>
        </w:rPr>
      </w:pPr>
    </w:p>
    <w:p>
      <w:pPr>
        <w:ind w:right="160" w:firstLine="433"/>
        <w:spacing w:after="0" w:line="268" w:lineRule="auto"/>
        <w:rPr>
          <w:sz w:val="20"/>
          <w:szCs w:val="20"/>
          <w:color w:val="auto"/>
        </w:rPr>
      </w:pPr>
      <w:r>
        <w:rPr>
          <w:rFonts w:ascii="Arial" w:cs="Arial" w:eastAsia="Arial" w:hAnsi="Arial"/>
          <w:sz w:val="17"/>
          <w:szCs w:val="17"/>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spacing w:after="0" w:line="202"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December 31, 2022. The 2026 Notes will mature on March 1, 2026, and the 2028 Notes will mature on March 1, 2028, in each case, unless earlier converted, redeemed or repurchased.</w:t>
      </w:r>
    </w:p>
    <w:p>
      <w:pPr>
        <w:spacing w:after="0" w:line="202"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December 31, 2022.</w:t>
      </w:r>
    </w:p>
    <w:p>
      <w:pPr>
        <w:spacing w:after="0" w:line="207" w:lineRule="exact"/>
        <w:rPr>
          <w:sz w:val="20"/>
          <w:szCs w:val="20"/>
          <w:color w:val="auto"/>
        </w:rPr>
      </w:pPr>
    </w:p>
    <w:p>
      <w:pPr>
        <w:ind w:right="120" w:firstLine="433"/>
        <w:spacing w:after="0" w:line="265" w:lineRule="auto"/>
        <w:rPr>
          <w:sz w:val="20"/>
          <w:szCs w:val="20"/>
          <w:color w:val="auto"/>
        </w:rPr>
      </w:pPr>
      <w:r>
        <w:rPr>
          <w:rFonts w:ascii="Arial" w:cs="Arial" w:eastAsia="Arial" w:hAnsi="Arial"/>
          <w:sz w:val="17"/>
          <w:szCs w:val="17"/>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December 31, 2022. In addition, during the year ended December 31, 2022, the conditions allowing holders of the Notes to convert were not met. As a result, the Notes are not convertible during the year ended December 31, 2022.</w:t>
      </w:r>
    </w:p>
    <w:p>
      <w:pPr>
        <w:spacing w:after="0" w:line="206" w:lineRule="exact"/>
        <w:rPr>
          <w:sz w:val="20"/>
          <w:szCs w:val="20"/>
          <w:color w:val="auto"/>
        </w:rPr>
      </w:pPr>
    </w:p>
    <w:p>
      <w:pPr>
        <w:ind w:firstLine="433"/>
        <w:spacing w:after="0" w:line="279" w:lineRule="auto"/>
        <w:rPr>
          <w:sz w:val="20"/>
          <w:szCs w:val="20"/>
          <w:color w:val="auto"/>
        </w:rPr>
      </w:pPr>
      <w:r>
        <w:rPr>
          <w:rFonts w:ascii="Arial" w:cs="Arial" w:eastAsia="Arial" w:hAnsi="Arial"/>
          <w:sz w:val="16"/>
          <w:szCs w:val="16"/>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spacing w:after="0" w:line="195" w:lineRule="exact"/>
        <w:rPr>
          <w:sz w:val="20"/>
          <w:szCs w:val="20"/>
          <w:color w:val="auto"/>
        </w:rPr>
      </w:pPr>
    </w:p>
    <w:p>
      <w:pPr>
        <w:ind w:right="120" w:firstLine="433"/>
        <w:spacing w:after="0" w:line="273" w:lineRule="auto"/>
        <w:rPr>
          <w:sz w:val="20"/>
          <w:szCs w:val="20"/>
          <w:color w:val="auto"/>
        </w:rPr>
      </w:pPr>
      <w:r>
        <w:rPr>
          <w:rFonts w:ascii="Arial" w:cs="Arial" w:eastAsia="Arial" w:hAnsi="Arial"/>
          <w:sz w:val="17"/>
          <w:szCs w:val="17"/>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198"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205" w:lineRule="exact"/>
        <w:rPr>
          <w:sz w:val="20"/>
          <w:szCs w:val="20"/>
          <w:color w:val="auto"/>
        </w:rPr>
      </w:pPr>
    </w:p>
    <w:p>
      <w:pPr>
        <w:ind w:right="40" w:firstLine="433"/>
        <w:spacing w:after="0" w:line="290" w:lineRule="auto"/>
        <w:rPr>
          <w:sz w:val="20"/>
          <w:szCs w:val="20"/>
          <w:color w:val="auto"/>
        </w:rPr>
      </w:pPr>
      <w:r>
        <w:rPr>
          <w:rFonts w:ascii="Arial" w:cs="Arial" w:eastAsia="Arial" w:hAnsi="Arial"/>
          <w:sz w:val="16"/>
          <w:szCs w:val="16"/>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186" w:lineRule="exact"/>
        <w:rPr>
          <w:sz w:val="20"/>
          <w:szCs w:val="20"/>
          <w:color w:val="auto"/>
        </w:rPr>
      </w:pPr>
    </w:p>
    <w:p>
      <w:pPr>
        <w:ind w:right="340" w:firstLine="433"/>
        <w:spacing w:after="0" w:line="265" w:lineRule="auto"/>
        <w:rPr>
          <w:sz w:val="20"/>
          <w:szCs w:val="20"/>
          <w:color w:val="auto"/>
        </w:rPr>
      </w:pPr>
      <w:r>
        <w:rPr>
          <w:rFonts w:ascii="Arial" w:cs="Arial" w:eastAsia="Arial" w:hAnsi="Arial"/>
          <w:sz w:val="17"/>
          <w:szCs w:val="17"/>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jc w:val="both"/>
        <w:ind w:right="220" w:firstLine="433"/>
        <w:spacing w:after="0" w:line="273" w:lineRule="auto"/>
        <w:rPr>
          <w:sz w:val="20"/>
          <w:szCs w:val="20"/>
          <w:color w:val="auto"/>
        </w:rPr>
      </w:pPr>
      <w:r>
        <w:rPr>
          <w:rFonts w:ascii="Arial" w:cs="Arial" w:eastAsia="Arial" w:hAnsi="Arial"/>
          <w:sz w:val="17"/>
          <w:szCs w:val="17"/>
          <w:color w:val="auto"/>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the Company’s convertible senior notes as of December 31, 2022 and December 31, 2021.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2026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Total</w:t>
            </w: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2022</w:t>
            </w: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Principal balance</w:t>
            </w:r>
          </w:p>
        </w:tc>
        <w:tc>
          <w:tcPr>
            <w:tcW w:w="1500" w:type="dxa"/>
            <w:vAlign w:val="bottom"/>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695.8</w:t>
            </w:r>
          </w:p>
        </w:tc>
        <w:tc>
          <w:tcPr>
            <w:tcW w:w="100" w:type="dxa"/>
            <w:vAlign w:val="bottom"/>
          </w:tcPr>
          <w:p>
            <w:pPr>
              <w:spacing w:after="0"/>
              <w:rPr>
                <w:sz w:val="19"/>
                <w:szCs w:val="19"/>
                <w:color w:val="auto"/>
              </w:rPr>
            </w:pPr>
          </w:p>
        </w:tc>
        <w:tc>
          <w:tcPr>
            <w:tcW w:w="1500" w:type="dxa"/>
            <w:vAlign w:val="bottom"/>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693.3</w:t>
            </w:r>
          </w:p>
        </w:tc>
        <w:tc>
          <w:tcPr>
            <w:tcW w:w="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1,389.1</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issuance costs</w:t>
            </w: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r>
      <w:tr>
        <w:trPr>
          <w:trHeight w:val="216"/>
        </w:trPr>
        <w:tc>
          <w:tcPr>
            <w:tcW w:w="4940" w:type="dxa"/>
            <w:vAlign w:val="bottom"/>
          </w:tcPr>
          <w:p>
            <w:pPr>
              <w:ind w:left="20"/>
              <w:spacing w:after="0"/>
              <w:rPr>
                <w:sz w:val="20"/>
                <w:szCs w:val="20"/>
                <w:color w:val="auto"/>
              </w:rPr>
            </w:pPr>
            <w:r>
              <w:rPr>
                <w:rFonts w:ascii="Arial" w:cs="Arial" w:eastAsia="Arial" w:hAnsi="Arial"/>
                <w:sz w:val="17"/>
                <w:szCs w:val="17"/>
                <w:color w:val="auto"/>
              </w:rPr>
              <w:t>Carrying value, net</w:t>
            </w:r>
          </w:p>
        </w:tc>
        <w:tc>
          <w:tcPr>
            <w:tcW w:w="1500" w:type="dxa"/>
            <w:vAlign w:val="bottom"/>
            <w:tcBorders>
              <w:bottom w:val="single" w:sz="8" w:color="auto"/>
            </w:tcBorders>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688.8</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1,374.0</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8"/>
        </w:trPr>
        <w:tc>
          <w:tcPr>
            <w:tcW w:w="49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December 31, 2021</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Principal balance</w:t>
            </w:r>
          </w:p>
        </w:tc>
        <w:tc>
          <w:tcPr>
            <w:tcW w:w="150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1,389.1</w:t>
            </w:r>
          </w:p>
        </w:tc>
      </w:tr>
      <w:tr>
        <w:trPr>
          <w:trHeight w:val="22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issuance costs</w:t>
            </w: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r>
      <w:tr>
        <w:trPr>
          <w:trHeight w:val="241"/>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Carrying value, net</w:t>
            </w:r>
          </w:p>
        </w:tc>
        <w:tc>
          <w:tcPr>
            <w:tcW w:w="1500" w:type="dxa"/>
            <w:vAlign w:val="bottom"/>
            <w:tcBorders>
              <w:bottom w:val="single" w:sz="8" w:color="auto"/>
            </w:tcBorders>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686.7</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1,370.3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60" w:firstLine="433"/>
        <w:spacing w:after="0" w:line="298" w:lineRule="auto"/>
        <w:rPr>
          <w:sz w:val="20"/>
          <w:szCs w:val="20"/>
          <w:color w:val="auto"/>
        </w:rPr>
      </w:pPr>
      <w:r>
        <w:rPr>
          <w:rFonts w:ascii="Arial" w:cs="Arial" w:eastAsia="Arial" w:hAnsi="Arial"/>
          <w:sz w:val="16"/>
          <w:szCs w:val="16"/>
          <w:color w:val="auto"/>
        </w:rPr>
        <w:t>During the years ended December 31, 2022 and 2021, the Company recognized $2.1 million and $1.9 million in interest expense for the 2026 Notes and $1.6 million and $1.3 million in interest expense for the 2028 Notes, respectively, with such interest expense solely consisting of amortization of issuance costs. The effective interest rate for the 2026 Notes and the 2028 Notes was 0.32% and 0.22%, respectively, as of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20" w:type="dxa"/>
            <w:vAlign w:val="bottom"/>
          </w:tcPr>
          <w:p>
            <w:pPr>
              <w:ind w:left="440"/>
              <w:spacing w:after="0"/>
              <w:rPr>
                <w:sz w:val="20"/>
                <w:szCs w:val="20"/>
                <w:color w:val="auto"/>
              </w:rPr>
            </w:pPr>
            <w:r>
              <w:rPr>
                <w:rFonts w:ascii="Arial" w:cs="Arial" w:eastAsia="Arial" w:hAnsi="Arial"/>
                <w:sz w:val="17"/>
                <w:szCs w:val="17"/>
                <w:color w:val="auto"/>
              </w:rPr>
              <w:t>Maturities on the Company's long-term convertible debt are as follows:</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49"/>
        </w:trPr>
        <w:tc>
          <w:tcPr>
            <w:tcW w:w="9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Convertible Debt</w:t>
            </w: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220" w:type="dxa"/>
            <w:vAlign w:val="bottom"/>
          </w:tcPr>
          <w:p>
            <w:pPr>
              <w:ind w:left="20"/>
              <w:spacing w:after="0"/>
              <w:rPr>
                <w:sz w:val="20"/>
                <w:szCs w:val="20"/>
                <w:color w:val="auto"/>
              </w:rPr>
            </w:pPr>
            <w:r>
              <w:rPr>
                <w:rFonts w:ascii="Arial" w:cs="Arial" w:eastAsia="Arial" w:hAnsi="Arial"/>
                <w:sz w:val="17"/>
                <w:szCs w:val="17"/>
                <w:color w:val="auto"/>
              </w:rPr>
              <w:t>2024</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220" w:type="dxa"/>
            <w:vAlign w:val="bottom"/>
          </w:tcPr>
          <w:p>
            <w:pPr>
              <w:ind w:left="20"/>
              <w:spacing w:after="0"/>
              <w:rPr>
                <w:sz w:val="20"/>
                <w:szCs w:val="20"/>
                <w:color w:val="auto"/>
              </w:rPr>
            </w:pPr>
            <w:r>
              <w:rPr>
                <w:rFonts w:ascii="Arial" w:cs="Arial" w:eastAsia="Arial" w:hAnsi="Arial"/>
                <w:sz w:val="17"/>
                <w:szCs w:val="17"/>
                <w:color w:val="auto"/>
              </w:rPr>
              <w:t>2026</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695.8</w:t>
            </w:r>
          </w:p>
        </w:tc>
      </w:tr>
      <w:tr>
        <w:trPr>
          <w:trHeight w:val="223"/>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693.3</w:t>
            </w: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1,389.1</w:t>
            </w:r>
          </w:p>
        </w:tc>
      </w:tr>
    </w:tbl>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Note Hedges and Warrants</w:t>
      </w:r>
    </w:p>
    <w:p>
      <w:pPr>
        <w:spacing w:after="0" w:line="250" w:lineRule="exact"/>
        <w:rPr>
          <w:sz w:val="20"/>
          <w:szCs w:val="20"/>
          <w:color w:val="auto"/>
        </w:rPr>
      </w:pPr>
    </w:p>
    <w:p>
      <w:pPr>
        <w:ind w:right="580" w:firstLine="433"/>
        <w:spacing w:after="0" w:line="300" w:lineRule="auto"/>
        <w:rPr>
          <w:sz w:val="20"/>
          <w:szCs w:val="20"/>
          <w:color w:val="auto"/>
        </w:rPr>
      </w:pPr>
      <w:r>
        <w:rPr>
          <w:rFonts w:ascii="Arial" w:cs="Arial" w:eastAsia="Arial" w:hAnsi="Arial"/>
          <w:sz w:val="15"/>
          <w:szCs w:val="15"/>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w:t>
      </w:r>
    </w:p>
    <w:p>
      <w:pPr>
        <w:ind w:right="20"/>
        <w:spacing w:after="0" w:line="266" w:lineRule="auto"/>
        <w:rPr>
          <w:sz w:val="20"/>
          <w:szCs w:val="20"/>
          <w:color w:val="auto"/>
        </w:rPr>
      </w:pPr>
      <w:r>
        <w:rPr>
          <w:rFonts w:ascii="Arial" w:cs="Arial" w:eastAsia="Arial" w:hAnsi="Arial"/>
          <w:sz w:val="17"/>
          <w:szCs w:val="17"/>
          <w:color w:val="auto"/>
        </w:rPr>
        <w:t>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spacing w:after="0" w:line="204"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spacing w:after="0" w:line="206" w:lineRule="exact"/>
        <w:rPr>
          <w:sz w:val="20"/>
          <w:szCs w:val="20"/>
          <w:color w:val="auto"/>
        </w:rPr>
      </w:pPr>
    </w:p>
    <w:p>
      <w:pPr>
        <w:ind w:right="460" w:firstLine="433"/>
        <w:spacing w:after="0" w:line="289" w:lineRule="auto"/>
        <w:rPr>
          <w:sz w:val="20"/>
          <w:szCs w:val="20"/>
          <w:color w:val="auto"/>
        </w:rPr>
      </w:pPr>
      <w:r>
        <w:rPr>
          <w:rFonts w:ascii="Arial" w:cs="Arial" w:eastAsia="Arial" w:hAnsi="Arial"/>
          <w:sz w:val="17"/>
          <w:szCs w:val="17"/>
          <w:color w:val="auto"/>
        </w:rPr>
        <w:t>The convertible note hedge transactions are expected generally to reduce the potential dilution to the Class A common stock upon conversion of the relevant series of Notes and/or offset any cash payments the Company is required to make 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December 31, 2022, the Company’s stock price was below the exercise price of the respective Note Hedges.</w:t>
      </w:r>
    </w:p>
    <w:p>
      <w:pPr>
        <w:spacing w:after="0" w:line="198" w:lineRule="exact"/>
        <w:rPr>
          <w:sz w:val="20"/>
          <w:szCs w:val="20"/>
          <w:color w:val="auto"/>
        </w:rPr>
      </w:pPr>
    </w:p>
    <w:p>
      <w:pPr>
        <w:ind w:right="140" w:firstLine="433"/>
        <w:spacing w:after="0" w:line="290" w:lineRule="auto"/>
        <w:rPr>
          <w:sz w:val="20"/>
          <w:szCs w:val="20"/>
          <w:color w:val="auto"/>
        </w:rPr>
      </w:pPr>
      <w:r>
        <w:rPr>
          <w:rFonts w:ascii="Arial" w:cs="Arial" w:eastAsia="Arial" w:hAnsi="Arial"/>
          <w:sz w:val="16"/>
          <w:szCs w:val="16"/>
          <w:color w:val="auto"/>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spacing w:after="0" w:line="186" w:lineRule="exact"/>
        <w:rPr>
          <w:sz w:val="20"/>
          <w:szCs w:val="20"/>
          <w:color w:val="auto"/>
        </w:rPr>
      </w:pPr>
    </w:p>
    <w:p>
      <w:pPr>
        <w:ind w:right="160" w:firstLine="433"/>
        <w:spacing w:after="0" w:line="264" w:lineRule="auto"/>
        <w:rPr>
          <w:sz w:val="20"/>
          <w:szCs w:val="20"/>
          <w:color w:val="auto"/>
        </w:rPr>
      </w:pPr>
      <w:r>
        <w:rPr>
          <w:rFonts w:ascii="Arial" w:cs="Arial" w:eastAsia="Arial" w:hAnsi="Arial"/>
          <w:sz w:val="17"/>
          <w:szCs w:val="17"/>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December 31, 2022, the Company’s Class A common stock price was below the exercise price of the Warrants.</w:t>
      </w:r>
    </w:p>
    <w:p>
      <w:pPr>
        <w:spacing w:after="0" w:line="205" w:lineRule="exact"/>
        <w:rPr>
          <w:sz w:val="20"/>
          <w:szCs w:val="20"/>
          <w:color w:val="auto"/>
        </w:rPr>
      </w:pPr>
    </w:p>
    <w:p>
      <w:pPr>
        <w:ind w:right="300" w:firstLine="433"/>
        <w:spacing w:after="0" w:line="273" w:lineRule="auto"/>
        <w:rPr>
          <w:sz w:val="20"/>
          <w:szCs w:val="20"/>
          <w:color w:val="auto"/>
        </w:rPr>
      </w:pPr>
      <w:r>
        <w:rPr>
          <w:rFonts w:ascii="Arial" w:cs="Arial" w:eastAsia="Arial" w:hAnsi="Arial"/>
          <w:sz w:val="17"/>
          <w:szCs w:val="17"/>
          <w:color w:val="auto"/>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spacing w:after="0" w:line="198" w:lineRule="exact"/>
        <w:rPr>
          <w:sz w:val="20"/>
          <w:szCs w:val="20"/>
          <w:color w:val="auto"/>
        </w:rPr>
      </w:pPr>
    </w:p>
    <w:p>
      <w:pPr>
        <w:ind w:right="240" w:firstLine="433"/>
        <w:spacing w:after="0" w:line="314" w:lineRule="auto"/>
        <w:rPr>
          <w:sz w:val="20"/>
          <w:szCs w:val="20"/>
          <w:color w:val="auto"/>
        </w:rPr>
      </w:pPr>
      <w:r>
        <w:rPr>
          <w:rFonts w:ascii="Arial" w:cs="Arial" w:eastAsia="Arial" w:hAnsi="Arial"/>
          <w:sz w:val="15"/>
          <w:szCs w:val="15"/>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equity, and the premium received for the Warrants has been included as a net increase to additional paid-in capital within stockholders' (deficit) equity.</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Leases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Leases</w:t>
      </w:r>
    </w:p>
    <w:p>
      <w:pPr>
        <w:spacing w:after="0" w:line="250" w:lineRule="exact"/>
        <w:rPr>
          <w:sz w:val="20"/>
          <w:szCs w:val="20"/>
          <w:color w:val="auto"/>
        </w:rPr>
      </w:pPr>
    </w:p>
    <w:p>
      <w:pPr>
        <w:ind w:right="120" w:firstLine="315"/>
        <w:spacing w:after="0" w:line="289" w:lineRule="auto"/>
        <w:rPr>
          <w:sz w:val="20"/>
          <w:szCs w:val="20"/>
          <w:color w:val="auto"/>
        </w:rPr>
      </w:pPr>
      <w:r>
        <w:rPr>
          <w:rFonts w:ascii="Arial" w:cs="Arial" w:eastAsia="Arial" w:hAnsi="Arial"/>
          <w:sz w:val="17"/>
          <w:szCs w:val="17"/>
          <w:color w:val="auto"/>
        </w:rPr>
        <w:t>The Company has operating leases for corporate offices and datacenters, and finance leases for infrastructure and office equipment. The Company’s leases have remaining lease terms of 1 year to 14 years, some of which include options to extend the leases for up to 5 years.</w:t>
      </w:r>
    </w:p>
    <w:p>
      <w:pPr>
        <w:spacing w:after="0" w:line="290" w:lineRule="exact"/>
        <w:rPr>
          <w:sz w:val="20"/>
          <w:szCs w:val="20"/>
          <w:color w:val="auto"/>
        </w:rPr>
      </w:pPr>
    </w:p>
    <w:p>
      <w:pPr>
        <w:ind w:right="20" w:firstLine="315"/>
        <w:spacing w:after="0" w:line="326" w:lineRule="auto"/>
        <w:rPr>
          <w:sz w:val="20"/>
          <w:szCs w:val="20"/>
          <w:color w:val="auto"/>
        </w:rPr>
      </w:pPr>
      <w:r>
        <w:rPr>
          <w:rFonts w:ascii="Arial" w:cs="Arial" w:eastAsia="Arial" w:hAnsi="Arial"/>
          <w:sz w:val="15"/>
          <w:szCs w:val="15"/>
          <w:color w:val="auto"/>
        </w:rPr>
        <w:t>The Company also has subleases for several floors of its former corporate offices. The Company classifies its subleases as operating leases. The subleases have remaining lease terms of 1 year to 10 years, some of which include options to extend the sublease for up to approximately 4 years. Sublease income, which is recorded as a reduction of rental expense, was $20.1 million for the year ended December 31, 2022 and $17.6 million for the year ended December 31,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40" w:type="dxa"/>
            <w:vAlign w:val="bottom"/>
          </w:tcPr>
          <w:p>
            <w:pPr>
              <w:ind w:left="320"/>
              <w:spacing w:after="0"/>
              <w:rPr>
                <w:sz w:val="20"/>
                <w:szCs w:val="20"/>
                <w:color w:val="auto"/>
              </w:rPr>
            </w:pPr>
            <w:r>
              <w:rPr>
                <w:rFonts w:ascii="Arial" w:cs="Arial" w:eastAsia="Arial" w:hAnsi="Arial"/>
                <w:sz w:val="17"/>
                <w:szCs w:val="17"/>
                <w:color w:val="auto"/>
              </w:rPr>
              <w:t>The components of lease cost were as follows: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89"/>
        </w:trPr>
        <w:tc>
          <w:tcPr>
            <w:tcW w:w="844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7"/>
                <w:szCs w:val="17"/>
                <w:b w:val="1"/>
                <w:bCs w:val="1"/>
                <w:color w:val="auto"/>
              </w:rPr>
              <w:t>Year ended December 31,</w:t>
            </w:r>
          </w:p>
        </w:tc>
      </w:tr>
      <w:tr>
        <w:trPr>
          <w:trHeight w:val="216"/>
        </w:trPr>
        <w:tc>
          <w:tcPr>
            <w:tcW w:w="84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2021</w:t>
            </w:r>
          </w:p>
        </w:tc>
      </w:tr>
      <w:tr>
        <w:trPr>
          <w:trHeight w:val="216"/>
        </w:trPr>
        <w:tc>
          <w:tcPr>
            <w:tcW w:w="84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Operating lease cost </w:t>
            </w:r>
            <w:r>
              <w:rPr>
                <w:rFonts w:ascii="Arial" w:cs="Arial" w:eastAsia="Arial" w:hAnsi="Arial"/>
                <w:sz w:val="22"/>
                <w:szCs w:val="22"/>
                <w:color w:val="auto"/>
                <w:vertAlign w:val="superscript"/>
              </w:rPr>
              <w:t>(1)</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91.7</w:t>
            </w:r>
          </w:p>
        </w:tc>
        <w:tc>
          <w:tcPr>
            <w:tcW w:w="3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r>
      <w:tr>
        <w:trPr>
          <w:trHeight w:val="223"/>
        </w:trPr>
        <w:tc>
          <w:tcPr>
            <w:tcW w:w="8440" w:type="dxa"/>
            <w:vAlign w:val="bottom"/>
          </w:tcPr>
          <w:p>
            <w:pPr>
              <w:ind w:left="20"/>
              <w:spacing w:after="0"/>
              <w:rPr>
                <w:sz w:val="20"/>
                <w:szCs w:val="20"/>
                <w:color w:val="auto"/>
              </w:rPr>
            </w:pPr>
            <w:r>
              <w:rPr>
                <w:rFonts w:ascii="Arial" w:cs="Arial" w:eastAsia="Arial" w:hAnsi="Arial"/>
                <w:sz w:val="17"/>
                <w:szCs w:val="17"/>
                <w:color w:val="auto"/>
              </w:rPr>
              <w:t>Finance lease cost:</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8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Amortization of assets under finance lease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w:t>
            </w:r>
          </w:p>
        </w:tc>
      </w:tr>
      <w:tr>
        <w:trPr>
          <w:trHeight w:val="223"/>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Interest</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r>
      <w:tr>
        <w:trPr>
          <w:trHeight w:val="24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finance lease cost</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9"/>
              </w:rPr>
              <w:t>118.9</w:t>
            </w:r>
          </w:p>
        </w:tc>
        <w:tc>
          <w:tcPr>
            <w:tcW w:w="3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180" w:hanging="175"/>
        <w:spacing w:after="0"/>
        <w:tabs>
          <w:tab w:leader="none" w:pos="180" w:val="left"/>
        </w:tabs>
        <w:numPr>
          <w:ilvl w:val="0"/>
          <w:numId w:val="38"/>
        </w:numPr>
        <w:rPr>
          <w:rFonts w:ascii="Arial" w:cs="Arial" w:eastAsia="Arial" w:hAnsi="Arial"/>
          <w:sz w:val="21"/>
          <w:szCs w:val="21"/>
          <w:color w:val="auto"/>
          <w:vertAlign w:val="superscript"/>
        </w:rPr>
      </w:pPr>
      <w:r>
        <w:rPr>
          <w:rFonts w:ascii="Arial" w:cs="Arial" w:eastAsia="Arial" w:hAnsi="Arial"/>
          <w:sz w:val="14"/>
          <w:szCs w:val="14"/>
          <w:color w:val="auto"/>
        </w:rPr>
        <w:t>Is presented gross of sublease income and includes short-term leases, which are immaterial.</w:t>
      </w:r>
    </w:p>
    <w:p>
      <w:pPr>
        <w:spacing w:after="0" w:line="200" w:lineRule="exact"/>
        <w:rPr>
          <w:rFonts w:ascii="Arial" w:cs="Arial" w:eastAsia="Arial" w:hAnsi="Arial"/>
          <w:sz w:val="21"/>
          <w:szCs w:val="21"/>
          <w:color w:val="auto"/>
          <w:vertAlign w:val="superscript"/>
        </w:rPr>
      </w:pPr>
    </w:p>
    <w:p>
      <w:pPr>
        <w:spacing w:after="0" w:line="371"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7160" w:type="dxa"/>
            <w:vAlign w:val="bottom"/>
            <w:gridSpan w:val="2"/>
          </w:tcPr>
          <w:p>
            <w:pPr>
              <w:spacing w:after="0"/>
              <w:rPr>
                <w:sz w:val="20"/>
                <w:szCs w:val="20"/>
                <w:color w:val="auto"/>
              </w:rPr>
            </w:pPr>
            <w:r>
              <w:rPr>
                <w:rFonts w:ascii="Arial" w:cs="Arial" w:eastAsia="Arial" w:hAnsi="Arial"/>
                <w:sz w:val="17"/>
                <w:szCs w:val="17"/>
                <w:color w:val="auto"/>
              </w:rPr>
              <w:t>Other information related to leases was as follows:</w:t>
            </w: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94"/>
        </w:trPr>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Arial" w:cs="Arial" w:eastAsia="Arial" w:hAnsi="Arial"/>
                <w:sz w:val="17"/>
                <w:szCs w:val="17"/>
                <w:b w:val="1"/>
                <w:bCs w:val="1"/>
                <w:color w:val="auto"/>
                <w:w w:val="95"/>
              </w:rPr>
              <w:t>Year ended December 31,</w:t>
            </w:r>
          </w:p>
        </w:tc>
        <w:tc>
          <w:tcPr>
            <w:tcW w:w="178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Year ended December</w:t>
            </w:r>
          </w:p>
        </w:tc>
      </w:tr>
      <w:tr>
        <w:trPr>
          <w:trHeight w:val="229"/>
        </w:trPr>
        <w:tc>
          <w:tcPr>
            <w:tcW w:w="1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r>
      <w:tr>
        <w:trPr>
          <w:trHeight w:val="210"/>
        </w:trPr>
        <w:tc>
          <w:tcPr>
            <w:tcW w:w="12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7"/>
                <w:szCs w:val="17"/>
                <w:b w:val="1"/>
                <w:bCs w:val="1"/>
                <w:color w:val="auto"/>
              </w:rPr>
              <w:t>Supplemental Cash Flow Information:</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7040" w:type="dxa"/>
            <w:vAlign w:val="bottom"/>
          </w:tcPr>
          <w:p>
            <w:pPr>
              <w:ind w:left="220"/>
              <w:spacing w:after="0"/>
              <w:rPr>
                <w:sz w:val="20"/>
                <w:szCs w:val="20"/>
                <w:color w:val="auto"/>
              </w:rPr>
            </w:pPr>
            <w:r>
              <w:rPr>
                <w:rFonts w:ascii="Arial" w:cs="Arial" w:eastAsia="Arial" w:hAnsi="Arial"/>
                <w:sz w:val="17"/>
                <w:szCs w:val="17"/>
                <w:color w:val="auto"/>
              </w:rPr>
              <w:t>Payments for operating leases included in cash from operating activities</w:t>
            </w: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104.7</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120" w:type="dxa"/>
            <w:vAlign w:val="bottom"/>
          </w:tcPr>
          <w:p>
            <w:pPr>
              <w:spacing w:after="0"/>
              <w:rPr>
                <w:sz w:val="19"/>
                <w:szCs w:val="19"/>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finance leases included in cash from operating activities</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7040" w:type="dxa"/>
            <w:vAlign w:val="bottom"/>
          </w:tcPr>
          <w:p>
            <w:pPr>
              <w:ind w:left="220"/>
              <w:spacing w:after="0"/>
              <w:rPr>
                <w:sz w:val="20"/>
                <w:szCs w:val="20"/>
                <w:color w:val="auto"/>
              </w:rPr>
            </w:pPr>
            <w:r>
              <w:rPr>
                <w:rFonts w:ascii="Arial" w:cs="Arial" w:eastAsia="Arial" w:hAnsi="Arial"/>
                <w:sz w:val="17"/>
                <w:szCs w:val="17"/>
                <w:color w:val="auto"/>
              </w:rPr>
              <w:t>Payments for finance leases included in cash from financing activities</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127.5</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12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obtained in exchange for lease obligations:</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33.0</w:t>
            </w: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Finance leases</w:t>
            </w: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w:t>
            </w: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bl>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4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w w:val="99"/>
              </w:rPr>
              <w:t>As of December 31, 2022</w:t>
            </w:r>
          </w:p>
        </w:tc>
        <w:tc>
          <w:tcPr>
            <w:tcW w:w="21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95"/>
              </w:rPr>
              <w:t>As of December 31, 2021</w:t>
            </w: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Remaining Lease Term (in years)</w:t>
            </w:r>
          </w:p>
        </w:tc>
        <w:tc>
          <w:tcPr>
            <w:tcW w:w="22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23"/>
        </w:trPr>
        <w:tc>
          <w:tcPr>
            <w:tcW w:w="684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2280" w:type="dxa"/>
            <w:vAlign w:val="bottom"/>
          </w:tcPr>
          <w:p>
            <w:pPr>
              <w:jc w:val="right"/>
              <w:ind w:right="13"/>
              <w:spacing w:after="0"/>
              <w:rPr>
                <w:sz w:val="20"/>
                <w:szCs w:val="20"/>
                <w:color w:val="auto"/>
              </w:rPr>
            </w:pPr>
            <w:r>
              <w:rPr>
                <w:rFonts w:ascii="Arial" w:cs="Arial" w:eastAsia="Arial" w:hAnsi="Arial"/>
                <w:sz w:val="17"/>
                <w:szCs w:val="17"/>
                <w:color w:val="auto"/>
              </w:rPr>
              <w:t>9.9</w:t>
            </w:r>
          </w:p>
        </w:tc>
        <w:tc>
          <w:tcPr>
            <w:tcW w:w="212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23"/>
        </w:trPr>
        <w:tc>
          <w:tcPr>
            <w:tcW w:w="6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Finance leases</w:t>
            </w:r>
          </w:p>
        </w:tc>
        <w:tc>
          <w:tcPr>
            <w:tcW w:w="22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2.6</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62"/>
        </w:trPr>
        <w:tc>
          <w:tcPr>
            <w:tcW w:w="68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22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23"/>
        </w:trPr>
        <w:tc>
          <w:tcPr>
            <w:tcW w:w="684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2280" w:type="dxa"/>
            <w:vAlign w:val="bottom"/>
          </w:tcPr>
          <w:p>
            <w:pPr>
              <w:jc w:val="right"/>
              <w:ind w:right="13"/>
              <w:spacing w:after="0"/>
              <w:rPr>
                <w:sz w:val="20"/>
                <w:szCs w:val="20"/>
                <w:color w:val="auto"/>
              </w:rPr>
            </w:pPr>
            <w:r>
              <w:rPr>
                <w:rFonts w:ascii="Arial" w:cs="Arial" w:eastAsia="Arial" w:hAnsi="Arial"/>
                <w:sz w:val="17"/>
                <w:szCs w:val="17"/>
                <w:color w:val="auto"/>
              </w:rPr>
              <w:t>4.1 %</w:t>
            </w:r>
          </w:p>
        </w:tc>
        <w:tc>
          <w:tcPr>
            <w:tcW w:w="2120" w:type="dxa"/>
            <w:vAlign w:val="bottom"/>
          </w:tcPr>
          <w:p>
            <w:pPr>
              <w:jc w:val="right"/>
              <w:spacing w:after="0"/>
              <w:rPr>
                <w:sz w:val="20"/>
                <w:szCs w:val="20"/>
                <w:color w:val="auto"/>
              </w:rPr>
            </w:pPr>
            <w:r>
              <w:rPr>
                <w:rFonts w:ascii="Arial" w:cs="Arial" w:eastAsia="Arial" w:hAnsi="Arial"/>
                <w:sz w:val="17"/>
                <w:szCs w:val="17"/>
                <w:color w:val="auto"/>
              </w:rPr>
              <w:t>4.0 %</w:t>
            </w:r>
          </w:p>
        </w:tc>
      </w:tr>
      <w:tr>
        <w:trPr>
          <w:trHeight w:val="223"/>
        </w:trPr>
        <w:tc>
          <w:tcPr>
            <w:tcW w:w="6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Finance leases</w:t>
            </w:r>
          </w:p>
        </w:tc>
        <w:tc>
          <w:tcPr>
            <w:tcW w:w="22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3.4 %</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r>
    </w:tbl>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lease payments under non-cancellable leases as of December 31, 2022 were as follows: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ending December 31,</w:t>
            </w:r>
          </w:p>
        </w:tc>
        <w:tc>
          <w:tcPr>
            <w:tcW w:w="2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433"/>
              <w:spacing w:after="0"/>
              <w:rPr>
                <w:sz w:val="20"/>
                <w:szCs w:val="20"/>
                <w:color w:val="auto"/>
              </w:rPr>
            </w:pPr>
            <w:r>
              <w:rPr>
                <w:rFonts w:ascii="Arial" w:cs="Arial" w:eastAsia="Arial" w:hAnsi="Arial"/>
                <w:sz w:val="17"/>
                <w:szCs w:val="17"/>
                <w:b w:val="1"/>
                <w:bCs w:val="1"/>
                <w:color w:val="auto"/>
              </w:rPr>
              <w:t>Finance leases</w:t>
            </w:r>
          </w:p>
        </w:tc>
      </w:tr>
      <w:tr>
        <w:trPr>
          <w:trHeight w:val="223"/>
        </w:trPr>
        <w:tc>
          <w:tcPr>
            <w:tcW w:w="6940" w:type="dxa"/>
            <w:vAlign w:val="bottom"/>
          </w:tcPr>
          <w:p>
            <w:pPr>
              <w:ind w:left="20"/>
              <w:spacing w:after="0"/>
              <w:rPr>
                <w:sz w:val="20"/>
                <w:szCs w:val="20"/>
                <w:color w:val="auto"/>
              </w:rPr>
            </w:pPr>
            <w:r>
              <w:rPr>
                <w:rFonts w:ascii="Arial" w:cs="Arial" w:eastAsia="Arial" w:hAnsi="Arial"/>
                <w:sz w:val="17"/>
                <w:szCs w:val="17"/>
                <w:color w:val="auto"/>
              </w:rPr>
              <w:t>2023</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94.7</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121.9</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r>
      <w:tr>
        <w:trPr>
          <w:trHeight w:val="223"/>
        </w:trPr>
        <w:tc>
          <w:tcPr>
            <w:tcW w:w="6940" w:type="dxa"/>
            <w:vAlign w:val="bottom"/>
          </w:tcPr>
          <w:p>
            <w:pPr>
              <w:ind w:left="20"/>
              <w:spacing w:after="0"/>
              <w:rPr>
                <w:sz w:val="20"/>
                <w:szCs w:val="20"/>
                <w:color w:val="auto"/>
              </w:rPr>
            </w:pPr>
            <w:r>
              <w:rPr>
                <w:rFonts w:ascii="Arial" w:cs="Arial" w:eastAsia="Arial" w:hAnsi="Arial"/>
                <w:sz w:val="17"/>
                <w:szCs w:val="17"/>
                <w:color w:val="auto"/>
              </w:rPr>
              <w:t>2025</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49.4</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23"/>
        </w:trPr>
        <w:tc>
          <w:tcPr>
            <w:tcW w:w="6940" w:type="dxa"/>
            <w:vAlign w:val="bottom"/>
          </w:tcPr>
          <w:p>
            <w:pPr>
              <w:ind w:left="20"/>
              <w:spacing w:after="0"/>
              <w:rPr>
                <w:sz w:val="20"/>
                <w:szCs w:val="20"/>
                <w:color w:val="auto"/>
              </w:rPr>
            </w:pPr>
            <w:r>
              <w:rPr>
                <w:rFonts w:ascii="Arial" w:cs="Arial" w:eastAsia="Arial" w:hAnsi="Arial"/>
                <w:sz w:val="17"/>
                <w:szCs w:val="17"/>
                <w:color w:val="auto"/>
              </w:rPr>
              <w:t>2027</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65.1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Total future minimum lease payments</w:t>
            </w: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810.8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280.0</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tenant improvement receivables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liability</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right="720" w:firstLine="320"/>
        <w:spacing w:after="0" w:line="248" w:lineRule="auto"/>
        <w:tabs>
          <w:tab w:leader="none" w:pos="490" w:val="left"/>
        </w:tabs>
        <w:numPr>
          <w:ilvl w:val="0"/>
          <w:numId w:val="39"/>
        </w:numPr>
        <w:rPr>
          <w:rFonts w:ascii="Arial" w:cs="Arial" w:eastAsia="Arial" w:hAnsi="Arial"/>
          <w:sz w:val="20"/>
          <w:szCs w:val="20"/>
          <w:color w:val="auto"/>
          <w:vertAlign w:val="superscript"/>
        </w:rPr>
      </w:pPr>
      <w:r>
        <w:rPr>
          <w:rFonts w:ascii="Arial" w:cs="Arial" w:eastAsia="Arial" w:hAnsi="Arial"/>
          <w:sz w:val="14"/>
          <w:szCs w:val="14"/>
          <w:color w:val="auto"/>
        </w:rPr>
        <w:t>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0000FF"/>
        </w:rPr>
        <w:t>Table of Contents</w:t>
      </w:r>
    </w:p>
    <w:tbl>
      <w:tblPr>
        <w:tblLayout w:type="fixed"/>
        <w:tblInd w:w="0" w:type="dxa"/>
        <w:tblCellMar>
          <w:top w:w="0" w:type="dxa"/>
          <w:left w:w="0" w:type="dxa"/>
          <w:bottom w:w="0" w:type="dxa"/>
          <w:right w:w="0" w:type="dxa"/>
        </w:tblCellMar>
      </w:tblPr>
      <w:tr>
        <w:trPr>
          <w:trHeight w:val="198"/>
        </w:trPr>
        <w:tc>
          <w:tcPr>
            <w:tcW w:w="3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7940" w:type="dxa"/>
            <w:vAlign w:val="bottom"/>
          </w:tcPr>
          <w:p>
            <w:pPr>
              <w:jc w:val="center"/>
              <w:ind w:left="973"/>
              <w:spacing w:after="0"/>
              <w:rPr>
                <w:sz w:val="20"/>
                <w:szCs w:val="20"/>
                <w:color w:val="auto"/>
              </w:rPr>
            </w:pPr>
            <w:r>
              <w:rPr>
                <w:rFonts w:ascii="Arial" w:cs="Arial" w:eastAsia="Arial" w:hAnsi="Arial"/>
                <w:sz w:val="17"/>
                <w:szCs w:val="17"/>
                <w:b w:val="1"/>
                <w:bCs w:val="1"/>
                <w:color w:val="auto"/>
              </w:rPr>
              <w:t>DROPBOX, INC.</w:t>
            </w: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28"/>
        </w:trPr>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940" w:type="dxa"/>
            <w:vAlign w:val="bottom"/>
          </w:tcPr>
          <w:p>
            <w:pPr>
              <w:jc w:val="center"/>
              <w:ind w:left="993"/>
              <w:spacing w:after="0"/>
              <w:rPr>
                <w:sz w:val="20"/>
                <w:szCs w:val="20"/>
                <w:color w:val="auto"/>
              </w:rPr>
            </w:pPr>
            <w:r>
              <w:rPr>
                <w:rFonts w:ascii="Arial" w:cs="Arial" w:eastAsia="Arial" w:hAnsi="Arial"/>
                <w:sz w:val="17"/>
                <w:szCs w:val="17"/>
                <w:b w:val="1"/>
                <w:bCs w:val="1"/>
                <w:color w:val="auto"/>
              </w:rPr>
              <w:t>NOTES TO CONSOLIDATED FINANCIAL STATEMENTS</w:t>
            </w: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15"/>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40" w:type="dxa"/>
            <w:vAlign w:val="bottom"/>
          </w:tcPr>
          <w:p>
            <w:pPr>
              <w:jc w:val="center"/>
              <w:ind w:left="973"/>
              <w:spacing w:after="0"/>
              <w:rPr>
                <w:sz w:val="20"/>
                <w:szCs w:val="20"/>
                <w:color w:val="auto"/>
              </w:rPr>
            </w:pPr>
            <w:r>
              <w:rPr>
                <w:rFonts w:ascii="Arial" w:cs="Arial" w:eastAsia="Arial" w:hAnsi="Arial"/>
                <w:sz w:val="17"/>
                <w:szCs w:val="17"/>
                <w:i w:val="1"/>
                <w:iCs w:val="1"/>
                <w:color w:val="auto"/>
                <w:w w:val="93"/>
              </w:rPr>
              <w:t>(Amounts in tables are in millions except per share data, or as otherwise noted)</w:t>
            </w: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629"/>
        </w:trPr>
        <w:tc>
          <w:tcPr>
            <w:tcW w:w="9060" w:type="dxa"/>
            <w:vAlign w:val="bottom"/>
            <w:gridSpan w:val="3"/>
          </w:tcPr>
          <w:p>
            <w:pPr>
              <w:ind w:left="320"/>
              <w:spacing w:after="0"/>
              <w:rPr>
                <w:sz w:val="20"/>
                <w:szCs w:val="20"/>
                <w:color w:val="auto"/>
              </w:rPr>
            </w:pPr>
            <w:r>
              <w:rPr>
                <w:rFonts w:ascii="Arial" w:cs="Arial" w:eastAsia="Arial" w:hAnsi="Arial"/>
                <w:sz w:val="17"/>
                <w:szCs w:val="17"/>
                <w:color w:val="auto"/>
              </w:rPr>
              <w:t>Future non-cancelable rent payments from the Company's subtenants as of December 31, 2022 were as follows:</w:t>
            </w: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74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23"/>
        </w:trPr>
        <w:tc>
          <w:tcPr>
            <w:tcW w:w="320" w:type="dxa"/>
            <w:vAlign w:val="bottom"/>
          </w:tcPr>
          <w:p>
            <w:pPr>
              <w:spacing w:after="0"/>
              <w:rPr>
                <w:sz w:val="19"/>
                <w:szCs w:val="19"/>
                <w:color w:val="auto"/>
              </w:rPr>
            </w:pPr>
          </w:p>
        </w:tc>
        <w:tc>
          <w:tcPr>
            <w:tcW w:w="8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Year ending December 31,</w:t>
            </w: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Operating leases</w:t>
            </w:r>
          </w:p>
        </w:tc>
      </w:tr>
      <w:tr>
        <w:trPr>
          <w:trHeight w:val="223"/>
        </w:trPr>
        <w:tc>
          <w:tcPr>
            <w:tcW w:w="1120" w:type="dxa"/>
            <w:vAlign w:val="bottom"/>
            <w:gridSpan w:val="2"/>
          </w:tcPr>
          <w:p>
            <w:pPr>
              <w:ind w:left="340"/>
              <w:spacing w:after="0"/>
              <w:rPr>
                <w:sz w:val="20"/>
                <w:szCs w:val="20"/>
                <w:color w:val="auto"/>
              </w:rPr>
            </w:pPr>
            <w:r>
              <w:rPr>
                <w:rFonts w:ascii="Arial" w:cs="Arial" w:eastAsia="Arial" w:hAnsi="Arial"/>
                <w:sz w:val="17"/>
                <w:szCs w:val="17"/>
                <w:color w:val="auto"/>
              </w:rPr>
              <w:t>2023</w:t>
            </w:r>
          </w:p>
        </w:tc>
        <w:tc>
          <w:tcPr>
            <w:tcW w:w="7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32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7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3"/>
        </w:trPr>
        <w:tc>
          <w:tcPr>
            <w:tcW w:w="1120" w:type="dxa"/>
            <w:vAlign w:val="bottom"/>
            <w:gridSpan w:val="2"/>
          </w:tcPr>
          <w:p>
            <w:pPr>
              <w:ind w:left="340"/>
              <w:spacing w:after="0"/>
              <w:rPr>
                <w:sz w:val="20"/>
                <w:szCs w:val="20"/>
                <w:color w:val="auto"/>
              </w:rPr>
            </w:pPr>
            <w:r>
              <w:rPr>
                <w:rFonts w:ascii="Arial" w:cs="Arial" w:eastAsia="Arial" w:hAnsi="Arial"/>
                <w:sz w:val="17"/>
                <w:szCs w:val="17"/>
                <w:color w:val="auto"/>
              </w:rPr>
              <w:t>2025</w:t>
            </w:r>
          </w:p>
        </w:tc>
        <w:tc>
          <w:tcPr>
            <w:tcW w:w="7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3"/>
        </w:trPr>
        <w:tc>
          <w:tcPr>
            <w:tcW w:w="32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7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3"/>
        </w:trPr>
        <w:tc>
          <w:tcPr>
            <w:tcW w:w="1120" w:type="dxa"/>
            <w:vAlign w:val="bottom"/>
            <w:gridSpan w:val="2"/>
          </w:tcPr>
          <w:p>
            <w:pPr>
              <w:ind w:left="340"/>
              <w:spacing w:after="0"/>
              <w:rPr>
                <w:sz w:val="20"/>
                <w:szCs w:val="20"/>
                <w:color w:val="auto"/>
              </w:rPr>
            </w:pPr>
            <w:r>
              <w:rPr>
                <w:rFonts w:ascii="Arial" w:cs="Arial" w:eastAsia="Arial" w:hAnsi="Arial"/>
                <w:sz w:val="17"/>
                <w:szCs w:val="17"/>
                <w:color w:val="auto"/>
              </w:rPr>
              <w:t>2027</w:t>
            </w:r>
          </w:p>
        </w:tc>
        <w:tc>
          <w:tcPr>
            <w:tcW w:w="7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23"/>
        </w:trPr>
        <w:tc>
          <w:tcPr>
            <w:tcW w:w="320" w:type="dxa"/>
            <w:vAlign w:val="bottom"/>
          </w:tcPr>
          <w:p>
            <w:pPr>
              <w:spacing w:after="0"/>
              <w:rPr>
                <w:sz w:val="19"/>
                <w:szCs w:val="19"/>
                <w:color w:val="auto"/>
              </w:rPr>
            </w:pPr>
          </w:p>
        </w:tc>
        <w:tc>
          <w:tcPr>
            <w:tcW w:w="8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3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320" w:type="dxa"/>
            <w:vAlign w:val="bottom"/>
          </w:tcPr>
          <w:p>
            <w:pPr>
              <w:spacing w:after="0"/>
              <w:rPr>
                <w:sz w:val="18"/>
                <w:szCs w:val="18"/>
                <w:color w:val="auto"/>
              </w:rPr>
            </w:pPr>
          </w:p>
        </w:tc>
        <w:tc>
          <w:tcPr>
            <w:tcW w:w="8740" w:type="dxa"/>
            <w:vAlign w:val="bottom"/>
            <w:gridSpan w:val="2"/>
          </w:tcPr>
          <w:p>
            <w:pPr>
              <w:ind w:left="20"/>
              <w:spacing w:after="0"/>
              <w:rPr>
                <w:sz w:val="20"/>
                <w:szCs w:val="20"/>
                <w:color w:val="auto"/>
              </w:rPr>
            </w:pPr>
            <w:r>
              <w:rPr>
                <w:rFonts w:ascii="Arial" w:cs="Arial" w:eastAsia="Arial" w:hAnsi="Arial"/>
                <w:sz w:val="17"/>
                <w:szCs w:val="17"/>
                <w:color w:val="auto"/>
              </w:rPr>
              <w:t>Total future sublease rent payments</w:t>
            </w: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96.</w:t>
            </w:r>
          </w:p>
        </w:tc>
      </w:tr>
      <w:tr>
        <w:trPr>
          <w:trHeight w:val="223"/>
        </w:trPr>
        <w:tc>
          <w:tcPr>
            <w:tcW w:w="320" w:type="dxa"/>
            <w:vAlign w:val="bottom"/>
          </w:tcPr>
          <w:p>
            <w:pPr>
              <w:spacing w:after="0"/>
              <w:rPr>
                <w:sz w:val="19"/>
                <w:szCs w:val="19"/>
                <w:color w:val="auto"/>
              </w:rPr>
            </w:pPr>
          </w:p>
        </w:tc>
        <w:tc>
          <w:tcPr>
            <w:tcW w:w="8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subtenant incentive</w:t>
            </w:r>
          </w:p>
        </w:tc>
        <w:tc>
          <w:tcPr>
            <w:tcW w:w="3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1"/>
        </w:trPr>
        <w:tc>
          <w:tcPr>
            <w:tcW w:w="320" w:type="dxa"/>
            <w:vAlign w:val="bottom"/>
          </w:tcPr>
          <w:p>
            <w:pPr>
              <w:spacing w:after="0"/>
              <w:rPr>
                <w:sz w:val="19"/>
                <w:szCs w:val="19"/>
                <w:color w:val="auto"/>
              </w:rPr>
            </w:pPr>
          </w:p>
        </w:tc>
        <w:tc>
          <w:tcPr>
            <w:tcW w:w="8740" w:type="dxa"/>
            <w:vAlign w:val="bottom"/>
            <w:gridSpan w:val="2"/>
          </w:tcPr>
          <w:p>
            <w:pPr>
              <w:ind w:left="20"/>
              <w:spacing w:after="0"/>
              <w:rPr>
                <w:sz w:val="20"/>
                <w:szCs w:val="20"/>
                <w:color w:val="auto"/>
              </w:rPr>
            </w:pPr>
            <w:r>
              <w:rPr>
                <w:rFonts w:ascii="Arial" w:cs="Arial" w:eastAsia="Arial" w:hAnsi="Arial"/>
                <w:sz w:val="17"/>
                <w:szCs w:val="17"/>
                <w:color w:val="auto"/>
              </w:rPr>
              <w:t>Total future sublease rent payments, net</w:t>
            </w:r>
          </w:p>
        </w:tc>
        <w:tc>
          <w:tcPr>
            <w:tcW w:w="360" w:type="dxa"/>
            <w:vAlign w:val="bottom"/>
          </w:tcPr>
          <w:p>
            <w:pPr>
              <w:jc w:val="right"/>
              <w:ind w:right="153"/>
              <w:spacing w:after="0"/>
              <w:rPr>
                <w:sz w:val="20"/>
                <w:szCs w:val="20"/>
                <w:color w:val="auto"/>
              </w:rPr>
            </w:pPr>
            <w:r>
              <w:rPr>
                <w:rFonts w:ascii="Arial" w:cs="Arial" w:eastAsia="Arial" w:hAnsi="Arial"/>
                <w:sz w:val="17"/>
                <w:szCs w:val="17"/>
                <w:b w:val="1"/>
                <w:bCs w:val="1"/>
                <w:color w:val="auto"/>
              </w:rPr>
              <w:t>$</w:t>
            </w: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95.</w:t>
            </w:r>
          </w:p>
        </w:tc>
      </w:tr>
    </w:tbl>
    <w:p>
      <w:pPr>
        <w:spacing w:after="0" w:line="200" w:lineRule="exact"/>
        <w:rPr>
          <w:sz w:val="20"/>
          <w:szCs w:val="20"/>
          <w:color w:val="auto"/>
        </w:rPr>
      </w:pPr>
    </w:p>
    <w:p>
      <w:pPr>
        <w:spacing w:after="0" w:line="347" w:lineRule="exact"/>
        <w:rPr>
          <w:sz w:val="20"/>
          <w:szCs w:val="20"/>
          <w:color w:val="auto"/>
        </w:rPr>
      </w:pPr>
    </w:p>
    <w:p>
      <w:pPr>
        <w:ind w:right="240" w:firstLine="393"/>
        <w:spacing w:after="0" w:line="298" w:lineRule="auto"/>
        <w:rPr>
          <w:sz w:val="20"/>
          <w:szCs w:val="20"/>
          <w:color w:val="auto"/>
        </w:rPr>
      </w:pPr>
      <w:r>
        <w:rPr>
          <w:rFonts w:ascii="Arial" w:cs="Arial" w:eastAsia="Arial" w:hAnsi="Arial"/>
          <w:sz w:val="16"/>
          <w:szCs w:val="16"/>
          <w:color w:val="auto"/>
        </w:rPr>
        <w:t>In 2017, the Company signed a 15 year lease agreement for office space in San Francisco, California, to serve as its corporate headquarters which commenced in 2018. The Company’s obligations under the lease are supported by a $26.1 million letter of credit, which reduced the borrowing capacity under the revolving credit facility. As of December 31, 2022, the Company's remaining minimum obligation for its headquarters was $553.2 million.</w:t>
      </w:r>
    </w:p>
    <w:p>
      <w:pPr>
        <w:spacing w:after="0" w:line="180" w:lineRule="exact"/>
        <w:rPr>
          <w:sz w:val="20"/>
          <w:szCs w:val="20"/>
          <w:color w:val="auto"/>
        </w:rPr>
      </w:pPr>
    </w:p>
    <w:p>
      <w:pPr>
        <w:ind w:right="160" w:firstLine="315"/>
        <w:spacing w:after="0" w:line="268" w:lineRule="auto"/>
        <w:rPr>
          <w:sz w:val="20"/>
          <w:szCs w:val="20"/>
          <w:color w:val="auto"/>
        </w:rPr>
      </w:pPr>
      <w:r>
        <w:rPr>
          <w:rFonts w:ascii="Arial" w:cs="Arial" w:eastAsia="Arial" w:hAnsi="Arial"/>
          <w:sz w:val="17"/>
          <w:szCs w:val="17"/>
          <w:color w:val="auto"/>
        </w:rPr>
        <w:t>In the fourth quarter of 2020, the Company announced a Virtual First work model pursuant to which remote work has become the primary experience for all of its employees. As part of the Virtual First strategy, Dropbox retained a portion of its office space to be used for the Company’s team collaboration use and a portion will be marketed for sublease. The Company evaluated certain of its right-of-use assets and other lease related assets including leasehold improvements, furniture and fixtures, and computer equipment for impairment under ASC 360.</w:t>
      </w:r>
    </w:p>
    <w:p>
      <w:pPr>
        <w:spacing w:after="0" w:line="202" w:lineRule="exact"/>
        <w:rPr>
          <w:sz w:val="20"/>
          <w:szCs w:val="20"/>
          <w:color w:val="auto"/>
        </w:rPr>
      </w:pPr>
    </w:p>
    <w:p>
      <w:pPr>
        <w:ind w:right="140" w:firstLine="393"/>
        <w:spacing w:after="0" w:line="265" w:lineRule="auto"/>
        <w:rPr>
          <w:sz w:val="20"/>
          <w:szCs w:val="20"/>
          <w:color w:val="auto"/>
        </w:rPr>
      </w:pPr>
      <w:r>
        <w:rPr>
          <w:rFonts w:ascii="Arial" w:cs="Arial" w:eastAsia="Arial" w:hAnsi="Arial"/>
          <w:sz w:val="17"/>
          <w:szCs w:val="17"/>
          <w:color w:val="auto"/>
        </w:rPr>
        <w:t>During the years ended December 31, 2022 and 2021, the Company continued to evaluate the recoverability of its real estate assets and made adjustments to market participant assumptions. In the fourth quarter of 2022, the Company determined that there were adverse changes in the corporate real estate markets where it plans to sublease office space. These changes have reduced demand for corporate office real estate, which the Company expects will result in increased real estate vacancy periods and reduced sublease rent rates. Accordingly, the Company assessed the recoverability of its real estate assets in the markets that have been impacted.</w:t>
      </w:r>
    </w:p>
    <w:p>
      <w:pPr>
        <w:spacing w:after="0" w:line="206" w:lineRule="exact"/>
        <w:rPr>
          <w:sz w:val="20"/>
          <w:szCs w:val="20"/>
          <w:color w:val="auto"/>
        </w:rPr>
      </w:pPr>
    </w:p>
    <w:p>
      <w:pPr>
        <w:jc w:val="both"/>
        <w:ind w:right="160" w:firstLine="315"/>
        <w:spacing w:after="0" w:line="360" w:lineRule="auto"/>
        <w:rPr>
          <w:sz w:val="20"/>
          <w:szCs w:val="20"/>
          <w:color w:val="auto"/>
        </w:rPr>
      </w:pPr>
      <w:r>
        <w:rPr>
          <w:rFonts w:ascii="Arial" w:cs="Arial" w:eastAsia="Arial" w:hAnsi="Arial"/>
          <w:sz w:val="15"/>
          <w:szCs w:val="15"/>
          <w:color w:val="auto"/>
        </w:rPr>
        <w:t>As a result of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spacing w:after="0" w:line="138" w:lineRule="exact"/>
        <w:rPr>
          <w:sz w:val="20"/>
          <w:szCs w:val="20"/>
          <w:color w:val="auto"/>
        </w:rPr>
      </w:pPr>
    </w:p>
    <w:p>
      <w:pPr>
        <w:jc w:val="both"/>
        <w:ind w:right="160" w:firstLine="393"/>
        <w:spacing w:after="0" w:line="298" w:lineRule="auto"/>
        <w:rPr>
          <w:sz w:val="20"/>
          <w:szCs w:val="20"/>
          <w:color w:val="auto"/>
        </w:rPr>
      </w:pPr>
      <w:r>
        <w:rPr>
          <w:rFonts w:ascii="Arial" w:cs="Arial" w:eastAsia="Arial" w:hAnsi="Arial"/>
          <w:sz w:val="16"/>
          <w:szCs w:val="16"/>
          <w:color w:val="auto"/>
        </w:rPr>
        <w:t>The Company recorded impairment charges related to real estate assets of $175.2 million and $31.3 million during the year ended December 31, 2022 and 2021, respectively. The impairment charges included accruals for expected losses related to common area maintenance costs that the Company expects to incur during vacancy periods. Accruals for expected losses are recorded within accrued and other current liabilities and other liabilities.</w:t>
      </w:r>
    </w:p>
    <w:p>
      <w:pPr>
        <w:spacing w:after="0" w:line="2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2022, the Company has a $1.0 million commitment related to a sublease that has not commenced, with a lease term of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3" w:right="23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Commitments and Contingencies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19" w:lineRule="exact"/>
        <w:rPr>
          <w:sz w:val="20"/>
          <w:szCs w:val="20"/>
          <w:color w:val="auto"/>
        </w:rPr>
      </w:pPr>
    </w:p>
    <w:p>
      <w:pPr>
        <w:ind w:right="340" w:firstLine="433"/>
        <w:spacing w:after="0" w:line="289" w:lineRule="auto"/>
        <w:rPr>
          <w:sz w:val="20"/>
          <w:szCs w:val="20"/>
          <w:color w:val="auto"/>
        </w:rPr>
      </w:pPr>
      <w:r>
        <w:rPr>
          <w:rFonts w:ascii="Arial" w:cs="Arial" w:eastAsia="Arial" w:hAnsi="Arial"/>
          <w:sz w:val="17"/>
          <w:szCs w:val="17"/>
          <w:color w:val="auto"/>
        </w:rPr>
        <w:t>Other commitments include payments to third-party vendors for services related to the Company's infrastructure, infrastructure warranty contracts, and asset retirement obligations for office modifications.</w:t>
      </w:r>
    </w:p>
    <w:p>
      <w:pPr>
        <w:spacing w:after="0" w:line="185" w:lineRule="exact"/>
        <w:rPr>
          <w:sz w:val="20"/>
          <w:szCs w:val="20"/>
          <w:color w:val="auto"/>
        </w:rPr>
      </w:pPr>
    </w:p>
    <w:p>
      <w:pPr>
        <w:ind w:right="280" w:firstLine="433"/>
        <w:spacing w:after="0" w:line="289" w:lineRule="auto"/>
        <w:rPr>
          <w:sz w:val="20"/>
          <w:szCs w:val="20"/>
          <w:color w:val="auto"/>
        </w:rPr>
      </w:pPr>
      <w:r>
        <w:rPr>
          <w:rFonts w:ascii="Arial" w:cs="Arial" w:eastAsia="Arial" w:hAnsi="Arial"/>
          <w:sz w:val="17"/>
          <w:szCs w:val="17"/>
          <w:color w:val="auto"/>
        </w:rPr>
        <w:t>Future minimum payments under the Company's non-cancelable leases, finance lease obligations, and other commitments as of December 31, 2022, are as follows, and exclude non-cancelable rent payments from the Company's subtenants:</w:t>
      </w:r>
    </w:p>
    <w:p>
      <w:pPr>
        <w:spacing w:after="0" w:line="290"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1320" w:type="dxa"/>
            <w:vAlign w:val="bottom"/>
          </w:tcPr>
          <w:p>
            <w:pPr>
              <w:jc w:val="center"/>
              <w:ind w:left="513"/>
              <w:spacing w:after="0"/>
              <w:rPr>
                <w:sz w:val="20"/>
                <w:szCs w:val="20"/>
                <w:color w:val="auto"/>
              </w:rPr>
            </w:pPr>
            <w:r>
              <w:rPr>
                <w:rFonts w:ascii="Arial" w:cs="Arial" w:eastAsia="Arial" w:hAnsi="Arial"/>
                <w:sz w:val="17"/>
                <w:szCs w:val="17"/>
                <w:b w:val="1"/>
                <w:bCs w:val="1"/>
                <w:color w:val="auto"/>
                <w:w w:val="93"/>
              </w:rPr>
              <w:t>Finance</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vMerge w:val="restart"/>
          </w:tcPr>
          <w:p>
            <w:pPr>
              <w:ind w:left="300"/>
              <w:spacing w:after="0"/>
              <w:rPr>
                <w:sz w:val="20"/>
                <w:szCs w:val="20"/>
                <w:color w:val="auto"/>
              </w:rPr>
            </w:pPr>
            <w:r>
              <w:rPr>
                <w:rFonts w:ascii="Arial" w:cs="Arial" w:eastAsia="Arial" w:hAnsi="Arial"/>
                <w:sz w:val="17"/>
                <w:szCs w:val="17"/>
                <w:b w:val="1"/>
                <w:bCs w:val="1"/>
                <w:color w:val="auto"/>
              </w:rPr>
              <w:t>Operating lease</w:t>
            </w:r>
          </w:p>
        </w:tc>
        <w:tc>
          <w:tcPr>
            <w:tcW w:w="1480" w:type="dxa"/>
            <w:vAlign w:val="bottom"/>
            <w:vMerge w:val="restart"/>
          </w:tcPr>
          <w:p>
            <w:pPr>
              <w:jc w:val="right"/>
              <w:ind w:right="293"/>
              <w:spacing w:after="0"/>
              <w:rPr>
                <w:sz w:val="20"/>
                <w:szCs w:val="20"/>
                <w:color w:val="auto"/>
              </w:rPr>
            </w:pPr>
            <w:r>
              <w:rPr>
                <w:rFonts w:ascii="Arial" w:cs="Arial" w:eastAsia="Arial" w:hAnsi="Arial"/>
                <w:sz w:val="17"/>
                <w:szCs w:val="17"/>
                <w:b w:val="1"/>
                <w:bCs w:val="1"/>
                <w:color w:val="auto"/>
              </w:rPr>
              <w:t>Other</w:t>
            </w:r>
          </w:p>
        </w:tc>
        <w:tc>
          <w:tcPr>
            <w:tcW w:w="0" w:type="dxa"/>
            <w:vAlign w:val="bottom"/>
          </w:tcPr>
          <w:p>
            <w:pPr>
              <w:spacing w:after="0"/>
              <w:rPr>
                <w:sz w:val="1"/>
                <w:szCs w:val="1"/>
                <w:color w:val="auto"/>
              </w:rPr>
            </w:pPr>
          </w:p>
        </w:tc>
      </w:tr>
      <w:tr>
        <w:trPr>
          <w:trHeight w:val="170"/>
        </w:trPr>
        <w:tc>
          <w:tcPr>
            <w:tcW w:w="5480" w:type="dxa"/>
            <w:vAlign w:val="bottom"/>
          </w:tcPr>
          <w:p>
            <w:pPr>
              <w:spacing w:after="0"/>
              <w:rPr>
                <w:sz w:val="14"/>
                <w:szCs w:val="14"/>
                <w:color w:val="auto"/>
              </w:rPr>
            </w:pPr>
          </w:p>
        </w:tc>
        <w:tc>
          <w:tcPr>
            <w:tcW w:w="1320" w:type="dxa"/>
            <w:vAlign w:val="bottom"/>
          </w:tcPr>
          <w:p>
            <w:pPr>
              <w:jc w:val="center"/>
              <w:ind w:left="513"/>
              <w:spacing w:after="0" w:line="171" w:lineRule="exact"/>
              <w:rPr>
                <w:sz w:val="20"/>
                <w:szCs w:val="20"/>
                <w:color w:val="auto"/>
              </w:rPr>
            </w:pPr>
            <w:r>
              <w:rPr>
                <w:rFonts w:ascii="Arial" w:cs="Arial" w:eastAsia="Arial" w:hAnsi="Arial"/>
                <w:sz w:val="17"/>
                <w:szCs w:val="17"/>
                <w:b w:val="1"/>
                <w:bCs w:val="1"/>
                <w:color w:val="auto"/>
                <w:w w:val="84"/>
              </w:rPr>
              <w:t>lease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p>
        </w:tc>
        <w:tc>
          <w:tcPr>
            <w:tcW w:w="19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commitments</w:t>
            </w:r>
          </w:p>
        </w:tc>
        <w:tc>
          <w:tcPr>
            <w:tcW w:w="120" w:type="dxa"/>
            <w:vAlign w:val="bottom"/>
          </w:tcPr>
          <w:p>
            <w:pPr>
              <w:spacing w:after="0"/>
              <w:rPr>
                <w:sz w:val="20"/>
                <w:szCs w:val="20"/>
                <w:color w:val="auto"/>
              </w:rPr>
            </w:pPr>
          </w:p>
        </w:tc>
        <w:tc>
          <w:tcPr>
            <w:tcW w:w="1900" w:type="dxa"/>
            <w:vAlign w:val="bottom"/>
            <w:gridSpan w:val="2"/>
          </w:tcPr>
          <w:p>
            <w:pPr>
              <w:ind w:left="320"/>
              <w:spacing w:after="0" w:line="236" w:lineRule="exact"/>
              <w:rPr>
                <w:sz w:val="20"/>
                <w:szCs w:val="20"/>
                <w:color w:val="auto"/>
              </w:rPr>
            </w:pPr>
            <w:r>
              <w:rPr>
                <w:rFonts w:ascii="Arial" w:cs="Arial" w:eastAsia="Arial" w:hAnsi="Arial"/>
                <w:sz w:val="17"/>
                <w:szCs w:val="17"/>
                <w:b w:val="1"/>
                <w:bCs w:val="1"/>
                <w:color w:val="auto"/>
              </w:rPr>
              <w:t>commitments</w:t>
            </w:r>
            <w:r>
              <w:rPr>
                <w:rFonts w:ascii="Arial" w:cs="Arial" w:eastAsia="Arial" w:hAnsi="Arial"/>
                <w:sz w:val="22"/>
                <w:szCs w:val="22"/>
                <w:b w:val="1"/>
                <w:bCs w:val="1"/>
                <w:color w:val="auto"/>
                <w:vertAlign w:val="superscript"/>
              </w:rPr>
              <w:t>(1)</w:t>
            </w:r>
          </w:p>
        </w:tc>
        <w:tc>
          <w:tcPr>
            <w:tcW w:w="1480" w:type="dxa"/>
            <w:vAlign w:val="bottom"/>
          </w:tcPr>
          <w:p>
            <w:pPr>
              <w:jc w:val="right"/>
              <w:spacing w:after="0" w:line="236" w:lineRule="exact"/>
              <w:rPr>
                <w:sz w:val="20"/>
                <w:szCs w:val="20"/>
                <w:color w:val="auto"/>
              </w:rPr>
            </w:pPr>
            <w:r>
              <w:rPr>
                <w:rFonts w:ascii="Arial" w:cs="Arial" w:eastAsia="Arial" w:hAnsi="Arial"/>
                <w:sz w:val="17"/>
                <w:szCs w:val="17"/>
                <w:b w:val="1"/>
                <w:bCs w:val="1"/>
                <w:color w:val="auto"/>
              </w:rPr>
              <w:t>commitments</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 ended December 31:</w:t>
            </w:r>
          </w:p>
        </w:tc>
        <w:tc>
          <w:tcPr>
            <w:tcW w:w="13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2023</w:t>
            </w:r>
          </w:p>
        </w:tc>
        <w:tc>
          <w:tcPr>
            <w:tcW w:w="1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121.9</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94.7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2025</w:t>
            </w:r>
          </w:p>
        </w:tc>
        <w:tc>
          <w:tcPr>
            <w:tcW w:w="1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49.4</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84.5</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2027</w:t>
            </w:r>
          </w:p>
        </w:tc>
        <w:tc>
          <w:tcPr>
            <w:tcW w:w="1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0.2</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65.1</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411.7</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7"/>
                <w:szCs w:val="17"/>
                <w:color w:val="auto"/>
              </w:rPr>
              <w:t>Future minimum payments</w:t>
            </w:r>
          </w:p>
        </w:tc>
        <w:tc>
          <w:tcPr>
            <w:tcW w:w="1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280.0</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810.8</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Less interest and taxes</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(13.5)</w:t>
            </w: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ind w:left="20"/>
              <w:spacing w:after="0"/>
              <w:rPr>
                <w:sz w:val="20"/>
                <w:szCs w:val="20"/>
                <w:color w:val="auto"/>
              </w:rPr>
            </w:pPr>
            <w:r>
              <w:rPr>
                <w:rFonts w:ascii="Arial" w:cs="Arial" w:eastAsia="Arial" w:hAnsi="Arial"/>
                <w:sz w:val="17"/>
                <w:szCs w:val="17"/>
                <w:color w:val="auto"/>
              </w:rPr>
              <w:t>Less current portion of the present value of minimum lease payments</w:t>
            </w:r>
          </w:p>
        </w:tc>
        <w:tc>
          <w:tcPr>
            <w:tcW w:w="600" w:type="dxa"/>
            <w:vAlign w:val="bottom"/>
          </w:tcPr>
          <w:p>
            <w:pPr>
              <w:jc w:val="right"/>
              <w:spacing w:after="0"/>
              <w:rPr>
                <w:sz w:val="20"/>
                <w:szCs w:val="20"/>
                <w:color w:val="auto"/>
              </w:rPr>
            </w:pPr>
            <w:r>
              <w:rPr>
                <w:rFonts w:ascii="Arial" w:cs="Arial" w:eastAsia="Arial" w:hAnsi="Arial"/>
                <w:sz w:val="17"/>
                <w:szCs w:val="17"/>
                <w:color w:val="auto"/>
              </w:rPr>
              <w:t>(114.8)</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Financing lease obligations, net of current portion</w:t>
            </w:r>
          </w:p>
        </w:tc>
        <w:tc>
          <w:tcPr>
            <w:tcW w:w="132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620" w:hanging="300"/>
        <w:spacing w:after="0"/>
        <w:tabs>
          <w:tab w:leader="none" w:pos="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This balance includes short-term lease obligations.</w:t>
      </w:r>
    </w:p>
    <w:p>
      <w:pPr>
        <w:spacing w:after="0" w:line="19" w:lineRule="exact"/>
        <w:rPr>
          <w:rFonts w:ascii="Arial" w:cs="Arial" w:eastAsia="Arial" w:hAnsi="Arial"/>
          <w:sz w:val="12"/>
          <w:szCs w:val="12"/>
          <w:color w:val="auto"/>
        </w:rPr>
      </w:pPr>
    </w:p>
    <w:p>
      <w:pPr>
        <w:ind w:left="620" w:hanging="300"/>
        <w:spacing w:after="0"/>
        <w:tabs>
          <w:tab w:leader="none" w:pos="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This balance excludes indemnification and founder holdbacks related to our acquisitions. See Note 5, "Business Combinations" for further details.</w:t>
      </w:r>
    </w:p>
    <w:p>
      <w:pPr>
        <w:spacing w:after="0" w:line="31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Legal matters</w:t>
      </w:r>
    </w:p>
    <w:p>
      <w:pPr>
        <w:spacing w:after="0" w:line="250" w:lineRule="exact"/>
        <w:rPr>
          <w:sz w:val="20"/>
          <w:szCs w:val="20"/>
          <w:color w:val="auto"/>
        </w:rPr>
      </w:pPr>
    </w:p>
    <w:p>
      <w:pPr>
        <w:ind w:right="120" w:firstLine="393"/>
        <w:spacing w:after="0" w:line="264"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05" w:lineRule="exact"/>
        <w:rPr>
          <w:sz w:val="20"/>
          <w:szCs w:val="20"/>
          <w:color w:val="auto"/>
        </w:rPr>
      </w:pPr>
    </w:p>
    <w:p>
      <w:pPr>
        <w:ind w:right="100" w:firstLine="393"/>
        <w:spacing w:after="0" w:line="262" w:lineRule="auto"/>
        <w:rPr>
          <w:sz w:val="20"/>
          <w:szCs w:val="20"/>
          <w:color w:val="auto"/>
        </w:rPr>
      </w:pPr>
      <w:r>
        <w:rPr>
          <w:rFonts w:ascii="Arial" w:cs="Arial" w:eastAsia="Arial" w:hAnsi="Arial"/>
          <w:sz w:val="17"/>
          <w:szCs w:val="17"/>
          <w:color w:val="auto"/>
        </w:rPr>
        <w:t>In 2019, multiple lawsuits were filed against the Company in California state court and federal court asserting violations of federal securities laws, for allegedly making materially false and misleading statements in, or omitting material information from, the Company's initial public offering ("IPO") registration statement. All cases have now been resolved. The federal court litigation was resolved in a settlement approved in December 2021. In the state court, the Company’s motion to dismiss the consolidated case based on the exclusive federal forum provisions contained in the Company's amended and restated bylaws was granted on December 4, 2020, and affirmed by the California Court of Appeal on May 13, 2022. The California Supreme Court denied the plaintiff’s petition for review on August 10, 2022. The plaintiff elected not to petition for certiorari to the U.S. Supreme Court. Accordingly, the state securities litigation is also now resolved.</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9" w:lineRule="exact"/>
        <w:rPr>
          <w:sz w:val="20"/>
          <w:szCs w:val="20"/>
          <w:color w:val="auto"/>
        </w:rPr>
      </w:pPr>
    </w:p>
    <w:p>
      <w:pPr>
        <w:ind w:right="200" w:firstLine="393"/>
        <w:spacing w:after="0" w:line="273"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gridSpan w:val="2"/>
          </w:tcPr>
          <w:p>
            <w:pPr>
              <w:spacing w:after="0"/>
              <w:rPr>
                <w:sz w:val="20"/>
                <w:szCs w:val="20"/>
                <w:color w:val="auto"/>
              </w:rPr>
            </w:pPr>
            <w:r>
              <w:rPr>
                <w:rFonts w:ascii="Arial" w:cs="Arial" w:eastAsia="Arial" w:hAnsi="Arial"/>
                <w:sz w:val="17"/>
                <w:szCs w:val="17"/>
                <w:b w:val="1"/>
                <w:bCs w:val="1"/>
                <w:color w:val="auto"/>
              </w:rPr>
              <w:t>Note 11.Accrued and Other Current Liabilities</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20"/>
        </w:trPr>
        <w:tc>
          <w:tcPr>
            <w:tcW w:w="40" w:type="dxa"/>
            <w:vAlign w:val="bottom"/>
          </w:tcPr>
          <w:p>
            <w:pPr>
              <w:spacing w:after="0"/>
              <w:rPr>
                <w:sz w:val="24"/>
                <w:szCs w:val="24"/>
                <w:color w:val="auto"/>
              </w:rPr>
            </w:pPr>
          </w:p>
        </w:tc>
        <w:tc>
          <w:tcPr>
            <w:tcW w:w="6700" w:type="dxa"/>
            <w:vAlign w:val="bottom"/>
          </w:tcPr>
          <w:p>
            <w:pPr>
              <w:ind w:left="360"/>
              <w:spacing w:after="0"/>
              <w:rPr>
                <w:sz w:val="20"/>
                <w:szCs w:val="20"/>
                <w:color w:val="auto"/>
              </w:rPr>
            </w:pPr>
            <w:r>
              <w:rPr>
                <w:rFonts w:ascii="Arial" w:cs="Arial" w:eastAsia="Arial" w:hAnsi="Arial"/>
                <w:sz w:val="17"/>
                <w:szCs w:val="17"/>
                <w:color w:val="auto"/>
              </w:rPr>
              <w:t>Accrued and other current liabilities consisted of the following:</w:t>
            </w: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51"/>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w w:val="97"/>
              </w:rPr>
              <w:t>As of December 31,</w:t>
            </w:r>
          </w:p>
        </w:tc>
        <w:tc>
          <w:tcPr>
            <w:tcW w:w="1400" w:type="dxa"/>
            <w:vAlign w:val="bottom"/>
            <w:tcBorders>
              <w:bottom w:val="single" w:sz="8" w:color="auto"/>
            </w:tcBorders>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2022</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2021</w:t>
            </w:r>
          </w:p>
        </w:tc>
      </w:tr>
      <w:tr>
        <w:trPr>
          <w:trHeight w:val="32"/>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Non-income taxes payable</w:t>
            </w:r>
          </w:p>
        </w:tc>
        <w:tc>
          <w:tcPr>
            <w:tcW w:w="1400" w:type="dxa"/>
            <w:vAlign w:val="bottom"/>
            <w:shd w:val="clear" w:color="auto" w:fill="CCEEFF"/>
          </w:tcPr>
          <w:p>
            <w:pPr>
              <w:jc w:val="right"/>
              <w:ind w:right="121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r>
      <w:tr>
        <w:trPr>
          <w:trHeight w:val="223"/>
        </w:trPr>
        <w:tc>
          <w:tcPr>
            <w:tcW w:w="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7"/>
                <w:szCs w:val="17"/>
                <w:color w:val="auto"/>
              </w:rPr>
              <w:t>Accrued legal and other external fees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24.0</w:t>
            </w:r>
          </w:p>
        </w:tc>
      </w:tr>
      <w:tr>
        <w:trPr>
          <w:trHeight w:val="223"/>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Other accrued and current liabilities</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r>
      <w:tr>
        <w:trPr>
          <w:trHeight w:val="216"/>
        </w:trPr>
        <w:tc>
          <w:tcPr>
            <w:tcW w:w="4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7"/>
                <w:szCs w:val="17"/>
                <w:color w:val="auto"/>
              </w:rPr>
              <w:t>Total accrued and other current liabilities</w:t>
            </w:r>
          </w:p>
        </w:tc>
        <w:tc>
          <w:tcPr>
            <w:tcW w:w="1400" w:type="dxa"/>
            <w:vAlign w:val="bottom"/>
            <w:tcBorders>
              <w:bottom w:val="single" w:sz="8" w:color="auto"/>
            </w:tcBorders>
          </w:tcPr>
          <w:p>
            <w:pPr>
              <w:jc w:val="right"/>
              <w:ind w:right="121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139.9</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w:t>
            </w: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Stockholders’ (Deficit) Equity</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Common stock</w:t>
      </w:r>
    </w:p>
    <w:p>
      <w:pPr>
        <w:spacing w:after="0" w:line="119" w:lineRule="exact"/>
        <w:rPr>
          <w:sz w:val="20"/>
          <w:szCs w:val="20"/>
          <w:color w:val="auto"/>
        </w:rPr>
      </w:pPr>
    </w:p>
    <w:p>
      <w:pPr>
        <w:ind w:right="80" w:firstLine="433"/>
        <w:spacing w:after="0" w:line="265" w:lineRule="auto"/>
        <w:rPr>
          <w:sz w:val="20"/>
          <w:szCs w:val="20"/>
          <w:color w:val="auto"/>
        </w:rPr>
      </w:pPr>
      <w:r>
        <w:rPr>
          <w:rFonts w:ascii="Arial" w:cs="Arial" w:eastAsia="Arial" w:hAnsi="Arial"/>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206" w:lineRule="exact"/>
        <w:rPr>
          <w:sz w:val="20"/>
          <w:szCs w:val="20"/>
          <w:color w:val="auto"/>
        </w:rPr>
      </w:pPr>
    </w:p>
    <w:p>
      <w:pPr>
        <w:jc w:val="both"/>
        <w:ind w:right="40" w:firstLine="433"/>
        <w:spacing w:after="0" w:line="278" w:lineRule="auto"/>
        <w:rPr>
          <w:sz w:val="20"/>
          <w:szCs w:val="20"/>
          <w:color w:val="auto"/>
        </w:rPr>
      </w:pPr>
      <w:r>
        <w:rPr>
          <w:rFonts w:ascii="Arial" w:cs="Arial" w:eastAsia="Arial" w:hAnsi="Arial"/>
          <w:sz w:val="16"/>
          <w:szCs w:val="16"/>
          <w:color w:val="auto"/>
        </w:rPr>
        <w:t>As of December 31, 2022, the Company had authorized 2,400.0 million shares of Class A common stock, 475.0 million shares of Class B common stock, and 800.0 million shares of Class C common stock, each at par value of $0.00001. Holders of Class B common stock voluntarily converted 0.6 million and 0.7 million shares into an equivalent number of shares of Class A common stock during the years ended December 31, 2022 and 2021 respectively. As</w:t>
      </w:r>
    </w:p>
    <w:p>
      <w:pPr>
        <w:spacing w:after="0" w:line="2"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of December 31, 2022, 267.2 million shares of Class A common stock, 82.2 million shares of Class B common stock, and no shares of Class C common stock were issued and outstanding. As of December 31, 2021, 292.7 million shares of Class A common stock, 82.8 million shares of Class B common stock,</w:t>
      </w:r>
    </w:p>
    <w:p>
      <w:pPr>
        <w:spacing w:after="0" w:line="1"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and no shares of Class C common stock were issued and outstanding. Class A shares issued and outstanding as of December 31, 2022 and 2021 exclude unvested restricted stock awards granted to certain executives. Class A shares issued and outstanding as of December 31, 2022 and 2021 exclude 8.3 million unvested restricted stock awards granted to one of the Company's co-founders. See "Co-Founder Grant" section below for further details.</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Preferred stock</w:t>
      </w:r>
    </w:p>
    <w:p>
      <w:pPr>
        <w:spacing w:after="0" w:line="119" w:lineRule="exact"/>
        <w:rPr>
          <w:sz w:val="20"/>
          <w:szCs w:val="20"/>
          <w:color w:val="auto"/>
        </w:rPr>
      </w:pPr>
    </w:p>
    <w:p>
      <w:pPr>
        <w:ind w:right="220" w:firstLine="433"/>
        <w:spacing w:after="0" w:line="289" w:lineRule="auto"/>
        <w:rPr>
          <w:sz w:val="20"/>
          <w:szCs w:val="20"/>
          <w:color w:val="auto"/>
        </w:rPr>
      </w:pPr>
      <w:r>
        <w:rPr>
          <w:rFonts w:ascii="Arial" w:cs="Arial" w:eastAsia="Arial" w:hAnsi="Arial"/>
          <w:sz w:val="17"/>
          <w:szCs w:val="17"/>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250" w:lineRule="exact"/>
        <w:rPr>
          <w:sz w:val="20"/>
          <w:szCs w:val="20"/>
          <w:color w:val="auto"/>
        </w:rPr>
      </w:pPr>
    </w:p>
    <w:p>
      <w:pPr>
        <w:ind w:right="120" w:firstLine="393"/>
        <w:spacing w:after="0" w:line="289" w:lineRule="auto"/>
        <w:rPr>
          <w:sz w:val="20"/>
          <w:szCs w:val="20"/>
          <w:color w:val="auto"/>
        </w:rPr>
      </w:pPr>
      <w:r>
        <w:rPr>
          <w:rFonts w:ascii="Arial" w:cs="Arial" w:eastAsia="Arial" w:hAnsi="Arial"/>
          <w:sz w:val="17"/>
          <w:szCs w:val="17"/>
          <w:color w:val="auto"/>
        </w:rPr>
        <w:t>In February 2022, the Board of Directors authorized the Company to repurchase up to $1.2 billion of the Company's outstanding shares of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186"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During the year ended December 31, 2022, the Company repurchased and subsequently retired 35.6 million shares of its Class A common stock for an aggregate amount of $795.4 million. During the year ended December 31, 2021, the Company repurchased and subsequently retired 41.1 million of its Class A common stock for an aggregate amount of $1.1 billion. This includes $200.0 million in repurchases of 8.6 million shares of our Class A common stock in conjunction with the issuance of the Notes, which was outside of our stock repurchase program.</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98" w:name="page99"/>
    <w:bookmarkEnd w:id="98"/>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19" w:lineRule="exact"/>
        <w:rPr>
          <w:sz w:val="20"/>
          <w:szCs w:val="20"/>
          <w:color w:val="auto"/>
        </w:rPr>
      </w:pPr>
    </w:p>
    <w:p>
      <w:pPr>
        <w:ind w:right="40" w:firstLine="433"/>
        <w:spacing w:after="0" w:line="286" w:lineRule="auto"/>
        <w:rPr>
          <w:sz w:val="20"/>
          <w:szCs w:val="20"/>
          <w:color w:val="auto"/>
        </w:rPr>
      </w:pPr>
      <w:r>
        <w:rPr>
          <w:rFonts w:ascii="Arial" w:cs="Arial" w:eastAsia="Arial" w:hAnsi="Arial"/>
          <w:sz w:val="16"/>
          <w:szCs w:val="16"/>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294"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In connection with the acquisition of DocSend, the Company assumed unvested stock options and an immaterial number of unvested RSUs that had been granted under DocSend's 2013 Stock Plan and DocSend's 2015 Stock Option and Grant Plan.</w:t>
      </w:r>
    </w:p>
    <w:p>
      <w:pPr>
        <w:spacing w:after="0" w:line="185" w:lineRule="exact"/>
        <w:rPr>
          <w:sz w:val="20"/>
          <w:szCs w:val="20"/>
          <w:color w:val="auto"/>
        </w:rPr>
      </w:pPr>
    </w:p>
    <w:p>
      <w:pPr>
        <w:jc w:val="both"/>
        <w:ind w:right="220" w:firstLine="433"/>
        <w:spacing w:after="0" w:line="273" w:lineRule="auto"/>
        <w:rPr>
          <w:sz w:val="20"/>
          <w:szCs w:val="20"/>
          <w:color w:val="auto"/>
        </w:rPr>
      </w:pPr>
      <w:r>
        <w:rPr>
          <w:rFonts w:ascii="Arial" w:cs="Arial" w:eastAsia="Arial" w:hAnsi="Arial"/>
          <w:sz w:val="17"/>
          <w:szCs w:val="17"/>
          <w:color w:val="auto"/>
        </w:rPr>
        <w:t>As of December 31, 2022, there were 34.8 million stock-based awards issued and outstanding and 98.2 million shares available for issuance under the Dropbox Equity Incentive Plans, Dropbox Sign's 2011 Equity Incentive Plan, DocSend's 2013 Stock Plan and DocSend's 2015 Stock Option and Grant Plan (collectively, the "Plans").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9" w:right="41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Stock option and restricted stock activity for the Plans was as follows for the years ended December 31, 2022 and 2021:</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as of December 31, 2020</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Additional shares authorized</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Stock options assumed </w:t>
      </w:r>
      <w:r>
        <w:rPr>
          <w:rFonts w:ascii="Arial" w:cs="Arial" w:eastAsia="Arial" w:hAnsi="Arial"/>
          <w:sz w:val="22"/>
          <w:szCs w:val="22"/>
          <w:color w:val="auto"/>
          <w:vertAlign w:val="superscript"/>
        </w:rPr>
        <w:t>(1)</w:t>
      </w:r>
    </w:p>
    <w:p>
      <w:pPr>
        <w:ind w:left="20" w:right="40"/>
        <w:spacing w:after="0" w:line="232" w:lineRule="auto"/>
        <w:rPr>
          <w:sz w:val="20"/>
          <w:szCs w:val="20"/>
          <w:color w:val="auto"/>
        </w:rPr>
      </w:pPr>
      <w:r>
        <w:rPr>
          <w:rFonts w:ascii="Arial" w:cs="Arial" w:eastAsia="Arial" w:hAnsi="Arial"/>
          <w:sz w:val="17"/>
          <w:szCs w:val="17"/>
          <w:color w:val="auto"/>
        </w:rPr>
        <w:t>Options exercised and restricted stock units and awards released</w:t>
      </w:r>
    </w:p>
    <w:p>
      <w:pPr>
        <w:spacing w:after="0" w:line="15" w:lineRule="exact"/>
        <w:rPr>
          <w:sz w:val="20"/>
          <w:szCs w:val="20"/>
          <w:color w:val="auto"/>
        </w:rPr>
      </w:pPr>
    </w:p>
    <w:p>
      <w:pPr>
        <w:ind w:left="20" w:right="60"/>
        <w:spacing w:after="0" w:line="241" w:lineRule="auto"/>
        <w:rPr>
          <w:sz w:val="20"/>
          <w:szCs w:val="20"/>
          <w:color w:val="auto"/>
        </w:rPr>
      </w:pPr>
      <w:r>
        <w:rPr>
          <w:rFonts w:ascii="Arial" w:cs="Arial" w:eastAsia="Arial" w:hAnsi="Arial"/>
          <w:sz w:val="17"/>
          <w:szCs w:val="17"/>
          <w:color w:val="auto"/>
        </w:rPr>
        <w:t>Options and restricted stock units and awards canceled</w:t>
      </w:r>
    </w:p>
    <w:p>
      <w:pPr>
        <w:spacing w:after="0" w:line="14" w:lineRule="exact"/>
        <w:rPr>
          <w:sz w:val="20"/>
          <w:szCs w:val="20"/>
          <w:color w:val="auto"/>
        </w:rPr>
      </w:pPr>
    </w:p>
    <w:p>
      <w:pPr>
        <w:ind w:left="20"/>
        <w:spacing w:after="0" w:line="256" w:lineRule="auto"/>
        <w:rPr>
          <w:sz w:val="20"/>
          <w:szCs w:val="20"/>
          <w:color w:val="auto"/>
        </w:rPr>
      </w:pPr>
      <w:r>
        <w:rPr>
          <w:rFonts w:ascii="Arial" w:cs="Arial" w:eastAsia="Arial" w:hAnsi="Arial"/>
          <w:sz w:val="15"/>
          <w:szCs w:val="15"/>
          <w:color w:val="auto"/>
        </w:rPr>
        <w:t>Shares withheld related to net share settlement of restricted stock units and</w:t>
      </w:r>
    </w:p>
    <w:p>
      <w:pPr>
        <w:ind w:left="20"/>
        <w:spacing w:after="0"/>
        <w:rPr>
          <w:sz w:val="20"/>
          <w:szCs w:val="20"/>
          <w:color w:val="auto"/>
        </w:rPr>
      </w:pPr>
      <w:r>
        <w:rPr>
          <w:rFonts w:ascii="Arial" w:cs="Arial" w:eastAsia="Arial" w:hAnsi="Arial"/>
          <w:sz w:val="17"/>
          <w:szCs w:val="17"/>
          <w:color w:val="auto"/>
        </w:rPr>
        <w:t>awards</w:t>
      </w:r>
    </w:p>
    <w:p>
      <w:pPr>
        <w:spacing w:after="0" w:line="13" w:lineRule="exact"/>
        <w:rPr>
          <w:sz w:val="20"/>
          <w:szCs w:val="20"/>
          <w:color w:val="auto"/>
        </w:rPr>
      </w:pPr>
    </w:p>
    <w:p>
      <w:pPr>
        <w:ind w:left="20" w:right="60"/>
        <w:spacing w:after="0" w:line="241" w:lineRule="auto"/>
        <w:rPr>
          <w:sz w:val="20"/>
          <w:szCs w:val="20"/>
          <w:color w:val="auto"/>
        </w:rPr>
      </w:pPr>
      <w:r>
        <w:rPr>
          <w:rFonts w:ascii="Arial" w:cs="Arial" w:eastAsia="Arial" w:hAnsi="Arial"/>
          <w:sz w:val="17"/>
          <w:szCs w:val="17"/>
          <w:color w:val="auto"/>
        </w:rPr>
        <w:t>Options and restricted stock units and awards granted</w:t>
      </w:r>
    </w:p>
    <w:p>
      <w:pPr>
        <w:spacing w:after="0" w:line="14" w:lineRule="exact"/>
        <w:rPr>
          <w:sz w:val="20"/>
          <w:szCs w:val="20"/>
          <w:color w:val="auto"/>
        </w:rPr>
      </w:pPr>
    </w:p>
    <w:p>
      <w:pPr>
        <w:ind w:left="20" w:right="340"/>
        <w:spacing w:after="0" w:line="355" w:lineRule="auto"/>
        <w:rPr>
          <w:sz w:val="20"/>
          <w:szCs w:val="20"/>
          <w:color w:val="auto"/>
        </w:rPr>
      </w:pPr>
      <w:r>
        <w:rPr>
          <w:rFonts w:ascii="Arial" w:cs="Arial" w:eastAsia="Arial" w:hAnsi="Arial"/>
          <w:sz w:val="15"/>
          <w:szCs w:val="15"/>
          <w:color w:val="auto"/>
        </w:rPr>
        <w:t>Balance as of December 31, 2021 Additional shares authorized</w:t>
      </w:r>
    </w:p>
    <w:p>
      <w:pPr>
        <w:spacing w:after="0" w:line="1" w:lineRule="exact"/>
        <w:rPr>
          <w:sz w:val="20"/>
          <w:szCs w:val="20"/>
          <w:color w:val="auto"/>
        </w:rPr>
      </w:pPr>
    </w:p>
    <w:p>
      <w:pPr>
        <w:ind w:left="20" w:right="40"/>
        <w:spacing w:after="0" w:line="241" w:lineRule="auto"/>
        <w:rPr>
          <w:sz w:val="20"/>
          <w:szCs w:val="20"/>
          <w:color w:val="auto"/>
        </w:rPr>
      </w:pPr>
      <w:r>
        <w:rPr>
          <w:rFonts w:ascii="Arial" w:cs="Arial" w:eastAsia="Arial" w:hAnsi="Arial"/>
          <w:sz w:val="17"/>
          <w:szCs w:val="17"/>
          <w:color w:val="auto"/>
        </w:rPr>
        <w:t>Options exercised and restricted stock units and awards released</w:t>
      </w:r>
    </w:p>
    <w:p>
      <w:pPr>
        <w:spacing w:after="0" w:line="14" w:lineRule="exact"/>
        <w:rPr>
          <w:sz w:val="20"/>
          <w:szCs w:val="20"/>
          <w:color w:val="auto"/>
        </w:rPr>
      </w:pPr>
    </w:p>
    <w:p>
      <w:pPr>
        <w:ind w:left="20" w:right="60"/>
        <w:spacing w:after="0" w:line="241" w:lineRule="auto"/>
        <w:rPr>
          <w:sz w:val="20"/>
          <w:szCs w:val="20"/>
          <w:color w:val="auto"/>
        </w:rPr>
      </w:pPr>
      <w:r>
        <w:rPr>
          <w:rFonts w:ascii="Arial" w:cs="Arial" w:eastAsia="Arial" w:hAnsi="Arial"/>
          <w:sz w:val="17"/>
          <w:szCs w:val="17"/>
          <w:color w:val="auto"/>
        </w:rPr>
        <w:t>Options and restricted stock units and awards canceled</w:t>
      </w:r>
    </w:p>
    <w:p>
      <w:pPr>
        <w:spacing w:after="0" w:line="14" w:lineRule="exact"/>
        <w:rPr>
          <w:sz w:val="20"/>
          <w:szCs w:val="20"/>
          <w:color w:val="auto"/>
        </w:rPr>
      </w:pPr>
    </w:p>
    <w:p>
      <w:pPr>
        <w:ind w:left="20"/>
        <w:spacing w:after="0" w:line="256" w:lineRule="auto"/>
        <w:rPr>
          <w:sz w:val="20"/>
          <w:szCs w:val="20"/>
          <w:color w:val="auto"/>
        </w:rPr>
      </w:pPr>
      <w:r>
        <w:rPr>
          <w:rFonts w:ascii="Arial" w:cs="Arial" w:eastAsia="Arial" w:hAnsi="Arial"/>
          <w:sz w:val="15"/>
          <w:szCs w:val="15"/>
          <w:color w:val="auto"/>
        </w:rPr>
        <w:t>Shares withheld related to net share settlement of restricted stock units and</w:t>
      </w:r>
    </w:p>
    <w:p>
      <w:pPr>
        <w:ind w:left="20"/>
        <w:spacing w:after="0"/>
        <w:rPr>
          <w:sz w:val="20"/>
          <w:szCs w:val="20"/>
          <w:color w:val="auto"/>
        </w:rPr>
      </w:pPr>
      <w:r>
        <w:rPr>
          <w:rFonts w:ascii="Arial" w:cs="Arial" w:eastAsia="Arial" w:hAnsi="Arial"/>
          <w:sz w:val="17"/>
          <w:szCs w:val="17"/>
          <w:color w:val="auto"/>
        </w:rPr>
        <w:t>awards</w:t>
      </w:r>
    </w:p>
    <w:p>
      <w:pPr>
        <w:spacing w:after="0" w:line="13" w:lineRule="exact"/>
        <w:rPr>
          <w:sz w:val="20"/>
          <w:szCs w:val="20"/>
          <w:color w:val="auto"/>
        </w:rPr>
      </w:pPr>
    </w:p>
    <w:p>
      <w:pPr>
        <w:ind w:left="20" w:right="60"/>
        <w:spacing w:after="0" w:line="241" w:lineRule="auto"/>
        <w:rPr>
          <w:sz w:val="20"/>
          <w:szCs w:val="20"/>
          <w:color w:val="auto"/>
        </w:rPr>
      </w:pPr>
      <w:r>
        <w:rPr>
          <w:rFonts w:ascii="Arial" w:cs="Arial" w:eastAsia="Arial" w:hAnsi="Arial"/>
          <w:sz w:val="17"/>
          <w:szCs w:val="17"/>
          <w:color w:val="auto"/>
        </w:rPr>
        <w:t>Options and restricted stock units and awards granted</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80" w:type="dxa"/>
            <w:vAlign w:val="bottom"/>
            <w:gridSpan w:val="3"/>
          </w:tcPr>
          <w:p>
            <w:pPr>
              <w:jc w:val="right"/>
              <w:ind w:right="513"/>
              <w:spacing w:after="0"/>
              <w:rPr>
                <w:sz w:val="20"/>
                <w:szCs w:val="20"/>
                <w:color w:val="auto"/>
              </w:rPr>
            </w:pPr>
            <w:r>
              <w:rPr>
                <w:rFonts w:ascii="Arial" w:cs="Arial" w:eastAsia="Arial" w:hAnsi="Arial"/>
                <w:sz w:val="17"/>
                <w:szCs w:val="17"/>
                <w:b w:val="1"/>
                <w:bCs w:val="1"/>
                <w:color w:val="auto"/>
              </w:rPr>
              <w:t>Restricted stock</w:t>
            </w: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493"/>
              <w:spacing w:after="0"/>
              <w:rPr>
                <w:sz w:val="20"/>
                <w:szCs w:val="20"/>
                <w:color w:val="auto"/>
              </w:rPr>
            </w:pPr>
            <w:r>
              <w:rPr>
                <w:rFonts w:ascii="Arial" w:cs="Arial" w:eastAsia="Arial" w:hAnsi="Arial"/>
                <w:sz w:val="17"/>
                <w:szCs w:val="17"/>
                <w:b w:val="1"/>
                <w:bCs w:val="1"/>
                <w:color w:val="auto"/>
              </w:rPr>
              <w:t>Options outstanding</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7"/>
                <w:szCs w:val="17"/>
                <w:b w:val="1"/>
                <w:bCs w:val="1"/>
                <w:color w:val="auto"/>
              </w:rPr>
              <w:t>outstanding</w:t>
            </w:r>
          </w:p>
        </w:tc>
        <w:tc>
          <w:tcPr>
            <w:tcW w:w="0" w:type="dxa"/>
            <w:vAlign w:val="bottom"/>
          </w:tcPr>
          <w:p>
            <w:pPr>
              <w:spacing w:after="0"/>
              <w:rPr>
                <w:sz w:val="1"/>
                <w:szCs w:val="1"/>
                <w:color w:val="auto"/>
              </w:rPr>
            </w:pPr>
          </w:p>
        </w:tc>
      </w:tr>
      <w:tr>
        <w:trPr>
          <w:trHeight w:val="165"/>
        </w:trPr>
        <w:tc>
          <w:tcPr>
            <w:tcW w:w="1340" w:type="dxa"/>
            <w:vAlign w:val="bottom"/>
            <w:gridSpan w:val="2"/>
          </w:tcPr>
          <w:p>
            <w:pPr>
              <w:jc w:val="center"/>
              <w:ind w:right="100"/>
              <w:spacing w:after="0" w:line="165" w:lineRule="exact"/>
              <w:rPr>
                <w:sz w:val="20"/>
                <w:szCs w:val="20"/>
                <w:color w:val="auto"/>
              </w:rPr>
            </w:pPr>
            <w:r>
              <w:rPr>
                <w:rFonts w:ascii="Arial" w:cs="Arial" w:eastAsia="Arial" w:hAnsi="Arial"/>
                <w:sz w:val="17"/>
                <w:szCs w:val="17"/>
                <w:color w:val="auto"/>
                <w:w w:val="95"/>
              </w:rPr>
              <w:t>Number of</w:t>
            </w:r>
          </w:p>
        </w:tc>
        <w:tc>
          <w:tcPr>
            <w:tcW w:w="118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center"/>
              <w:ind w:right="33"/>
              <w:spacing w:after="0"/>
              <w:rPr>
                <w:sz w:val="20"/>
                <w:szCs w:val="20"/>
                <w:color w:val="auto"/>
              </w:rPr>
            </w:pPr>
            <w:r>
              <w:rPr>
                <w:rFonts w:ascii="Arial" w:cs="Arial" w:eastAsia="Arial" w:hAnsi="Arial"/>
                <w:sz w:val="17"/>
                <w:szCs w:val="17"/>
                <w:color w:val="auto"/>
                <w:w w:val="92"/>
              </w:rPr>
              <w:t>Weighted-</w:t>
            </w:r>
          </w:p>
        </w:tc>
        <w:tc>
          <w:tcPr>
            <w:tcW w:w="1340" w:type="dxa"/>
            <w:vAlign w:val="bottom"/>
          </w:tcPr>
          <w:p>
            <w:pPr>
              <w:jc w:val="center"/>
              <w:ind w:left="13"/>
              <w:spacing w:after="0" w:line="165" w:lineRule="exact"/>
              <w:rPr>
                <w:sz w:val="20"/>
                <w:szCs w:val="20"/>
                <w:color w:val="auto"/>
              </w:rPr>
            </w:pPr>
            <w:r>
              <w:rPr>
                <w:rFonts w:ascii="Arial" w:cs="Arial" w:eastAsia="Arial" w:hAnsi="Arial"/>
                <w:sz w:val="17"/>
                <w:szCs w:val="17"/>
                <w:color w:val="auto"/>
                <w:w w:val="92"/>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center"/>
              <w:ind w:right="73"/>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170"/>
        </w:trPr>
        <w:tc>
          <w:tcPr>
            <w:tcW w:w="1340" w:type="dxa"/>
            <w:vAlign w:val="bottom"/>
            <w:gridSpan w:val="2"/>
          </w:tcPr>
          <w:p>
            <w:pPr>
              <w:jc w:val="center"/>
              <w:ind w:right="100"/>
              <w:spacing w:after="0" w:line="171" w:lineRule="exact"/>
              <w:rPr>
                <w:sz w:val="20"/>
                <w:szCs w:val="20"/>
                <w:color w:val="auto"/>
              </w:rPr>
            </w:pPr>
            <w:r>
              <w:rPr>
                <w:rFonts w:ascii="Arial" w:cs="Arial" w:eastAsia="Arial" w:hAnsi="Arial"/>
                <w:sz w:val="17"/>
                <w:szCs w:val="17"/>
                <w:color w:val="auto"/>
                <w:w w:val="86"/>
              </w:rPr>
              <w:t>shares</w:t>
            </w: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340" w:type="dxa"/>
            <w:vAlign w:val="bottom"/>
          </w:tcPr>
          <w:p>
            <w:pPr>
              <w:jc w:val="center"/>
              <w:ind w:left="33"/>
              <w:spacing w:after="0" w:line="171" w:lineRule="exact"/>
              <w:rPr>
                <w:sz w:val="20"/>
                <w:szCs w:val="20"/>
                <w:color w:val="auto"/>
              </w:rPr>
            </w:pPr>
            <w:r>
              <w:rPr>
                <w:rFonts w:ascii="Arial" w:cs="Arial" w:eastAsia="Arial" w:hAnsi="Arial"/>
                <w:sz w:val="17"/>
                <w:szCs w:val="17"/>
                <w:color w:val="auto"/>
                <w:w w:val="87"/>
              </w:rPr>
              <w:t>average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40" w:type="dxa"/>
            <w:vAlign w:val="bottom"/>
            <w:gridSpan w:val="2"/>
          </w:tcPr>
          <w:p>
            <w:pPr>
              <w:jc w:val="center"/>
              <w:ind w:right="100"/>
              <w:spacing w:after="0" w:line="184" w:lineRule="exact"/>
              <w:rPr>
                <w:sz w:val="20"/>
                <w:szCs w:val="20"/>
                <w:color w:val="auto"/>
              </w:rPr>
            </w:pPr>
            <w:r>
              <w:rPr>
                <w:rFonts w:ascii="Arial" w:cs="Arial" w:eastAsia="Arial" w:hAnsi="Arial"/>
                <w:sz w:val="17"/>
                <w:szCs w:val="17"/>
                <w:color w:val="auto"/>
                <w:w w:val="95"/>
              </w:rPr>
              <w:t>available for</w:t>
            </w:r>
          </w:p>
        </w:tc>
        <w:tc>
          <w:tcPr>
            <w:tcW w:w="1180" w:type="dxa"/>
            <w:vAlign w:val="bottom"/>
          </w:tcPr>
          <w:p>
            <w:pPr>
              <w:jc w:val="center"/>
              <w:spacing w:after="0" w:line="184" w:lineRule="exact"/>
              <w:rPr>
                <w:sz w:val="20"/>
                <w:szCs w:val="20"/>
                <w:color w:val="auto"/>
              </w:rPr>
            </w:pPr>
            <w:r>
              <w:rPr>
                <w:rFonts w:ascii="Arial" w:cs="Arial" w:eastAsia="Arial" w:hAnsi="Arial"/>
                <w:sz w:val="17"/>
                <w:szCs w:val="17"/>
                <w:color w:val="auto"/>
                <w:w w:val="86"/>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53"/>
              <w:spacing w:after="0" w:line="184" w:lineRule="exact"/>
              <w:rPr>
                <w:sz w:val="20"/>
                <w:szCs w:val="20"/>
                <w:color w:val="auto"/>
              </w:rPr>
            </w:pPr>
            <w:r>
              <w:rPr>
                <w:rFonts w:ascii="Arial" w:cs="Arial" w:eastAsia="Arial" w:hAnsi="Arial"/>
                <w:sz w:val="17"/>
                <w:szCs w:val="17"/>
                <w:color w:val="auto"/>
                <w:w w:val="87"/>
              </w:rPr>
              <w:t>average</w:t>
            </w:r>
          </w:p>
        </w:tc>
        <w:tc>
          <w:tcPr>
            <w:tcW w:w="1340" w:type="dxa"/>
            <w:vAlign w:val="bottom"/>
          </w:tcPr>
          <w:p>
            <w:pPr>
              <w:jc w:val="center"/>
              <w:ind w:left="13"/>
              <w:spacing w:after="0" w:line="184" w:lineRule="exact"/>
              <w:rPr>
                <w:sz w:val="20"/>
                <w:szCs w:val="20"/>
                <w:color w:val="auto"/>
              </w:rPr>
            </w:pPr>
            <w:r>
              <w:rPr>
                <w:rFonts w:ascii="Arial" w:cs="Arial" w:eastAsia="Arial" w:hAnsi="Arial"/>
                <w:sz w:val="17"/>
                <w:szCs w:val="17"/>
                <w:color w:val="auto"/>
                <w:w w:val="96"/>
              </w:rPr>
              <w:t>remaining</w:t>
            </w:r>
          </w:p>
        </w:tc>
        <w:tc>
          <w:tcPr>
            <w:tcW w:w="140" w:type="dxa"/>
            <w:vAlign w:val="bottom"/>
          </w:tcPr>
          <w:p>
            <w:pPr>
              <w:spacing w:after="0"/>
              <w:rPr>
                <w:sz w:val="15"/>
                <w:szCs w:val="15"/>
                <w:color w:val="auto"/>
              </w:rPr>
            </w:pPr>
          </w:p>
        </w:tc>
        <w:tc>
          <w:tcPr>
            <w:tcW w:w="900" w:type="dxa"/>
            <w:vAlign w:val="bottom"/>
            <w:vMerge w:val="restart"/>
          </w:tcPr>
          <w:p>
            <w:pPr>
              <w:jc w:val="center"/>
              <w:ind w:right="53"/>
              <w:spacing w:after="0"/>
              <w:rPr>
                <w:sz w:val="20"/>
                <w:szCs w:val="20"/>
                <w:color w:val="auto"/>
              </w:rPr>
            </w:pPr>
            <w:r>
              <w:rPr>
                <w:rFonts w:ascii="Arial" w:cs="Arial" w:eastAsia="Arial" w:hAnsi="Arial"/>
                <w:sz w:val="17"/>
                <w:szCs w:val="17"/>
                <w:color w:val="auto"/>
                <w:w w:val="91"/>
              </w:rPr>
              <w:t>Aggregate</w:t>
            </w:r>
          </w:p>
        </w:tc>
        <w:tc>
          <w:tcPr>
            <w:tcW w:w="1160" w:type="dxa"/>
            <w:vAlign w:val="bottom"/>
          </w:tcPr>
          <w:p>
            <w:pPr>
              <w:jc w:val="center"/>
              <w:spacing w:after="0" w:line="184" w:lineRule="exact"/>
              <w:rPr>
                <w:sz w:val="20"/>
                <w:szCs w:val="20"/>
                <w:color w:val="auto"/>
              </w:rPr>
            </w:pPr>
            <w:r>
              <w:rPr>
                <w:rFonts w:ascii="Arial" w:cs="Arial" w:eastAsia="Arial" w:hAnsi="Arial"/>
                <w:sz w:val="17"/>
                <w:szCs w:val="17"/>
                <w:color w:val="auto"/>
                <w:w w:val="95"/>
              </w:rPr>
              <w:t>Number of</w:t>
            </w:r>
          </w:p>
        </w:tc>
        <w:tc>
          <w:tcPr>
            <w:tcW w:w="260" w:type="dxa"/>
            <w:vAlign w:val="bottom"/>
          </w:tcPr>
          <w:p>
            <w:pPr>
              <w:spacing w:after="0"/>
              <w:rPr>
                <w:sz w:val="15"/>
                <w:szCs w:val="15"/>
                <w:color w:val="auto"/>
              </w:rPr>
            </w:pPr>
          </w:p>
        </w:tc>
        <w:tc>
          <w:tcPr>
            <w:tcW w:w="960" w:type="dxa"/>
            <w:vAlign w:val="bottom"/>
          </w:tcPr>
          <w:p>
            <w:pPr>
              <w:jc w:val="center"/>
              <w:ind w:right="53"/>
              <w:spacing w:after="0" w:line="184" w:lineRule="exact"/>
              <w:rPr>
                <w:sz w:val="20"/>
                <w:szCs w:val="20"/>
                <w:color w:val="auto"/>
              </w:rPr>
            </w:pPr>
            <w:r>
              <w:rPr>
                <w:rFonts w:ascii="Arial" w:cs="Arial" w:eastAsia="Arial" w:hAnsi="Arial"/>
                <w:sz w:val="17"/>
                <w:szCs w:val="17"/>
                <w:color w:val="auto"/>
                <w:w w:val="87"/>
              </w:rPr>
              <w:t>average</w:t>
            </w:r>
          </w:p>
        </w:tc>
        <w:tc>
          <w:tcPr>
            <w:tcW w:w="0" w:type="dxa"/>
            <w:vAlign w:val="bottom"/>
          </w:tcPr>
          <w:p>
            <w:pPr>
              <w:spacing w:after="0"/>
              <w:rPr>
                <w:sz w:val="1"/>
                <w:szCs w:val="1"/>
                <w:color w:val="auto"/>
              </w:rPr>
            </w:pPr>
          </w:p>
        </w:tc>
      </w:tr>
      <w:tr>
        <w:trPr>
          <w:trHeight w:val="170"/>
        </w:trPr>
        <w:tc>
          <w:tcPr>
            <w:tcW w:w="1340" w:type="dxa"/>
            <w:vAlign w:val="bottom"/>
            <w:gridSpan w:val="2"/>
          </w:tcPr>
          <w:p>
            <w:pPr>
              <w:jc w:val="center"/>
              <w:ind w:right="100"/>
              <w:spacing w:after="0" w:line="171" w:lineRule="exact"/>
              <w:rPr>
                <w:sz w:val="20"/>
                <w:szCs w:val="20"/>
                <w:color w:val="auto"/>
              </w:rPr>
            </w:pPr>
            <w:r>
              <w:rPr>
                <w:rFonts w:ascii="Arial" w:cs="Arial" w:eastAsia="Arial" w:hAnsi="Arial"/>
                <w:sz w:val="17"/>
                <w:szCs w:val="17"/>
                <w:color w:val="auto"/>
                <w:w w:val="89"/>
              </w:rPr>
              <w:t>issuance</w:t>
            </w:r>
          </w:p>
        </w:tc>
        <w:tc>
          <w:tcPr>
            <w:tcW w:w="1180" w:type="dxa"/>
            <w:vAlign w:val="bottom"/>
          </w:tcPr>
          <w:p>
            <w:pPr>
              <w:jc w:val="center"/>
              <w:spacing w:after="0" w:line="171" w:lineRule="exact"/>
              <w:rPr>
                <w:sz w:val="20"/>
                <w:szCs w:val="20"/>
                <w:color w:val="auto"/>
              </w:rPr>
            </w:pPr>
            <w:r>
              <w:rPr>
                <w:rFonts w:ascii="Arial" w:cs="Arial" w:eastAsia="Arial" w:hAnsi="Arial"/>
                <w:sz w:val="17"/>
                <w:szCs w:val="17"/>
                <w:color w:val="auto"/>
                <w:w w:val="93"/>
              </w:rPr>
              <w:t>outstanding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3"/>
              <w:spacing w:after="0" w:line="171" w:lineRule="exact"/>
              <w:rPr>
                <w:sz w:val="20"/>
                <w:szCs w:val="20"/>
                <w:color w:val="auto"/>
              </w:rPr>
            </w:pPr>
            <w:r>
              <w:rPr>
                <w:rFonts w:ascii="Arial" w:cs="Arial" w:eastAsia="Arial" w:hAnsi="Arial"/>
                <w:sz w:val="17"/>
                <w:szCs w:val="17"/>
                <w:color w:val="auto"/>
                <w:w w:val="91"/>
              </w:rPr>
              <w:t>exercise</w:t>
            </w:r>
          </w:p>
        </w:tc>
        <w:tc>
          <w:tcPr>
            <w:tcW w:w="1340" w:type="dxa"/>
            <w:vAlign w:val="bottom"/>
          </w:tcPr>
          <w:p>
            <w:pPr>
              <w:jc w:val="center"/>
              <w:ind w:left="33"/>
              <w:spacing w:after="0" w:line="171" w:lineRule="exact"/>
              <w:rPr>
                <w:sz w:val="20"/>
                <w:szCs w:val="20"/>
                <w:color w:val="auto"/>
              </w:rPr>
            </w:pPr>
            <w:r>
              <w:rPr>
                <w:rFonts w:ascii="Arial" w:cs="Arial" w:eastAsia="Arial" w:hAnsi="Arial"/>
                <w:sz w:val="17"/>
                <w:szCs w:val="17"/>
                <w:color w:val="auto"/>
                <w:w w:val="93"/>
              </w:rPr>
              <w:t>contractual</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tcPr>
          <w:p>
            <w:pPr>
              <w:jc w:val="center"/>
              <w:spacing w:after="0" w:line="171" w:lineRule="exact"/>
              <w:rPr>
                <w:sz w:val="20"/>
                <w:szCs w:val="20"/>
                <w:color w:val="auto"/>
              </w:rPr>
            </w:pPr>
            <w:r>
              <w:rPr>
                <w:rFonts w:ascii="Arial" w:cs="Arial" w:eastAsia="Arial" w:hAnsi="Arial"/>
                <w:sz w:val="17"/>
                <w:szCs w:val="17"/>
                <w:color w:val="auto"/>
                <w:w w:val="93"/>
              </w:rPr>
              <w:t>Plan</w:t>
            </w:r>
          </w:p>
        </w:tc>
        <w:tc>
          <w:tcPr>
            <w:tcW w:w="260" w:type="dxa"/>
            <w:vAlign w:val="bottom"/>
          </w:tcPr>
          <w:p>
            <w:pPr>
              <w:spacing w:after="0"/>
              <w:rPr>
                <w:sz w:val="14"/>
                <w:szCs w:val="14"/>
                <w:color w:val="auto"/>
              </w:rPr>
            </w:pPr>
          </w:p>
        </w:tc>
        <w:tc>
          <w:tcPr>
            <w:tcW w:w="960" w:type="dxa"/>
            <w:vAlign w:val="bottom"/>
          </w:tcPr>
          <w:p>
            <w:pPr>
              <w:jc w:val="center"/>
              <w:ind w:right="53"/>
              <w:spacing w:after="0" w:line="171" w:lineRule="exact"/>
              <w:rPr>
                <w:sz w:val="20"/>
                <w:szCs w:val="20"/>
                <w:color w:val="auto"/>
              </w:rPr>
            </w:pPr>
            <w:r>
              <w:rPr>
                <w:rFonts w:ascii="Arial" w:cs="Arial" w:eastAsia="Arial" w:hAnsi="Arial"/>
                <w:sz w:val="17"/>
                <w:szCs w:val="17"/>
                <w:color w:val="auto"/>
                <w:w w:val="91"/>
              </w:rPr>
              <w:t>grant date</w:t>
            </w:r>
          </w:p>
        </w:tc>
        <w:tc>
          <w:tcPr>
            <w:tcW w:w="0" w:type="dxa"/>
            <w:vAlign w:val="bottom"/>
          </w:tcPr>
          <w:p>
            <w:pPr>
              <w:spacing w:after="0"/>
              <w:rPr>
                <w:sz w:val="1"/>
                <w:szCs w:val="1"/>
                <w:color w:val="auto"/>
              </w:rPr>
            </w:pPr>
          </w:p>
        </w:tc>
      </w:tr>
      <w:tr>
        <w:trPr>
          <w:trHeight w:val="183"/>
        </w:trPr>
        <w:tc>
          <w:tcPr>
            <w:tcW w:w="1340" w:type="dxa"/>
            <w:vAlign w:val="bottom"/>
            <w:gridSpan w:val="2"/>
          </w:tcPr>
          <w:p>
            <w:pPr>
              <w:jc w:val="center"/>
              <w:ind w:right="100"/>
              <w:spacing w:after="0" w:line="183" w:lineRule="exact"/>
              <w:rPr>
                <w:sz w:val="20"/>
                <w:szCs w:val="20"/>
                <w:color w:val="auto"/>
              </w:rPr>
            </w:pPr>
            <w:r>
              <w:rPr>
                <w:rFonts w:ascii="Arial" w:cs="Arial" w:eastAsia="Arial" w:hAnsi="Arial"/>
                <w:sz w:val="17"/>
                <w:szCs w:val="17"/>
                <w:color w:val="auto"/>
                <w:w w:val="89"/>
              </w:rPr>
              <w:t>under the</w:t>
            </w:r>
          </w:p>
        </w:tc>
        <w:tc>
          <w:tcPr>
            <w:tcW w:w="1180" w:type="dxa"/>
            <w:vAlign w:val="bottom"/>
          </w:tcPr>
          <w:p>
            <w:pPr>
              <w:jc w:val="center"/>
              <w:spacing w:after="0" w:line="183" w:lineRule="exact"/>
              <w:rPr>
                <w:sz w:val="20"/>
                <w:szCs w:val="20"/>
                <w:color w:val="auto"/>
              </w:rPr>
            </w:pPr>
            <w:r>
              <w:rPr>
                <w:rFonts w:ascii="Arial" w:cs="Arial" w:eastAsia="Arial" w:hAnsi="Arial"/>
                <w:sz w:val="17"/>
                <w:szCs w:val="17"/>
                <w:color w:val="auto"/>
                <w:w w:val="91"/>
              </w:rPr>
              <w:t>under the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53"/>
              <w:spacing w:after="0" w:line="183" w:lineRule="exact"/>
              <w:rPr>
                <w:sz w:val="20"/>
                <w:szCs w:val="20"/>
                <w:color w:val="auto"/>
              </w:rPr>
            </w:pPr>
            <w:r>
              <w:rPr>
                <w:rFonts w:ascii="Arial" w:cs="Arial" w:eastAsia="Arial" w:hAnsi="Arial"/>
                <w:sz w:val="17"/>
                <w:szCs w:val="17"/>
                <w:color w:val="auto"/>
                <w:w w:val="92"/>
              </w:rPr>
              <w:t>price</w:t>
            </w:r>
          </w:p>
        </w:tc>
        <w:tc>
          <w:tcPr>
            <w:tcW w:w="1340" w:type="dxa"/>
            <w:vAlign w:val="bottom"/>
          </w:tcPr>
          <w:p>
            <w:pPr>
              <w:jc w:val="center"/>
              <w:ind w:left="13"/>
              <w:spacing w:after="0" w:line="183" w:lineRule="exact"/>
              <w:rPr>
                <w:sz w:val="20"/>
                <w:szCs w:val="20"/>
                <w:color w:val="auto"/>
              </w:rPr>
            </w:pPr>
            <w:r>
              <w:rPr>
                <w:rFonts w:ascii="Arial" w:cs="Arial" w:eastAsia="Arial" w:hAnsi="Arial"/>
                <w:sz w:val="17"/>
                <w:szCs w:val="17"/>
                <w:color w:val="auto"/>
                <w:w w:val="93"/>
              </w:rPr>
              <w:t>term</w:t>
            </w:r>
          </w:p>
        </w:tc>
        <w:tc>
          <w:tcPr>
            <w:tcW w:w="140" w:type="dxa"/>
            <w:vAlign w:val="bottom"/>
          </w:tcPr>
          <w:p>
            <w:pPr>
              <w:spacing w:after="0"/>
              <w:rPr>
                <w:sz w:val="15"/>
                <w:szCs w:val="15"/>
                <w:color w:val="auto"/>
              </w:rPr>
            </w:pPr>
          </w:p>
        </w:tc>
        <w:tc>
          <w:tcPr>
            <w:tcW w:w="900" w:type="dxa"/>
            <w:vAlign w:val="bottom"/>
          </w:tcPr>
          <w:p>
            <w:pPr>
              <w:jc w:val="center"/>
              <w:ind w:right="73"/>
              <w:spacing w:after="0" w:line="183" w:lineRule="exact"/>
              <w:rPr>
                <w:sz w:val="20"/>
                <w:szCs w:val="20"/>
                <w:color w:val="auto"/>
              </w:rPr>
            </w:pPr>
            <w:r>
              <w:rPr>
                <w:rFonts w:ascii="Arial" w:cs="Arial" w:eastAsia="Arial" w:hAnsi="Arial"/>
                <w:sz w:val="17"/>
                <w:szCs w:val="17"/>
                <w:color w:val="auto"/>
                <w:w w:val="98"/>
              </w:rPr>
              <w:t>Intrinsic</w:t>
            </w:r>
          </w:p>
        </w:tc>
        <w:tc>
          <w:tcPr>
            <w:tcW w:w="1160" w:type="dxa"/>
            <w:vAlign w:val="bottom"/>
          </w:tcPr>
          <w:p>
            <w:pPr>
              <w:jc w:val="center"/>
              <w:spacing w:after="0" w:line="183" w:lineRule="exact"/>
              <w:rPr>
                <w:sz w:val="20"/>
                <w:szCs w:val="20"/>
                <w:color w:val="auto"/>
              </w:rPr>
            </w:pPr>
            <w:r>
              <w:rPr>
                <w:rFonts w:ascii="Arial" w:cs="Arial" w:eastAsia="Arial" w:hAnsi="Arial"/>
                <w:sz w:val="17"/>
                <w:szCs w:val="17"/>
                <w:color w:val="auto"/>
                <w:w w:val="86"/>
              </w:rPr>
              <w:t>shares</w:t>
            </w:r>
          </w:p>
        </w:tc>
        <w:tc>
          <w:tcPr>
            <w:tcW w:w="260" w:type="dxa"/>
            <w:vAlign w:val="bottom"/>
          </w:tcPr>
          <w:p>
            <w:pPr>
              <w:spacing w:after="0"/>
              <w:rPr>
                <w:sz w:val="15"/>
                <w:szCs w:val="15"/>
                <w:color w:val="auto"/>
              </w:rPr>
            </w:pPr>
          </w:p>
        </w:tc>
        <w:tc>
          <w:tcPr>
            <w:tcW w:w="960" w:type="dxa"/>
            <w:vAlign w:val="bottom"/>
          </w:tcPr>
          <w:p>
            <w:pPr>
              <w:jc w:val="center"/>
              <w:ind w:right="53"/>
              <w:spacing w:after="0" w:line="183" w:lineRule="exact"/>
              <w:rPr>
                <w:sz w:val="20"/>
                <w:szCs w:val="20"/>
                <w:color w:val="auto"/>
              </w:rPr>
            </w:pPr>
            <w:r>
              <w:rPr>
                <w:rFonts w:ascii="Arial" w:cs="Arial" w:eastAsia="Arial" w:hAnsi="Arial"/>
                <w:sz w:val="17"/>
                <w:szCs w:val="17"/>
                <w:color w:val="auto"/>
                <w:w w:val="95"/>
              </w:rPr>
              <w:t>fair value</w:t>
            </w: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Plans</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Plans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color w:val="auto"/>
                <w:w w:val="89"/>
              </w:rPr>
              <w:t>per share</w:t>
            </w:r>
          </w:p>
        </w:tc>
        <w:tc>
          <w:tcPr>
            <w:tcW w:w="1340" w:type="dxa"/>
            <w:vAlign w:val="bottom"/>
          </w:tcPr>
          <w:p>
            <w:pPr>
              <w:jc w:val="center"/>
              <w:ind w:left="13"/>
              <w:spacing w:after="0"/>
              <w:rPr>
                <w:sz w:val="20"/>
                <w:szCs w:val="20"/>
                <w:color w:val="auto"/>
              </w:rPr>
            </w:pPr>
            <w:r>
              <w:rPr>
                <w:rFonts w:ascii="Arial" w:cs="Arial" w:eastAsia="Arial" w:hAnsi="Arial"/>
                <w:sz w:val="17"/>
                <w:szCs w:val="17"/>
                <w:color w:val="auto"/>
                <w:w w:val="94"/>
              </w:rPr>
              <w:t>(In years)</w:t>
            </w:r>
          </w:p>
        </w:tc>
        <w:tc>
          <w:tcPr>
            <w:tcW w:w="140" w:type="dxa"/>
            <w:vAlign w:val="bottom"/>
          </w:tcPr>
          <w:p>
            <w:pPr>
              <w:spacing w:after="0"/>
              <w:rPr>
                <w:sz w:val="19"/>
                <w:szCs w:val="19"/>
                <w:color w:val="auto"/>
              </w:rPr>
            </w:pPr>
          </w:p>
        </w:tc>
        <w:tc>
          <w:tcPr>
            <w:tcW w:w="900" w:type="dxa"/>
            <w:vAlign w:val="bottom"/>
          </w:tcPr>
          <w:p>
            <w:pPr>
              <w:jc w:val="center"/>
              <w:ind w:right="53"/>
              <w:spacing w:after="0"/>
              <w:rPr>
                <w:sz w:val="20"/>
                <w:szCs w:val="20"/>
                <w:color w:val="auto"/>
              </w:rPr>
            </w:pPr>
            <w:r>
              <w:rPr>
                <w:rFonts w:ascii="Arial" w:cs="Arial" w:eastAsia="Arial" w:hAnsi="Arial"/>
                <w:sz w:val="17"/>
                <w:szCs w:val="17"/>
                <w:color w:val="auto"/>
                <w:w w:val="91"/>
              </w:rPr>
              <w:t>Value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outstanding</w:t>
            </w:r>
          </w:p>
        </w:tc>
        <w:tc>
          <w:tcPr>
            <w:tcW w:w="260" w:type="dxa"/>
            <w:vAlign w:val="bottom"/>
          </w:tcPr>
          <w:p>
            <w:pPr>
              <w:spacing w:after="0"/>
              <w:rPr>
                <w:sz w:val="19"/>
                <w:szCs w:val="19"/>
                <w:color w:val="auto"/>
              </w:rPr>
            </w:pPr>
          </w:p>
        </w:tc>
        <w:tc>
          <w:tcPr>
            <w:tcW w:w="960" w:type="dxa"/>
            <w:vAlign w:val="bottom"/>
          </w:tcPr>
          <w:p>
            <w:pPr>
              <w:jc w:val="center"/>
              <w:ind w:right="73"/>
              <w:spacing w:after="0"/>
              <w:rPr>
                <w:sz w:val="20"/>
                <w:szCs w:val="20"/>
                <w:color w:val="auto"/>
              </w:rPr>
            </w:pPr>
            <w:r>
              <w:rPr>
                <w:rFonts w:ascii="Arial" w:cs="Arial" w:eastAsia="Arial" w:hAnsi="Arial"/>
                <w:sz w:val="17"/>
                <w:szCs w:val="17"/>
                <w:color w:val="auto"/>
                <w:w w:val="89"/>
              </w:rPr>
              <w:t>per share</w:t>
            </w:r>
          </w:p>
        </w:tc>
        <w:tc>
          <w:tcPr>
            <w:tcW w:w="0" w:type="dxa"/>
            <w:vAlign w:val="bottom"/>
          </w:tcPr>
          <w:p>
            <w:pPr>
              <w:spacing w:after="0"/>
              <w:rPr>
                <w:sz w:val="1"/>
                <w:szCs w:val="1"/>
                <w:color w:val="auto"/>
              </w:rPr>
            </w:pPr>
          </w:p>
        </w:tc>
      </w:tr>
      <w:tr>
        <w:trPr>
          <w:trHeight w:val="216"/>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ind w:left="713"/>
              <w:spacing w:after="0"/>
              <w:rPr>
                <w:sz w:val="20"/>
                <w:szCs w:val="20"/>
                <w:color w:val="auto"/>
              </w:rPr>
            </w:pPr>
            <w:r>
              <w:rPr>
                <w:rFonts w:ascii="Arial" w:cs="Arial" w:eastAsia="Arial" w:hAnsi="Arial"/>
                <w:sz w:val="17"/>
                <w:szCs w:val="17"/>
                <w:color w:val="auto"/>
                <w:w w:val="92"/>
              </w:rPr>
              <w:t>1.3</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13.73</w:t>
            </w:r>
          </w:p>
        </w:tc>
        <w:tc>
          <w:tcPr>
            <w:tcW w:w="1340" w:type="dxa"/>
            <w:vAlign w:val="bottom"/>
          </w:tcPr>
          <w:p>
            <w:pPr>
              <w:jc w:val="right"/>
              <w:spacing w:after="0"/>
              <w:rPr>
                <w:sz w:val="20"/>
                <w:szCs w:val="20"/>
                <w:color w:val="auto"/>
              </w:rPr>
            </w:pPr>
            <w:r>
              <w:rPr>
                <w:rFonts w:ascii="Arial" w:cs="Arial" w:eastAsia="Arial" w:hAnsi="Arial"/>
                <w:sz w:val="17"/>
                <w:szCs w:val="17"/>
                <w:color w:val="auto"/>
              </w:rPr>
              <w:t>5.7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19.79</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4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4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180" w:type="dxa"/>
            <w:vAlign w:val="bottom"/>
          </w:tcPr>
          <w:p>
            <w:pPr>
              <w:jc w:val="center"/>
              <w:ind w:left="713"/>
              <w:spacing w:after="0"/>
              <w:rPr>
                <w:sz w:val="20"/>
                <w:szCs w:val="20"/>
                <w:color w:val="auto"/>
              </w:rPr>
            </w:pPr>
            <w:r>
              <w:rPr>
                <w:rFonts w:ascii="Arial" w:cs="Arial" w:eastAsia="Arial" w:hAnsi="Arial"/>
                <w:sz w:val="17"/>
                <w:szCs w:val="17"/>
                <w:color w:val="auto"/>
                <w:w w:val="92"/>
              </w:rPr>
              <w:t>0.4</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2.17</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ind w:left="713"/>
              <w:spacing w:after="0"/>
              <w:rPr>
                <w:sz w:val="20"/>
                <w:szCs w:val="20"/>
                <w:color w:val="auto"/>
              </w:rPr>
            </w:pPr>
            <w:r>
              <w:rPr>
                <w:rFonts w:ascii="Arial" w:cs="Arial" w:eastAsia="Arial" w:hAnsi="Arial"/>
                <w:sz w:val="17"/>
                <w:szCs w:val="17"/>
                <w:color w:val="auto"/>
                <w:w w:val="97"/>
              </w:rPr>
              <w:t>(0.7)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9.77</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(12.7)</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20.77</w:t>
            </w:r>
          </w:p>
        </w:tc>
        <w:tc>
          <w:tcPr>
            <w:tcW w:w="0" w:type="dxa"/>
            <w:vAlign w:val="bottom"/>
          </w:tcPr>
          <w:p>
            <w:pPr>
              <w:spacing w:after="0"/>
              <w:rPr>
                <w:sz w:val="1"/>
                <w:szCs w:val="1"/>
                <w:color w:val="auto"/>
              </w:rPr>
            </w:pPr>
          </w:p>
        </w:tc>
      </w:tr>
      <w:tr>
        <w:trPr>
          <w:trHeight w:val="407"/>
        </w:trPr>
        <w:tc>
          <w:tcPr>
            <w:tcW w:w="124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24"/>
                <w:szCs w:val="24"/>
                <w:color w:val="auto"/>
              </w:rPr>
            </w:pPr>
          </w:p>
        </w:tc>
        <w:tc>
          <w:tcPr>
            <w:tcW w:w="1180" w:type="dxa"/>
            <w:vAlign w:val="bottom"/>
          </w:tcPr>
          <w:p>
            <w:pPr>
              <w:jc w:val="center"/>
              <w:ind w:left="713"/>
              <w:spacing w:after="0"/>
              <w:rPr>
                <w:sz w:val="20"/>
                <w:szCs w:val="20"/>
                <w:color w:val="auto"/>
              </w:rPr>
            </w:pPr>
            <w:r>
              <w:rPr>
                <w:rFonts w:ascii="Arial" w:cs="Arial" w:eastAsia="Arial" w:hAnsi="Arial"/>
                <w:sz w:val="17"/>
                <w:szCs w:val="17"/>
                <w:color w:val="auto"/>
                <w:w w:val="97"/>
              </w:rPr>
              <w:t>(0.1)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11.84</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(11.0)</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21.12</w:t>
            </w:r>
          </w:p>
        </w:tc>
        <w:tc>
          <w:tcPr>
            <w:tcW w:w="0" w:type="dxa"/>
            <w:vAlign w:val="bottom"/>
          </w:tcPr>
          <w:p>
            <w:pPr>
              <w:spacing w:after="0"/>
              <w:rPr>
                <w:sz w:val="1"/>
                <w:szCs w:val="1"/>
                <w:color w:val="auto"/>
              </w:rPr>
            </w:pPr>
          </w:p>
        </w:tc>
      </w:tr>
      <w:tr>
        <w:trPr>
          <w:trHeight w:val="577"/>
        </w:trPr>
        <w:tc>
          <w:tcPr>
            <w:tcW w:w="124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20.71</w:t>
            </w:r>
          </w:p>
        </w:tc>
        <w:tc>
          <w:tcPr>
            <w:tcW w:w="0" w:type="dxa"/>
            <w:vAlign w:val="bottom"/>
          </w:tcPr>
          <w:p>
            <w:pPr>
              <w:spacing w:after="0"/>
              <w:rPr>
                <w:sz w:val="1"/>
                <w:szCs w:val="1"/>
                <w:color w:val="auto"/>
              </w:rPr>
            </w:pPr>
          </w:p>
        </w:tc>
      </w:tr>
      <w:tr>
        <w:trPr>
          <w:trHeight w:val="407"/>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26.34</w:t>
            </w:r>
          </w:p>
        </w:tc>
        <w:tc>
          <w:tcPr>
            <w:tcW w:w="0" w:type="dxa"/>
            <w:vAlign w:val="bottom"/>
          </w:tcPr>
          <w:p>
            <w:pPr>
              <w:spacing w:after="0"/>
              <w:rPr>
                <w:sz w:val="1"/>
                <w:szCs w:val="1"/>
                <w:color w:val="auto"/>
              </w:rPr>
            </w:pPr>
          </w:p>
        </w:tc>
      </w:tr>
      <w:tr>
        <w:trPr>
          <w:trHeight w:val="216"/>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ind w:left="713"/>
              <w:spacing w:after="0"/>
              <w:rPr>
                <w:sz w:val="20"/>
                <w:szCs w:val="20"/>
                <w:color w:val="auto"/>
              </w:rPr>
            </w:pPr>
            <w:r>
              <w:rPr>
                <w:rFonts w:ascii="Arial" w:cs="Arial" w:eastAsia="Arial" w:hAnsi="Arial"/>
                <w:sz w:val="17"/>
                <w:szCs w:val="17"/>
                <w:color w:val="auto"/>
                <w:w w:val="92"/>
              </w:rPr>
              <w:t>0.9</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12.09</w:t>
            </w:r>
          </w:p>
        </w:tc>
        <w:tc>
          <w:tcPr>
            <w:tcW w:w="1340" w:type="dxa"/>
            <w:vAlign w:val="bottom"/>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24.17</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4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ind w:left="713"/>
              <w:spacing w:after="0"/>
              <w:rPr>
                <w:sz w:val="20"/>
                <w:szCs w:val="20"/>
                <w:color w:val="auto"/>
              </w:rPr>
            </w:pPr>
            <w:r>
              <w:rPr>
                <w:rFonts w:ascii="Arial" w:cs="Arial" w:eastAsia="Arial" w:hAnsi="Arial"/>
                <w:sz w:val="17"/>
                <w:szCs w:val="17"/>
                <w:color w:val="auto"/>
                <w:w w:val="97"/>
              </w:rPr>
              <w:t>(0.1)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3.00</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(14.3)</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23.37</w:t>
            </w:r>
          </w:p>
        </w:tc>
        <w:tc>
          <w:tcPr>
            <w:tcW w:w="0" w:type="dxa"/>
            <w:vAlign w:val="bottom"/>
          </w:tcPr>
          <w:p>
            <w:pPr>
              <w:spacing w:after="0"/>
              <w:rPr>
                <w:sz w:val="1"/>
                <w:szCs w:val="1"/>
                <w:color w:val="auto"/>
              </w:rPr>
            </w:pPr>
          </w:p>
        </w:tc>
      </w:tr>
      <w:tr>
        <w:trPr>
          <w:trHeight w:val="407"/>
        </w:trPr>
        <w:tc>
          <w:tcPr>
            <w:tcW w:w="124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24"/>
                <w:szCs w:val="24"/>
                <w:color w:val="auto"/>
              </w:rPr>
            </w:pPr>
          </w:p>
        </w:tc>
        <w:tc>
          <w:tcPr>
            <w:tcW w:w="1180" w:type="dxa"/>
            <w:vAlign w:val="bottom"/>
          </w:tcPr>
          <w:p>
            <w:pPr>
              <w:jc w:val="center"/>
              <w:ind w:left="713"/>
              <w:spacing w:after="0"/>
              <w:rPr>
                <w:sz w:val="20"/>
                <w:szCs w:val="20"/>
                <w:color w:val="auto"/>
              </w:rPr>
            </w:pPr>
            <w:r>
              <w:rPr>
                <w:rFonts w:ascii="Arial" w:cs="Arial" w:eastAsia="Arial" w:hAnsi="Arial"/>
                <w:sz w:val="17"/>
                <w:szCs w:val="17"/>
                <w:color w:val="auto"/>
                <w:w w:val="97"/>
              </w:rPr>
              <w:t>(0.4)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18.53</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23.72</w:t>
            </w:r>
          </w:p>
        </w:tc>
        <w:tc>
          <w:tcPr>
            <w:tcW w:w="0" w:type="dxa"/>
            <w:vAlign w:val="bottom"/>
          </w:tcPr>
          <w:p>
            <w:pPr>
              <w:spacing w:after="0"/>
              <w:rPr>
                <w:sz w:val="1"/>
                <w:szCs w:val="1"/>
                <w:color w:val="auto"/>
              </w:rPr>
            </w:pPr>
          </w:p>
        </w:tc>
      </w:tr>
      <w:tr>
        <w:trPr>
          <w:trHeight w:val="577"/>
        </w:trPr>
        <w:tc>
          <w:tcPr>
            <w:tcW w:w="124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23.40</w:t>
            </w:r>
          </w:p>
        </w:tc>
        <w:tc>
          <w:tcPr>
            <w:tcW w:w="0" w:type="dxa"/>
            <w:vAlign w:val="bottom"/>
          </w:tcPr>
          <w:p>
            <w:pPr>
              <w:spacing w:after="0"/>
              <w:rPr>
                <w:sz w:val="1"/>
                <w:szCs w:val="1"/>
                <w:color w:val="auto"/>
              </w:rPr>
            </w:pPr>
          </w:p>
        </w:tc>
      </w:tr>
      <w:tr>
        <w:trPr>
          <w:trHeight w:val="407"/>
        </w:trPr>
        <w:tc>
          <w:tcPr>
            <w:tcW w:w="1240" w:type="dxa"/>
            <w:vAlign w:val="bottom"/>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27.8</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-3071495</wp:posOffset>
            </wp:positionV>
            <wp:extent cx="7136130" cy="166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130" cy="166370"/>
                    </a:xfrm>
                    <a:prstGeom prst="rect">
                      <a:avLst/>
                    </a:prstGeom>
                    <a:noFill/>
                  </pic:spPr>
                </pic:pic>
              </a:graphicData>
            </a:graphic>
          </wp:anchor>
        </w:drawing>
        <w:drawing>
          <wp:anchor simplePos="0" relativeHeight="251657728" behindDoc="1" locked="0" layoutInCell="0" allowOverlap="1">
            <wp:simplePos x="0" y="0"/>
            <wp:positionH relativeFrom="column">
              <wp:posOffset>-1748790</wp:posOffset>
            </wp:positionH>
            <wp:positionV relativeFrom="paragraph">
              <wp:posOffset>-2747010</wp:posOffset>
            </wp:positionV>
            <wp:extent cx="7136130" cy="141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-1748790</wp:posOffset>
            </wp:positionH>
            <wp:positionV relativeFrom="paragraph">
              <wp:posOffset>-2347595</wp:posOffset>
            </wp:positionV>
            <wp:extent cx="7136130" cy="2584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130" cy="258445"/>
                    </a:xfrm>
                    <a:prstGeom prst="rect">
                      <a:avLst/>
                    </a:prstGeom>
                    <a:noFill/>
                  </pic:spPr>
                </pic:pic>
              </a:graphicData>
            </a:graphic>
          </wp:anchor>
        </w:drawing>
        <w:drawing>
          <wp:anchor simplePos="0" relativeHeight="251657728" behindDoc="1" locked="0" layoutInCell="0" allowOverlap="1">
            <wp:simplePos x="0" y="0"/>
            <wp:positionH relativeFrom="column">
              <wp:posOffset>-1748790</wp:posOffset>
            </wp:positionH>
            <wp:positionV relativeFrom="paragraph">
              <wp:posOffset>-1722755</wp:posOffset>
            </wp:positionV>
            <wp:extent cx="7136130" cy="2584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258445"/>
                    </a:xfrm>
                    <a:prstGeom prst="rect">
                      <a:avLst/>
                    </a:prstGeom>
                    <a:noFill/>
                  </pic:spPr>
                </pic:pic>
              </a:graphicData>
            </a:graphic>
          </wp:anchor>
        </w:drawing>
        <w:drawing>
          <wp:anchor simplePos="0" relativeHeight="251657728" behindDoc="1" locked="0" layoutInCell="0" allowOverlap="1">
            <wp:simplePos x="0" y="0"/>
            <wp:positionH relativeFrom="column">
              <wp:posOffset>-1748790</wp:posOffset>
            </wp:positionH>
            <wp:positionV relativeFrom="paragraph">
              <wp:posOffset>-1297940</wp:posOffset>
            </wp:positionV>
            <wp:extent cx="7136130" cy="1581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158115"/>
                    </a:xfrm>
                    <a:prstGeom prst="rect">
                      <a:avLst/>
                    </a:prstGeom>
                    <a:noFill/>
                  </pic:spPr>
                </pic:pic>
              </a:graphicData>
            </a:graphic>
          </wp:anchor>
        </w:drawing>
        <w:drawing>
          <wp:anchor simplePos="0" relativeHeight="251657728" behindDoc="1" locked="0" layoutInCell="0" allowOverlap="1">
            <wp:simplePos x="0" y="0"/>
            <wp:positionH relativeFrom="column">
              <wp:posOffset>-1748790</wp:posOffset>
            </wp:positionH>
            <wp:positionV relativeFrom="paragraph">
              <wp:posOffset>-882015</wp:posOffset>
            </wp:positionV>
            <wp:extent cx="7136130" cy="2584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258445"/>
                    </a:xfrm>
                    <a:prstGeom prst="rect">
                      <a:avLst/>
                    </a:prstGeom>
                    <a:noFill/>
                  </pic:spPr>
                </pic:pic>
              </a:graphicData>
            </a:graphic>
          </wp:anchor>
        </w:drawing>
        <w:drawing>
          <wp:anchor simplePos="0" relativeHeight="251657728" behindDoc="1" locked="0" layoutInCell="0" allowOverlap="1">
            <wp:simplePos x="0" y="0"/>
            <wp:positionH relativeFrom="column">
              <wp:posOffset>-1748790</wp:posOffset>
            </wp:positionH>
            <wp:positionV relativeFrom="paragraph">
              <wp:posOffset>-257175</wp:posOffset>
            </wp:positionV>
            <wp:extent cx="7136130" cy="2584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2584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20" w:space="40"/>
            <w:col w:w="8480"/>
          </w:cols>
          <w:pgMar w:left="320" w:top="129"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760" w:type="dxa"/>
            <w:vAlign w:val="bottom"/>
          </w:tcPr>
          <w:p>
            <w:pPr>
              <w:ind w:left="20"/>
              <w:spacing w:after="0"/>
              <w:rPr>
                <w:sz w:val="20"/>
                <w:szCs w:val="20"/>
                <w:color w:val="auto"/>
              </w:rPr>
            </w:pPr>
            <w:r>
              <w:rPr>
                <w:rFonts w:ascii="Arial" w:cs="Arial" w:eastAsia="Arial" w:hAnsi="Arial"/>
                <w:sz w:val="17"/>
                <w:szCs w:val="17"/>
                <w:color w:val="auto"/>
              </w:rPr>
              <w:t>Balance as of December 31, 2022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98.2</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11.30</w:t>
            </w:r>
          </w:p>
        </w:tc>
        <w:tc>
          <w:tcPr>
            <w:tcW w:w="1340" w:type="dxa"/>
            <w:vAlign w:val="bottom"/>
          </w:tcPr>
          <w:p>
            <w:pPr>
              <w:jc w:val="right"/>
              <w:spacing w:after="0"/>
              <w:rPr>
                <w:sz w:val="20"/>
                <w:szCs w:val="20"/>
                <w:color w:val="auto"/>
              </w:rPr>
            </w:pPr>
            <w:r>
              <w:rPr>
                <w:rFonts w:ascii="Arial" w:cs="Arial" w:eastAsia="Arial" w:hAnsi="Arial"/>
                <w:sz w:val="17"/>
                <w:szCs w:val="17"/>
                <w:color w:val="auto"/>
              </w:rPr>
              <w:t>4.5</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4.5</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4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23.40</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 at December 31, 2022</w:t>
            </w: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480" w:type="dxa"/>
            <w:vAlign w:val="bottom"/>
            <w:tcBorders>
              <w:bottom w:val="single" w:sz="8" w:color="CCEEFF"/>
            </w:tcBorders>
            <w:gridSpan w:val="2"/>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4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Unvested at December 31, 2022</w:t>
            </w: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76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480" w:type="dxa"/>
            <w:vAlign w:val="bottom"/>
            <w:gridSpan w:val="2"/>
          </w:tcPr>
          <w:p>
            <w:pPr>
              <w:jc w:val="right"/>
              <w:ind w:right="193"/>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2.01</w:t>
            </w:r>
          </w:p>
        </w:tc>
        <w:tc>
          <w:tcPr>
            <w:tcW w:w="1340" w:type="dxa"/>
            <w:vAlign w:val="bottom"/>
          </w:tcPr>
          <w:p>
            <w:pPr>
              <w:spacing w:after="0"/>
              <w:rPr>
                <w:sz w:val="16"/>
                <w:szCs w:val="16"/>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4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23.40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00" w:firstLine="5"/>
        <w:spacing w:after="0" w:line="547" w:lineRule="auto"/>
        <w:tabs>
          <w:tab w:leader="none" w:pos="161"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This amount includes an immaterial amount of unvested RSUs that were assumed as part of the acquisition of DocSend. The RSUs had a weighted-average grant date fair value of $26.86 per share and a total fair value of $0.4 million, all of which will be recognized as post-combination stock-based compensation expense.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about the pre-tax intrinsic value of options exercised during the years ended December 31, 2022 and 2021:</w:t>
      </w:r>
    </w:p>
    <w:p>
      <w:pPr>
        <w:spacing w:after="0" w:line="387" w:lineRule="exact"/>
        <w:rPr>
          <w:sz w:val="20"/>
          <w:szCs w:val="20"/>
          <w:color w:val="auto"/>
        </w:rPr>
      </w:pPr>
    </w:p>
    <w:p>
      <w:pPr>
        <w:jc w:val="center"/>
        <w:ind w:left="3660"/>
        <w:spacing w:after="0"/>
        <w:rPr>
          <w:sz w:val="20"/>
          <w:szCs w:val="20"/>
          <w:color w:val="auto"/>
        </w:rPr>
      </w:pPr>
      <w:r>
        <w:rPr>
          <w:rFonts w:ascii="Arial" w:cs="Arial" w:eastAsia="Arial" w:hAnsi="Arial"/>
          <w:sz w:val="17"/>
          <w:szCs w:val="17"/>
          <w:b w:val="1"/>
          <w:bCs w:val="1"/>
          <w:color w:val="auto"/>
        </w:rPr>
        <w:t>Year ended</w:t>
      </w:r>
    </w:p>
    <w:p>
      <w:pPr>
        <w:spacing w:after="0" w:line="8" w:lineRule="exact"/>
        <w:rPr>
          <w:sz w:val="20"/>
          <w:szCs w:val="20"/>
          <w:color w:val="auto"/>
        </w:rPr>
      </w:pPr>
    </w:p>
    <w:p>
      <w:pPr>
        <w:jc w:val="center"/>
        <w:ind w:left="366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8255</wp:posOffset>
            </wp:positionV>
            <wp:extent cx="15405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0510" cy="8255"/>
                    </a:xfrm>
                    <a:prstGeom prst="rect">
                      <a:avLst/>
                    </a:prstGeom>
                    <a:noFill/>
                  </pic:spPr>
                </pic:pic>
              </a:graphicData>
            </a:graphic>
          </wp:anchor>
        </w:drawing>
      </w:r>
    </w:p>
    <w:p>
      <w:pPr>
        <w:spacing w:after="0" w:line="1" w:lineRule="exact"/>
        <w:rPr>
          <w:sz w:val="20"/>
          <w:szCs w:val="20"/>
          <w:color w:val="auto"/>
        </w:rPr>
      </w:pPr>
    </w:p>
    <w:p>
      <w:pPr>
        <w:ind w:left="6660"/>
        <w:spacing w:after="0"/>
        <w:tabs>
          <w:tab w:leader="none" w:pos="790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504180" cy="149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04180" cy="149860"/>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6240" w:val="left"/>
          <w:tab w:leader="none" w:pos="7100" w:val="left"/>
          <w:tab w:leader="none" w:pos="7500" w:val="left"/>
          <w:tab w:leader="none" w:pos="8280" w:val="left"/>
        </w:tabs>
        <w:rPr>
          <w:sz w:val="20"/>
          <w:szCs w:val="20"/>
          <w:color w:val="auto"/>
        </w:rPr>
      </w:pPr>
      <w:r>
        <w:rPr>
          <w:rFonts w:ascii="Arial" w:cs="Arial" w:eastAsia="Arial" w:hAnsi="Arial"/>
          <w:sz w:val="17"/>
          <w:szCs w:val="17"/>
          <w:color w:val="auto"/>
        </w:rPr>
        <w:t>Intrinsic value of options exercised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2.9</w:t>
        <w:tab/>
        <w:t>$</w:t>
      </w:r>
      <w:r>
        <w:rPr>
          <w:sz w:val="20"/>
          <w:szCs w:val="20"/>
          <w:color w:val="auto"/>
        </w:rPr>
        <w:tab/>
      </w:r>
      <w:r>
        <w:rPr>
          <w:rFonts w:ascii="Arial" w:cs="Arial" w:eastAsia="Arial" w:hAnsi="Arial"/>
          <w:sz w:val="15"/>
          <w:szCs w:val="15"/>
          <w:color w:val="auto"/>
        </w:rPr>
        <w:t>12.3</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color w:val="auto"/>
        </w:rPr>
        <w:t>As of December 31, 2022, unamortized stock-based compensation related to unvested stock options, restricted stock awards (excluding the Co-Founder Grant), and RSUs was $772.2 million. The weighted-average period over which such compensation expense will be recognized if the requisite service is provided is approximately 2.8 years as of December 31, 2022.</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Assumed stock options</w:t>
      </w:r>
    </w:p>
    <w:p>
      <w:pPr>
        <w:spacing w:after="0" w:line="250" w:lineRule="exact"/>
        <w:rPr>
          <w:sz w:val="20"/>
          <w:szCs w:val="20"/>
          <w:color w:val="auto"/>
        </w:rPr>
      </w:pPr>
    </w:p>
    <w:p>
      <w:pPr>
        <w:ind w:right="380" w:firstLine="433"/>
        <w:spacing w:after="0" w:line="289" w:lineRule="auto"/>
        <w:rPr>
          <w:sz w:val="20"/>
          <w:szCs w:val="20"/>
          <w:color w:val="auto"/>
        </w:rPr>
      </w:pPr>
      <w:r>
        <w:rPr>
          <w:rFonts w:ascii="Arial" w:cs="Arial" w:eastAsia="Arial" w:hAnsi="Arial"/>
          <w:sz w:val="17"/>
          <w:szCs w:val="17"/>
          <w:color w:val="auto"/>
        </w:rPr>
        <w:t>In connection with the acquisition of DocSend the Company assumed 0.9 million unvested stock options which were valued using the Black-Scholes option-pricing model. The fair value of stock options assumed were estimated using the following assumptions:</w:t>
      </w:r>
    </w:p>
    <w:p>
      <w:pPr>
        <w:spacing w:after="0" w:line="394"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5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r>
      <w:tr>
        <w:trPr>
          <w:trHeight w:val="223"/>
        </w:trPr>
        <w:tc>
          <w:tcPr>
            <w:tcW w:w="5680" w:type="dxa"/>
            <w:vAlign w:val="bottom"/>
          </w:tcPr>
          <w:p>
            <w:pPr>
              <w:spacing w:after="0"/>
              <w:rPr>
                <w:sz w:val="20"/>
                <w:szCs w:val="20"/>
                <w:color w:val="auto"/>
              </w:rPr>
            </w:pPr>
            <w:r>
              <w:rPr>
                <w:rFonts w:ascii="Arial" w:cs="Arial" w:eastAsia="Arial" w:hAnsi="Arial"/>
                <w:sz w:val="17"/>
                <w:szCs w:val="17"/>
                <w:color w:val="auto"/>
              </w:rPr>
              <w:t>Expected term (in years)</w:t>
            </w:r>
          </w:p>
        </w:tc>
        <w:tc>
          <w:tcPr>
            <w:tcW w:w="5020" w:type="dxa"/>
            <w:vAlign w:val="bottom"/>
          </w:tcPr>
          <w:p>
            <w:pPr>
              <w:jc w:val="right"/>
              <w:spacing w:after="0"/>
              <w:rPr>
                <w:sz w:val="20"/>
                <w:szCs w:val="20"/>
                <w:color w:val="auto"/>
              </w:rPr>
            </w:pPr>
            <w:r>
              <w:rPr>
                <w:rFonts w:ascii="Arial" w:cs="Arial" w:eastAsia="Arial" w:hAnsi="Arial"/>
                <w:sz w:val="17"/>
                <w:szCs w:val="17"/>
                <w:color w:val="auto"/>
              </w:rPr>
              <w:t>2.0 - 6.8</w:t>
            </w:r>
          </w:p>
        </w:tc>
      </w:tr>
      <w:tr>
        <w:trPr>
          <w:trHeight w:val="223"/>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 - 1.29%</w:t>
            </w:r>
          </w:p>
        </w:tc>
      </w:tr>
      <w:tr>
        <w:trPr>
          <w:trHeight w:val="222"/>
        </w:trPr>
        <w:tc>
          <w:tcPr>
            <w:tcW w:w="5680" w:type="dxa"/>
            <w:vAlign w:val="bottom"/>
          </w:tcPr>
          <w:p>
            <w:pPr>
              <w:spacing w:after="0"/>
              <w:rPr>
                <w:sz w:val="20"/>
                <w:szCs w:val="20"/>
                <w:color w:val="auto"/>
              </w:rPr>
            </w:pPr>
            <w:r>
              <w:rPr>
                <w:rFonts w:ascii="Arial" w:cs="Arial" w:eastAsia="Arial" w:hAnsi="Arial"/>
                <w:sz w:val="17"/>
                <w:szCs w:val="17"/>
                <w:color w:val="auto"/>
              </w:rPr>
              <w:t>Dividend yield</w:t>
            </w:r>
          </w:p>
        </w:tc>
        <w:tc>
          <w:tcPr>
            <w:tcW w:w="5020" w:type="dxa"/>
            <w:vAlign w:val="bottom"/>
          </w:tcPr>
          <w:p>
            <w:pPr>
              <w:jc w:val="right"/>
              <w:spacing w:after="0"/>
              <w:rPr>
                <w:sz w:val="20"/>
                <w:szCs w:val="20"/>
                <w:color w:val="auto"/>
              </w:rPr>
            </w:pPr>
            <w:r>
              <w:rPr>
                <w:rFonts w:ascii="Arial" w:cs="Arial" w:eastAsia="Arial" w:hAnsi="Arial"/>
                <w:sz w:val="17"/>
                <w:szCs w:val="17"/>
                <w:color w:val="auto"/>
              </w:rPr>
              <w:t>— %</w:t>
            </w:r>
          </w:p>
        </w:tc>
      </w:tr>
    </w:tbl>
    <w:p>
      <w:pPr>
        <w:spacing w:after="0" w:line="303" w:lineRule="exact"/>
        <w:rPr>
          <w:sz w:val="20"/>
          <w:szCs w:val="20"/>
          <w:color w:val="auto"/>
        </w:rPr>
      </w:pPr>
    </w:p>
    <w:p>
      <w:pPr>
        <w:ind w:right="160" w:firstLine="433"/>
        <w:spacing w:after="0" w:line="264"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is based on the Company's historical volatility. Management believes this is the best estimate of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over the expected life of its stock options.</w:t>
      </w:r>
    </w:p>
    <w:p>
      <w:pPr>
        <w:spacing w:after="0" w:line="2" w:lineRule="exact"/>
        <w:rPr>
          <w:sz w:val="20"/>
          <w:szCs w:val="20"/>
          <w:color w:val="auto"/>
        </w:rPr>
      </w:pPr>
    </w:p>
    <w:p>
      <w:pPr>
        <w:ind w:right="160" w:firstLine="433"/>
        <w:spacing w:after="0" w:line="290"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Company determines the expected term based on the average period the stock options are expected to remain outstanding,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87" w:lineRule="exact"/>
        <w:rPr>
          <w:sz w:val="20"/>
          <w:szCs w:val="20"/>
          <w:color w:val="auto"/>
        </w:rPr>
      </w:pPr>
    </w:p>
    <w:p>
      <w:pPr>
        <w:ind w:right="520" w:firstLine="433"/>
        <w:spacing w:after="0" w:line="289"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security in effect at the time the options were assumed for maturities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 dividend yield of</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zero.</w:t>
      </w:r>
    </w:p>
    <w:p>
      <w:pPr>
        <w:spacing w:after="0" w:line="238"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In connection with the acquisition of DocSend, the estimated weighted-average grant date fair value for stock options assumed was $25.28 per share and a total fair value of $9.3 million, of which, $8.1 million will be recognized as post-combination stock-based compensation expense.</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Co-Founder Grant</w:t>
      </w:r>
    </w:p>
    <w:p>
      <w:pPr>
        <w:spacing w:after="0" w:line="119"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w:t>
      </w:r>
    </w:p>
    <w:p>
      <w:pPr>
        <w:spacing w:after="0" w:line="206" w:lineRule="exact"/>
        <w:rPr>
          <w:sz w:val="20"/>
          <w:szCs w:val="20"/>
          <w:color w:val="auto"/>
        </w:rPr>
      </w:pPr>
    </w:p>
    <w:p>
      <w:pPr>
        <w:jc w:val="both"/>
        <w:ind w:right="80" w:firstLine="433"/>
        <w:spacing w:after="0" w:line="268" w:lineRule="auto"/>
        <w:rPr>
          <w:sz w:val="20"/>
          <w:szCs w:val="20"/>
          <w:color w:val="auto"/>
        </w:rPr>
      </w:pPr>
      <w:r>
        <w:rPr>
          <w:rFonts w:ascii="Arial" w:cs="Arial" w:eastAsia="Arial" w:hAnsi="Arial"/>
          <w:sz w:val="17"/>
          <w:szCs w:val="17"/>
          <w:color w:val="auto"/>
        </w:rPr>
        <w:t>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202" w:lineRule="exact"/>
        <w:rPr>
          <w:sz w:val="20"/>
          <w:szCs w:val="20"/>
          <w:color w:val="auto"/>
        </w:rPr>
      </w:pPr>
    </w:p>
    <w:p>
      <w:pPr>
        <w:ind w:right="260" w:firstLine="433"/>
        <w:spacing w:after="0" w:line="289" w:lineRule="auto"/>
        <w:rPr>
          <w:sz w:val="20"/>
          <w:szCs w:val="20"/>
          <w:color w:val="auto"/>
        </w:rPr>
      </w:pPr>
      <w:r>
        <w:rPr>
          <w:rFonts w:ascii="Arial" w:cs="Arial" w:eastAsia="Arial" w:hAnsi="Arial"/>
          <w:sz w:val="17"/>
          <w:szCs w:val="17"/>
          <w:color w:val="auto"/>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The first tranche of the Co-Founder Grant, or 2.1 million shares of Class A common stock,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w:t>
      </w:r>
    </w:p>
    <w:p>
      <w:pPr>
        <w:spacing w:after="0" w:line="202"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The Company recognized stock-based compensation expense related to the Co-Founder Grant of $11.7 million and $14.6 million during the years ended December 31, 2022 and 2021, respectively. Unamortized stock-based compensation expense related to the Co-Founder Grant was $9.4 million as of the year ended December 31, 2022.</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Net Income (Loss) Per Share</w:t>
      </w:r>
    </w:p>
    <w:p>
      <w:pPr>
        <w:spacing w:after="0" w:line="125" w:lineRule="exact"/>
        <w:rPr>
          <w:sz w:val="20"/>
          <w:szCs w:val="20"/>
          <w:color w:val="auto"/>
        </w:rPr>
      </w:pPr>
    </w:p>
    <w:p>
      <w:pPr>
        <w:ind w:right="140" w:firstLine="433"/>
        <w:spacing w:after="0" w:line="298" w:lineRule="auto"/>
        <w:rPr>
          <w:sz w:val="20"/>
          <w:szCs w:val="20"/>
          <w:color w:val="auto"/>
        </w:rPr>
      </w:pPr>
      <w:r>
        <w:rPr>
          <w:rFonts w:ascii="Arial" w:cs="Arial" w:eastAsia="Arial" w:hAnsi="Arial"/>
          <w:sz w:val="16"/>
          <w:szCs w:val="16"/>
          <w:color w:val="auto"/>
        </w:rPr>
        <w:t>The Company computes net income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0" w:lineRule="exact"/>
        <w:rPr>
          <w:sz w:val="20"/>
          <w:szCs w:val="20"/>
          <w:color w:val="auto"/>
        </w:rPr>
      </w:pPr>
    </w:p>
    <w:p>
      <w:pPr>
        <w:ind w:right="240" w:firstLine="433"/>
        <w:spacing w:after="0" w:line="289" w:lineRule="auto"/>
        <w:rPr>
          <w:sz w:val="20"/>
          <w:szCs w:val="20"/>
          <w:color w:val="auto"/>
        </w:rPr>
      </w:pPr>
      <w:r>
        <w:rPr>
          <w:rFonts w:ascii="Arial" w:cs="Arial" w:eastAsia="Arial" w:hAnsi="Arial"/>
          <w:sz w:val="17"/>
          <w:szCs w:val="17"/>
          <w:color w:val="auto"/>
        </w:rPr>
        <w:t>Basic net income per share is computed by dividing net income attributable to common stockholders by the weighted-average number of shares of the Class A and Class B common stock outstanding.</w:t>
      </w:r>
    </w:p>
    <w:p>
      <w:pPr>
        <w:spacing w:after="0" w:line="185" w:lineRule="exact"/>
        <w:rPr>
          <w:sz w:val="20"/>
          <w:szCs w:val="20"/>
          <w:color w:val="auto"/>
        </w:rPr>
      </w:pPr>
    </w:p>
    <w:p>
      <w:pPr>
        <w:ind w:right="40" w:firstLine="393"/>
        <w:spacing w:after="0" w:line="286" w:lineRule="auto"/>
        <w:rPr>
          <w:sz w:val="20"/>
          <w:szCs w:val="20"/>
          <w:color w:val="auto"/>
        </w:rPr>
      </w:pPr>
      <w:r>
        <w:rPr>
          <w:rFonts w:ascii="Arial" w:cs="Arial" w:eastAsia="Arial" w:hAnsi="Arial"/>
          <w:sz w:val="16"/>
          <w:szCs w:val="16"/>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our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ectPr>
          <w:pgSz w:w="11900" w:h="16838" w:orient="portrait"/>
          <w:cols w:equalWidth="0" w:num="1">
            <w:col w:w="11180"/>
          </w:cols>
          <w:pgMar w:left="320" w:top="12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9" w:right="39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The numerators and denominators of the basic and diluted EPS computations for our common stock are calculated as follows (in millions, except for per share amounts):</w:t>
      </w:r>
    </w:p>
    <w:p>
      <w:pPr>
        <w:spacing w:after="0" w:line="87" w:lineRule="exact"/>
        <w:rPr>
          <w:sz w:val="20"/>
          <w:szCs w:val="20"/>
          <w:color w:val="auto"/>
        </w:rPr>
      </w:pPr>
    </w:p>
    <w:tbl>
      <w:tblPr>
        <w:tblLayout w:type="fixed"/>
        <w:tblInd w:w="140" w:type="dxa"/>
        <w:tblCellMar>
          <w:top w:w="0" w:type="dxa"/>
          <w:left w:w="0" w:type="dxa"/>
          <w:bottom w:w="0" w:type="dxa"/>
          <w:right w:w="0" w:type="dxa"/>
        </w:tblCellMar>
      </w:tblPr>
      <w:tr>
        <w:trPr>
          <w:trHeight w:val="228"/>
        </w:trPr>
        <w:tc>
          <w:tcPr>
            <w:tcW w:w="5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7"/>
                <w:szCs w:val="17"/>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7"/>
                <w:szCs w:val="17"/>
                <w:b w:val="1"/>
                <w:bCs w:val="1"/>
                <w:color w:val="auto"/>
              </w:rPr>
              <w:t>2022</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7"/>
                <w:szCs w:val="17"/>
                <w:color w:val="auto"/>
              </w:rPr>
              <w:t>Class A</w:t>
            </w:r>
          </w:p>
        </w:tc>
        <w:tc>
          <w:tcPr>
            <w:tcW w:w="28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7"/>
                <w:szCs w:val="17"/>
                <w:color w:val="auto"/>
              </w:rPr>
              <w:t>Class B</w:t>
            </w:r>
          </w:p>
        </w:tc>
        <w:tc>
          <w:tcPr>
            <w:tcW w:w="3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color w:val="auto"/>
              </w:rPr>
              <w:t>Class A</w:t>
            </w:r>
          </w:p>
        </w:tc>
        <w:tc>
          <w:tcPr>
            <w:tcW w:w="260" w:type="dxa"/>
            <w:vAlign w:val="bottom"/>
          </w:tcPr>
          <w:p>
            <w:pPr>
              <w:spacing w:after="0"/>
              <w:rPr>
                <w:sz w:val="18"/>
                <w:szCs w:val="18"/>
                <w:color w:val="auto"/>
              </w:rPr>
            </w:pPr>
          </w:p>
        </w:tc>
        <w:tc>
          <w:tcPr>
            <w:tcW w:w="1060" w:type="dxa"/>
            <w:vAlign w:val="bottom"/>
          </w:tcPr>
          <w:p>
            <w:pPr>
              <w:jc w:val="right"/>
              <w:ind w:right="313"/>
              <w:spacing w:after="0"/>
              <w:rPr>
                <w:sz w:val="20"/>
                <w:szCs w:val="20"/>
                <w:color w:val="auto"/>
              </w:rPr>
            </w:pPr>
            <w:r>
              <w:rPr>
                <w:rFonts w:ascii="Arial" w:cs="Arial" w:eastAsia="Arial" w:hAnsi="Arial"/>
                <w:sz w:val="17"/>
                <w:szCs w:val="17"/>
                <w:color w:val="auto"/>
              </w:rPr>
              <w:t>Class B</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Basic net income per share:</w:t>
            </w: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7"/>
                <w:szCs w:val="17"/>
                <w:color w:val="auto"/>
              </w:rPr>
              <w:t>Numerator</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income attributable to common stockholders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shd w:val="clear" w:color="auto" w:fill="CCEEFF"/>
          </w:tcPr>
          <w:p>
            <w:pPr>
              <w:ind w:left="120"/>
              <w:spacing w:after="0" w:line="172" w:lineRule="exact"/>
              <w:rPr>
                <w:sz w:val="20"/>
                <w:szCs w:val="20"/>
                <w:color w:val="auto"/>
              </w:rPr>
            </w:pPr>
            <w:r>
              <w:rPr>
                <w:rFonts w:ascii="Arial" w:cs="Arial" w:eastAsia="Arial" w:hAnsi="Arial"/>
                <w:sz w:val="17"/>
                <w:szCs w:val="17"/>
                <w:color w:val="auto"/>
              </w:rPr>
              <w:t>Weighted-average number of common shares outstanding used in</w:t>
            </w:r>
          </w:p>
        </w:tc>
        <w:tc>
          <w:tcPr>
            <w:tcW w:w="2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278.6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computing basic net income per share</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Net income per common share, basic</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6"/>
                <w:szCs w:val="16"/>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6"/>
                <w:szCs w:val="16"/>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0.87</w:t>
            </w:r>
          </w:p>
        </w:tc>
        <w:tc>
          <w:tcPr>
            <w:tcW w:w="100" w:type="dxa"/>
            <w:vAlign w:val="bottom"/>
          </w:tcPr>
          <w:p>
            <w:pPr>
              <w:spacing w:after="0"/>
              <w:rPr>
                <w:sz w:val="16"/>
                <w:szCs w:val="16"/>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0.87</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Diluted net income per share: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7"/>
                <w:szCs w:val="17"/>
                <w:color w:val="auto"/>
              </w:rPr>
              <w:t>Numerator</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 attributable to common stockholders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171"/>
        </w:trPr>
        <w:tc>
          <w:tcPr>
            <w:tcW w:w="5380" w:type="dxa"/>
            <w:vAlign w:val="bottom"/>
          </w:tcPr>
          <w:p>
            <w:pPr>
              <w:ind w:left="120"/>
              <w:spacing w:after="0" w:line="172" w:lineRule="exact"/>
              <w:rPr>
                <w:sz w:val="20"/>
                <w:szCs w:val="20"/>
                <w:color w:val="auto"/>
              </w:rPr>
            </w:pPr>
            <w:r>
              <w:rPr>
                <w:rFonts w:ascii="Arial" w:cs="Arial" w:eastAsia="Arial" w:hAnsi="Arial"/>
                <w:sz w:val="17"/>
                <w:szCs w:val="17"/>
                <w:color w:val="auto"/>
                <w:w w:val="94"/>
              </w:rPr>
              <w:t>Reallocation of net income as a result of conversion of Class B to Class A</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20"/>
              <w:spacing w:after="0"/>
              <w:rPr>
                <w:sz w:val="20"/>
                <w:szCs w:val="20"/>
                <w:color w:val="auto"/>
              </w:rPr>
            </w:pPr>
            <w:r>
              <w:rPr>
                <w:rFonts w:ascii="Arial" w:cs="Arial" w:eastAsia="Arial" w:hAnsi="Arial"/>
                <w:sz w:val="17"/>
                <w:szCs w:val="17"/>
                <w:color w:val="auto"/>
              </w:rPr>
              <w:t>common stock</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126.4</w:t>
            </w:r>
          </w:p>
        </w:tc>
        <w:tc>
          <w:tcPr>
            <w:tcW w:w="10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Reallocation of net income to Class B common stock</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color w:val="auto"/>
              </w:rPr>
              <w:t>Net income attributable to common stockholders for diluted EPS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553.2</w:t>
            </w:r>
          </w:p>
        </w:tc>
        <w:tc>
          <w:tcPr>
            <w:tcW w:w="100" w:type="dxa"/>
            <w:vAlign w:val="bottom"/>
          </w:tcPr>
          <w:p>
            <w:pPr>
              <w:spacing w:after="0"/>
              <w:rPr>
                <w:sz w:val="16"/>
                <w:szCs w:val="16"/>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125.7</w:t>
            </w:r>
          </w:p>
        </w:tc>
        <w:tc>
          <w:tcPr>
            <w:tcW w:w="100" w:type="dxa"/>
            <w:vAlign w:val="bottom"/>
          </w:tcPr>
          <w:p>
            <w:pPr>
              <w:spacing w:after="0"/>
              <w:rPr>
                <w:sz w:val="16"/>
                <w:szCs w:val="16"/>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335.8</w:t>
            </w:r>
          </w:p>
        </w:tc>
        <w:tc>
          <w:tcPr>
            <w:tcW w:w="100" w:type="dxa"/>
            <w:vAlign w:val="bottom"/>
          </w:tcPr>
          <w:p>
            <w:pPr>
              <w:spacing w:after="0"/>
              <w:rPr>
                <w:sz w:val="16"/>
                <w:szCs w:val="16"/>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380" w:type="dxa"/>
            <w:vAlign w:val="bottom"/>
          </w:tcPr>
          <w:p>
            <w:pPr>
              <w:ind w:left="120"/>
              <w:spacing w:after="0" w:line="172" w:lineRule="exact"/>
              <w:rPr>
                <w:sz w:val="20"/>
                <w:szCs w:val="20"/>
                <w:color w:val="auto"/>
              </w:rPr>
            </w:pPr>
            <w:r>
              <w:rPr>
                <w:rFonts w:ascii="Arial" w:cs="Arial" w:eastAsia="Arial" w:hAnsi="Arial"/>
                <w:sz w:val="17"/>
                <w:szCs w:val="17"/>
                <w:color w:val="auto"/>
              </w:rPr>
              <w:t>Weighted-average number of common shares outstanding used in</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20"/>
              <w:spacing w:after="0"/>
              <w:rPr>
                <w:sz w:val="20"/>
                <w:szCs w:val="20"/>
                <w:color w:val="auto"/>
              </w:rPr>
            </w:pPr>
            <w:r>
              <w:rPr>
                <w:rFonts w:ascii="Arial" w:cs="Arial" w:eastAsia="Arial" w:hAnsi="Arial"/>
                <w:sz w:val="17"/>
                <w:szCs w:val="17"/>
                <w:color w:val="auto"/>
              </w:rPr>
              <w:t>computing basic net income per share</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171"/>
        </w:trPr>
        <w:tc>
          <w:tcPr>
            <w:tcW w:w="5380" w:type="dxa"/>
            <w:vAlign w:val="bottom"/>
            <w:shd w:val="clear" w:color="auto" w:fill="CCEEFF"/>
          </w:tcPr>
          <w:p>
            <w:pPr>
              <w:ind w:left="120"/>
              <w:spacing w:after="0" w:line="172" w:lineRule="exact"/>
              <w:rPr>
                <w:sz w:val="20"/>
                <w:szCs w:val="20"/>
                <w:color w:val="auto"/>
              </w:rPr>
            </w:pPr>
            <w:r>
              <w:rPr>
                <w:rFonts w:ascii="Arial" w:cs="Arial" w:eastAsia="Arial" w:hAnsi="Arial"/>
                <w:sz w:val="17"/>
                <w:szCs w:val="17"/>
                <w:color w:val="auto"/>
                <w:w w:val="95"/>
              </w:rPr>
              <w:t>Weighted-average effect of dilutive restricted stock units and awards and</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employee stock options</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3"/>
        </w:trPr>
        <w:tc>
          <w:tcPr>
            <w:tcW w:w="5380" w:type="dxa"/>
            <w:vAlign w:val="bottom"/>
          </w:tcPr>
          <w:p>
            <w:pPr>
              <w:ind w:left="120"/>
              <w:spacing w:after="0"/>
              <w:rPr>
                <w:sz w:val="20"/>
                <w:szCs w:val="20"/>
                <w:color w:val="auto"/>
              </w:rPr>
            </w:pPr>
            <w:r>
              <w:rPr>
                <w:rFonts w:ascii="Arial" w:cs="Arial" w:eastAsia="Arial" w:hAnsi="Arial"/>
                <w:sz w:val="17"/>
                <w:szCs w:val="17"/>
                <w:color w:val="auto"/>
              </w:rPr>
              <w:t>Conversion of Class B to Class A common stock</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380" w:type="dxa"/>
            <w:vAlign w:val="bottom"/>
            <w:shd w:val="clear" w:color="auto" w:fill="CCEEFF"/>
          </w:tcPr>
          <w:p>
            <w:pPr>
              <w:ind w:left="120"/>
              <w:spacing w:after="0" w:line="138" w:lineRule="exact"/>
              <w:rPr>
                <w:sz w:val="20"/>
                <w:szCs w:val="20"/>
                <w:color w:val="auto"/>
              </w:rPr>
            </w:pPr>
            <w:r>
              <w:rPr>
                <w:rFonts w:ascii="Arial" w:cs="Arial" w:eastAsia="Arial" w:hAnsi="Arial"/>
                <w:sz w:val="15"/>
                <w:szCs w:val="15"/>
                <w:color w:val="auto"/>
              </w:rPr>
              <w:t>Weighted-average number of common shares outstanding used in</w:t>
            </w:r>
          </w:p>
        </w:tc>
        <w:tc>
          <w:tcPr>
            <w:tcW w:w="2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363.3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395.8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computing diluted net income per share</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color w:val="auto"/>
              </w:rPr>
              <w:t>Net income per common share, 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right="200"/>
        <w:spacing w:after="0" w:line="360" w:lineRule="auto"/>
        <w:rPr>
          <w:sz w:val="20"/>
          <w:szCs w:val="20"/>
          <w:color w:val="auto"/>
        </w:rPr>
      </w:pPr>
      <w:r>
        <w:rPr>
          <w:rFonts w:ascii="Arial" w:cs="Arial" w:eastAsia="Arial" w:hAnsi="Arial"/>
          <w:sz w:val="15"/>
          <w:szCs w:val="15"/>
          <w:color w:val="auto"/>
        </w:rPr>
        <w:t>The following table sets forth the calculation of basic and diluted net loss per share attributable to common stockholders during the periods presented. The voluntary conversions of Class B common stock into Class A common stock are included in the table below weighted for the respective periods outstanding.</w:t>
      </w:r>
    </w:p>
    <w:p>
      <w:pPr>
        <w:spacing w:after="0" w:line="4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8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7"/>
                <w:szCs w:val="17"/>
                <w:b w:val="1"/>
                <w:bCs w:val="1"/>
                <w:color w:val="auto"/>
                <w:w w:val="99"/>
              </w:rPr>
              <w:t>Year ended December 31,</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7"/>
                <w:szCs w:val="17"/>
                <w:b w:val="1"/>
                <w:bCs w:val="1"/>
                <w:color w:val="auto"/>
              </w:rPr>
              <w:t>2020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7"/>
                <w:szCs w:val="17"/>
                <w:color w:val="auto"/>
              </w:rPr>
              <w:t>Class A</w:t>
            </w:r>
          </w:p>
        </w:tc>
        <w:tc>
          <w:tcPr>
            <w:tcW w:w="260" w:type="dxa"/>
            <w:vAlign w:val="bottom"/>
          </w:tcPr>
          <w:p>
            <w:pPr>
              <w:spacing w:after="0"/>
              <w:rPr>
                <w:sz w:val="18"/>
                <w:szCs w:val="18"/>
                <w:color w:val="auto"/>
              </w:rPr>
            </w:pPr>
          </w:p>
        </w:tc>
        <w:tc>
          <w:tcPr>
            <w:tcW w:w="1060" w:type="dxa"/>
            <w:vAlign w:val="bottom"/>
          </w:tcPr>
          <w:p>
            <w:pPr>
              <w:jc w:val="right"/>
              <w:ind w:right="313"/>
              <w:spacing w:after="0"/>
              <w:rPr>
                <w:sz w:val="20"/>
                <w:szCs w:val="20"/>
                <w:color w:val="auto"/>
              </w:rPr>
            </w:pPr>
            <w:r>
              <w:rPr>
                <w:rFonts w:ascii="Arial" w:cs="Arial" w:eastAsia="Arial" w:hAnsi="Arial"/>
                <w:sz w:val="17"/>
                <w:szCs w:val="17"/>
                <w:color w:val="auto"/>
              </w:rPr>
              <w:t>Class B</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Denominator:</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320" w:type="dxa"/>
            <w:vAlign w:val="bottom"/>
          </w:tcPr>
          <w:p>
            <w:pPr>
              <w:ind w:left="20"/>
              <w:spacing w:after="0" w:line="172" w:lineRule="exact"/>
              <w:rPr>
                <w:sz w:val="20"/>
                <w:szCs w:val="20"/>
                <w:color w:val="auto"/>
              </w:rPr>
            </w:pPr>
            <w:r>
              <w:rPr>
                <w:rFonts w:ascii="Arial" w:cs="Arial" w:eastAsia="Arial" w:hAnsi="Arial"/>
                <w:sz w:val="17"/>
                <w:szCs w:val="17"/>
                <w:color w:val="auto"/>
                <w:w w:val="94"/>
              </w:rPr>
              <w:t>Weighted-average number of common shares outstanding used in computing basic and diluted net loss per common</w:t>
            </w:r>
          </w:p>
        </w:tc>
        <w:tc>
          <w:tcPr>
            <w:tcW w:w="2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295.0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119.3</w:t>
            </w:r>
          </w:p>
        </w:tc>
        <w:tc>
          <w:tcPr>
            <w:tcW w:w="0" w:type="dxa"/>
            <w:vAlign w:val="bottom"/>
          </w:tcPr>
          <w:p>
            <w:pPr>
              <w:spacing w:after="0"/>
              <w:rPr>
                <w:sz w:val="1"/>
                <w:szCs w:val="1"/>
                <w:color w:val="auto"/>
              </w:rPr>
            </w:pPr>
          </w:p>
        </w:tc>
      </w:tr>
      <w:tr>
        <w:trPr>
          <w:trHeight w:val="209"/>
        </w:trPr>
        <w:tc>
          <w:tcPr>
            <w:tcW w:w="8320" w:type="dxa"/>
            <w:vAlign w:val="bottom"/>
          </w:tcPr>
          <w:p>
            <w:pPr>
              <w:ind w:left="20"/>
              <w:spacing w:after="0"/>
              <w:rPr>
                <w:sz w:val="20"/>
                <w:szCs w:val="20"/>
                <w:color w:val="auto"/>
              </w:rPr>
            </w:pPr>
            <w:r>
              <w:rPr>
                <w:rFonts w:ascii="Arial" w:cs="Arial" w:eastAsia="Arial" w:hAnsi="Arial"/>
                <w:sz w:val="17"/>
                <w:szCs w:val="17"/>
                <w:color w:val="auto"/>
              </w:rPr>
              <w:t>share</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bl>
    <w:p>
      <w:pPr>
        <w:spacing w:after="0" w:line="394"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Since the Company was in a loss position for the year ended December 31, 2020, basic net loss per share attributable to common stockholders is the same as diluted net loss per share as the inclusion of all potential common shares outstanding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9" w:right="41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40" w:firstLine="433"/>
        <w:spacing w:after="0" w:line="289" w:lineRule="auto"/>
        <w:rPr>
          <w:sz w:val="20"/>
          <w:szCs w:val="20"/>
          <w:color w:val="auto"/>
        </w:rPr>
      </w:pPr>
      <w:r>
        <w:rPr>
          <w:rFonts w:ascii="Arial" w:cs="Arial" w:eastAsia="Arial" w:hAnsi="Arial"/>
          <w:sz w:val="17"/>
          <w:szCs w:val="17"/>
          <w:color w:val="auto"/>
        </w:rPr>
        <w:t>The weighted-average impact of potentially dilutive securities that were not included in the diluted per share calculations because they would be anti-dilutive was as follows:</w:t>
      </w:r>
    </w:p>
    <w:p>
      <w:pPr>
        <w:spacing w:after="0" w:line="74" w:lineRule="exact"/>
        <w:rPr>
          <w:sz w:val="20"/>
          <w:szCs w:val="20"/>
          <w:color w:val="auto"/>
        </w:rPr>
      </w:pPr>
    </w:p>
    <w:p>
      <w:pPr>
        <w:ind w:left="7540"/>
        <w:spacing w:after="0"/>
        <w:rPr>
          <w:sz w:val="20"/>
          <w:szCs w:val="20"/>
          <w:color w:val="auto"/>
        </w:rPr>
      </w:pPr>
      <w:r>
        <w:rPr>
          <w:rFonts w:ascii="Arial" w:cs="Arial" w:eastAsia="Arial" w:hAnsi="Arial"/>
          <w:sz w:val="17"/>
          <w:szCs w:val="17"/>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2020</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and awards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23"/>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Options to purchase shares of common stock</w:t>
            </w:r>
          </w:p>
        </w:tc>
        <w:tc>
          <w:tcPr>
            <w:tcW w:w="600" w:type="dxa"/>
            <w:vAlign w:val="bottom"/>
          </w:tcPr>
          <w:p>
            <w:pPr>
              <w:jc w:val="right"/>
              <w:spacing w:after="0"/>
              <w:rPr>
                <w:sz w:val="20"/>
                <w:szCs w:val="20"/>
                <w:color w:val="auto"/>
              </w:rPr>
            </w:pPr>
            <w:r>
              <w:rPr>
                <w:rFonts w:ascii="Arial" w:cs="Arial" w:eastAsia="Arial" w:hAnsi="Arial"/>
                <w:sz w:val="17"/>
                <w:szCs w:val="17"/>
                <w:color w:val="auto"/>
              </w:rPr>
              <w:t>0.3</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3"/>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Co-Founder Grants</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r>
      <w:tr>
        <w:trPr>
          <w:trHeight w:val="223"/>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Convertible Senior Notes</w:t>
            </w:r>
          </w:p>
        </w:tc>
        <w:tc>
          <w:tcPr>
            <w:tcW w:w="600" w:type="dxa"/>
            <w:vAlign w:val="bottom"/>
          </w:tcPr>
          <w:p>
            <w:pPr>
              <w:jc w:val="right"/>
              <w:spacing w:after="0"/>
              <w:rPr>
                <w:sz w:val="20"/>
                <w:szCs w:val="20"/>
                <w:color w:val="auto"/>
              </w:rPr>
            </w:pPr>
            <w:r>
              <w:rPr>
                <w:rFonts w:ascii="Arial" w:cs="Arial" w:eastAsia="Arial" w:hAnsi="Arial"/>
                <w:sz w:val="17"/>
                <w:szCs w:val="17"/>
                <w:color w:val="auto"/>
              </w:rPr>
              <w:t>37.8</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31.9</w:t>
            </w:r>
          </w:p>
        </w:tc>
        <w:tc>
          <w:tcPr>
            <w:tcW w:w="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Warrants</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720" w:type="dxa"/>
            <w:vAlign w:val="bottom"/>
          </w:tcPr>
          <w:p>
            <w:pPr>
              <w:ind w:left="20"/>
              <w:spacing w:after="0"/>
              <w:rPr>
                <w:sz w:val="20"/>
                <w:szCs w:val="20"/>
                <w:color w:val="auto"/>
              </w:rPr>
            </w:pPr>
            <w:r>
              <w:rPr>
                <w:rFonts w:ascii="Arial" w:cs="Arial" w:eastAsia="Arial" w:hAnsi="Arial"/>
                <w:sz w:val="17"/>
                <w:szCs w:val="17"/>
                <w:color w:val="auto"/>
              </w:rPr>
              <w:t>Total</w:t>
            </w:r>
          </w:p>
        </w:tc>
        <w:tc>
          <w:tcPr>
            <w:tcW w:w="1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104.6</w:t>
            </w:r>
          </w:p>
        </w:tc>
        <w:tc>
          <w:tcPr>
            <w:tcW w:w="80" w:type="dxa"/>
            <w:vAlign w:val="bottom"/>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75.6</w:t>
            </w:r>
          </w:p>
        </w:tc>
        <w:tc>
          <w:tcPr>
            <w:tcW w:w="8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w:t>
            </w:r>
          </w:p>
        </w:tc>
      </w:tr>
      <w:tr>
        <w:trPr>
          <w:trHeight w:val="20"/>
        </w:trPr>
        <w:tc>
          <w:tcPr>
            <w:tcW w:w="5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Income Taxes</w:t>
      </w:r>
    </w:p>
    <w:p>
      <w:pPr>
        <w:spacing w:after="0" w:line="125" w:lineRule="exact"/>
        <w:rPr>
          <w:sz w:val="20"/>
          <w:szCs w:val="20"/>
          <w:color w:val="auto"/>
        </w:rPr>
      </w:pPr>
    </w:p>
    <w:p>
      <w:pPr>
        <w:ind w:right="40" w:firstLine="433"/>
        <w:spacing w:after="0" w:line="289" w:lineRule="auto"/>
        <w:rPr>
          <w:sz w:val="20"/>
          <w:szCs w:val="20"/>
          <w:color w:val="auto"/>
        </w:rPr>
      </w:pPr>
      <w:r>
        <w:rPr>
          <w:rFonts w:ascii="Arial" w:cs="Arial" w:eastAsia="Arial" w:hAnsi="Arial"/>
          <w:sz w:val="17"/>
          <w:szCs w:val="17"/>
          <w:color w:val="auto"/>
        </w:rPr>
        <w:t>For the years ended December 31, 2022, 2021, and 2020, the Company’s income (loss) from continuing operations before provision for income taxes was as follows:</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1"/>
              </w:rPr>
              <w:t>Year ended December 31,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57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the benefit from (provision for) income taxes in the years ended December 31, 2022, 2021, and 2020, were as follows:</w:t>
      </w: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1"/>
              </w:rPr>
              <w:t>Year ended December 31,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57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3"/>
        </w:trPr>
        <w:tc>
          <w:tcPr>
            <w:tcW w:w="5700" w:type="dxa"/>
            <w:vAlign w:val="bottom"/>
          </w:tcPr>
          <w:p>
            <w:pPr>
              <w:ind w:left="340"/>
              <w:spacing w:after="0"/>
              <w:rPr>
                <w:sz w:val="20"/>
                <w:szCs w:val="20"/>
                <w:color w:val="auto"/>
              </w:rPr>
            </w:pPr>
            <w:r>
              <w:rPr>
                <w:rFonts w:ascii="Arial" w:cs="Arial" w:eastAsia="Arial" w:hAnsi="Arial"/>
                <w:sz w:val="17"/>
                <w:szCs w:val="17"/>
                <w:color w:val="auto"/>
              </w:rPr>
              <w:t>Federal</w:t>
            </w:r>
          </w:p>
        </w:tc>
        <w:tc>
          <w:tcPr>
            <w:tcW w:w="1160" w:type="dxa"/>
            <w:vAlign w:val="bottom"/>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(13.2)</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23"/>
        </w:trPr>
        <w:tc>
          <w:tcPr>
            <w:tcW w:w="5700" w:type="dxa"/>
            <w:vAlign w:val="bottom"/>
          </w:tcPr>
          <w:p>
            <w:pPr>
              <w:ind w:left="340"/>
              <w:spacing w:after="0"/>
              <w:rPr>
                <w:sz w:val="20"/>
                <w:szCs w:val="20"/>
                <w:color w:val="auto"/>
              </w:rPr>
            </w:pPr>
            <w:r>
              <w:rPr>
                <w:rFonts w:ascii="Arial" w:cs="Arial" w:eastAsia="Arial" w:hAnsi="Arial"/>
                <w:sz w:val="17"/>
                <w:szCs w:val="17"/>
                <w:color w:val="auto"/>
              </w:rPr>
              <w:t>Foreign</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3"/>
        </w:trPr>
        <w:tc>
          <w:tcPr>
            <w:tcW w:w="5700" w:type="dxa"/>
            <w:vAlign w:val="bottom"/>
          </w:tcPr>
          <w:p>
            <w:pPr>
              <w:ind w:left="340"/>
              <w:spacing w:after="0"/>
              <w:rPr>
                <w:sz w:val="20"/>
                <w:szCs w:val="20"/>
                <w:color w:val="auto"/>
              </w:rPr>
            </w:pPr>
            <w:r>
              <w:rPr>
                <w:rFonts w:ascii="Arial" w:cs="Arial" w:eastAsia="Arial" w:hAnsi="Arial"/>
                <w:sz w:val="17"/>
                <w:szCs w:val="17"/>
                <w:color w:val="auto"/>
              </w:rPr>
              <w:t>Federal</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7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Foreign</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220" w:firstLine="472"/>
        <w:spacing w:after="0" w:line="289" w:lineRule="auto"/>
        <w:rPr>
          <w:sz w:val="20"/>
          <w:szCs w:val="20"/>
          <w:color w:val="auto"/>
        </w:rPr>
      </w:pPr>
      <w:r>
        <w:rPr>
          <w:rFonts w:ascii="Arial" w:cs="Arial" w:eastAsia="Arial" w:hAnsi="Arial"/>
          <w:sz w:val="17"/>
          <w:szCs w:val="17"/>
          <w:color w:val="auto"/>
        </w:rPr>
        <w:t>A reconciliation of income taxes at the statutory federal income tax rate to the benefit from (provision for) income taxes included in the accompanying consolidated statements of operations is as follows: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1"/>
              </w:rPr>
              <w:t>Year ended December 31,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57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(provision) benefit at federal statutory rate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r>
      <w:tr>
        <w:trPr>
          <w:trHeight w:val="223"/>
        </w:trPr>
        <w:tc>
          <w:tcPr>
            <w:tcW w:w="5700" w:type="dxa"/>
            <w:vAlign w:val="bottom"/>
          </w:tcPr>
          <w:p>
            <w:pPr>
              <w:ind w:left="20"/>
              <w:spacing w:after="0"/>
              <w:rPr>
                <w:sz w:val="20"/>
                <w:szCs w:val="20"/>
                <w:color w:val="auto"/>
              </w:rPr>
            </w:pPr>
            <w:r>
              <w:rPr>
                <w:rFonts w:ascii="Arial" w:cs="Arial" w:eastAsia="Arial" w:hAnsi="Arial"/>
                <w:sz w:val="17"/>
                <w:szCs w:val="17"/>
                <w:color w:val="auto"/>
              </w:rPr>
              <w:t>State taxes, net of federal benefit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rate differential</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23"/>
        </w:trPr>
        <w:tc>
          <w:tcPr>
            <w:tcW w:w="5700" w:type="dxa"/>
            <w:vAlign w:val="bottom"/>
          </w:tcPr>
          <w:p>
            <w:pPr>
              <w:ind w:left="20"/>
              <w:spacing w:after="0"/>
              <w:rPr>
                <w:sz w:val="20"/>
                <w:szCs w:val="20"/>
                <w:color w:val="auto"/>
              </w:rPr>
            </w:pPr>
            <w:r>
              <w:rPr>
                <w:rFonts w:ascii="Arial" w:cs="Arial" w:eastAsia="Arial" w:hAnsi="Arial"/>
                <w:sz w:val="17"/>
                <w:szCs w:val="17"/>
                <w:color w:val="auto"/>
              </w:rPr>
              <w:t>Research and other credits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34.9</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Non-deductible compensation</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23"/>
        </w:trPr>
        <w:tc>
          <w:tcPr>
            <w:tcW w:w="5700" w:type="dxa"/>
            <w:vAlign w:val="bottom"/>
          </w:tcPr>
          <w:p>
            <w:pPr>
              <w:ind w:left="20"/>
              <w:spacing w:after="0"/>
              <w:rPr>
                <w:sz w:val="20"/>
                <w:szCs w:val="20"/>
                <w:color w:val="auto"/>
              </w:rPr>
            </w:pPr>
            <w:r>
              <w:rPr>
                <w:rFonts w:ascii="Arial" w:cs="Arial" w:eastAsia="Arial" w:hAnsi="Arial"/>
                <w:sz w:val="17"/>
                <w:szCs w:val="17"/>
                <w:color w:val="auto"/>
              </w:rPr>
              <w:t>Permanent differences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valuation allowance</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w:t>
            </w:r>
          </w:p>
        </w:tc>
      </w:tr>
      <w:tr>
        <w:trPr>
          <w:trHeight w:val="223"/>
        </w:trPr>
        <w:tc>
          <w:tcPr>
            <w:tcW w:w="570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non-deductible items</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5700" w:type="dxa"/>
            <w:vAlign w:val="bottom"/>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60" w:type="dxa"/>
            <w:vAlign w:val="bottom"/>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360.5</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8"/>
                <w:szCs w:val="18"/>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0"/>
        </w:trPr>
        <w:tc>
          <w:tcPr>
            <w:tcW w:w="5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significant components of the Company’s deferred tax assets and liabilities as of December 31, 2022 and 2021 were as follows:</w:t>
      </w:r>
    </w:p>
    <w:p>
      <w:pPr>
        <w:spacing w:after="0" w:line="376"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72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3"/>
              </w:rPr>
              <w:t>As of December 31,</w:t>
            </w:r>
          </w:p>
        </w:tc>
        <w:tc>
          <w:tcPr>
            <w:tcW w:w="1160" w:type="dxa"/>
            <w:vAlign w:val="bottom"/>
            <w:tcBorders>
              <w:bottom w:val="single" w:sz="8" w:color="auto"/>
            </w:tcBorders>
          </w:tcPr>
          <w:p>
            <w:pPr>
              <w:spacing w:after="0"/>
              <w:rPr>
                <w:sz w:val="19"/>
                <w:szCs w:val="19"/>
                <w:color w:val="auto"/>
              </w:rPr>
            </w:pPr>
          </w:p>
        </w:tc>
      </w:tr>
      <w:tr>
        <w:trPr>
          <w:trHeight w:val="216"/>
        </w:trPr>
        <w:tc>
          <w:tcPr>
            <w:tcW w:w="72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7"/>
                <w:szCs w:val="17"/>
                <w:b w:val="1"/>
                <w:bCs w:val="1"/>
                <w:color w:val="auto"/>
                <w:w w:val="95"/>
              </w:rPr>
              <w:t>2021</w:t>
            </w: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Net operating loss carryforwards</w:t>
            </w:r>
          </w:p>
        </w:tc>
        <w:tc>
          <w:tcPr>
            <w:tcW w:w="1160" w:type="dxa"/>
            <w:vAlign w:val="bottom"/>
          </w:tcPr>
          <w:p>
            <w:pPr>
              <w:jc w:val="right"/>
              <w:ind w:right="973"/>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202.6</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credit carryforwards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263.9</w:t>
            </w: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Stock-based compensation</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25.2</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Accruals and reserves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Lease liability</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141.8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168.4</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Convertible senior notes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Capitalized research expenditures</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123.9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280" w:type="dxa"/>
            <w:vAlign w:val="bottom"/>
          </w:tcPr>
          <w:p>
            <w:pPr>
              <w:spacing w:after="0"/>
              <w:rPr>
                <w:sz w:val="20"/>
                <w:szCs w:val="20"/>
                <w:color w:val="auto"/>
              </w:rPr>
            </w:pPr>
            <w:r>
              <w:rPr>
                <w:rFonts w:ascii="Arial" w:cs="Arial" w:eastAsia="Arial" w:hAnsi="Arial"/>
                <w:sz w:val="17"/>
                <w:szCs w:val="17"/>
                <w:color w:val="auto"/>
              </w:rPr>
              <w:t>Gross deferred tax assets</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684.4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759.0</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Valuation allowance</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(111.6)</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(586.7)</w:t>
            </w:r>
          </w:p>
        </w:tc>
      </w:tr>
      <w:tr>
        <w:trPr>
          <w:trHeight w:val="216"/>
        </w:trPr>
        <w:tc>
          <w:tcPr>
            <w:tcW w:w="7280" w:type="dxa"/>
            <w:vAlign w:val="bottom"/>
          </w:tcPr>
          <w:p>
            <w:pPr>
              <w:ind w:left="320"/>
              <w:spacing w:after="0"/>
              <w:rPr>
                <w:sz w:val="20"/>
                <w:szCs w:val="20"/>
                <w:color w:val="auto"/>
              </w:rPr>
            </w:pPr>
            <w:r>
              <w:rPr>
                <w:rFonts w:ascii="Arial" w:cs="Arial" w:eastAsia="Arial" w:hAnsi="Arial"/>
                <w:sz w:val="17"/>
                <w:szCs w:val="17"/>
                <w:color w:val="auto"/>
              </w:rPr>
              <w:t>Total deferred tax assets, net of valuation allowance</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572.8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172.3</w:t>
            </w:r>
          </w:p>
        </w:tc>
      </w:tr>
      <w:tr>
        <w:trPr>
          <w:trHeight w:val="223"/>
        </w:trPr>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Fixed assets and intangible assets</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20.6</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Right-of-use assets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110.2</w:t>
            </w:r>
          </w:p>
        </w:tc>
      </w:tr>
      <w:tr>
        <w:trPr>
          <w:trHeight w:val="223"/>
        </w:trPr>
        <w:tc>
          <w:tcPr>
            <w:tcW w:w="72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r>
      <w:tr>
        <w:trPr>
          <w:trHeight w:val="216"/>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deferred tax liability</w:t>
            </w:r>
          </w:p>
        </w:tc>
        <w:tc>
          <w:tcPr>
            <w:tcW w:w="1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131.1</w:t>
            </w:r>
          </w:p>
        </w:tc>
      </w:tr>
      <w:tr>
        <w:trPr>
          <w:trHeight w:val="216"/>
        </w:trPr>
        <w:tc>
          <w:tcPr>
            <w:tcW w:w="728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1160" w:type="dxa"/>
            <w:vAlign w:val="bottom"/>
            <w:tcBorders>
              <w:bottom w:val="single" w:sz="8" w:color="auto"/>
            </w:tcBorders>
          </w:tcPr>
          <w:p>
            <w:pPr>
              <w:jc w:val="right"/>
              <w:ind w:right="97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498.7</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w:t>
            </w:r>
          </w:p>
        </w:tc>
      </w:tr>
      <w:tr>
        <w:trPr>
          <w:trHeight w:val="20"/>
        </w:trPr>
        <w:tc>
          <w:tcPr>
            <w:tcW w:w="7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400" w:firstLine="433"/>
        <w:spacing w:after="0" w:line="297" w:lineRule="auto"/>
        <w:rPr>
          <w:sz w:val="20"/>
          <w:szCs w:val="20"/>
          <w:color w:val="auto"/>
        </w:rPr>
      </w:pPr>
      <w:r>
        <w:rPr>
          <w:rFonts w:ascii="Arial" w:cs="Arial" w:eastAsia="Arial" w:hAnsi="Arial"/>
          <w:sz w:val="15"/>
          <w:szCs w:val="15"/>
          <w:color w:val="auto"/>
        </w:rPr>
        <w:t>As of December 31, 2022, the Company determined that U.S. federal and certain states deferred tax assets were more likely than not to be realized, resulting in a benefit from income taxes of $420.2 million as well as an adjustment recorded to additional paid in capital of $61.2 million. Accordingly, the valuation allowance recorded against deferred tax assets decreased by $475.1 million in the year ended December 31, 2022, compared to an increase of</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$3.0 million in the year ended December 31, 2021. Management applied judgment in assessing the positive and negative evidence available in the determination of the amount of deferred tax assets that were more-likely-than-not to be realized in the future. As of December 31, 2022, the Company maintained a valuation allowance against its California deferred tax assets.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20" w:firstLine="433"/>
        <w:spacing w:after="0" w:line="268" w:lineRule="auto"/>
        <w:rPr>
          <w:sz w:val="20"/>
          <w:szCs w:val="20"/>
          <w:color w:val="auto"/>
        </w:rPr>
      </w:pPr>
      <w:r>
        <w:rPr>
          <w:rFonts w:ascii="Arial" w:cs="Arial" w:eastAsia="Arial" w:hAnsi="Arial"/>
          <w:sz w:val="17"/>
          <w:szCs w:val="17"/>
          <w:color w:val="auto"/>
        </w:rPr>
        <w:t>As of December 31, 2022, the Company had $13.3 million of federal, $118.5 million of state, and $150.3 million of foreign net operating loss carryforwards available to reduce future taxable income. Of the federal net operating loss carryforwards, $7.8 million will begin to expire in 2032 and $5.5 million will carryforward indefinitely, while state net operating losses begin to expire in 2035. The foreign net operating loss carryforwards will carryforward indefinitely.</w:t>
      </w:r>
    </w:p>
    <w:p>
      <w:pPr>
        <w:spacing w:after="0" w:line="176"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As of December 31, 2022, the Company had research credit carryforwards of $249.4 million and $150.3 million for federal and state income tax purposes, respectively, of which $72.5 million and $38.7 million is the unrecognized tax benefit portion related to the research credit carryforwards for federal and state, respectively. The federal credit carryforward will begin to expire in 2037. The state research credits have no expiration date.</w:t>
      </w:r>
    </w:p>
    <w:p>
      <w:pPr>
        <w:spacing w:after="0" w:line="172" w:lineRule="exact"/>
        <w:rPr>
          <w:sz w:val="20"/>
          <w:szCs w:val="20"/>
          <w:color w:val="auto"/>
        </w:rPr>
      </w:pPr>
    </w:p>
    <w:p>
      <w:pPr>
        <w:ind w:right="300" w:firstLine="433"/>
        <w:spacing w:after="0" w:line="289" w:lineRule="auto"/>
        <w:rPr>
          <w:sz w:val="20"/>
          <w:szCs w:val="20"/>
          <w:color w:val="auto"/>
        </w:rPr>
      </w:pPr>
      <w:r>
        <w:rPr>
          <w:rFonts w:ascii="Arial" w:cs="Arial" w:eastAsia="Arial" w:hAnsi="Arial"/>
          <w:sz w:val="17"/>
          <w:szCs w:val="17"/>
          <w:color w:val="auto"/>
        </w:rPr>
        <w:t>As of December 31, 2022, the Company had $0.5 million of foreign tax credit carryforwards, which will carryforward indefinitely. The Company also had $3.6 million of state enterprise zone credit carryforwards, which will begin to expire in 2023.</w:t>
      </w:r>
    </w:p>
    <w:p>
      <w:pPr>
        <w:spacing w:after="0" w:line="159"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has determined that it has experienced multiple ownership changes and, as a result, the annual utilization of its net operating loss carryforwards and other pre-change attributes will be subject to limitation. However, the Company does not expect that the annual limitations will significantly impact its ability to utilize its net operating loss or tax credit carryforwards prior to expiration.</w:t>
      </w:r>
    </w:p>
    <w:p>
      <w:pPr>
        <w:spacing w:after="0" w:line="185" w:lineRule="exact"/>
        <w:rPr>
          <w:sz w:val="20"/>
          <w:szCs w:val="20"/>
          <w:color w:val="auto"/>
        </w:rPr>
      </w:pPr>
    </w:p>
    <w:p>
      <w:pPr>
        <w:ind w:right="180" w:firstLine="433"/>
        <w:spacing w:after="0" w:line="289" w:lineRule="auto"/>
        <w:rPr>
          <w:sz w:val="20"/>
          <w:szCs w:val="20"/>
          <w:color w:val="auto"/>
        </w:rPr>
      </w:pPr>
      <w:r>
        <w:rPr>
          <w:rFonts w:ascii="Arial" w:cs="Arial" w:eastAsia="Arial" w:hAnsi="Arial"/>
          <w:sz w:val="17"/>
          <w:szCs w:val="17"/>
          <w:color w:val="auto"/>
        </w:rPr>
        <w:t>As of December 31, 2022, the balance of unrecognized tax benefits was $127.2 million of which $88.5 million, if recognized, would affect the effective tax rate and $38.7 million would result in adjustment to deferred tax assets with corresponding adjustments to the valuation allowance.</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reconciliation of the beginning and ending amount of unrecognized tax benefit is as follows:</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253"/>
              <w:spacing w:after="0"/>
              <w:rPr>
                <w:sz w:val="20"/>
                <w:szCs w:val="20"/>
                <w:color w:val="auto"/>
              </w:rPr>
            </w:pPr>
            <w:r>
              <w:rPr>
                <w:rFonts w:ascii="Arial" w:cs="Arial" w:eastAsia="Arial" w:hAnsi="Arial"/>
                <w:sz w:val="17"/>
                <w:szCs w:val="17"/>
                <w:b w:val="1"/>
                <w:bCs w:val="1"/>
                <w:color w:val="auto"/>
                <w:w w:val="90"/>
              </w:rPr>
              <w:t>Year ended December 31,</w:t>
            </w:r>
          </w:p>
        </w:tc>
        <w:tc>
          <w:tcPr>
            <w:tcW w:w="1260" w:type="dxa"/>
            <w:vAlign w:val="bottom"/>
            <w:tcBorders>
              <w:bottom w:val="single" w:sz="8" w:color="auto"/>
            </w:tcBorders>
          </w:tcPr>
          <w:p>
            <w:pPr>
              <w:spacing w:after="0"/>
              <w:rPr>
                <w:sz w:val="19"/>
                <w:szCs w:val="19"/>
                <w:color w:val="auto"/>
              </w:rPr>
            </w:pPr>
          </w:p>
        </w:tc>
      </w:tr>
      <w:tr>
        <w:trPr>
          <w:trHeight w:val="216"/>
        </w:trPr>
        <w:tc>
          <w:tcPr>
            <w:tcW w:w="60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of gross unrecognized tax benefits at the beginning of the fiscal year</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r>
      <w:tr>
        <w:trPr>
          <w:trHeight w:val="223"/>
        </w:trPr>
        <w:tc>
          <w:tcPr>
            <w:tcW w:w="6080" w:type="dxa"/>
            <w:vAlign w:val="bottom"/>
          </w:tcPr>
          <w:p>
            <w:pPr>
              <w:ind w:left="20"/>
              <w:spacing w:after="0"/>
              <w:rPr>
                <w:sz w:val="20"/>
                <w:szCs w:val="20"/>
                <w:color w:val="auto"/>
              </w:rPr>
            </w:pPr>
            <w:r>
              <w:rPr>
                <w:rFonts w:ascii="Arial" w:cs="Arial" w:eastAsia="Arial" w:hAnsi="Arial"/>
                <w:sz w:val="17"/>
                <w:szCs w:val="17"/>
                <w:color w:val="auto"/>
              </w:rPr>
              <w:t>Gross increases related to prior period tax positions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decreases related to prior period tax positions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080" w:type="dxa"/>
            <w:vAlign w:val="bottom"/>
          </w:tcPr>
          <w:p>
            <w:pPr>
              <w:ind w:left="20"/>
              <w:spacing w:after="0"/>
              <w:rPr>
                <w:sz w:val="20"/>
                <w:szCs w:val="20"/>
                <w:color w:val="auto"/>
              </w:rPr>
            </w:pPr>
            <w:r>
              <w:rPr>
                <w:rFonts w:ascii="Arial" w:cs="Arial" w:eastAsia="Arial" w:hAnsi="Arial"/>
                <w:sz w:val="17"/>
                <w:szCs w:val="17"/>
                <w:color w:val="auto"/>
              </w:rPr>
              <w:t>Gross increases related to current period tax positions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due to lapse in statute of limitations</w:t>
            </w:r>
          </w:p>
        </w:tc>
        <w:tc>
          <w:tcPr>
            <w:tcW w:w="1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Reductions due to settlements with taxing authorities</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of gross unrecognized tax benefits at the end of the fiscal year</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127.2</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160" w:firstLine="433"/>
        <w:spacing w:after="0" w:line="273" w:lineRule="auto"/>
        <w:rPr>
          <w:sz w:val="20"/>
          <w:szCs w:val="20"/>
          <w:color w:val="auto"/>
        </w:rPr>
      </w:pPr>
      <w:r>
        <w:rPr>
          <w:rFonts w:ascii="Arial" w:cs="Arial" w:eastAsia="Arial" w:hAnsi="Arial"/>
          <w:sz w:val="17"/>
          <w:szCs w:val="17"/>
          <w:color w:val="auto"/>
        </w:rPr>
        <w:t>The Company recognizes interest and/or penalties related to income tax matters as a component of income tax expense. As of December 31, 2022, the amount of accrued interest and penalties related to uncertain tax positions was $5.3 million. Interest and penalties recognized for the year ended December 31, 2022, 2021, and 2020 was $1.7 million, $0.4 million, and $0.7 million, respectively.</w:t>
      </w:r>
    </w:p>
    <w:p>
      <w:pPr>
        <w:spacing w:after="0" w:line="172" w:lineRule="exact"/>
        <w:rPr>
          <w:sz w:val="20"/>
          <w:szCs w:val="20"/>
          <w:color w:val="auto"/>
        </w:rPr>
      </w:pPr>
    </w:p>
    <w:p>
      <w:pPr>
        <w:jc w:val="both"/>
        <w:ind w:right="100" w:firstLine="433"/>
        <w:spacing w:after="0" w:line="273" w:lineRule="auto"/>
        <w:rPr>
          <w:sz w:val="20"/>
          <w:szCs w:val="20"/>
          <w:color w:val="auto"/>
        </w:rPr>
      </w:pPr>
      <w:r>
        <w:rPr>
          <w:rFonts w:ascii="Arial" w:cs="Arial" w:eastAsia="Arial" w:hAnsi="Arial"/>
          <w:sz w:val="17"/>
          <w:szCs w:val="17"/>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172" w:lineRule="exact"/>
        <w:rPr>
          <w:sz w:val="20"/>
          <w:szCs w:val="20"/>
          <w:color w:val="auto"/>
        </w:rPr>
      </w:pPr>
    </w:p>
    <w:p>
      <w:pPr>
        <w:ind w:right="320" w:firstLine="433"/>
        <w:spacing w:after="0" w:line="289" w:lineRule="auto"/>
        <w:rPr>
          <w:sz w:val="20"/>
          <w:szCs w:val="20"/>
          <w:color w:val="auto"/>
        </w:rPr>
      </w:pPr>
      <w:r>
        <w:rPr>
          <w:rFonts w:ascii="Arial" w:cs="Arial" w:eastAsia="Arial" w:hAnsi="Arial"/>
          <w:sz w:val="17"/>
          <w:szCs w:val="17"/>
          <w:color w:val="auto"/>
        </w:rPr>
        <w:t>The Company files income tax returns in the U.S. federal, multiple states, and foreign jurisdictions. All of the Company’s tax years from 2007 remain open for examination by the federal and state authorities, and from 2015 by foreign authorities.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color w:val="auto"/>
        </w:rPr>
        <w:t>The Company generally does not provide deferred income taxes for the undistributed earnings of its foreign subsidiaries as the Company intends to reinvest such earnings indefinitely. Should circumstances change and it becomes apparent that some or all of the undistributed earnings will no longer be indefinitely reinvested, the Company will accrue for income taxes not previously recognized. As of December 31, 2022, there were no cumulative undistributed earnings in its Irish subsidiary and, as a result, there were no unrecorded deferred tax liabilities. The amount of undistributed earnings in the Company’s other foreign subsidiaries, if any, are immaterial.</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Geographic Areas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4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1"/>
              </w:rPr>
              <w:t>As of December 31,</w:t>
            </w:r>
          </w:p>
        </w:tc>
        <w:tc>
          <w:tcPr>
            <w:tcW w:w="1100" w:type="dxa"/>
            <w:vAlign w:val="bottom"/>
            <w:tcBorders>
              <w:bottom w:val="single" w:sz="8" w:color="auto"/>
            </w:tcBorders>
          </w:tcPr>
          <w:p>
            <w:pPr>
              <w:spacing w:after="0"/>
              <w:rPr>
                <w:sz w:val="19"/>
                <w:szCs w:val="19"/>
                <w:color w:val="auto"/>
              </w:rPr>
            </w:pPr>
          </w:p>
        </w:tc>
      </w:tr>
      <w:tr>
        <w:trPr>
          <w:trHeight w:val="216"/>
        </w:trPr>
        <w:tc>
          <w:tcPr>
            <w:tcW w:w="74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w w:val="95"/>
              </w:rPr>
              <w:t>2021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316.6</w:t>
            </w:r>
          </w:p>
        </w:tc>
      </w:tr>
      <w:tr>
        <w:trPr>
          <w:trHeight w:val="223"/>
        </w:trPr>
        <w:tc>
          <w:tcPr>
            <w:tcW w:w="7480" w:type="dxa"/>
            <w:vAlign w:val="bottom"/>
            <w:tcBorders>
              <w:bottom w:val="single" w:sz="8" w:color="CCEEFF"/>
            </w:tcBorders>
          </w:tcPr>
          <w:p>
            <w:pPr>
              <w:spacing w:after="0" w:line="223" w:lineRule="exact"/>
              <w:rPr>
                <w:sz w:val="20"/>
                <w:szCs w:val="20"/>
                <w:color w:val="auto"/>
              </w:rPr>
            </w:pPr>
            <w:r>
              <w:rPr>
                <w:rFonts w:ascii="Arial" w:cs="Arial" w:eastAsia="Arial" w:hAnsi="Arial"/>
                <w:sz w:val="17"/>
                <w:szCs w:val="17"/>
                <w:color w:val="auto"/>
              </w:rPr>
              <w:t>International</w:t>
            </w:r>
            <w:r>
              <w:rPr>
                <w:rFonts w:ascii="Arial" w:cs="Arial" w:eastAsia="Arial" w:hAnsi="Arial"/>
                <w:sz w:val="22"/>
                <w:szCs w:val="22"/>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41"/>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property and equipment, net</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308.4</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560" w:right="520" w:hanging="319"/>
        <w:spacing w:after="0" w:line="225" w:lineRule="auto"/>
        <w:tabs>
          <w:tab w:leader="none" w:pos="548" w:val="left"/>
        </w:tabs>
        <w:numPr>
          <w:ilvl w:val="0"/>
          <w:numId w:val="42"/>
        </w:numPr>
        <w:rPr>
          <w:rFonts w:ascii="Arial" w:cs="Arial" w:eastAsia="Arial" w:hAnsi="Arial"/>
          <w:sz w:val="23"/>
          <w:szCs w:val="23"/>
          <w:color w:val="auto"/>
          <w:vertAlign w:val="superscript"/>
        </w:rPr>
      </w:pPr>
      <w:r>
        <w:rPr>
          <w:rFonts w:ascii="Arial" w:cs="Arial" w:eastAsia="Arial" w:hAnsi="Arial"/>
          <w:sz w:val="17"/>
          <w:szCs w:val="17"/>
          <w:color w:val="auto"/>
        </w:rPr>
        <w:t>No single country other than the United States had a property and equipment balance greater than 10% of total property and equipment, net, as of December 31, 2022 and 2021.</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9" w:lineRule="exact"/>
        <w:rPr>
          <w:sz w:val="20"/>
          <w:szCs w:val="20"/>
          <w:color w:val="auto"/>
        </w:rPr>
      </w:pPr>
    </w:p>
    <w:p>
      <w:pPr>
        <w:ind w:right="220" w:firstLine="433"/>
        <w:spacing w:after="0" w:line="289" w:lineRule="auto"/>
        <w:rPr>
          <w:sz w:val="20"/>
          <w:szCs w:val="20"/>
          <w:color w:val="auto"/>
        </w:rPr>
      </w:pPr>
      <w:r>
        <w:rPr>
          <w:rFonts w:ascii="Arial" w:cs="Arial" w:eastAsia="Arial" w:hAnsi="Arial"/>
          <w:sz w:val="17"/>
          <w:szCs w:val="17"/>
          <w:color w:val="auto"/>
        </w:rPr>
        <w:t>Revenue by geography is generally based on the address of the customer as defined in the Company’s subscription agreement. The following table sets forth revenue by geographic area for the years ended December 31, 2022, 2021, and 2020:</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233"/>
              <w:spacing w:after="0"/>
              <w:rPr>
                <w:sz w:val="20"/>
                <w:szCs w:val="20"/>
                <w:color w:val="auto"/>
              </w:rPr>
            </w:pPr>
            <w:r>
              <w:rPr>
                <w:rFonts w:ascii="Arial" w:cs="Arial" w:eastAsia="Arial" w:hAnsi="Arial"/>
                <w:sz w:val="17"/>
                <w:szCs w:val="17"/>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16"/>
        </w:trPr>
        <w:tc>
          <w:tcPr>
            <w:tcW w:w="6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1,264.2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999.3</w:t>
            </w:r>
          </w:p>
        </w:tc>
      </w:tr>
      <w:tr>
        <w:trPr>
          <w:trHeight w:val="223"/>
        </w:trPr>
        <w:tc>
          <w:tcPr>
            <w:tcW w:w="6160" w:type="dxa"/>
            <w:vAlign w:val="bottom"/>
            <w:tcBorders>
              <w:bottom w:val="single" w:sz="8" w:color="CCEEFF"/>
            </w:tcBorders>
          </w:tcPr>
          <w:p>
            <w:pPr>
              <w:spacing w:after="0" w:line="223" w:lineRule="exact"/>
              <w:rPr>
                <w:sz w:val="20"/>
                <w:szCs w:val="20"/>
                <w:color w:val="auto"/>
              </w:rPr>
            </w:pPr>
            <w:r>
              <w:rPr>
                <w:rFonts w:ascii="Arial" w:cs="Arial" w:eastAsia="Arial" w:hAnsi="Arial"/>
                <w:sz w:val="17"/>
                <w:szCs w:val="17"/>
                <w:color w:val="auto"/>
              </w:rPr>
              <w:t>International</w:t>
            </w:r>
            <w:r>
              <w:rPr>
                <w:rFonts w:ascii="Arial" w:cs="Arial" w:eastAsia="Arial" w:hAnsi="Arial"/>
                <w:sz w:val="22"/>
                <w:szCs w:val="22"/>
                <w:color w:val="auto"/>
                <w:vertAlign w:val="superscript"/>
              </w:rPr>
              <w:t>(1)</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914.6</w:t>
            </w:r>
          </w:p>
        </w:tc>
      </w:tr>
      <w:tr>
        <w:trPr>
          <w:trHeight w:val="241"/>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2,324.9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1,913.9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560" w:right="260" w:hanging="319"/>
        <w:spacing w:after="0" w:line="225" w:lineRule="auto"/>
        <w:tabs>
          <w:tab w:leader="none" w:pos="548" w:val="left"/>
        </w:tabs>
        <w:numPr>
          <w:ilvl w:val="0"/>
          <w:numId w:val="43"/>
        </w:numPr>
        <w:rPr>
          <w:rFonts w:ascii="Arial" w:cs="Arial" w:eastAsia="Arial" w:hAnsi="Arial"/>
          <w:sz w:val="23"/>
          <w:szCs w:val="23"/>
          <w:color w:val="auto"/>
          <w:vertAlign w:val="superscript"/>
        </w:rPr>
      </w:pPr>
      <w:r>
        <w:rPr>
          <w:rFonts w:ascii="Arial" w:cs="Arial" w:eastAsia="Arial" w:hAnsi="Arial"/>
          <w:sz w:val="17"/>
          <w:szCs w:val="17"/>
          <w:color w:val="auto"/>
        </w:rPr>
        <w:t>No single country outside of the United States accounted for more than 10 percent of total revenue during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740"/>
        <w:spacing w:after="0" w:line="278" w:lineRule="auto"/>
        <w:rPr>
          <w:sz w:val="20"/>
          <w:szCs w:val="20"/>
          <w:color w:val="auto"/>
        </w:rPr>
      </w:pPr>
      <w:r>
        <w:rPr>
          <w:rFonts w:ascii="Arial" w:cs="Arial" w:eastAsia="Arial" w:hAnsi="Arial"/>
          <w:sz w:val="21"/>
          <w:szCs w:val="21"/>
          <w:b w:val="1"/>
          <w:bCs w:val="1"/>
          <w:color w:val="auto"/>
        </w:rPr>
        <w:t>ITEM 9. CHANGES IN AND DISAGREEMENTS WITH ACCOUNTANTS ON ACCOUNTING AND FINANCIAL DISCLOSURE</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9A. CONTROLS AND PROCEDURES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0" w:lineRule="exact"/>
        <w:rPr>
          <w:sz w:val="20"/>
          <w:szCs w:val="20"/>
          <w:color w:val="auto"/>
        </w:rPr>
      </w:pPr>
    </w:p>
    <w:p>
      <w:pPr>
        <w:ind w:right="40" w:firstLine="433"/>
        <w:spacing w:after="0" w:line="290"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30"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w:t>
      </w:r>
    </w:p>
    <w:p>
      <w:pPr>
        <w:spacing w:after="0" w:line="172" w:lineRule="exact"/>
        <w:rPr>
          <w:sz w:val="20"/>
          <w:szCs w:val="20"/>
          <w:color w:val="auto"/>
        </w:rPr>
      </w:pPr>
    </w:p>
    <w:p>
      <w:pPr>
        <w:ind w:right="80" w:firstLine="433"/>
        <w:spacing w:after="0" w:line="326" w:lineRule="auto"/>
        <w:rPr>
          <w:sz w:val="20"/>
          <w:szCs w:val="20"/>
          <w:color w:val="auto"/>
        </w:rPr>
      </w:pPr>
      <w:r>
        <w:rPr>
          <w:rFonts w:ascii="Arial" w:cs="Arial" w:eastAsia="Arial" w:hAnsi="Arial"/>
          <w:sz w:val="15"/>
          <w:szCs w:val="15"/>
          <w:color w:val="auto"/>
        </w:rPr>
        <w:t>Our management, under the supervision of our Chief Financial Officer, conducted an evaluation of the effectiveness of our internal control over financial reporting based on the framework in Internal Control—Integrated Framework (2013), issued by the Committee of Sponsoring Organizations of the Treadway Commission. Based on this evaluation, management concluded that our internal control over financial reporting was effective as of December 31, 2022.</w:t>
      </w:r>
    </w:p>
    <w:p>
      <w:pPr>
        <w:spacing w:after="0" w:line="136" w:lineRule="exact"/>
        <w:rPr>
          <w:sz w:val="20"/>
          <w:szCs w:val="20"/>
          <w:color w:val="auto"/>
        </w:rPr>
      </w:pPr>
    </w:p>
    <w:p>
      <w:pPr>
        <w:ind w:right="480" w:firstLine="433"/>
        <w:spacing w:after="0" w:line="289" w:lineRule="auto"/>
        <w:rPr>
          <w:sz w:val="20"/>
          <w:szCs w:val="20"/>
          <w:color w:val="auto"/>
        </w:rPr>
      </w:pPr>
      <w:r>
        <w:rPr>
          <w:rFonts w:ascii="Arial" w:cs="Arial" w:eastAsia="Arial" w:hAnsi="Arial"/>
          <w:sz w:val="17"/>
          <w:szCs w:val="17"/>
          <w:color w:val="auto"/>
        </w:rPr>
        <w:t>The effectiveness of our internal control over financial reporting as of December 31, 2022 has been audited by Ernst &amp; Young LLP, an independent registered public accounting firm, as stated in their report, which is included in Item 8 of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0"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There was no change in our internal control over financial reporting (as defined in Rules 13a-15(d) and 15d-15(d) under the Exchange Act) that occurred during the quarter ended December 31, 2022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230"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9B. OTHER INFORMATION</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9C. DISCLOSURE REGARDING FOREIGN JURISDICTIONS THAT PREVENT INSPECTIONS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4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III</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10. DIRECTORS, EXECUTIVE OFFICERS AND CORPORATE GOVERNANCE</w:t>
      </w:r>
    </w:p>
    <w:p>
      <w:pPr>
        <w:spacing w:after="0" w:line="219" w:lineRule="exact"/>
        <w:rPr>
          <w:sz w:val="20"/>
          <w:szCs w:val="20"/>
          <w:color w:val="auto"/>
        </w:rPr>
      </w:pPr>
    </w:p>
    <w:p>
      <w:pPr>
        <w:ind w:right="38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2023 Meeting of Stockholders. The Proxy Statement will be filed with the Securities and Exchange Commission within 120 days of the end of the fiscal year ended December 31, 2022.</w:t>
      </w: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11. EXECUTIVE COMPENSATION</w:t>
      </w:r>
    </w:p>
    <w:p>
      <w:pPr>
        <w:spacing w:after="0" w:line="219" w:lineRule="exact"/>
        <w:rPr>
          <w:sz w:val="20"/>
          <w:szCs w:val="20"/>
          <w:color w:val="auto"/>
        </w:rPr>
      </w:pPr>
    </w:p>
    <w:p>
      <w:pPr>
        <w:ind w:right="38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2023 Meeting of Stockholders. The Proxy Statement will be filed with the Securities and Exchange Commission within 120 days of the end of the fiscal year ended December 31, 2022.</w:t>
      </w:r>
    </w:p>
    <w:p>
      <w:pPr>
        <w:spacing w:after="0" w:line="265" w:lineRule="exact"/>
        <w:rPr>
          <w:sz w:val="20"/>
          <w:szCs w:val="20"/>
          <w:color w:val="auto"/>
        </w:rPr>
      </w:pPr>
    </w:p>
    <w:p>
      <w:pPr>
        <w:ind w:right="380"/>
        <w:spacing w:after="0" w:line="278" w:lineRule="auto"/>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151" w:lineRule="exact"/>
        <w:rPr>
          <w:sz w:val="20"/>
          <w:szCs w:val="20"/>
          <w:color w:val="auto"/>
        </w:rPr>
      </w:pPr>
    </w:p>
    <w:p>
      <w:pPr>
        <w:ind w:right="38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2023 Meeting of Stockholders. The Proxy Statement will be filed with the Securities and Exchange Commission within 120 days of the end of the fiscal year ended December 31, 2022.</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13. CERTAIN RELATIONSHIPS AND RELATED PARTY TRANSACTIONS, AND DIRECTOR INDEPENDENCE</w:t>
      </w:r>
    </w:p>
    <w:p>
      <w:pPr>
        <w:spacing w:after="0" w:line="232" w:lineRule="exact"/>
        <w:rPr>
          <w:sz w:val="20"/>
          <w:szCs w:val="20"/>
          <w:color w:val="auto"/>
        </w:rPr>
      </w:pPr>
    </w:p>
    <w:p>
      <w:pPr>
        <w:ind w:right="38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2023 Meeting of Stockholders. The Proxy Statement will be filed with the Securities and Exchange Commission within 120 days of the end of the fiscal year ended December 31, 2022.</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14. PRINCIPAL ACCOUNTING FEES AND SERVICES</w:t>
      </w:r>
    </w:p>
    <w:p>
      <w:pPr>
        <w:spacing w:after="0" w:line="219" w:lineRule="exact"/>
        <w:rPr>
          <w:sz w:val="20"/>
          <w:szCs w:val="20"/>
          <w:color w:val="auto"/>
        </w:rPr>
      </w:pPr>
    </w:p>
    <w:p>
      <w:pPr>
        <w:ind w:right="38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2023 Meeting of Stockholders. The Proxy Statement will be filed with the Securities and Exchange Commission within 120 days of the end of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9" w:right="4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IV</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3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documents are filed as a part of this Annual Report on Form 10-K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  Financial statements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Consolidated Financial Statements are listed in the “Index to Consolidated Financial Statements” under Part II, Item 8 of this Annual Report on Form</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10-K.</w:t>
      </w:r>
    </w:p>
    <w:p>
      <w:pPr>
        <w:spacing w:after="0" w:line="34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 Financial statement schedules.</w:t>
      </w:r>
    </w:p>
    <w:p>
      <w:pPr>
        <w:spacing w:after="0" w:line="119" w:lineRule="exact"/>
        <w:rPr>
          <w:sz w:val="20"/>
          <w:szCs w:val="20"/>
          <w:color w:val="auto"/>
        </w:rPr>
      </w:pPr>
    </w:p>
    <w:p>
      <w:pPr>
        <w:ind w:right="780" w:firstLine="433"/>
        <w:spacing w:after="0" w:line="289" w:lineRule="auto"/>
        <w:rPr>
          <w:sz w:val="20"/>
          <w:szCs w:val="20"/>
          <w:color w:val="auto"/>
        </w:rPr>
      </w:pPr>
      <w:r>
        <w:rPr>
          <w:rFonts w:ascii="Arial" w:cs="Arial" w:eastAsia="Arial" w:hAnsi="Arial"/>
          <w:sz w:val="17"/>
          <w:szCs w:val="17"/>
          <w:color w:val="auto"/>
        </w:rPr>
        <w:t>All financial statement schedules not listed above have been omitted because the information called for is not required or is shown either in the consolidated financial statements or in the notes thereto.</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  Exhibits</w:t>
      </w:r>
    </w:p>
    <w:p>
      <w:pPr>
        <w:spacing w:after="0" w:line="119" w:lineRule="exact"/>
        <w:rPr>
          <w:sz w:val="20"/>
          <w:szCs w:val="20"/>
          <w:color w:val="auto"/>
        </w:rPr>
      </w:pPr>
    </w:p>
    <w:p>
      <w:pPr>
        <w:ind w:right="400" w:firstLine="433"/>
        <w:spacing w:after="0" w:line="289" w:lineRule="auto"/>
        <w:rPr>
          <w:sz w:val="20"/>
          <w:szCs w:val="20"/>
          <w:color w:val="auto"/>
        </w:rPr>
      </w:pPr>
      <w:r>
        <w:rPr>
          <w:rFonts w:ascii="Arial" w:cs="Arial" w:eastAsia="Arial" w:hAnsi="Arial"/>
          <w:sz w:val="17"/>
          <w:szCs w:val="17"/>
          <w:color w:val="auto"/>
        </w:rPr>
        <w:t>The documents listed in the Exhibit Index of this Annual Report on Form 10-K are incorporated by reference or are filed with this Annual Report on Form 10-K, in each case as indicated therein (numbered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EXHIBIT INDEX</w:t>
      </w:r>
    </w:p>
    <w:p>
      <w:pPr>
        <w:spacing w:after="0" w:line="299" w:lineRule="exact"/>
        <w:rPr>
          <w:sz w:val="20"/>
          <w:szCs w:val="20"/>
          <w:color w:val="auto"/>
        </w:rPr>
      </w:pPr>
    </w:p>
    <w:p>
      <w:pPr>
        <w:jc w:val="both"/>
        <w:ind w:left="6320"/>
        <w:spacing w:after="0"/>
        <w:tabs>
          <w:tab w:leader="none" w:pos="7240" w:val="left"/>
          <w:tab w:leader="none" w:pos="8580" w:val="left"/>
          <w:tab w:leader="none" w:pos="982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3"/>
          <w:szCs w:val="13"/>
          <w:b w:val="1"/>
          <w:bCs w:val="1"/>
          <w:color w:val="auto"/>
        </w:rPr>
        <w:t>Filed with SEC</w:t>
      </w:r>
    </w:p>
    <w:p>
      <w:pPr>
        <w:spacing w:after="0" w:line="1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720" w:type="dxa"/>
            <w:vAlign w:val="bottom"/>
          </w:tcPr>
          <w:p>
            <w:pPr>
              <w:jc w:val="center"/>
              <w:ind w:right="1150"/>
              <w:spacing w:after="0"/>
              <w:rPr>
                <w:sz w:val="20"/>
                <w:szCs w:val="20"/>
                <w:color w:val="auto"/>
              </w:rPr>
            </w:pPr>
            <w:r>
              <w:rPr>
                <w:rFonts w:ascii="Arial" w:cs="Arial" w:eastAsia="Arial" w:hAnsi="Arial"/>
                <w:sz w:val="14"/>
                <w:szCs w:val="14"/>
                <w:b w:val="1"/>
                <w:bCs w:val="1"/>
                <w:color w:val="auto"/>
                <w:w w:val="98"/>
              </w:rPr>
              <w:t>Exhibit</w:t>
            </w:r>
          </w:p>
        </w:tc>
        <w:tc>
          <w:tcPr>
            <w:tcW w:w="1920" w:type="dxa"/>
            <w:vAlign w:val="bottom"/>
            <w:vMerge w:val="restart"/>
          </w:tcPr>
          <w:p>
            <w:pPr>
              <w:ind w:left="12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3"/>
        </w:trPr>
        <w:tc>
          <w:tcPr>
            <w:tcW w:w="1720" w:type="dxa"/>
            <w:vAlign w:val="bottom"/>
          </w:tcPr>
          <w:p>
            <w:pPr>
              <w:jc w:val="center"/>
              <w:ind w:right="1150"/>
              <w:spacing w:after="0"/>
              <w:rPr>
                <w:sz w:val="20"/>
                <w:szCs w:val="20"/>
                <w:color w:val="auto"/>
              </w:rPr>
            </w:pPr>
            <w:r>
              <w:rPr>
                <w:rFonts w:ascii="Arial" w:cs="Arial" w:eastAsia="Arial" w:hAnsi="Arial"/>
                <w:sz w:val="14"/>
                <w:szCs w:val="14"/>
                <w:b w:val="1"/>
                <w:bCs w:val="1"/>
                <w:color w:val="auto"/>
                <w:w w:val="94"/>
              </w:rPr>
              <w:t>Number</w:t>
            </w: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6350</wp:posOffset>
            </wp:positionV>
            <wp:extent cx="31559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55950" cy="8255"/>
                    </a:xfrm>
                    <a:prstGeom prst="rect">
                      <a:avLst/>
                    </a:prstGeom>
                    <a:noFill/>
                  </pic:spPr>
                </pic:pic>
              </a:graphicData>
            </a:graphic>
          </wp:anchor>
        </w:drawing>
      </w:r>
    </w:p>
    <w:p>
      <w:pPr>
        <w:sectPr>
          <w:pgSz w:w="11900" w:h="16838" w:orient="portrait"/>
          <w:cols w:equalWidth="0" w:num="1">
            <w:col w:w="10880"/>
          </w:cols>
          <w:pgMar w:left="320" w:top="129" w:right="699" w:bottom="1440" w:gutter="0" w:footer="0" w:header="0"/>
        </w:sect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3.1</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3.2</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4.3</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4.4</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4.5</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4.6</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4.7</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4.8</w:t>
      </w:r>
    </w:p>
    <w:p>
      <w:pPr>
        <w:spacing w:after="0" w:line="36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10.1+</w:t>
      </w:r>
    </w:p>
    <w:p>
      <w:pPr>
        <w:spacing w:after="0" w:line="37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10.2+</w:t>
      </w:r>
    </w:p>
    <w:p>
      <w:pPr>
        <w:spacing w:after="0" w:line="37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10.3+</w:t>
      </w:r>
    </w:p>
    <w:p>
      <w:pPr>
        <w:spacing w:after="0" w:line="200" w:lineRule="exact"/>
        <w:rPr>
          <w:sz w:val="20"/>
          <w:szCs w:val="20"/>
          <w:color w:val="auto"/>
        </w:rPr>
      </w:pPr>
    </w:p>
    <w:p>
      <w:pPr>
        <w:spacing w:after="0" w:line="25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10.4+</w:t>
      </w:r>
    </w:p>
    <w:p>
      <w:pPr>
        <w:spacing w:after="0" w:line="200" w:lineRule="exact"/>
        <w:rPr>
          <w:sz w:val="20"/>
          <w:szCs w:val="20"/>
          <w:color w:val="auto"/>
        </w:rPr>
      </w:pPr>
    </w:p>
    <w:p>
      <w:pPr>
        <w:spacing w:after="0" w:line="25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10.5+</w:t>
      </w:r>
    </w:p>
    <w:p>
      <w:pPr>
        <w:spacing w:after="0" w:line="37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Amended and Restated Certificate of Incorporation of the Registrant.</w:t>
        </w:r>
      </w:hyperlink>
    </w:p>
    <w:p>
      <w:pPr>
        <w:spacing w:after="0" w:line="288" w:lineRule="exact"/>
        <w:rPr>
          <w:sz w:val="20"/>
          <w:szCs w:val="20"/>
          <w:color w:val="auto"/>
        </w:rPr>
      </w:pPr>
    </w:p>
    <w:p>
      <w:pPr>
        <w:spacing w:after="0"/>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Amended and Restated Bylaws of the Registrant.</w:t>
        </w:r>
      </w:hyperlink>
    </w:p>
    <w:p>
      <w:pPr>
        <w:spacing w:after="0" w:line="288" w:lineRule="exact"/>
        <w:rPr>
          <w:sz w:val="20"/>
          <w:szCs w:val="20"/>
          <w:color w:val="auto"/>
        </w:rPr>
      </w:pPr>
    </w:p>
    <w:p>
      <w:pPr>
        <w:spacing w:after="0"/>
        <w:rPr>
          <w:rFonts w:ascii="Arial" w:cs="Arial" w:eastAsia="Arial" w:hAnsi="Arial"/>
          <w:sz w:val="16"/>
          <w:szCs w:val="16"/>
          <w:u w:val="single" w:color="auto"/>
          <w:color w:val="0000FF"/>
        </w:rPr>
      </w:pPr>
      <w:hyperlink r:id="rId139">
        <w:r>
          <w:rPr>
            <w:rFonts w:ascii="Arial" w:cs="Arial" w:eastAsia="Arial" w:hAnsi="Arial"/>
            <w:sz w:val="16"/>
            <w:szCs w:val="16"/>
            <w:u w:val="single" w:color="auto"/>
            <w:color w:val="0000FF"/>
          </w:rPr>
          <w:t>Form of Class A common stock certificate of the Registrant.</w:t>
        </w:r>
      </w:hyperlink>
    </w:p>
    <w:p>
      <w:pPr>
        <w:spacing w:after="0" w:line="288" w:lineRule="exact"/>
        <w:rPr>
          <w:sz w:val="20"/>
          <w:szCs w:val="20"/>
          <w:color w:val="auto"/>
        </w:rPr>
      </w:pPr>
    </w:p>
    <w:p>
      <w:pPr>
        <w:ind w:right="220"/>
        <w:spacing w:after="0" w:line="223" w:lineRule="auto"/>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Amended and Restated Investors’ Rights Agreement among the Registrant</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and certain holders of its capital stock, dated as of January 30, 2014, as</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amended.</w:t>
        </w:r>
      </w:hyperlink>
    </w:p>
    <w:p>
      <w:pPr>
        <w:spacing w:after="0" w:line="274" w:lineRule="exact"/>
        <w:rPr>
          <w:rFonts w:ascii="Arial" w:cs="Arial" w:eastAsia="Arial" w:hAnsi="Arial"/>
          <w:sz w:val="16"/>
          <w:szCs w:val="16"/>
          <w:u w:val="single" w:color="auto"/>
          <w:color w:val="0000FF"/>
        </w:rPr>
      </w:pPr>
    </w:p>
    <w:p>
      <w:pPr>
        <w:spacing w:after="0" w:line="223" w:lineRule="auto"/>
        <w:rPr>
          <w:rFonts w:ascii="Arial" w:cs="Arial" w:eastAsia="Arial" w:hAnsi="Arial"/>
          <w:sz w:val="16"/>
          <w:szCs w:val="16"/>
          <w:u w:val="single" w:color="auto"/>
          <w:color w:val="0000FF"/>
        </w:rPr>
      </w:pPr>
      <w:hyperlink r:id="rId141">
        <w:r>
          <w:rPr>
            <w:rFonts w:ascii="Arial" w:cs="Arial" w:eastAsia="Arial" w:hAnsi="Arial"/>
            <w:sz w:val="16"/>
            <w:szCs w:val="16"/>
            <w:u w:val="single" w:color="auto"/>
            <w:color w:val="0000FF"/>
          </w:rPr>
          <w:t>Amendment No. 2 to the Amended and Restated Investors’ Rights Agreement</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among the Registrant and certain holders of its capital stock, dated as of</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March 27, 2018.</w:t>
        </w:r>
      </w:hyperlink>
    </w:p>
    <w:p>
      <w:pPr>
        <w:spacing w:after="0" w:line="274" w:lineRule="exact"/>
        <w:rPr>
          <w:rFonts w:ascii="Arial" w:cs="Arial" w:eastAsia="Arial" w:hAnsi="Arial"/>
          <w:sz w:val="16"/>
          <w:szCs w:val="16"/>
          <w:u w:val="single" w:color="auto"/>
          <w:color w:val="0000FF"/>
        </w:rPr>
      </w:pPr>
    </w:p>
    <w:p>
      <w:pPr>
        <w:ind w:right="220"/>
        <w:spacing w:after="0" w:line="233" w:lineRule="auto"/>
        <w:rPr>
          <w:rFonts w:ascii="Arial" w:cs="Arial" w:eastAsia="Arial" w:hAnsi="Arial"/>
          <w:sz w:val="16"/>
          <w:szCs w:val="16"/>
          <w:u w:val="single" w:color="auto"/>
          <w:color w:val="0000FF"/>
        </w:rPr>
      </w:pPr>
      <w:hyperlink r:id="rId142">
        <w:r>
          <w:rPr>
            <w:rFonts w:ascii="Arial" w:cs="Arial" w:eastAsia="Arial" w:hAnsi="Arial"/>
            <w:sz w:val="16"/>
            <w:szCs w:val="16"/>
            <w:u w:val="single" w:color="auto"/>
            <w:color w:val="0000FF"/>
          </w:rPr>
          <w:t>Indenture, dated February 26, 2021, between the Registrant and U.S. Bank</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National Association (2026 Notes).</w:t>
        </w:r>
      </w:hyperlink>
    </w:p>
    <w:p>
      <w:pPr>
        <w:spacing w:after="0" w:line="272" w:lineRule="exact"/>
        <w:rPr>
          <w:sz w:val="20"/>
          <w:szCs w:val="20"/>
          <w:color w:val="auto"/>
        </w:rPr>
      </w:pPr>
    </w:p>
    <w:p>
      <w:pPr>
        <w:ind w:right="220"/>
        <w:spacing w:after="0" w:line="233" w:lineRule="auto"/>
        <w:rPr>
          <w:rFonts w:ascii="Arial" w:cs="Arial" w:eastAsia="Arial" w:hAnsi="Arial"/>
          <w:sz w:val="16"/>
          <w:szCs w:val="16"/>
          <w:u w:val="single" w:color="auto"/>
          <w:color w:val="0000FF"/>
        </w:rPr>
      </w:pPr>
      <w:hyperlink r:id="rId143">
        <w:r>
          <w:rPr>
            <w:rFonts w:ascii="Arial" w:cs="Arial" w:eastAsia="Arial" w:hAnsi="Arial"/>
            <w:sz w:val="16"/>
            <w:szCs w:val="16"/>
            <w:u w:val="single" w:color="auto"/>
            <w:color w:val="0000FF"/>
          </w:rPr>
          <w:t>Indenture, dated February 26, 2021, between the Registrant and U.S. Bank</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National Association (2028 Notes).</w:t>
        </w:r>
      </w:hyperlink>
    </w:p>
    <w:p>
      <w:pPr>
        <w:spacing w:after="0" w:line="272" w:lineRule="exact"/>
        <w:rPr>
          <w:sz w:val="20"/>
          <w:szCs w:val="20"/>
          <w:color w:val="auto"/>
        </w:rPr>
      </w:pPr>
    </w:p>
    <w:p>
      <w:pPr>
        <w:spacing w:after="0"/>
        <w:rPr>
          <w:rFonts w:ascii="Arial" w:cs="Arial" w:eastAsia="Arial" w:hAnsi="Arial"/>
          <w:sz w:val="15"/>
          <w:szCs w:val="15"/>
          <w:u w:val="single" w:color="auto"/>
          <w:color w:val="0000FF"/>
        </w:rPr>
      </w:pPr>
      <w:hyperlink r:id="rId142">
        <w:r>
          <w:rPr>
            <w:rFonts w:ascii="Arial" w:cs="Arial" w:eastAsia="Arial" w:hAnsi="Arial"/>
            <w:sz w:val="15"/>
            <w:szCs w:val="15"/>
            <w:u w:val="single" w:color="auto"/>
            <w:color w:val="0000FF"/>
          </w:rPr>
          <w:t>Form of 0% Convertible Senior Note due 2026 (included in Exhibit 4.4).</w:t>
        </w:r>
      </w:hyperlink>
    </w:p>
    <w:p>
      <w:pPr>
        <w:spacing w:after="0" w:line="300" w:lineRule="exact"/>
        <w:rPr>
          <w:sz w:val="20"/>
          <w:szCs w:val="20"/>
          <w:color w:val="auto"/>
        </w:rPr>
      </w:pPr>
    </w:p>
    <w:p>
      <w:pPr>
        <w:spacing w:after="0"/>
        <w:rPr>
          <w:rFonts w:ascii="Arial" w:cs="Arial" w:eastAsia="Arial" w:hAnsi="Arial"/>
          <w:sz w:val="15"/>
          <w:szCs w:val="15"/>
          <w:u w:val="single" w:color="auto"/>
          <w:color w:val="0000FF"/>
        </w:rPr>
      </w:pPr>
      <w:hyperlink r:id="rId143">
        <w:r>
          <w:rPr>
            <w:rFonts w:ascii="Arial" w:cs="Arial" w:eastAsia="Arial" w:hAnsi="Arial"/>
            <w:sz w:val="15"/>
            <w:szCs w:val="15"/>
            <w:u w:val="single" w:color="auto"/>
            <w:color w:val="0000FF"/>
          </w:rPr>
          <w:t>Form of 0% Convertible Senior Note due 2028 (included in Exhibit 4.5).</w:t>
        </w:r>
      </w:hyperlink>
    </w:p>
    <w:p>
      <w:pPr>
        <w:spacing w:after="0" w:line="300" w:lineRule="exact"/>
        <w:rPr>
          <w:sz w:val="20"/>
          <w:szCs w:val="20"/>
          <w:color w:val="auto"/>
        </w:rPr>
      </w:pPr>
    </w:p>
    <w:p>
      <w:pPr>
        <w:spacing w:after="0"/>
        <w:rPr>
          <w:rFonts w:ascii="Arial" w:cs="Arial" w:eastAsia="Arial" w:hAnsi="Arial"/>
          <w:sz w:val="16"/>
          <w:szCs w:val="16"/>
          <w:u w:val="single" w:color="auto"/>
          <w:color w:val="0000FF"/>
        </w:rPr>
      </w:pPr>
      <w:hyperlink r:id="rId144">
        <w:r>
          <w:rPr>
            <w:rFonts w:ascii="Arial" w:cs="Arial" w:eastAsia="Arial" w:hAnsi="Arial"/>
            <w:sz w:val="16"/>
            <w:szCs w:val="16"/>
            <w:u w:val="single" w:color="auto"/>
            <w:color w:val="0000FF"/>
          </w:rPr>
          <w:t>Description of Capital Stock</w:t>
        </w:r>
      </w:hyperlink>
    </w:p>
    <w:p>
      <w:pPr>
        <w:spacing w:after="0" w:line="288" w:lineRule="exact"/>
        <w:rPr>
          <w:sz w:val="20"/>
          <w:szCs w:val="20"/>
          <w:color w:val="auto"/>
        </w:rPr>
      </w:pPr>
    </w:p>
    <w:p>
      <w:pPr>
        <w:ind w:right="180"/>
        <w:spacing w:after="0" w:line="233" w:lineRule="auto"/>
        <w:rPr>
          <w:rFonts w:ascii="Arial" w:cs="Arial" w:eastAsia="Arial" w:hAnsi="Arial"/>
          <w:sz w:val="16"/>
          <w:szCs w:val="16"/>
          <w:u w:val="single" w:color="auto"/>
          <w:color w:val="0000FF"/>
        </w:rPr>
      </w:pPr>
      <w:hyperlink r:id="rId145">
        <w:r>
          <w:rPr>
            <w:rFonts w:ascii="Arial" w:cs="Arial" w:eastAsia="Arial" w:hAnsi="Arial"/>
            <w:sz w:val="16"/>
            <w:szCs w:val="16"/>
            <w:u w:val="single" w:color="auto"/>
            <w:color w:val="0000FF"/>
          </w:rPr>
          <w:t>Form of Indemnification Agreement between the Registrant and each of its</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directors and executive officers.</w:t>
        </w:r>
      </w:hyperlink>
    </w:p>
    <w:p>
      <w:pPr>
        <w:spacing w:after="0" w:line="272" w:lineRule="exact"/>
        <w:rPr>
          <w:sz w:val="20"/>
          <w:szCs w:val="20"/>
          <w:color w:val="auto"/>
        </w:rPr>
      </w:pPr>
    </w:p>
    <w:p>
      <w:pPr>
        <w:spacing w:after="0"/>
        <w:rPr>
          <w:rFonts w:ascii="Arial" w:cs="Arial" w:eastAsia="Arial" w:hAnsi="Arial"/>
          <w:sz w:val="15"/>
          <w:szCs w:val="15"/>
          <w:u w:val="single" w:color="auto"/>
          <w:color w:val="0000FF"/>
        </w:rPr>
      </w:pPr>
      <w:hyperlink r:id="rId146">
        <w:r>
          <w:rPr>
            <w:rFonts w:ascii="Arial" w:cs="Arial" w:eastAsia="Arial" w:hAnsi="Arial"/>
            <w:sz w:val="15"/>
            <w:szCs w:val="15"/>
            <w:u w:val="single" w:color="auto"/>
            <w:color w:val="0000FF"/>
          </w:rPr>
          <w:t>Dropbox, Inc. 2018 Equity Incentive Plan and related form agreements.</w:t>
        </w:r>
      </w:hyperlink>
    </w:p>
    <w:p>
      <w:pPr>
        <w:spacing w:after="0" w:line="300" w:lineRule="exact"/>
        <w:rPr>
          <w:sz w:val="20"/>
          <w:szCs w:val="20"/>
          <w:color w:val="auto"/>
        </w:rPr>
      </w:pPr>
    </w:p>
    <w:p>
      <w:pPr>
        <w:ind w:right="600"/>
        <w:spacing w:after="0" w:line="233" w:lineRule="auto"/>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Dropbox, Inc. 2018 Employee Stock Purchase Plan and related form</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agreements.</w:t>
        </w:r>
      </w:hyperlink>
    </w:p>
    <w:p>
      <w:pPr>
        <w:spacing w:after="0" w:line="272" w:lineRule="exact"/>
        <w:rPr>
          <w:sz w:val="20"/>
          <w:szCs w:val="20"/>
          <w:color w:val="auto"/>
        </w:rPr>
      </w:pPr>
    </w:p>
    <w:p>
      <w:pPr>
        <w:ind w:right="740"/>
        <w:spacing w:after="0" w:line="233" w:lineRule="auto"/>
        <w:rPr>
          <w:rFonts w:ascii="Arial" w:cs="Arial" w:eastAsia="Arial" w:hAnsi="Arial"/>
          <w:sz w:val="16"/>
          <w:szCs w:val="16"/>
          <w:u w:val="single" w:color="auto"/>
          <w:color w:val="0000FF"/>
        </w:rPr>
      </w:pPr>
      <w:hyperlink r:id="rId148">
        <w:r>
          <w:rPr>
            <w:rFonts w:ascii="Arial" w:cs="Arial" w:eastAsia="Arial" w:hAnsi="Arial"/>
            <w:sz w:val="16"/>
            <w:szCs w:val="16"/>
            <w:u w:val="single" w:color="auto"/>
            <w:color w:val="0000FF"/>
          </w:rPr>
          <w:t>Dropbox, Inc. 2018 Class C Stock Incentive Plan and related form</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agreements.</w:t>
        </w:r>
      </w:hyperlink>
    </w:p>
    <w:p>
      <w:pPr>
        <w:spacing w:after="0" w:line="272" w:lineRule="exact"/>
        <w:rPr>
          <w:sz w:val="20"/>
          <w:szCs w:val="20"/>
          <w:color w:val="auto"/>
        </w:rPr>
      </w:pPr>
    </w:p>
    <w:p>
      <w:pPr>
        <w:ind w:right="80"/>
        <w:spacing w:after="0" w:line="233" w:lineRule="auto"/>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Dropbox, Inc. 2018 Class C Employee Stock Purchase Plan and related form</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agreements.</w:t>
        </w:r>
      </w:hyperlink>
    </w:p>
    <w:p>
      <w:pPr>
        <w:spacing w:after="0" w:line="272" w:lineRule="exact"/>
        <w:rPr>
          <w:sz w:val="20"/>
          <w:szCs w:val="20"/>
          <w:color w:val="auto"/>
        </w:rPr>
      </w:pPr>
    </w:p>
    <w:p>
      <w:pPr>
        <w:spacing w:after="0"/>
        <w:rPr>
          <w:rFonts w:ascii="Arial" w:cs="Arial" w:eastAsia="Arial" w:hAnsi="Arial"/>
          <w:sz w:val="15"/>
          <w:szCs w:val="15"/>
          <w:u w:val="single" w:color="auto"/>
          <w:color w:val="0000FF"/>
        </w:rPr>
      </w:pPr>
      <w:hyperlink r:id="rId150">
        <w:r>
          <w:rPr>
            <w:rFonts w:ascii="Arial" w:cs="Arial" w:eastAsia="Arial" w:hAnsi="Arial"/>
            <w:sz w:val="15"/>
            <w:szCs w:val="15"/>
            <w:u w:val="single" w:color="auto"/>
            <w:color w:val="0000FF"/>
          </w:rPr>
          <w:t>Dropbox, Inc. 2017 Equity Incentive Plan and related form agreements.</w:t>
        </w:r>
      </w:hyperlink>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5"/>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3.2</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90"/>
              </w:rPr>
              <w:t>May 11, 2018</w:t>
            </w:r>
          </w:p>
        </w:tc>
      </w:tr>
      <w:tr>
        <w:trPr>
          <w:trHeight w:val="472"/>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5"/>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3.3</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90"/>
              </w:rPr>
              <w:t>May 11, 2018</w:t>
            </w:r>
          </w:p>
        </w:tc>
      </w:tr>
      <w:tr>
        <w:trPr>
          <w:trHeight w:val="472"/>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4"/>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4.1</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9"/>
              </w:rPr>
              <w:t>March 12, 2018</w:t>
            </w:r>
          </w:p>
        </w:tc>
      </w:tr>
      <w:tr>
        <w:trPr>
          <w:trHeight w:val="629"/>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88"/>
              </w:rPr>
              <w:t>S-1</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4.2</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23, 2018</w:t>
            </w:r>
          </w:p>
        </w:tc>
      </w:tr>
      <w:tr>
        <w:trPr>
          <w:trHeight w:val="787"/>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5"/>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4.3</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90"/>
              </w:rPr>
              <w:t>May 11, 2018</w:t>
            </w:r>
          </w:p>
        </w:tc>
      </w:tr>
      <w:tr>
        <w:trPr>
          <w:trHeight w:val="708"/>
        </w:trPr>
        <w:tc>
          <w:tcPr>
            <w:tcW w:w="660" w:type="dxa"/>
            <w:vAlign w:val="bottom"/>
          </w:tcPr>
          <w:p>
            <w:pPr>
              <w:jc w:val="center"/>
              <w:ind w:right="201"/>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4.1</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26, 2021</w:t>
            </w:r>
          </w:p>
        </w:tc>
      </w:tr>
      <w:tr>
        <w:trPr>
          <w:trHeight w:val="629"/>
        </w:trPr>
        <w:tc>
          <w:tcPr>
            <w:tcW w:w="660" w:type="dxa"/>
            <w:vAlign w:val="bottom"/>
          </w:tcPr>
          <w:p>
            <w:pPr>
              <w:jc w:val="center"/>
              <w:ind w:right="201"/>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4.2</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26, 2021</w:t>
            </w:r>
          </w:p>
        </w:tc>
      </w:tr>
      <w:tr>
        <w:trPr>
          <w:trHeight w:val="551"/>
        </w:trPr>
        <w:tc>
          <w:tcPr>
            <w:tcW w:w="660" w:type="dxa"/>
            <w:vAlign w:val="bottom"/>
          </w:tcPr>
          <w:p>
            <w:pPr>
              <w:jc w:val="center"/>
              <w:ind w:right="201"/>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4.3</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26, 2021</w:t>
            </w:r>
          </w:p>
        </w:tc>
      </w:tr>
      <w:tr>
        <w:trPr>
          <w:trHeight w:val="472"/>
        </w:trPr>
        <w:tc>
          <w:tcPr>
            <w:tcW w:w="660" w:type="dxa"/>
            <w:vAlign w:val="bottom"/>
          </w:tcPr>
          <w:p>
            <w:pPr>
              <w:jc w:val="center"/>
              <w:ind w:right="201"/>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4.4</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26, 2021</w:t>
            </w:r>
          </w:p>
        </w:tc>
      </w:tr>
      <w:tr>
        <w:trPr>
          <w:trHeight w:val="472"/>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5"/>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4.1</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9"/>
              </w:rPr>
              <w:t>August 7, 2020</w:t>
            </w:r>
          </w:p>
        </w:tc>
      </w:tr>
      <w:tr>
        <w:trPr>
          <w:trHeight w:val="551"/>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88"/>
              </w:rPr>
              <w:t>S-1</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23, 2018</w:t>
            </w:r>
          </w:p>
        </w:tc>
      </w:tr>
      <w:tr>
        <w:trPr>
          <w:trHeight w:val="551"/>
        </w:trPr>
        <w:tc>
          <w:tcPr>
            <w:tcW w:w="660" w:type="dxa"/>
            <w:vAlign w:val="bottom"/>
          </w:tcPr>
          <w:p>
            <w:pPr>
              <w:jc w:val="center"/>
              <w:ind w:right="201"/>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10.2</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19, 2021</w:t>
            </w:r>
          </w:p>
        </w:tc>
      </w:tr>
      <w:tr>
        <w:trPr>
          <w:trHeight w:val="551"/>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4"/>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10.3</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9"/>
              </w:rPr>
              <w:t>March 21, 2018</w:t>
            </w:r>
          </w:p>
        </w:tc>
      </w:tr>
      <w:tr>
        <w:trPr>
          <w:trHeight w:val="629"/>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4"/>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10.4</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9"/>
              </w:rPr>
              <w:t>March 21, 2018</w:t>
            </w:r>
          </w:p>
        </w:tc>
      </w:tr>
      <w:tr>
        <w:trPr>
          <w:trHeight w:val="629"/>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4"/>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10.5</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9"/>
              </w:rPr>
              <w:t>March 21, 2018</w:t>
            </w:r>
          </w:p>
        </w:tc>
      </w:tr>
      <w:tr>
        <w:trPr>
          <w:trHeight w:val="551"/>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4"/>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10.6</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9"/>
              </w:rPr>
              <w:t>March 21, 2018</w:t>
            </w:r>
          </w:p>
        </w:tc>
      </w:tr>
    </w:tbl>
    <w:p>
      <w:pPr>
        <w:spacing w:after="0" w:line="200" w:lineRule="exact"/>
        <w:rPr>
          <w:sz w:val="20"/>
          <w:szCs w:val="20"/>
          <w:color w:val="auto"/>
        </w:rPr>
      </w:pPr>
    </w:p>
    <w:p>
      <w:pPr>
        <w:sectPr>
          <w:pgSz w:w="11900" w:h="16838" w:orient="portrait"/>
          <w:cols w:equalWidth="0" w:num="3">
            <w:col w:w="620" w:space="380"/>
            <w:col w:w="4920" w:space="380"/>
            <w:col w:w="4580"/>
          </w:cols>
          <w:pgMar w:left="320" w:top="129"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80"/>
          </w:cols>
          <w:pgMar w:left="320" w:top="129" w:right="69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93"/>
              </w:rPr>
              <w:t>10.7+</w:t>
            </w:r>
          </w:p>
        </w:tc>
        <w:tc>
          <w:tcPr>
            <w:tcW w:w="4580" w:type="dxa"/>
            <w:vAlign w:val="bottom"/>
            <w:tcBorders>
              <w:bottom w:val="single" w:sz="8" w:color="0000FF"/>
            </w:tcBorders>
            <w:gridSpan w:val="19"/>
          </w:tcPr>
          <w:p>
            <w:pPr>
              <w:spacing w:after="0"/>
              <w:rPr>
                <w:rFonts w:ascii="Arial" w:cs="Arial" w:eastAsia="Arial" w:hAnsi="Arial"/>
                <w:sz w:val="16"/>
                <w:szCs w:val="16"/>
                <w:color w:val="0000FF"/>
                <w:w w:val="89"/>
              </w:rPr>
            </w:pPr>
            <w:hyperlink r:id="rId152">
              <w:r>
                <w:rPr>
                  <w:rFonts w:ascii="Arial" w:cs="Arial" w:eastAsia="Arial" w:hAnsi="Arial"/>
                  <w:sz w:val="16"/>
                  <w:szCs w:val="16"/>
                  <w:color w:val="0000FF"/>
                  <w:w w:val="89"/>
                </w:rPr>
                <w:t>Dropbox, Inc. 2008 Equity Incentive Plan, as amended, and related form</w:t>
              </w:r>
            </w:hyperlink>
          </w:p>
        </w:tc>
        <w:tc>
          <w:tcPr>
            <w:tcW w:w="3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4900" w:type="dxa"/>
            <w:vAlign w:val="bottom"/>
            <w:gridSpan w:val="24"/>
            <w:vMerge w:val="restart"/>
          </w:tcPr>
          <w:p>
            <w:pPr>
              <w:spacing w:after="0" w:line="138" w:lineRule="exact"/>
              <w:rPr>
                <w:rFonts w:ascii="Arial" w:cs="Arial" w:eastAsia="Arial" w:hAnsi="Arial"/>
                <w:sz w:val="15"/>
                <w:szCs w:val="15"/>
                <w:color w:val="0000FF"/>
              </w:rPr>
            </w:pPr>
            <w:hyperlink r:id="rId152">
              <w:r>
                <w:rPr>
                  <w:rFonts w:ascii="Arial" w:cs="Arial" w:eastAsia="Arial" w:hAnsi="Arial"/>
                  <w:sz w:val="15"/>
                  <w:szCs w:val="15"/>
                  <w:color w:val="0000FF"/>
                </w:rPr>
                <w:t>agreements.</w:t>
              </w:r>
            </w:hyperlink>
          </w:p>
        </w:tc>
        <w:tc>
          <w:tcPr>
            <w:tcW w:w="0" w:type="dxa"/>
            <w:vAlign w:val="bottom"/>
          </w:tcPr>
          <w:p>
            <w:pPr>
              <w:spacing w:after="0"/>
              <w:rPr>
                <w:sz w:val="1"/>
                <w:szCs w:val="1"/>
                <w:color w:val="auto"/>
              </w:rPr>
            </w:pPr>
          </w:p>
        </w:tc>
      </w:tr>
      <w:tr>
        <w:trPr>
          <w:trHeight w:val="46"/>
        </w:trPr>
        <w:tc>
          <w:tcPr>
            <w:tcW w:w="800" w:type="dxa"/>
            <w:vAlign w:val="bottom"/>
          </w:tcPr>
          <w:p>
            <w:pPr>
              <w:spacing w:after="0"/>
              <w:rPr>
                <w:sz w:val="3"/>
                <w:szCs w:val="3"/>
                <w:color w:val="auto"/>
              </w:rPr>
            </w:pPr>
          </w:p>
        </w:tc>
        <w:tc>
          <w:tcPr>
            <w:tcW w:w="490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93"/>
              </w:rPr>
              <w:t>10.8+</w:t>
            </w:r>
          </w:p>
        </w:tc>
        <w:tc>
          <w:tcPr>
            <w:tcW w:w="3560" w:type="dxa"/>
            <w:vAlign w:val="bottom"/>
            <w:tcBorders>
              <w:bottom w:val="single" w:sz="8" w:color="0000FF"/>
            </w:tcBorders>
            <w:gridSpan w:val="10"/>
          </w:tcPr>
          <w:p>
            <w:pPr>
              <w:spacing w:after="0"/>
              <w:rPr>
                <w:rFonts w:ascii="Arial" w:cs="Arial" w:eastAsia="Arial" w:hAnsi="Arial"/>
                <w:sz w:val="16"/>
                <w:szCs w:val="16"/>
                <w:color w:val="0000FF"/>
                <w:w w:val="88"/>
              </w:rPr>
            </w:pPr>
            <w:hyperlink r:id="rId153">
              <w:r>
                <w:rPr>
                  <w:rFonts w:ascii="Arial" w:cs="Arial" w:eastAsia="Arial" w:hAnsi="Arial"/>
                  <w:sz w:val="16"/>
                  <w:szCs w:val="16"/>
                  <w:color w:val="0000FF"/>
                  <w:w w:val="88"/>
                </w:rPr>
                <w:t>Dropbox, Inc. Amended and Restated Cash Bonus Plan.</w:t>
              </w:r>
            </w:hyperlink>
          </w:p>
        </w:tc>
        <w:tc>
          <w:tcPr>
            <w:tcW w:w="1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93"/>
              </w:rPr>
              <w:t>10.9+</w:t>
            </w:r>
          </w:p>
        </w:tc>
        <w:tc>
          <w:tcPr>
            <w:tcW w:w="4900" w:type="dxa"/>
            <w:vAlign w:val="bottom"/>
            <w:tcBorders>
              <w:bottom w:val="single" w:sz="8" w:color="0000FF"/>
            </w:tcBorders>
            <w:gridSpan w:val="24"/>
          </w:tcPr>
          <w:p>
            <w:pPr>
              <w:spacing w:after="0"/>
              <w:rPr>
                <w:rFonts w:ascii="Arial" w:cs="Arial" w:eastAsia="Arial" w:hAnsi="Arial"/>
                <w:sz w:val="16"/>
                <w:szCs w:val="16"/>
                <w:color w:val="0000FF"/>
                <w:w w:val="88"/>
              </w:rPr>
            </w:pPr>
            <w:hyperlink r:id="rId154">
              <w:r>
                <w:rPr>
                  <w:rFonts w:ascii="Arial" w:cs="Arial" w:eastAsia="Arial" w:hAnsi="Arial"/>
                  <w:sz w:val="16"/>
                  <w:szCs w:val="16"/>
                  <w:color w:val="0000FF"/>
                  <w:w w:val="88"/>
                </w:rPr>
                <w:t>Restricted Stock Agreement between the Registrant and Andrew W. Houston.</w:t>
              </w:r>
            </w:hyperlink>
          </w:p>
        </w:tc>
        <w:tc>
          <w:tcPr>
            <w:tcW w:w="0" w:type="dxa"/>
            <w:vAlign w:val="bottom"/>
          </w:tcPr>
          <w:p>
            <w:pPr>
              <w:spacing w:after="0"/>
              <w:rPr>
                <w:sz w:val="1"/>
                <w:szCs w:val="1"/>
                <w:color w:val="auto"/>
              </w:rPr>
            </w:pPr>
          </w:p>
        </w:tc>
      </w:tr>
      <w:tr>
        <w:trPr>
          <w:trHeight w:val="452"/>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93"/>
              </w:rPr>
              <w:t>10.10+</w:t>
            </w:r>
          </w:p>
        </w:tc>
        <w:tc>
          <w:tcPr>
            <w:tcW w:w="4900" w:type="dxa"/>
            <w:vAlign w:val="bottom"/>
            <w:tcBorders>
              <w:bottom w:val="single" w:sz="8" w:color="0000FF"/>
            </w:tcBorders>
            <w:gridSpan w:val="24"/>
          </w:tcPr>
          <w:p>
            <w:pPr>
              <w:spacing w:after="0"/>
              <w:rPr>
                <w:rFonts w:ascii="Arial" w:cs="Arial" w:eastAsia="Arial" w:hAnsi="Arial"/>
                <w:sz w:val="16"/>
                <w:szCs w:val="16"/>
                <w:color w:val="0000FF"/>
                <w:w w:val="88"/>
              </w:rPr>
            </w:pPr>
            <w:hyperlink r:id="rId155">
              <w:r>
                <w:rPr>
                  <w:rFonts w:ascii="Arial" w:cs="Arial" w:eastAsia="Arial" w:hAnsi="Arial"/>
                  <w:sz w:val="16"/>
                  <w:szCs w:val="16"/>
                  <w:color w:val="0000FF"/>
                  <w:w w:val="88"/>
                </w:rPr>
                <w:t>Form of Change in Control and Severance Agreement between the Registrant</w:t>
              </w:r>
            </w:hyperlink>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1900" w:type="dxa"/>
            <w:vAlign w:val="bottom"/>
            <w:gridSpan w:val="5"/>
            <w:vMerge w:val="restart"/>
          </w:tcPr>
          <w:p>
            <w:pPr>
              <w:spacing w:after="0" w:line="138" w:lineRule="exact"/>
              <w:rPr>
                <w:rFonts w:ascii="Arial" w:cs="Arial" w:eastAsia="Arial" w:hAnsi="Arial"/>
                <w:sz w:val="15"/>
                <w:szCs w:val="15"/>
                <w:color w:val="0000FF"/>
                <w:w w:val="94"/>
              </w:rPr>
            </w:pPr>
            <w:hyperlink r:id="rId155">
              <w:r>
                <w:rPr>
                  <w:rFonts w:ascii="Arial" w:cs="Arial" w:eastAsia="Arial" w:hAnsi="Arial"/>
                  <w:sz w:val="15"/>
                  <w:szCs w:val="15"/>
                  <w:color w:val="0000FF"/>
                  <w:w w:val="94"/>
                </w:rPr>
                <w:t>and certain executive officers.</w:t>
              </w:r>
            </w:hyperlink>
          </w:p>
        </w:tc>
        <w:tc>
          <w:tcPr>
            <w:tcW w:w="3000" w:type="dxa"/>
            <w:vAlign w:val="bottom"/>
            <w:gridSpan w:val="19"/>
            <w:vMerge w:val="restart"/>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800" w:type="dxa"/>
            <w:vAlign w:val="bottom"/>
          </w:tcPr>
          <w:p>
            <w:pPr>
              <w:spacing w:after="0"/>
              <w:rPr>
                <w:sz w:val="3"/>
                <w:szCs w:val="3"/>
                <w:color w:val="auto"/>
              </w:rPr>
            </w:pPr>
          </w:p>
        </w:tc>
        <w:tc>
          <w:tcPr>
            <w:tcW w:w="1900" w:type="dxa"/>
            <w:vAlign w:val="bottom"/>
            <w:tcBorders>
              <w:bottom w:val="single" w:sz="8" w:color="0000FF"/>
            </w:tcBorders>
            <w:gridSpan w:val="5"/>
            <w:vMerge w:val="continue"/>
          </w:tcPr>
          <w:p>
            <w:pPr>
              <w:spacing w:after="0"/>
              <w:rPr>
                <w:sz w:val="3"/>
                <w:szCs w:val="3"/>
                <w:color w:val="auto"/>
              </w:rPr>
            </w:pPr>
          </w:p>
        </w:tc>
        <w:tc>
          <w:tcPr>
            <w:tcW w:w="3000" w:type="dxa"/>
            <w:vAlign w:val="bottom"/>
            <w:gridSpan w:val="1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84"/>
              </w:rPr>
              <w:t>10.11+</w:t>
            </w:r>
          </w:p>
        </w:tc>
        <w:tc>
          <w:tcPr>
            <w:tcW w:w="4360" w:type="dxa"/>
            <w:vAlign w:val="bottom"/>
            <w:tcBorders>
              <w:bottom w:val="single" w:sz="8" w:color="0000FF"/>
            </w:tcBorders>
            <w:gridSpan w:val="15"/>
          </w:tcPr>
          <w:p>
            <w:pPr>
              <w:spacing w:after="0"/>
              <w:rPr>
                <w:rFonts w:ascii="Arial" w:cs="Arial" w:eastAsia="Arial" w:hAnsi="Arial"/>
                <w:sz w:val="16"/>
                <w:szCs w:val="16"/>
                <w:color w:val="0000FF"/>
                <w:w w:val="89"/>
              </w:rPr>
            </w:pPr>
            <w:hyperlink r:id="rId156">
              <w:r>
                <w:rPr>
                  <w:rFonts w:ascii="Arial" w:cs="Arial" w:eastAsia="Arial" w:hAnsi="Arial"/>
                  <w:sz w:val="16"/>
                  <w:szCs w:val="16"/>
                  <w:color w:val="0000FF"/>
                  <w:w w:val="89"/>
                </w:rPr>
                <w:t>Employment Letter between the Registrant and Andrew W. Houston.</w:t>
              </w:r>
            </w:hyperlink>
          </w:p>
        </w:tc>
        <w:tc>
          <w:tcPr>
            <w:tcW w:w="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93"/>
              </w:rPr>
              <w:t>10.12+</w:t>
            </w:r>
          </w:p>
        </w:tc>
        <w:tc>
          <w:tcPr>
            <w:tcW w:w="4900" w:type="dxa"/>
            <w:vAlign w:val="bottom"/>
            <w:gridSpan w:val="24"/>
          </w:tcPr>
          <w:p>
            <w:pPr>
              <w:spacing w:after="0"/>
              <w:rPr>
                <w:rFonts w:ascii="Arial" w:cs="Arial" w:eastAsia="Arial" w:hAnsi="Arial"/>
                <w:sz w:val="16"/>
                <w:szCs w:val="16"/>
                <w:color w:val="0000FF"/>
                <w:w w:val="95"/>
              </w:rPr>
            </w:pPr>
            <w:hyperlink r:id="rId157">
              <w:r>
                <w:rPr>
                  <w:rFonts w:ascii="Arial" w:cs="Arial" w:eastAsia="Arial" w:hAnsi="Arial"/>
                  <w:sz w:val="16"/>
                  <w:szCs w:val="16"/>
                  <w:color w:val="0000FF"/>
                  <w:w w:val="95"/>
                </w:rPr>
                <w:t>Form of Restricted Stock Agreement between the Registrant and certain</w:t>
              </w:r>
            </w:hyperlink>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4540" w:type="dxa"/>
            <w:vAlign w:val="bottom"/>
            <w:tcBorders>
              <w:top w:val="single" w:sz="8" w:color="0000FF"/>
            </w:tcBorders>
            <w:gridSpan w:val="17"/>
            <w:vMerge w:val="restart"/>
          </w:tcPr>
          <w:p>
            <w:pPr>
              <w:spacing w:after="0" w:line="138" w:lineRule="exact"/>
              <w:rPr>
                <w:rFonts w:ascii="Arial" w:cs="Arial" w:eastAsia="Arial" w:hAnsi="Arial"/>
                <w:sz w:val="15"/>
                <w:szCs w:val="15"/>
                <w:color w:val="0000FF"/>
              </w:rPr>
            </w:pPr>
            <w:hyperlink r:id="rId157">
              <w:r>
                <w:rPr>
                  <w:rFonts w:ascii="Arial" w:cs="Arial" w:eastAsia="Arial" w:hAnsi="Arial"/>
                  <w:sz w:val="15"/>
                  <w:szCs w:val="15"/>
                  <w:color w:val="0000FF"/>
                </w:rPr>
                <w:t>executive officers.</w:t>
              </w:r>
            </w:hyperlink>
          </w:p>
        </w:tc>
        <w:tc>
          <w:tcPr>
            <w:tcW w:w="360" w:type="dxa"/>
            <w:vAlign w:val="bottom"/>
            <w:gridSpan w:val="7"/>
            <w:vMerge w:val="restart"/>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800" w:type="dxa"/>
            <w:vAlign w:val="bottom"/>
          </w:tcPr>
          <w:p>
            <w:pPr>
              <w:spacing w:after="0"/>
              <w:rPr>
                <w:sz w:val="3"/>
                <w:szCs w:val="3"/>
                <w:color w:val="auto"/>
              </w:rPr>
            </w:pPr>
          </w:p>
        </w:tc>
        <w:tc>
          <w:tcPr>
            <w:tcW w:w="4540" w:type="dxa"/>
            <w:vAlign w:val="bottom"/>
            <w:gridSpan w:val="17"/>
            <w:vMerge w:val="continue"/>
          </w:tcPr>
          <w:p>
            <w:pPr>
              <w:spacing w:after="0"/>
              <w:rPr>
                <w:sz w:val="3"/>
                <w:szCs w:val="3"/>
                <w:color w:val="auto"/>
              </w:rPr>
            </w:pPr>
          </w:p>
        </w:tc>
        <w:tc>
          <w:tcPr>
            <w:tcW w:w="3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93"/>
              </w:rPr>
              <w:t>10.13+</w:t>
            </w:r>
          </w:p>
        </w:tc>
        <w:tc>
          <w:tcPr>
            <w:tcW w:w="4900" w:type="dxa"/>
            <w:vAlign w:val="bottom"/>
            <w:gridSpan w:val="24"/>
          </w:tcPr>
          <w:p>
            <w:pPr>
              <w:spacing w:after="0"/>
              <w:rPr>
                <w:rFonts w:ascii="Arial" w:cs="Arial" w:eastAsia="Arial" w:hAnsi="Arial"/>
                <w:sz w:val="16"/>
                <w:szCs w:val="16"/>
                <w:color w:val="0000FF"/>
              </w:rPr>
            </w:pPr>
            <w:hyperlink r:id="rId158">
              <w:r>
                <w:rPr>
                  <w:rFonts w:ascii="Arial" w:cs="Arial" w:eastAsia="Arial" w:hAnsi="Arial"/>
                  <w:sz w:val="16"/>
                  <w:szCs w:val="16"/>
                  <w:color w:val="0000FF"/>
                </w:rPr>
                <w:t>Employment Letter between the Registrant and Timothy Young.</w:t>
              </w:r>
            </w:hyperlink>
          </w:p>
        </w:tc>
        <w:tc>
          <w:tcPr>
            <w:tcW w:w="0" w:type="dxa"/>
            <w:vAlign w:val="bottom"/>
          </w:tcPr>
          <w:p>
            <w:pPr>
              <w:spacing w:after="0"/>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93"/>
              </w:rPr>
              <w:t>10.14+</w:t>
            </w:r>
          </w:p>
        </w:tc>
        <w:tc>
          <w:tcPr>
            <w:tcW w:w="4040" w:type="dxa"/>
            <w:vAlign w:val="bottom"/>
            <w:tcBorders>
              <w:top w:val="single" w:sz="8" w:color="0000FF"/>
            </w:tcBorders>
            <w:gridSpan w:val="13"/>
          </w:tcPr>
          <w:p>
            <w:pPr>
              <w:spacing w:after="0"/>
              <w:rPr>
                <w:rFonts w:ascii="Arial" w:cs="Arial" w:eastAsia="Arial" w:hAnsi="Arial"/>
                <w:sz w:val="16"/>
                <w:szCs w:val="16"/>
                <w:color w:val="0000FF"/>
              </w:rPr>
            </w:pPr>
            <w:hyperlink r:id="rId159">
              <w:r>
                <w:rPr>
                  <w:rFonts w:ascii="Arial" w:cs="Arial" w:eastAsia="Arial" w:hAnsi="Arial"/>
                  <w:sz w:val="16"/>
                  <w:szCs w:val="16"/>
                  <w:color w:val="0000FF"/>
                </w:rPr>
                <w:t>Offer Letter between the Registrant and Timothy Regan</w:t>
              </w:r>
            </w:hyperlink>
          </w:p>
        </w:tc>
        <w:tc>
          <w:tcPr>
            <w:tcW w:w="8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93"/>
              </w:rPr>
              <w:t>10.15+</w:t>
            </w:r>
          </w:p>
        </w:tc>
        <w:tc>
          <w:tcPr>
            <w:tcW w:w="3540" w:type="dxa"/>
            <w:vAlign w:val="bottom"/>
            <w:tcBorders>
              <w:bottom w:val="single" w:sz="8" w:color="0000FF"/>
            </w:tcBorders>
            <w:gridSpan w:val="9"/>
          </w:tcPr>
          <w:p>
            <w:pPr>
              <w:spacing w:after="0"/>
              <w:rPr>
                <w:rFonts w:ascii="Arial" w:cs="Arial" w:eastAsia="Arial" w:hAnsi="Arial"/>
                <w:sz w:val="16"/>
                <w:szCs w:val="16"/>
                <w:color w:val="0000FF"/>
                <w:w w:val="89"/>
              </w:rPr>
            </w:pPr>
            <w:hyperlink r:id="rId160">
              <w:r>
                <w:rPr>
                  <w:rFonts w:ascii="Arial" w:cs="Arial" w:eastAsia="Arial" w:hAnsi="Arial"/>
                  <w:sz w:val="16"/>
                  <w:szCs w:val="16"/>
                  <w:color w:val="0000FF"/>
                  <w:w w:val="89"/>
                </w:rPr>
                <w:t>Offer Letter between the Registrant and Timothy Young</w:t>
              </w:r>
            </w:hyperlink>
          </w:p>
        </w:tc>
        <w:tc>
          <w:tcPr>
            <w:tcW w:w="13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93"/>
              </w:rPr>
              <w:t>10.16+</w:t>
            </w:r>
          </w:p>
        </w:tc>
        <w:tc>
          <w:tcPr>
            <w:tcW w:w="4560" w:type="dxa"/>
            <w:vAlign w:val="bottom"/>
            <w:tcBorders>
              <w:bottom w:val="single" w:sz="8" w:color="0000FF"/>
            </w:tcBorders>
            <w:gridSpan w:val="18"/>
          </w:tcPr>
          <w:p>
            <w:pPr>
              <w:spacing w:after="0"/>
              <w:rPr>
                <w:rFonts w:ascii="Arial" w:cs="Arial" w:eastAsia="Arial" w:hAnsi="Arial"/>
                <w:sz w:val="16"/>
                <w:szCs w:val="16"/>
                <w:color w:val="0000FF"/>
                <w:w w:val="88"/>
              </w:rPr>
            </w:pPr>
            <w:hyperlink r:id="rId161">
              <w:r>
                <w:rPr>
                  <w:rFonts w:ascii="Arial" w:cs="Arial" w:eastAsia="Arial" w:hAnsi="Arial"/>
                  <w:sz w:val="16"/>
                  <w:szCs w:val="16"/>
                  <w:color w:val="0000FF"/>
                  <w:w w:val="88"/>
                </w:rPr>
                <w:t>Restricted Stock Agreement between the Registrant and Timothy Young</w:t>
              </w:r>
            </w:hyperlink>
          </w:p>
        </w:tc>
        <w:tc>
          <w:tcPr>
            <w:tcW w:w="3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84"/>
              </w:rPr>
              <w:t>10.17</w:t>
            </w:r>
          </w:p>
        </w:tc>
        <w:tc>
          <w:tcPr>
            <w:tcW w:w="4900" w:type="dxa"/>
            <w:vAlign w:val="bottom"/>
            <w:gridSpan w:val="24"/>
          </w:tcPr>
          <w:p>
            <w:pPr>
              <w:spacing w:after="0"/>
              <w:rPr>
                <w:rFonts w:ascii="Arial" w:cs="Arial" w:eastAsia="Arial" w:hAnsi="Arial"/>
                <w:sz w:val="16"/>
                <w:szCs w:val="16"/>
                <w:color w:val="0000FF"/>
                <w:w w:val="91"/>
              </w:rPr>
            </w:pPr>
            <w:hyperlink r:id="rId162">
              <w:r>
                <w:rPr>
                  <w:rFonts w:ascii="Arial" w:cs="Arial" w:eastAsia="Arial" w:hAnsi="Arial"/>
                  <w:sz w:val="16"/>
                  <w:szCs w:val="16"/>
                  <w:color w:val="0000FF"/>
                  <w:w w:val="91"/>
                </w:rPr>
                <w:t>Office Lease between the Registrant and KR Mission Bay, LLC, dated as of</w:t>
              </w:r>
            </w:hyperlink>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4780" w:type="dxa"/>
            <w:vAlign w:val="bottom"/>
            <w:tcBorders>
              <w:top w:val="single" w:sz="8" w:color="0000FF"/>
            </w:tcBorders>
            <w:gridSpan w:val="21"/>
            <w:vMerge w:val="restart"/>
          </w:tcPr>
          <w:p>
            <w:pPr>
              <w:spacing w:after="0" w:line="138" w:lineRule="exact"/>
              <w:rPr>
                <w:rFonts w:ascii="Arial" w:cs="Arial" w:eastAsia="Arial" w:hAnsi="Arial"/>
                <w:sz w:val="15"/>
                <w:szCs w:val="15"/>
                <w:color w:val="0000FF"/>
              </w:rPr>
            </w:pPr>
            <w:hyperlink r:id="rId162">
              <w:r>
                <w:rPr>
                  <w:rFonts w:ascii="Arial" w:cs="Arial" w:eastAsia="Arial" w:hAnsi="Arial"/>
                  <w:sz w:val="15"/>
                  <w:szCs w:val="15"/>
                  <w:color w:val="0000FF"/>
                </w:rPr>
                <w:t>October 6, 2017.</w:t>
              </w:r>
            </w:hyperlink>
          </w:p>
        </w:tc>
        <w:tc>
          <w:tcPr>
            <w:tcW w:w="120" w:type="dxa"/>
            <w:vAlign w:val="bottom"/>
            <w:gridSpan w:val="3"/>
            <w:vMerge w:val="restart"/>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800" w:type="dxa"/>
            <w:vAlign w:val="bottom"/>
          </w:tcPr>
          <w:p>
            <w:pPr>
              <w:spacing w:after="0"/>
              <w:rPr>
                <w:sz w:val="3"/>
                <w:szCs w:val="3"/>
                <w:color w:val="auto"/>
              </w:rPr>
            </w:pPr>
          </w:p>
        </w:tc>
        <w:tc>
          <w:tcPr>
            <w:tcW w:w="4780" w:type="dxa"/>
            <w:vAlign w:val="bottom"/>
            <w:gridSpan w:val="21"/>
            <w:vMerge w:val="continue"/>
          </w:tcPr>
          <w:p>
            <w:pPr>
              <w:spacing w:after="0"/>
              <w:rPr>
                <w:sz w:val="3"/>
                <w:szCs w:val="3"/>
                <w:color w:val="auto"/>
              </w:rPr>
            </w:pPr>
          </w:p>
        </w:tc>
        <w:tc>
          <w:tcPr>
            <w:tcW w:w="1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84"/>
              </w:rPr>
              <w:t>10.18</w:t>
            </w:r>
          </w:p>
        </w:tc>
        <w:tc>
          <w:tcPr>
            <w:tcW w:w="4900" w:type="dxa"/>
            <w:vAlign w:val="bottom"/>
            <w:gridSpan w:val="24"/>
          </w:tcPr>
          <w:p>
            <w:pPr>
              <w:spacing w:after="0"/>
              <w:rPr>
                <w:rFonts w:ascii="Arial" w:cs="Arial" w:eastAsia="Arial" w:hAnsi="Arial"/>
                <w:sz w:val="16"/>
                <w:szCs w:val="16"/>
                <w:color w:val="0000FF"/>
                <w:w w:val="90"/>
              </w:rPr>
            </w:pPr>
            <w:hyperlink r:id="rId163">
              <w:r>
                <w:rPr>
                  <w:rFonts w:ascii="Arial" w:cs="Arial" w:eastAsia="Arial" w:hAnsi="Arial"/>
                  <w:sz w:val="16"/>
                  <w:szCs w:val="16"/>
                  <w:color w:val="0000FF"/>
                  <w:w w:val="90"/>
                </w:rPr>
                <w:t>Second Amendment to Office Lease between Dropbox, Inc. and KR Mission</w:t>
              </w:r>
            </w:hyperlink>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2360" w:type="dxa"/>
            <w:vAlign w:val="bottom"/>
            <w:tcBorders>
              <w:top w:val="single" w:sz="8" w:color="0000FF"/>
            </w:tcBorders>
            <w:gridSpan w:val="7"/>
            <w:vMerge w:val="restart"/>
          </w:tcPr>
          <w:p>
            <w:pPr>
              <w:spacing w:after="0" w:line="138" w:lineRule="exact"/>
              <w:rPr>
                <w:rFonts w:ascii="Arial" w:cs="Arial" w:eastAsia="Arial" w:hAnsi="Arial"/>
                <w:sz w:val="15"/>
                <w:szCs w:val="15"/>
                <w:color w:val="0000FF"/>
                <w:w w:val="96"/>
              </w:rPr>
            </w:pPr>
            <w:hyperlink r:id="rId163">
              <w:r>
                <w:rPr>
                  <w:rFonts w:ascii="Arial" w:cs="Arial" w:eastAsia="Arial" w:hAnsi="Arial"/>
                  <w:sz w:val="15"/>
                  <w:szCs w:val="15"/>
                  <w:color w:val="0000FF"/>
                  <w:w w:val="96"/>
                </w:rPr>
                <w:t>Bay, LLC, dated as of May 25, 2018.</w:t>
              </w:r>
            </w:hyperlink>
          </w:p>
        </w:tc>
        <w:tc>
          <w:tcPr>
            <w:tcW w:w="2480" w:type="dxa"/>
            <w:vAlign w:val="bottom"/>
            <w:tcBorders>
              <w:top w:val="single" w:sz="8" w:color="0000FF"/>
            </w:tcBorders>
            <w:gridSpan w:val="16"/>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800" w:type="dxa"/>
            <w:vAlign w:val="bottom"/>
          </w:tcPr>
          <w:p>
            <w:pPr>
              <w:spacing w:after="0"/>
              <w:rPr>
                <w:sz w:val="3"/>
                <w:szCs w:val="3"/>
                <w:color w:val="auto"/>
              </w:rPr>
            </w:pPr>
          </w:p>
        </w:tc>
        <w:tc>
          <w:tcPr>
            <w:tcW w:w="2360" w:type="dxa"/>
            <w:vAlign w:val="bottom"/>
            <w:tcBorders>
              <w:bottom w:val="single" w:sz="8" w:color="0000FF"/>
            </w:tcBorders>
            <w:gridSpan w:val="7"/>
            <w:vMerge w:val="continue"/>
          </w:tcPr>
          <w:p>
            <w:pPr>
              <w:spacing w:after="0"/>
              <w:rPr>
                <w:sz w:val="3"/>
                <w:szCs w:val="3"/>
                <w:color w:val="auto"/>
              </w:rPr>
            </w:pPr>
          </w:p>
        </w:tc>
        <w:tc>
          <w:tcPr>
            <w:tcW w:w="2480" w:type="dxa"/>
            <w:vAlign w:val="bottom"/>
            <w:gridSpan w:val="16"/>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2"/>
        </w:trPr>
        <w:tc>
          <w:tcPr>
            <w:tcW w:w="800" w:type="dxa"/>
            <w:vAlign w:val="bottom"/>
          </w:tcPr>
          <w:p>
            <w:pPr>
              <w:spacing w:after="0"/>
              <w:rPr>
                <w:sz w:val="24"/>
                <w:szCs w:val="24"/>
                <w:color w:val="auto"/>
              </w:rPr>
            </w:pPr>
          </w:p>
        </w:tc>
        <w:tc>
          <w:tcPr>
            <w:tcW w:w="4900" w:type="dxa"/>
            <w:vAlign w:val="bottom"/>
            <w:gridSpan w:val="24"/>
          </w:tcPr>
          <w:p>
            <w:pPr>
              <w:spacing w:after="0"/>
              <w:rPr>
                <w:rFonts w:ascii="Arial" w:cs="Arial" w:eastAsia="Arial" w:hAnsi="Arial"/>
                <w:sz w:val="16"/>
                <w:szCs w:val="16"/>
                <w:color w:val="0000FF"/>
                <w:w w:val="91"/>
              </w:rPr>
            </w:pPr>
            <w:hyperlink r:id="rId164">
              <w:r>
                <w:rPr>
                  <w:rFonts w:ascii="Arial" w:cs="Arial" w:eastAsia="Arial" w:hAnsi="Arial"/>
                  <w:sz w:val="16"/>
                  <w:szCs w:val="16"/>
                  <w:color w:val="0000FF"/>
                  <w:w w:val="91"/>
                </w:rPr>
                <w:t>Third Amendment and Restatement Agreement to the Revolving Credit and</w:t>
              </w:r>
            </w:hyperlink>
          </w:p>
        </w:tc>
        <w:tc>
          <w:tcPr>
            <w:tcW w:w="0" w:type="dxa"/>
            <w:vAlign w:val="bottom"/>
          </w:tcPr>
          <w:p>
            <w:pPr>
              <w:spacing w:after="0"/>
              <w:rPr>
                <w:sz w:val="1"/>
                <w:szCs w:val="1"/>
                <w:color w:val="auto"/>
              </w:rPr>
            </w:pPr>
          </w:p>
        </w:tc>
      </w:tr>
      <w:tr>
        <w:trPr>
          <w:trHeight w:val="137"/>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84"/>
              </w:rPr>
              <w:t>10.19</w:t>
            </w:r>
          </w:p>
        </w:tc>
        <w:tc>
          <w:tcPr>
            <w:tcW w:w="4780" w:type="dxa"/>
            <w:vAlign w:val="bottom"/>
            <w:tcBorders>
              <w:top w:val="single" w:sz="8" w:color="0000FF"/>
              <w:bottom w:val="single" w:sz="8" w:color="0000FF"/>
            </w:tcBorders>
            <w:gridSpan w:val="21"/>
          </w:tcPr>
          <w:p>
            <w:pPr>
              <w:spacing w:after="0" w:line="138" w:lineRule="exact"/>
              <w:rPr>
                <w:rFonts w:ascii="Arial" w:cs="Arial" w:eastAsia="Arial" w:hAnsi="Arial"/>
                <w:sz w:val="15"/>
                <w:szCs w:val="15"/>
                <w:color w:val="0000FF"/>
                <w:w w:val="93"/>
              </w:rPr>
            </w:pPr>
            <w:hyperlink r:id="rId164">
              <w:r>
                <w:rPr>
                  <w:rFonts w:ascii="Arial" w:cs="Arial" w:eastAsia="Arial" w:hAnsi="Arial"/>
                  <w:sz w:val="15"/>
                  <w:szCs w:val="15"/>
                  <w:color w:val="0000FF"/>
                  <w:w w:val="93"/>
                </w:rPr>
                <w:t>Guaranty Agreement, by and among the Registrant, the lenders party thereto</w:t>
              </w:r>
            </w:hyperlink>
          </w:p>
        </w:tc>
        <w:tc>
          <w:tcPr>
            <w:tcW w:w="4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4900" w:type="dxa"/>
            <w:vAlign w:val="bottom"/>
            <w:gridSpan w:val="24"/>
            <w:vMerge w:val="restart"/>
          </w:tcPr>
          <w:p>
            <w:pPr>
              <w:spacing w:after="0" w:line="138" w:lineRule="exact"/>
              <w:rPr>
                <w:rFonts w:ascii="Arial" w:cs="Arial" w:eastAsia="Arial" w:hAnsi="Arial"/>
                <w:sz w:val="15"/>
                <w:szCs w:val="15"/>
                <w:color w:val="0000FF"/>
              </w:rPr>
            </w:pPr>
            <w:hyperlink r:id="rId164">
              <w:r>
                <w:rPr>
                  <w:rFonts w:ascii="Arial" w:cs="Arial" w:eastAsia="Arial" w:hAnsi="Arial"/>
                  <w:sz w:val="15"/>
                  <w:szCs w:val="15"/>
                  <w:color w:val="0000FF"/>
                </w:rPr>
                <w:t>and JPMorgan Chase Bank, N.A., as Administrative Agent, dated as of</w:t>
              </w:r>
            </w:hyperlink>
          </w:p>
        </w:tc>
        <w:tc>
          <w:tcPr>
            <w:tcW w:w="0" w:type="dxa"/>
            <w:vAlign w:val="bottom"/>
          </w:tcPr>
          <w:p>
            <w:pPr>
              <w:spacing w:after="0"/>
              <w:rPr>
                <w:sz w:val="1"/>
                <w:szCs w:val="1"/>
                <w:color w:val="auto"/>
              </w:rPr>
            </w:pPr>
          </w:p>
        </w:tc>
      </w:tr>
      <w:tr>
        <w:trPr>
          <w:trHeight w:val="46"/>
        </w:trPr>
        <w:tc>
          <w:tcPr>
            <w:tcW w:w="800" w:type="dxa"/>
            <w:vAlign w:val="bottom"/>
          </w:tcPr>
          <w:p>
            <w:pPr>
              <w:spacing w:after="0"/>
              <w:rPr>
                <w:sz w:val="3"/>
                <w:szCs w:val="3"/>
                <w:color w:val="auto"/>
              </w:rPr>
            </w:pPr>
          </w:p>
        </w:tc>
        <w:tc>
          <w:tcPr>
            <w:tcW w:w="490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4480" w:type="dxa"/>
            <w:vAlign w:val="bottom"/>
            <w:tcBorders>
              <w:top w:val="single" w:sz="8" w:color="0000FF"/>
            </w:tcBorders>
            <w:gridSpan w:val="16"/>
          </w:tcPr>
          <w:p>
            <w:pPr>
              <w:spacing w:after="0" w:line="138" w:lineRule="exact"/>
              <w:rPr>
                <w:rFonts w:ascii="Arial" w:cs="Arial" w:eastAsia="Arial" w:hAnsi="Arial"/>
                <w:sz w:val="15"/>
                <w:szCs w:val="15"/>
                <w:color w:val="0000FF"/>
              </w:rPr>
            </w:pPr>
            <w:hyperlink r:id="rId164">
              <w:r>
                <w:rPr>
                  <w:rFonts w:ascii="Arial" w:cs="Arial" w:eastAsia="Arial" w:hAnsi="Arial"/>
                  <w:sz w:val="15"/>
                  <w:szCs w:val="15"/>
                  <w:color w:val="0000FF"/>
                </w:rPr>
                <w:t>February 23, 2021.</w:t>
              </w:r>
            </w:hyperlink>
          </w:p>
        </w:tc>
        <w:tc>
          <w:tcPr>
            <w:tcW w:w="240" w:type="dxa"/>
            <w:vAlign w:val="bottom"/>
            <w:gridSpan w:val="4"/>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84"/>
              </w:rPr>
              <w:t>10.20</w:t>
            </w:r>
          </w:p>
        </w:tc>
        <w:tc>
          <w:tcPr>
            <w:tcW w:w="4900" w:type="dxa"/>
            <w:vAlign w:val="bottom"/>
            <w:gridSpan w:val="24"/>
          </w:tcPr>
          <w:p>
            <w:pPr>
              <w:spacing w:after="0"/>
              <w:rPr>
                <w:rFonts w:ascii="Arial" w:cs="Arial" w:eastAsia="Arial" w:hAnsi="Arial"/>
                <w:sz w:val="16"/>
                <w:szCs w:val="16"/>
                <w:color w:val="0000FF"/>
                <w:w w:val="88"/>
              </w:rPr>
            </w:pPr>
            <w:hyperlink r:id="rId165">
              <w:r>
                <w:rPr>
                  <w:rFonts w:ascii="Arial" w:cs="Arial" w:eastAsia="Arial" w:hAnsi="Arial"/>
                  <w:sz w:val="16"/>
                  <w:szCs w:val="16"/>
                  <w:color w:val="0000FF"/>
                  <w:w w:val="88"/>
                </w:rPr>
                <w:t>Purchase Agreement, dated February 23, 2021, by and among the Registrant</w:t>
              </w:r>
            </w:hyperlink>
          </w:p>
        </w:tc>
        <w:tc>
          <w:tcPr>
            <w:tcW w:w="0" w:type="dxa"/>
            <w:vAlign w:val="bottom"/>
          </w:tcPr>
          <w:p>
            <w:pPr>
              <w:spacing w:after="0"/>
              <w:rPr>
                <w:sz w:val="1"/>
                <w:szCs w:val="1"/>
                <w:color w:val="auto"/>
              </w:rPr>
            </w:pPr>
          </w:p>
        </w:tc>
      </w:tr>
      <w:tr>
        <w:trPr>
          <w:trHeight w:val="137"/>
        </w:trPr>
        <w:tc>
          <w:tcPr>
            <w:tcW w:w="800" w:type="dxa"/>
            <w:vAlign w:val="bottom"/>
            <w:vMerge w:val="continue"/>
          </w:tcPr>
          <w:p>
            <w:pPr>
              <w:spacing w:after="0"/>
              <w:rPr>
                <w:sz w:val="11"/>
                <w:szCs w:val="11"/>
                <w:color w:val="auto"/>
              </w:rPr>
            </w:pPr>
          </w:p>
        </w:tc>
        <w:tc>
          <w:tcPr>
            <w:tcW w:w="4820" w:type="dxa"/>
            <w:vAlign w:val="bottom"/>
            <w:tcBorders>
              <w:top w:val="single" w:sz="8" w:color="0000FF"/>
            </w:tcBorders>
            <w:gridSpan w:val="22"/>
          </w:tcPr>
          <w:p>
            <w:pPr>
              <w:spacing w:after="0" w:line="138" w:lineRule="exact"/>
              <w:rPr>
                <w:rFonts w:ascii="Arial" w:cs="Arial" w:eastAsia="Arial" w:hAnsi="Arial"/>
                <w:sz w:val="15"/>
                <w:szCs w:val="15"/>
                <w:color w:val="0000FF"/>
              </w:rPr>
            </w:pPr>
            <w:hyperlink r:id="rId165">
              <w:r>
                <w:rPr>
                  <w:rFonts w:ascii="Arial" w:cs="Arial" w:eastAsia="Arial" w:hAnsi="Arial"/>
                  <w:sz w:val="15"/>
                  <w:szCs w:val="15"/>
                  <w:color w:val="0000FF"/>
                </w:rPr>
                <w:t>and J.P. Morgan Securities LLC and Goldman Sachs &amp; Co. LLC, as</w:t>
              </w:r>
            </w:hyperlink>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4280" w:type="dxa"/>
            <w:vAlign w:val="bottom"/>
            <w:tcBorders>
              <w:top w:val="single" w:sz="8" w:color="0000FF"/>
            </w:tcBorders>
            <w:gridSpan w:val="14"/>
          </w:tcPr>
          <w:p>
            <w:pPr>
              <w:spacing w:after="0" w:line="138" w:lineRule="exact"/>
              <w:rPr>
                <w:rFonts w:ascii="Arial" w:cs="Arial" w:eastAsia="Arial" w:hAnsi="Arial"/>
                <w:sz w:val="15"/>
                <w:szCs w:val="15"/>
                <w:color w:val="0000FF"/>
                <w:w w:val="96"/>
              </w:rPr>
            </w:pPr>
            <w:hyperlink r:id="rId165">
              <w:r>
                <w:rPr>
                  <w:rFonts w:ascii="Arial" w:cs="Arial" w:eastAsia="Arial" w:hAnsi="Arial"/>
                  <w:sz w:val="15"/>
                  <w:szCs w:val="15"/>
                  <w:color w:val="0000FF"/>
                  <w:w w:val="96"/>
                </w:rPr>
                <w:t>representatives of the several initial purchasers listed in Schedule I</w:t>
              </w:r>
            </w:hyperlink>
          </w:p>
        </w:tc>
        <w:tc>
          <w:tcPr>
            <w:tcW w:w="620" w:type="dxa"/>
            <w:vAlign w:val="bottom"/>
            <w:gridSpan w:val="10"/>
          </w:tcPr>
          <w:p>
            <w:pPr>
              <w:spacing w:after="0" w:line="138" w:lineRule="exact"/>
              <w:rPr>
                <w:rFonts w:ascii="Arial" w:cs="Arial" w:eastAsia="Arial" w:hAnsi="Arial"/>
                <w:sz w:val="15"/>
                <w:szCs w:val="15"/>
                <w:color w:val="0000FF"/>
              </w:rPr>
            </w:pPr>
            <w:hyperlink r:id="rId165">
              <w:r>
                <w:rPr>
                  <w:rFonts w:ascii="Arial" w:cs="Arial" w:eastAsia="Arial" w:hAnsi="Arial"/>
                  <w:sz w:val="15"/>
                  <w:szCs w:val="15"/>
                  <w:color w:val="0000FF"/>
                </w:rPr>
                <w:t>thereto.</w:t>
              </w:r>
            </w:hyperlink>
          </w:p>
        </w:tc>
        <w:tc>
          <w:tcPr>
            <w:tcW w:w="0" w:type="dxa"/>
            <w:vAlign w:val="bottom"/>
          </w:tcPr>
          <w:p>
            <w:pPr>
              <w:spacing w:after="0"/>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84"/>
              </w:rPr>
              <w:t>10.21</w:t>
            </w:r>
          </w:p>
        </w:tc>
        <w:tc>
          <w:tcPr>
            <w:tcW w:w="3900" w:type="dxa"/>
            <w:vAlign w:val="bottom"/>
            <w:tcBorders>
              <w:top w:val="single" w:sz="8" w:color="0000FF"/>
              <w:bottom w:val="single" w:sz="8" w:color="0000FF"/>
            </w:tcBorders>
            <w:gridSpan w:val="12"/>
          </w:tcPr>
          <w:p>
            <w:pPr>
              <w:spacing w:after="0"/>
              <w:rPr>
                <w:rFonts w:ascii="Arial" w:cs="Arial" w:eastAsia="Arial" w:hAnsi="Arial"/>
                <w:sz w:val="16"/>
                <w:szCs w:val="16"/>
                <w:color w:val="0000FF"/>
                <w:w w:val="90"/>
              </w:rPr>
            </w:pPr>
            <w:hyperlink r:id="rId166">
              <w:r>
                <w:rPr>
                  <w:rFonts w:ascii="Arial" w:cs="Arial" w:eastAsia="Arial" w:hAnsi="Arial"/>
                  <w:sz w:val="16"/>
                  <w:szCs w:val="16"/>
                  <w:color w:val="0000FF"/>
                  <w:w w:val="90"/>
                </w:rPr>
                <w:t>Form of Convertible Note Hedge Confirmation (2026 Notes).</w:t>
              </w:r>
            </w:hyperlink>
          </w:p>
        </w:tc>
        <w:tc>
          <w:tcPr>
            <w:tcW w:w="820" w:type="dxa"/>
            <w:vAlign w:val="bottom"/>
            <w:tcBorders>
              <w:top w:val="single" w:sz="8" w:color="0000FF"/>
            </w:tcBorders>
            <w:gridSpan w:val="8"/>
          </w:tcPr>
          <w:p>
            <w:pPr>
              <w:spacing w:after="0"/>
              <w:rPr>
                <w:sz w:val="24"/>
                <w:szCs w:val="24"/>
                <w:color w:val="auto"/>
              </w:rPr>
            </w:pPr>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84"/>
              </w:rPr>
              <w:t>10.22</w:t>
            </w:r>
          </w:p>
        </w:tc>
        <w:tc>
          <w:tcPr>
            <w:tcW w:w="4900" w:type="dxa"/>
            <w:vAlign w:val="bottom"/>
            <w:gridSpan w:val="24"/>
          </w:tcPr>
          <w:p>
            <w:pPr>
              <w:spacing w:after="0"/>
              <w:rPr>
                <w:rFonts w:ascii="Arial" w:cs="Arial" w:eastAsia="Arial" w:hAnsi="Arial"/>
                <w:sz w:val="16"/>
                <w:szCs w:val="16"/>
                <w:color w:val="0000FF"/>
              </w:rPr>
            </w:pPr>
            <w:hyperlink r:id="rId167">
              <w:r>
                <w:rPr>
                  <w:rFonts w:ascii="Arial" w:cs="Arial" w:eastAsia="Arial" w:hAnsi="Arial"/>
                  <w:sz w:val="16"/>
                  <w:szCs w:val="16"/>
                  <w:color w:val="0000FF"/>
                </w:rPr>
                <w:t>Form of Convertible Note Hedge Confirmation (2028 Notes).</w:t>
              </w:r>
            </w:hyperlink>
          </w:p>
        </w:tc>
        <w:tc>
          <w:tcPr>
            <w:tcW w:w="0" w:type="dxa"/>
            <w:vAlign w:val="bottom"/>
          </w:tcPr>
          <w:p>
            <w:pPr>
              <w:spacing w:after="0"/>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84"/>
              </w:rPr>
              <w:t>10.23</w:t>
            </w:r>
          </w:p>
        </w:tc>
        <w:tc>
          <w:tcPr>
            <w:tcW w:w="3880" w:type="dxa"/>
            <w:vAlign w:val="bottom"/>
            <w:tcBorders>
              <w:top w:val="single" w:sz="8" w:color="0000FF"/>
            </w:tcBorders>
            <w:gridSpan w:val="11"/>
          </w:tcPr>
          <w:p>
            <w:pPr>
              <w:spacing w:after="0"/>
              <w:rPr>
                <w:rFonts w:ascii="Arial" w:cs="Arial" w:eastAsia="Arial" w:hAnsi="Arial"/>
                <w:sz w:val="16"/>
                <w:szCs w:val="16"/>
                <w:color w:val="0000FF"/>
              </w:rPr>
            </w:pPr>
            <w:hyperlink r:id="rId168">
              <w:r>
                <w:rPr>
                  <w:rFonts w:ascii="Arial" w:cs="Arial" w:eastAsia="Arial" w:hAnsi="Arial"/>
                  <w:sz w:val="16"/>
                  <w:szCs w:val="16"/>
                  <w:color w:val="0000FF"/>
                </w:rPr>
                <w:t>Form of 2026 Warrant Confirmation.</w:t>
              </w:r>
            </w:hyperlink>
          </w:p>
        </w:tc>
        <w:tc>
          <w:tcPr>
            <w:tcW w:w="10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340" w:type="dxa"/>
            <w:vAlign w:val="bottom"/>
            <w:gridSpan w:val="6"/>
            <w:shd w:val="clear" w:color="auto" w:fill="0000FF"/>
          </w:tcPr>
          <w:p>
            <w:pPr>
              <w:spacing w:after="0" w:line="20" w:lineRule="exact"/>
              <w:rPr>
                <w:sz w:val="1"/>
                <w:szCs w:val="1"/>
                <w:color w:val="auto"/>
              </w:rPr>
            </w:pPr>
          </w:p>
        </w:tc>
        <w:tc>
          <w:tcPr>
            <w:tcW w:w="256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84"/>
              </w:rPr>
              <w:t>10.24</w:t>
            </w:r>
          </w:p>
        </w:tc>
        <w:tc>
          <w:tcPr>
            <w:tcW w:w="4900" w:type="dxa"/>
            <w:vAlign w:val="bottom"/>
            <w:gridSpan w:val="24"/>
          </w:tcPr>
          <w:p>
            <w:pPr>
              <w:spacing w:after="0"/>
              <w:rPr>
                <w:rFonts w:ascii="Arial" w:cs="Arial" w:eastAsia="Arial" w:hAnsi="Arial"/>
                <w:sz w:val="16"/>
                <w:szCs w:val="16"/>
                <w:color w:val="0000FF"/>
              </w:rPr>
            </w:pPr>
            <w:hyperlink r:id="rId169">
              <w:r>
                <w:rPr>
                  <w:rFonts w:ascii="Arial" w:cs="Arial" w:eastAsia="Arial" w:hAnsi="Arial"/>
                  <w:sz w:val="16"/>
                  <w:szCs w:val="16"/>
                  <w:color w:val="0000FF"/>
                </w:rPr>
                <w:t>Form of 2028 Warrant Confirmation.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660" w:type="dxa"/>
            <w:vAlign w:val="bottom"/>
          </w:tcPr>
          <w:p>
            <w:pPr>
              <w:jc w:val="center"/>
              <w:ind w:right="202"/>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tcPr>
          <w:p>
            <w:pPr>
              <w:ind w:left="300"/>
              <w:spacing w:after="0"/>
              <w:rPr>
                <w:sz w:val="20"/>
                <w:szCs w:val="20"/>
                <w:color w:val="auto"/>
              </w:rPr>
            </w:pPr>
            <w:r>
              <w:rPr>
                <w:rFonts w:ascii="Arial" w:cs="Arial" w:eastAsia="Arial" w:hAnsi="Arial"/>
                <w:sz w:val="14"/>
                <w:szCs w:val="14"/>
                <w:b w:val="1"/>
                <w:bCs w:val="1"/>
                <w:color w:val="auto"/>
              </w:rPr>
              <w:t>File Number</w:t>
            </w:r>
          </w:p>
        </w:tc>
        <w:tc>
          <w:tcPr>
            <w:tcW w:w="106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50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Filed with SEC</w:t>
            </w:r>
          </w:p>
        </w:tc>
      </w:tr>
      <w:tr>
        <w:trPr>
          <w:trHeight w:val="306"/>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10.7</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9"/>
              </w:rPr>
              <w:t>March 21, 2018</w:t>
            </w:r>
          </w:p>
        </w:tc>
      </w:tr>
      <w:tr>
        <w:trPr>
          <w:trHeight w:val="551"/>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10.8</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19, 2021</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10.9</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23, 2018</w:t>
            </w:r>
          </w:p>
        </w:tc>
      </w:tr>
      <w:tr>
        <w:trPr>
          <w:trHeight w:val="551"/>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10.11</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21, 2020</w:t>
            </w:r>
          </w:p>
        </w:tc>
      </w:tr>
      <w:tr>
        <w:trPr>
          <w:trHeight w:val="551"/>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10.12</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9"/>
              </w:rPr>
              <w:t>March 12, 2018</w:t>
            </w:r>
          </w:p>
        </w:tc>
      </w:tr>
      <w:tr>
        <w:trPr>
          <w:trHeight w:val="551"/>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10.14</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21, 2020</w:t>
            </w:r>
          </w:p>
        </w:tc>
      </w:tr>
      <w:tr>
        <w:trPr>
          <w:trHeight w:val="551"/>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10.17</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21, 2020</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5"/>
              </w:rPr>
              <w:t>10-Q</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9"/>
              </w:rPr>
              <w:t>August 7, 2020</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5"/>
              </w:rPr>
              <w:t>10-Q</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November 6, 2020</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10.17</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19, 2021</w:t>
            </w:r>
          </w:p>
        </w:tc>
      </w:tr>
      <w:tr>
        <w:trPr>
          <w:trHeight w:val="551"/>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10.19</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23, 2018</w:t>
            </w:r>
          </w:p>
        </w:tc>
      </w:tr>
      <w:tr>
        <w:trPr>
          <w:trHeight w:val="629"/>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5"/>
              </w:rPr>
              <w:t>10-Q</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10.2</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9"/>
              </w:rPr>
              <w:t>August 10, 2018</w:t>
            </w:r>
          </w:p>
        </w:tc>
      </w:tr>
      <w:tr>
        <w:trPr>
          <w:trHeight w:val="787"/>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10.6</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26, 2021</w:t>
            </w:r>
          </w:p>
        </w:tc>
      </w:tr>
      <w:tr>
        <w:trPr>
          <w:trHeight w:val="865"/>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26, 2021</w:t>
            </w:r>
          </w:p>
        </w:tc>
      </w:tr>
      <w:tr>
        <w:trPr>
          <w:trHeight w:val="629"/>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10.2</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26, 2021</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10.3</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26, 2021</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10.4</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26, 2021</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10.5</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26, 2021</w:t>
            </w:r>
          </w:p>
        </w:tc>
      </w:tr>
    </w:tbl>
    <w:p>
      <w:pPr>
        <w:sectPr>
          <w:pgSz w:w="11900" w:h="16838" w:orient="portrait"/>
          <w:cols w:equalWidth="0" w:num="2">
            <w:col w:w="5900" w:space="400"/>
            <w:col w:w="4580"/>
          </w:cols>
          <w:pgMar w:left="320" w:top="130" w:right="69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320"/>
        <w:spacing w:after="0"/>
        <w:tabs>
          <w:tab w:leader="none" w:pos="7240" w:val="left"/>
          <w:tab w:leader="none" w:pos="8580" w:val="left"/>
          <w:tab w:leader="none" w:pos="982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3"/>
          <w:szCs w:val="13"/>
          <w:b w:val="1"/>
          <w:bCs w:val="1"/>
          <w:color w:val="auto"/>
        </w:rPr>
        <w:t>Filed with SEC</w:t>
      </w:r>
    </w:p>
    <w:p>
      <w:pPr>
        <w:sectPr>
          <w:pgSz w:w="11900" w:h="16838" w:orient="portrait"/>
          <w:cols w:equalWidth="0" w:num="1">
            <w:col w:w="11200"/>
          </w:cols>
          <w:pgMar w:left="320" w:top="129" w:right="379" w:bottom="1440" w:gutter="0" w:footer="0" w:header="0"/>
        </w:sectPr>
      </w:pPr>
    </w:p>
    <w:p>
      <w:pPr>
        <w:spacing w:after="0" w:line="294"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800" w:type="dxa"/>
            <w:vAlign w:val="bottom"/>
            <w:vMerge w:val="restart"/>
          </w:tcPr>
          <w:p>
            <w:pPr>
              <w:jc w:val="right"/>
              <w:ind w:right="261"/>
              <w:spacing w:after="0"/>
              <w:rPr>
                <w:sz w:val="20"/>
                <w:szCs w:val="20"/>
                <w:color w:val="auto"/>
              </w:rPr>
            </w:pPr>
            <w:r>
              <w:rPr>
                <w:rFonts w:ascii="Arial" w:cs="Arial" w:eastAsia="Arial" w:hAnsi="Arial"/>
                <w:sz w:val="16"/>
                <w:szCs w:val="16"/>
                <w:color w:val="auto"/>
                <w:w w:val="89"/>
              </w:rPr>
              <w:t>10.25+</w:t>
            </w:r>
          </w:p>
        </w:tc>
        <w:tc>
          <w:tcPr>
            <w:tcW w:w="4440" w:type="dxa"/>
            <w:vAlign w:val="bottom"/>
            <w:tcBorders>
              <w:bottom w:val="single" w:sz="8" w:color="0000FF"/>
            </w:tcBorders>
            <w:gridSpan w:val="2"/>
          </w:tcPr>
          <w:p>
            <w:pPr>
              <w:spacing w:after="0"/>
              <w:rPr>
                <w:rFonts w:ascii="Arial" w:cs="Arial" w:eastAsia="Arial" w:hAnsi="Arial"/>
                <w:sz w:val="16"/>
                <w:szCs w:val="16"/>
                <w:color w:val="0000FF"/>
                <w:w w:val="90"/>
              </w:rPr>
            </w:pPr>
            <w:hyperlink r:id="rId171">
              <w:r>
                <w:rPr>
                  <w:rFonts w:ascii="Arial" w:cs="Arial" w:eastAsia="Arial" w:hAnsi="Arial"/>
                  <w:sz w:val="16"/>
                  <w:szCs w:val="16"/>
                  <w:color w:val="0000FF"/>
                  <w:w w:val="90"/>
                </w:rPr>
                <w:t>Dropbox, Inc. Outside Director Compensation Policy and related form</w:t>
              </w:r>
            </w:hyperlink>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4440" w:type="dxa"/>
            <w:vAlign w:val="bottom"/>
            <w:gridSpan w:val="2"/>
            <w:vMerge w:val="restart"/>
          </w:tcPr>
          <w:p>
            <w:pPr>
              <w:spacing w:after="0" w:line="138" w:lineRule="exact"/>
              <w:rPr>
                <w:rFonts w:ascii="Arial" w:cs="Arial" w:eastAsia="Arial" w:hAnsi="Arial"/>
                <w:sz w:val="15"/>
                <w:szCs w:val="15"/>
                <w:color w:val="0000FF"/>
              </w:rPr>
            </w:pPr>
            <w:hyperlink r:id="rId171">
              <w:r>
                <w:rPr>
                  <w:rFonts w:ascii="Arial" w:cs="Arial" w:eastAsia="Arial" w:hAnsi="Arial"/>
                  <w:sz w:val="15"/>
                  <w:szCs w:val="15"/>
                  <w:color w:val="0000FF"/>
                </w:rPr>
                <w:t>agreements.</w:t>
              </w:r>
            </w:hyperlink>
          </w:p>
        </w:tc>
        <w:tc>
          <w:tcPr>
            <w:tcW w:w="0" w:type="dxa"/>
            <w:vAlign w:val="bottom"/>
          </w:tcPr>
          <w:p>
            <w:pPr>
              <w:spacing w:after="0"/>
              <w:rPr>
                <w:sz w:val="1"/>
                <w:szCs w:val="1"/>
                <w:color w:val="auto"/>
              </w:rPr>
            </w:pPr>
          </w:p>
        </w:tc>
      </w:tr>
      <w:tr>
        <w:trPr>
          <w:trHeight w:val="46"/>
        </w:trPr>
        <w:tc>
          <w:tcPr>
            <w:tcW w:w="800" w:type="dxa"/>
            <w:vAlign w:val="bottom"/>
          </w:tcPr>
          <w:p>
            <w:pPr>
              <w:spacing w:after="0"/>
              <w:rPr>
                <w:sz w:val="3"/>
                <w:szCs w:val="3"/>
                <w:color w:val="auto"/>
              </w:rPr>
            </w:pPr>
          </w:p>
        </w:tc>
        <w:tc>
          <w:tcPr>
            <w:tcW w:w="44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000"/>
        <w:spacing w:after="0"/>
        <w:rPr>
          <w:rFonts w:ascii="Arial" w:cs="Arial" w:eastAsia="Arial" w:hAnsi="Arial"/>
          <w:sz w:val="13"/>
          <w:szCs w:val="13"/>
          <w:u w:val="single" w:color="auto"/>
          <w:color w:val="0000FF"/>
        </w:rPr>
      </w:pPr>
      <w:hyperlink r:id="rId172">
        <w:r>
          <w:rPr>
            <w:rFonts w:ascii="Arial" w:cs="Arial" w:eastAsia="Arial" w:hAnsi="Arial"/>
            <w:sz w:val="13"/>
            <w:szCs w:val="13"/>
            <w:u w:val="single" w:color="auto"/>
            <w:color w:val="0000FF"/>
          </w:rPr>
          <w:t>Eighth Amendment to Office Lease, dated November 1, 2021 and executed</w:t>
        </w:r>
      </w:hyperlink>
    </w:p>
    <w:p>
      <w:pPr>
        <w:spacing w:after="0" w:line="22" w:lineRule="exact"/>
        <w:rPr>
          <w:sz w:val="20"/>
          <w:szCs w:val="20"/>
          <w:color w:val="auto"/>
        </w:rPr>
      </w:pPr>
    </w:p>
    <w:p>
      <w:pPr>
        <w:ind w:left="1000" w:right="240" w:hanging="751"/>
        <w:spacing w:after="0" w:line="224"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10.26</w:t>
      </w:r>
      <w:r>
        <w:rPr>
          <w:sz w:val="20"/>
          <w:szCs w:val="20"/>
          <w:color w:val="auto"/>
        </w:rPr>
        <w:tab/>
      </w:r>
      <w:hyperlink r:id="rId172">
        <w:r>
          <w:rPr>
            <w:rFonts w:ascii="Arial" w:cs="Arial" w:eastAsia="Arial" w:hAnsi="Arial"/>
            <w:sz w:val="16"/>
            <w:szCs w:val="16"/>
            <w:u w:val="single" w:color="auto"/>
            <w:color w:val="0000FF"/>
          </w:rPr>
          <w:t>on December 16, 2021, by and between the Registrant and KRE Exchange</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Owner LLC</w:t>
        </w:r>
      </w:hyperlink>
    </w:p>
    <w:p>
      <w:pPr>
        <w:spacing w:after="0" w:line="272" w:lineRule="exact"/>
        <w:rPr>
          <w:sz w:val="20"/>
          <w:szCs w:val="20"/>
          <w:color w:val="auto"/>
        </w:rPr>
      </w:pPr>
    </w:p>
    <w:p>
      <w:pPr>
        <w:ind w:left="260"/>
        <w:spacing w:after="0"/>
        <w:tabs>
          <w:tab w:leader="none" w:pos="98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3"/>
          <w:szCs w:val="13"/>
          <w:u w:val="single" w:color="auto"/>
          <w:color w:val="0000FF"/>
        </w:rPr>
        <w:t>List of subsidiaries of the Registrant.</w:t>
      </w:r>
    </w:p>
    <w:p>
      <w:pPr>
        <w:spacing w:after="0" w:line="288" w:lineRule="exact"/>
        <w:rPr>
          <w:sz w:val="20"/>
          <w:szCs w:val="20"/>
          <w:color w:val="auto"/>
        </w:rPr>
      </w:pPr>
    </w:p>
    <w:p>
      <w:pPr>
        <w:ind w:left="260"/>
        <w:spacing w:after="0"/>
        <w:tabs>
          <w:tab w:leader="none" w:pos="98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3"/>
          <w:szCs w:val="13"/>
          <w:u w:val="single" w:color="auto"/>
          <w:color w:val="0000FF"/>
        </w:rPr>
        <w:t>Consent of Independent Registered Public Accounting Firm.</w:t>
      </w:r>
    </w:p>
    <w:p>
      <w:pPr>
        <w:spacing w:after="0" w:line="275" w:lineRule="exact"/>
        <w:rPr>
          <w:sz w:val="20"/>
          <w:szCs w:val="20"/>
          <w:color w:val="auto"/>
        </w:rPr>
      </w:pPr>
    </w:p>
    <w:p>
      <w:pPr>
        <w:ind w:left="260"/>
        <w:spacing w:after="0"/>
        <w:tabs>
          <w:tab w:leader="none" w:pos="98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3"/>
          <w:szCs w:val="13"/>
          <w:u w:val="single" w:color="auto"/>
          <w:color w:val="0000FF"/>
        </w:rPr>
        <w:t>Power of Attorney (included in signature pages hereto).</w:t>
      </w:r>
    </w:p>
    <w:p>
      <w:pPr>
        <w:spacing w:after="0" w:line="274" w:lineRule="exact"/>
        <w:rPr>
          <w:sz w:val="20"/>
          <w:szCs w:val="20"/>
          <w:color w:val="auto"/>
        </w:rPr>
      </w:pPr>
    </w:p>
    <w:p>
      <w:pPr>
        <w:ind w:left="1000"/>
        <w:spacing w:after="0"/>
        <w:rPr>
          <w:sz w:val="20"/>
          <w:szCs w:val="20"/>
          <w:color w:val="auto"/>
        </w:rPr>
      </w:pPr>
      <w:r>
        <w:rPr>
          <w:rFonts w:ascii="Arial" w:cs="Arial" w:eastAsia="Arial" w:hAnsi="Arial"/>
          <w:sz w:val="15"/>
          <w:szCs w:val="15"/>
          <w:u w:val="single" w:color="auto"/>
          <w:color w:val="0000FF"/>
        </w:rPr>
        <w:t>Certification of Principal Executive Officer pursuant to Exchange Act Rules</w:t>
      </w:r>
    </w:p>
    <w:p>
      <w:pPr>
        <w:ind w:left="1000" w:right="60" w:hanging="751"/>
        <w:spacing w:after="0" w:line="224" w:lineRule="auto"/>
        <w:tabs>
          <w:tab w:leader="none" w:pos="98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FF"/>
        </w:rPr>
        <w:t>13a-14(a) and 15d-14(a), as adopted pursuant to Section 302 of the Sarbanes-Oxley Act of 2002.</w:t>
      </w:r>
    </w:p>
    <w:p>
      <w:pPr>
        <w:spacing w:after="0" w:line="258" w:lineRule="exact"/>
        <w:rPr>
          <w:sz w:val="20"/>
          <w:szCs w:val="20"/>
          <w:color w:val="auto"/>
        </w:rPr>
      </w:pPr>
    </w:p>
    <w:p>
      <w:pPr>
        <w:ind w:left="1000"/>
        <w:spacing w:after="0"/>
        <w:rPr>
          <w:sz w:val="20"/>
          <w:szCs w:val="20"/>
          <w:color w:val="auto"/>
        </w:rPr>
      </w:pPr>
      <w:r>
        <w:rPr>
          <w:rFonts w:ascii="Arial" w:cs="Arial" w:eastAsia="Arial" w:hAnsi="Arial"/>
          <w:sz w:val="15"/>
          <w:szCs w:val="15"/>
          <w:u w:val="single" w:color="auto"/>
          <w:color w:val="0000FF"/>
        </w:rPr>
        <w:t>Certification of Principal Financial Officer pursuant to Exchange Act Rules</w:t>
      </w:r>
    </w:p>
    <w:p>
      <w:pPr>
        <w:ind w:left="1000" w:right="60" w:hanging="751"/>
        <w:spacing w:after="0" w:line="224" w:lineRule="auto"/>
        <w:tabs>
          <w:tab w:leader="none" w:pos="98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u w:val="single" w:color="auto"/>
          <w:color w:val="0000FF"/>
        </w:rPr>
        <w:t>13a-14(a) and 15d-14(a), as adopted pursuant to Section 302 of the Sarbanes-Oxley Act of 2002.</w:t>
      </w:r>
    </w:p>
    <w:p>
      <w:pPr>
        <w:spacing w:after="0" w:line="259" w:lineRule="exact"/>
        <w:rPr>
          <w:sz w:val="20"/>
          <w:szCs w:val="20"/>
          <w:color w:val="auto"/>
        </w:rPr>
      </w:pPr>
    </w:p>
    <w:p>
      <w:pPr>
        <w:ind w:left="1000"/>
        <w:spacing w:after="0"/>
        <w:rPr>
          <w:sz w:val="20"/>
          <w:szCs w:val="20"/>
          <w:color w:val="auto"/>
        </w:rPr>
      </w:pPr>
      <w:r>
        <w:rPr>
          <w:rFonts w:ascii="Arial" w:cs="Arial" w:eastAsia="Arial" w:hAnsi="Arial"/>
          <w:sz w:val="13"/>
          <w:szCs w:val="13"/>
          <w:u w:val="single" w:color="auto"/>
          <w:color w:val="0000FF"/>
        </w:rPr>
        <w:t>Certifications of Chief Executive Officer and Chief Financial Officer pursuant</w:t>
      </w:r>
    </w:p>
    <w:p>
      <w:pPr>
        <w:spacing w:after="0" w:line="22" w:lineRule="exact"/>
        <w:rPr>
          <w:sz w:val="20"/>
          <w:szCs w:val="20"/>
          <w:color w:val="auto"/>
        </w:rPr>
      </w:pPr>
    </w:p>
    <w:p>
      <w:pPr>
        <w:ind w:left="1000" w:right="640" w:hanging="751"/>
        <w:spacing w:after="0" w:line="224" w:lineRule="auto"/>
        <w:tabs>
          <w:tab w:leader="none" w:pos="98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u w:val="single" w:color="auto"/>
          <w:color w:val="0000FF"/>
        </w:rPr>
        <w:t>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660" w:type="dxa"/>
            <w:vAlign w:val="bottom"/>
          </w:tcPr>
          <w:p>
            <w:pPr>
              <w:spacing w:after="0"/>
              <w:rPr>
                <w:sz w:val="20"/>
                <w:szCs w:val="20"/>
                <w:color w:val="auto"/>
              </w:rPr>
            </w:pPr>
            <w:r>
              <w:rPr>
                <w:rFonts w:ascii="Arial" w:cs="Arial" w:eastAsia="Arial" w:hAnsi="Arial"/>
                <w:sz w:val="16"/>
                <w:szCs w:val="16"/>
                <w:color w:val="auto"/>
              </w:rPr>
              <w:t>10-K</w:t>
            </w:r>
          </w:p>
        </w:tc>
        <w:tc>
          <w:tcPr>
            <w:tcW w:w="1340" w:type="dxa"/>
            <w:vAlign w:val="bottom"/>
          </w:tcPr>
          <w:p>
            <w:pPr>
              <w:jc w:val="right"/>
              <w:ind w:right="261"/>
              <w:spacing w:after="0"/>
              <w:rPr>
                <w:sz w:val="20"/>
                <w:szCs w:val="20"/>
                <w:color w:val="auto"/>
              </w:rPr>
            </w:pPr>
            <w:r>
              <w:rPr>
                <w:rFonts w:ascii="Arial" w:cs="Arial" w:eastAsia="Arial" w:hAnsi="Arial"/>
                <w:sz w:val="16"/>
                <w:szCs w:val="16"/>
                <w:color w:val="auto"/>
              </w:rPr>
              <w:t>001-38434</w:t>
            </w:r>
          </w:p>
        </w:tc>
        <w:tc>
          <w:tcPr>
            <w:tcW w:w="1040" w:type="dxa"/>
            <w:vAlign w:val="bottom"/>
          </w:tcPr>
          <w:p>
            <w:pPr>
              <w:jc w:val="right"/>
              <w:ind w:right="281"/>
              <w:spacing w:after="0"/>
              <w:rPr>
                <w:sz w:val="20"/>
                <w:szCs w:val="20"/>
                <w:color w:val="auto"/>
              </w:rPr>
            </w:pPr>
            <w:r>
              <w:rPr>
                <w:rFonts w:ascii="Arial" w:cs="Arial" w:eastAsia="Arial" w:hAnsi="Arial"/>
                <w:sz w:val="16"/>
                <w:szCs w:val="16"/>
                <w:color w:val="auto"/>
              </w:rPr>
              <w:t>10.22</w:t>
            </w:r>
          </w:p>
        </w:tc>
        <w:tc>
          <w:tcPr>
            <w:tcW w:w="1520" w:type="dxa"/>
            <w:vAlign w:val="bottom"/>
          </w:tcPr>
          <w:p>
            <w:pPr>
              <w:ind w:left="360"/>
              <w:spacing w:after="0"/>
              <w:rPr>
                <w:sz w:val="20"/>
                <w:szCs w:val="20"/>
                <w:color w:val="auto"/>
              </w:rPr>
            </w:pPr>
            <w:r>
              <w:rPr>
                <w:rFonts w:ascii="Arial" w:cs="Arial" w:eastAsia="Arial" w:hAnsi="Arial"/>
                <w:sz w:val="16"/>
                <w:szCs w:val="16"/>
                <w:color w:val="auto"/>
                <w:w w:val="87"/>
              </w:rPr>
              <w:t>February 21, 2020</w:t>
            </w:r>
          </w:p>
        </w:tc>
      </w:tr>
      <w:tr>
        <w:trPr>
          <w:trHeight w:val="708"/>
        </w:trPr>
        <w:tc>
          <w:tcPr>
            <w:tcW w:w="660" w:type="dxa"/>
            <w:vAlign w:val="bottom"/>
          </w:tcPr>
          <w:p>
            <w:pPr>
              <w:spacing w:after="0"/>
              <w:rPr>
                <w:sz w:val="20"/>
                <w:szCs w:val="20"/>
                <w:color w:val="auto"/>
              </w:rPr>
            </w:pPr>
            <w:r>
              <w:rPr>
                <w:rFonts w:ascii="Arial" w:cs="Arial" w:eastAsia="Arial" w:hAnsi="Arial"/>
                <w:sz w:val="16"/>
                <w:szCs w:val="16"/>
                <w:color w:val="auto"/>
              </w:rPr>
              <w:t>10-K</w:t>
            </w:r>
          </w:p>
        </w:tc>
        <w:tc>
          <w:tcPr>
            <w:tcW w:w="1340" w:type="dxa"/>
            <w:vAlign w:val="bottom"/>
          </w:tcPr>
          <w:p>
            <w:pPr>
              <w:jc w:val="right"/>
              <w:ind w:right="261"/>
              <w:spacing w:after="0"/>
              <w:rPr>
                <w:sz w:val="20"/>
                <w:szCs w:val="20"/>
                <w:color w:val="auto"/>
              </w:rPr>
            </w:pPr>
            <w:r>
              <w:rPr>
                <w:rFonts w:ascii="Arial" w:cs="Arial" w:eastAsia="Arial" w:hAnsi="Arial"/>
                <w:sz w:val="16"/>
                <w:szCs w:val="16"/>
                <w:color w:val="auto"/>
              </w:rPr>
              <w:t>001-38434</w:t>
            </w:r>
          </w:p>
        </w:tc>
        <w:tc>
          <w:tcPr>
            <w:tcW w:w="1040" w:type="dxa"/>
            <w:vAlign w:val="bottom"/>
          </w:tcPr>
          <w:p>
            <w:pPr>
              <w:jc w:val="right"/>
              <w:ind w:right="281"/>
              <w:spacing w:after="0"/>
              <w:rPr>
                <w:sz w:val="20"/>
                <w:szCs w:val="20"/>
                <w:color w:val="auto"/>
              </w:rPr>
            </w:pPr>
            <w:r>
              <w:rPr>
                <w:rFonts w:ascii="Arial" w:cs="Arial" w:eastAsia="Arial" w:hAnsi="Arial"/>
                <w:sz w:val="16"/>
                <w:szCs w:val="16"/>
                <w:color w:val="auto"/>
              </w:rPr>
              <w:t>10.26</w:t>
            </w:r>
          </w:p>
        </w:tc>
        <w:tc>
          <w:tcPr>
            <w:tcW w:w="1520" w:type="dxa"/>
            <w:vAlign w:val="bottom"/>
          </w:tcPr>
          <w:p>
            <w:pPr>
              <w:ind w:left="360"/>
              <w:spacing w:after="0"/>
              <w:rPr>
                <w:sz w:val="20"/>
                <w:szCs w:val="20"/>
                <w:color w:val="auto"/>
              </w:rPr>
            </w:pPr>
            <w:r>
              <w:rPr>
                <w:rFonts w:ascii="Arial" w:cs="Arial" w:eastAsia="Arial" w:hAnsi="Arial"/>
                <w:sz w:val="16"/>
                <w:szCs w:val="16"/>
                <w:color w:val="auto"/>
                <w:w w:val="87"/>
              </w:rPr>
              <w:t>February 18, 2022</w:t>
            </w:r>
          </w:p>
        </w:tc>
      </w:tr>
    </w:tbl>
    <w:p>
      <w:pPr>
        <w:spacing w:after="0" w:line="4081" w:lineRule="exact"/>
        <w:rPr>
          <w:sz w:val="20"/>
          <w:szCs w:val="20"/>
          <w:color w:val="auto"/>
        </w:rPr>
      </w:pPr>
    </w:p>
    <w:p>
      <w:pPr>
        <w:sectPr>
          <w:pgSz w:w="11900" w:h="16838" w:orient="portrait"/>
          <w:cols w:equalWidth="0" w:num="2">
            <w:col w:w="5940" w:space="380"/>
            <w:col w:w="4880"/>
          </w:cols>
          <w:pgMar w:left="320" w:top="129" w:right="379" w:bottom="1440" w:gutter="0" w:footer="0" w:header="0"/>
          <w:type w:val="continuous"/>
        </w:sectPr>
      </w:pP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financial statements from the Company's Annual Report on</w:t>
      </w:r>
    </w:p>
    <w:p>
      <w:pPr>
        <w:ind w:left="1000"/>
        <w:spacing w:after="0" w:line="205" w:lineRule="auto"/>
        <w:rPr>
          <w:sz w:val="20"/>
          <w:szCs w:val="20"/>
          <w:color w:val="auto"/>
        </w:rPr>
      </w:pPr>
      <w:r>
        <w:rPr>
          <w:rFonts w:ascii="Arial" w:cs="Arial" w:eastAsia="Arial" w:hAnsi="Arial"/>
          <w:sz w:val="16"/>
          <w:szCs w:val="16"/>
          <w:color w:val="auto"/>
        </w:rPr>
        <w:t>Form 10-K for the fiscal year ended December 31, 2022, formatted in Inline</w:t>
      </w:r>
    </w:p>
    <w:p>
      <w:pPr>
        <w:ind w:left="1000"/>
        <w:spacing w:after="0" w:line="205" w:lineRule="auto"/>
        <w:rPr>
          <w:sz w:val="20"/>
          <w:szCs w:val="20"/>
          <w:color w:val="auto"/>
        </w:rPr>
      </w:pPr>
      <w:r>
        <w:rPr>
          <w:rFonts w:ascii="Arial" w:cs="Arial" w:eastAsia="Arial" w:hAnsi="Arial"/>
          <w:sz w:val="16"/>
          <w:szCs w:val="16"/>
          <w:color w:val="auto"/>
        </w:rPr>
        <w:t>XBRL: (i) Consolidated Balance Sheets, (ii) Consolidated Statement of</w:t>
      </w:r>
    </w:p>
    <w:p>
      <w:pPr>
        <w:ind w:left="1000" w:right="5400" w:hanging="687"/>
        <w:spacing w:after="0" w:line="214"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Operations, (iii) Consolidated Statements of Comprehensive Income (Loss), (iv) Consolidated Statement of Cash Flows, (v) Consolidated Statements of Stockholders' (Deficit) Equity, and (vi) Notes to Consolidated Financial Statements.</w:t>
      </w:r>
    </w:p>
    <w:p>
      <w:pPr>
        <w:spacing w:after="0" w:line="261" w:lineRule="exact"/>
        <w:rPr>
          <w:sz w:val="20"/>
          <w:szCs w:val="20"/>
          <w:color w:val="auto"/>
        </w:rPr>
      </w:pPr>
    </w:p>
    <w:p>
      <w:pPr>
        <w:ind w:left="1000" w:right="5320" w:hanging="687"/>
        <w:spacing w:after="0" w:line="182" w:lineRule="auto"/>
        <w:tabs>
          <w:tab w:leader="none" w:pos="1000" w:val="left"/>
        </w:tabs>
        <w:numPr>
          <w:ilvl w:val="1"/>
          <w:numId w:val="45"/>
        </w:numPr>
        <w:rPr>
          <w:rFonts w:ascii="Arial" w:cs="Arial" w:eastAsia="Arial" w:hAnsi="Arial"/>
          <w:sz w:val="27"/>
          <w:szCs w:val="27"/>
          <w:color w:val="auto"/>
          <w:vertAlign w:val="subscript"/>
        </w:rPr>
      </w:pPr>
      <w:r>
        <w:rPr>
          <w:rFonts w:ascii="Arial" w:cs="Arial" w:eastAsia="Arial" w:hAnsi="Arial"/>
          <w:sz w:val="14"/>
          <w:szCs w:val="14"/>
          <w:color w:val="auto"/>
        </w:rPr>
        <w:t>Cover Page Interactive Data File (formatted as inline XBRL and contained in Exhibit 101)</w:t>
      </w:r>
    </w:p>
    <w:p>
      <w:pPr>
        <w:spacing w:after="0" w:line="387" w:lineRule="exact"/>
        <w:rPr>
          <w:rFonts w:ascii="Arial" w:cs="Arial" w:eastAsia="Arial" w:hAnsi="Arial"/>
          <w:sz w:val="27"/>
          <w:szCs w:val="27"/>
          <w:color w:val="auto"/>
          <w:vertAlign w:val="subscript"/>
        </w:rPr>
      </w:pPr>
    </w:p>
    <w:p>
      <w:pPr>
        <w:ind w:left="20"/>
        <w:spacing w:after="0"/>
        <w:rPr>
          <w:rFonts w:ascii="Arial" w:cs="Arial" w:eastAsia="Arial" w:hAnsi="Arial"/>
          <w:sz w:val="27"/>
          <w:szCs w:val="27"/>
          <w:color w:val="auto"/>
          <w:vertAlign w:val="subscript"/>
        </w:rPr>
      </w:pPr>
      <w:r>
        <w:rPr>
          <w:rFonts w:ascii="Arial" w:cs="Arial" w:eastAsia="Arial" w:hAnsi="Arial"/>
          <w:sz w:val="17"/>
          <w:szCs w:val="17"/>
          <w:color w:val="auto"/>
        </w:rPr>
        <w:t>*</w:t>
      </w:r>
      <w:r>
        <w:rPr>
          <w:rFonts w:ascii="Arial" w:cs="Arial" w:eastAsia="Arial" w:hAnsi="Arial"/>
          <w:sz w:val="13"/>
          <w:szCs w:val="13"/>
          <w:color w:val="auto"/>
        </w:rPr>
        <w:t>Filed herewith.</w:t>
      </w:r>
    </w:p>
    <w:p>
      <w:pPr>
        <w:spacing w:after="0" w:line="30" w:lineRule="exact"/>
        <w:rPr>
          <w:sz w:val="20"/>
          <w:szCs w:val="20"/>
          <w:color w:val="auto"/>
        </w:rPr>
      </w:pPr>
    </w:p>
    <w:p>
      <w:pPr>
        <w:ind w:left="460" w:hanging="438"/>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6"/>
          <w:szCs w:val="16"/>
          <w:color w:val="auto"/>
        </w:rPr>
        <w:t>Indicates management contract or compensatory plan.</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certifications attached as Exhibit 32.1 that accompany this Annual Report on Form 10-K are deemed furnished and not filed with the Securities and Exchange</w:t>
      </w:r>
    </w:p>
    <w:p>
      <w:pPr>
        <w:ind w:left="460" w:hanging="438"/>
        <w:spacing w:after="0" w:line="311" w:lineRule="auto"/>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Commission and are not to be incorporated by reference into any filing of Dropbox,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500" w:firstLine="433"/>
        <w:spacing w:after="0" w:line="360" w:lineRule="auto"/>
        <w:rPr>
          <w:sz w:val="20"/>
          <w:szCs w:val="20"/>
          <w:color w:val="auto"/>
        </w:rPr>
      </w:pPr>
      <w:r>
        <w:rPr>
          <w:rFonts w:ascii="Arial" w:cs="Arial" w:eastAsia="Arial" w:hAnsi="Arial"/>
          <w:sz w:val="15"/>
          <w:szCs w:val="15"/>
          <w:color w:val="auto"/>
        </w:rPr>
        <w:t>Pursuant to the requirements of Section 13 or 15(d) of the Securities Exchange Act of 1934, as amended, the registrant has duly caused this Annual Report on Form 10-K to be signed on its behalf by the undersigned, thereunto duly authorized, in San Francisco, California, on February 22, 2023.</w:t>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DROPBOX, INC.</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7"/>
                <w:szCs w:val="17"/>
                <w:color w:val="auto"/>
              </w:rPr>
              <w:t>By:</w:t>
            </w:r>
          </w:p>
        </w:tc>
        <w:tc>
          <w:tcPr>
            <w:tcW w:w="9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W. Houston</w:t>
            </w:r>
          </w:p>
        </w:tc>
      </w:tr>
      <w:tr>
        <w:trPr>
          <w:trHeight w:val="216"/>
        </w:trPr>
        <w:tc>
          <w:tcPr>
            <w:tcW w:w="12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7"/>
                <w:szCs w:val="17"/>
                <w:color w:val="auto"/>
              </w:rPr>
              <w:t>Andrew W. Houston</w:t>
            </w:r>
          </w:p>
        </w:tc>
      </w:tr>
      <w:tr>
        <w:trPr>
          <w:trHeight w:val="223"/>
        </w:trPr>
        <w:tc>
          <w:tcPr>
            <w:tcW w:w="1240" w:type="dxa"/>
            <w:vAlign w:val="bottom"/>
          </w:tcPr>
          <w:p>
            <w:pPr>
              <w:spacing w:after="0"/>
              <w:rPr>
                <w:sz w:val="19"/>
                <w:szCs w:val="19"/>
                <w:color w:val="auto"/>
              </w:rPr>
            </w:pPr>
          </w:p>
        </w:tc>
        <w:tc>
          <w:tcPr>
            <w:tcW w:w="996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POWER OF ATTORNEY</w:t>
      </w:r>
    </w:p>
    <w:p>
      <w:pPr>
        <w:spacing w:after="0" w:line="26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Andrew W. Houston and Timothy J. Regan,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85" w:lineRule="exact"/>
        <w:rPr>
          <w:sz w:val="20"/>
          <w:szCs w:val="20"/>
          <w:color w:val="auto"/>
        </w:rPr>
      </w:pPr>
    </w:p>
    <w:p>
      <w:pPr>
        <w:ind w:right="22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by the following persons on behalf of the Company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983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288"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Andrew W. Houston</w:t>
      </w:r>
    </w:p>
    <w:p>
      <w:pPr>
        <w:jc w:val="center"/>
        <w:ind w:left="380"/>
        <w:spacing w:after="0"/>
        <w:rPr>
          <w:sz w:val="20"/>
          <w:szCs w:val="20"/>
          <w:color w:val="auto"/>
        </w:rPr>
      </w:pPr>
      <w:r>
        <w:rPr>
          <w:rFonts w:ascii="Arial" w:cs="Arial" w:eastAsia="Arial" w:hAnsi="Arial"/>
          <w:sz w:val="17"/>
          <w:szCs w:val="17"/>
          <w:color w:val="auto"/>
        </w:rPr>
        <w:t>Andrew W. Houston</w:t>
      </w:r>
    </w:p>
    <w:p>
      <w:pPr>
        <w:spacing w:after="0" w:line="28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 Timothy J. Regan</w:t>
      </w:r>
    </w:p>
    <w:p>
      <w:pPr>
        <w:ind w:left="1120"/>
        <w:spacing w:after="0"/>
        <w:rPr>
          <w:sz w:val="20"/>
          <w:szCs w:val="20"/>
          <w:color w:val="auto"/>
        </w:rPr>
      </w:pPr>
      <w:r>
        <w:rPr>
          <w:rFonts w:ascii="Arial" w:cs="Arial" w:eastAsia="Arial" w:hAnsi="Arial"/>
          <w:sz w:val="17"/>
          <w:szCs w:val="17"/>
          <w:color w:val="auto"/>
        </w:rPr>
        <w:t>Timothy J. Regan</w:t>
      </w:r>
    </w:p>
    <w:p>
      <w:pPr>
        <w:spacing w:after="0" w:line="278"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Donald W. Blair</w:t>
      </w:r>
    </w:p>
    <w:p>
      <w:pPr>
        <w:jc w:val="center"/>
        <w:ind w:left="380"/>
        <w:spacing w:after="0"/>
        <w:rPr>
          <w:sz w:val="20"/>
          <w:szCs w:val="20"/>
          <w:color w:val="auto"/>
        </w:rPr>
      </w:pPr>
      <w:r>
        <w:rPr>
          <w:rFonts w:ascii="Arial" w:cs="Arial" w:eastAsia="Arial" w:hAnsi="Arial"/>
          <w:sz w:val="17"/>
          <w:szCs w:val="17"/>
          <w:color w:val="auto"/>
        </w:rPr>
        <w:t>Donald W. Blair</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 Lisa Campbell</w:t>
      </w:r>
    </w:p>
    <w:p>
      <w:pPr>
        <w:ind w:left="1220"/>
        <w:spacing w:after="0"/>
        <w:rPr>
          <w:sz w:val="20"/>
          <w:szCs w:val="20"/>
          <w:color w:val="auto"/>
        </w:rPr>
      </w:pPr>
      <w:r>
        <w:rPr>
          <w:rFonts w:ascii="Arial" w:cs="Arial" w:eastAsia="Arial" w:hAnsi="Arial"/>
          <w:sz w:val="17"/>
          <w:szCs w:val="17"/>
          <w:color w:val="auto"/>
        </w:rPr>
        <w:t>Lisa Campbell</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Paul E. Jacobs</w:t>
      </w:r>
    </w:p>
    <w:p>
      <w:pPr>
        <w:jc w:val="center"/>
        <w:ind w:left="380"/>
        <w:spacing w:after="0"/>
        <w:rPr>
          <w:sz w:val="20"/>
          <w:szCs w:val="20"/>
          <w:color w:val="auto"/>
        </w:rPr>
      </w:pPr>
      <w:r>
        <w:rPr>
          <w:rFonts w:ascii="Arial" w:cs="Arial" w:eastAsia="Arial" w:hAnsi="Arial"/>
          <w:sz w:val="17"/>
          <w:szCs w:val="17"/>
          <w:color w:val="auto"/>
        </w:rPr>
        <w:t>Paul E. Jacobs</w:t>
      </w:r>
    </w:p>
    <w:p>
      <w:pPr>
        <w:spacing w:after="0" w:line="278"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Sara Mathew</w:t>
      </w:r>
    </w:p>
    <w:p>
      <w:pPr>
        <w:jc w:val="center"/>
        <w:ind w:left="380"/>
        <w:spacing w:after="0"/>
        <w:rPr>
          <w:sz w:val="20"/>
          <w:szCs w:val="20"/>
          <w:color w:val="auto"/>
        </w:rPr>
      </w:pPr>
      <w:r>
        <w:rPr>
          <w:rFonts w:ascii="Arial" w:cs="Arial" w:eastAsia="Arial" w:hAnsi="Arial"/>
          <w:sz w:val="17"/>
          <w:szCs w:val="17"/>
          <w:color w:val="auto"/>
        </w:rPr>
        <w:t>Sara Mathew</w:t>
      </w:r>
    </w:p>
    <w:p>
      <w:pPr>
        <w:spacing w:after="0" w:line="278"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Abhay Parasnis</w:t>
      </w:r>
    </w:p>
    <w:p>
      <w:pPr>
        <w:jc w:val="center"/>
        <w:ind w:left="380"/>
        <w:spacing w:after="0"/>
        <w:rPr>
          <w:sz w:val="20"/>
          <w:szCs w:val="20"/>
          <w:color w:val="auto"/>
        </w:rPr>
      </w:pPr>
      <w:r>
        <w:rPr>
          <w:rFonts w:ascii="Arial" w:cs="Arial" w:eastAsia="Arial" w:hAnsi="Arial"/>
          <w:sz w:val="17"/>
          <w:szCs w:val="17"/>
          <w:color w:val="auto"/>
        </w:rPr>
        <w:t>Abhay Parasnis</w:t>
      </w:r>
    </w:p>
    <w:p>
      <w:pPr>
        <w:spacing w:after="0" w:line="28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 Karen A. Peacock</w:t>
      </w:r>
    </w:p>
    <w:p>
      <w:pPr>
        <w:ind w:left="1100"/>
        <w:spacing w:after="0"/>
        <w:rPr>
          <w:sz w:val="20"/>
          <w:szCs w:val="20"/>
          <w:color w:val="auto"/>
        </w:rPr>
      </w:pPr>
      <w:r>
        <w:rPr>
          <w:rFonts w:ascii="Arial" w:cs="Arial" w:eastAsia="Arial" w:hAnsi="Arial"/>
          <w:sz w:val="17"/>
          <w:szCs w:val="17"/>
          <w:color w:val="auto"/>
        </w:rPr>
        <w:t>Karen A. Peacock</w:t>
      </w:r>
    </w:p>
    <w:p>
      <w:pPr>
        <w:spacing w:after="0" w:line="278"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Michael Seibel</w:t>
      </w:r>
    </w:p>
    <w:p>
      <w:pPr>
        <w:jc w:val="center"/>
        <w:ind w:left="380"/>
        <w:spacing w:after="0"/>
        <w:rPr>
          <w:sz w:val="20"/>
          <w:szCs w:val="20"/>
          <w:color w:val="auto"/>
        </w:rPr>
      </w:pPr>
      <w:r>
        <w:rPr>
          <w:rFonts w:ascii="Arial" w:cs="Arial" w:eastAsia="Arial" w:hAnsi="Arial"/>
          <w:sz w:val="17"/>
          <w:szCs w:val="17"/>
          <w:color w:val="auto"/>
        </w:rPr>
        <w:t>Michael Seibel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31311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Chairman</w:t>
      </w:r>
    </w:p>
    <w:p>
      <w:pPr>
        <w:spacing w:after="0"/>
        <w:rPr>
          <w:sz w:val="20"/>
          <w:szCs w:val="20"/>
          <w:color w:val="auto"/>
        </w:rPr>
      </w:pPr>
      <w:r>
        <w:rPr>
          <w:rFonts w:ascii="Arial" w:cs="Arial" w:eastAsia="Arial" w:hAnsi="Arial"/>
          <w:sz w:val="17"/>
          <w:szCs w:val="17"/>
          <w:i w:val="1"/>
          <w:iCs w:val="1"/>
          <w:color w:val="auto"/>
        </w:rPr>
        <w:t>(Principal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rPr>
          <w:sz w:val="20"/>
          <w:szCs w:val="20"/>
          <w:color w:val="auto"/>
        </w:rPr>
      </w:pPr>
      <w:r>
        <w:rPr>
          <w:rFonts w:ascii="Arial" w:cs="Arial" w:eastAsia="Arial" w:hAnsi="Arial"/>
          <w:sz w:val="16"/>
          <w:szCs w:val="16"/>
          <w:i w:val="1"/>
          <w:iCs w:val="1"/>
          <w:color w:val="auto"/>
        </w:rPr>
        <w:t>(Principal Accounting and Financial Officer)</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28575</wp:posOffset>
            </wp:positionV>
            <wp:extent cx="13239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2023</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2023</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2023</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2023</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2023</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2023</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2023</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2023</w:t>
      </w:r>
    </w:p>
    <w:p>
      <w:pPr>
        <w:sectPr>
          <w:pgSz w:w="11900" w:h="16838" w:orient="portrait"/>
          <w:cols w:equalWidth="0" w:num="3">
            <w:col w:w="3100" w:space="720"/>
            <w:col w:w="5000" w:space="720"/>
            <w:col w:w="1280"/>
          </w:cols>
          <w:pgMar w:left="320" w:top="129" w:right="7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9"/>
          <w:szCs w:val="19"/>
          <w:b w:val="1"/>
          <w:bCs w:val="1"/>
          <w:color w:val="auto"/>
        </w:rPr>
        <w:t>Exhibit 21.1</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740" w:type="dxa"/>
            <w:vAlign w:val="bottom"/>
            <w:gridSpan w:val="4"/>
          </w:tcPr>
          <w:p>
            <w:pPr>
              <w:ind w:left="240"/>
              <w:spacing w:after="0"/>
              <w:rPr>
                <w:sz w:val="20"/>
                <w:szCs w:val="20"/>
                <w:color w:val="auto"/>
              </w:rPr>
            </w:pPr>
            <w:r>
              <w:rPr>
                <w:rFonts w:ascii="Arial" w:cs="Arial" w:eastAsia="Arial" w:hAnsi="Arial"/>
                <w:sz w:val="19"/>
                <w:szCs w:val="19"/>
                <w:b w:val="1"/>
                <w:bCs w:val="1"/>
                <w:color w:val="auto"/>
              </w:rPr>
              <w:t>Subsidiaries of Registrant</w:t>
            </w:r>
          </w:p>
        </w:tc>
      </w:tr>
      <w:tr>
        <w:trPr>
          <w:trHeight w:val="767"/>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1"/>
              </w:rPr>
              <w:t>Name of Subsidiary</w:t>
            </w: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2"/>
              </w:rPr>
              <w:t>Jurisdiction of Incorporation</w:t>
            </w:r>
          </w:p>
        </w:tc>
      </w:tr>
      <w:tr>
        <w:trPr>
          <w:trHeight w:val="242"/>
        </w:trPr>
        <w:tc>
          <w:tcPr>
            <w:tcW w:w="4260" w:type="dxa"/>
            <w:vAlign w:val="bottom"/>
            <w:gridSpan w:val="2"/>
          </w:tcPr>
          <w:p>
            <w:pPr>
              <w:spacing w:after="0"/>
              <w:rPr>
                <w:sz w:val="20"/>
                <w:szCs w:val="20"/>
                <w:color w:val="auto"/>
              </w:rPr>
            </w:pPr>
            <w:r>
              <w:rPr>
                <w:rFonts w:ascii="Arial" w:cs="Arial" w:eastAsia="Arial" w:hAnsi="Arial"/>
                <w:sz w:val="17"/>
                <w:szCs w:val="17"/>
                <w:color w:val="auto"/>
              </w:rPr>
              <w:t>Dropbox Canada Limited</w:t>
            </w:r>
          </w:p>
        </w:tc>
        <w:tc>
          <w:tcPr>
            <w:tcW w:w="2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British Columbia</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Holding, LLC</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Delaware</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Hypertools, Inc.</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Delaware</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Orcinus Holdings, LLC</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Delaware</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CloudOn, Inc.</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Delaware</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DocSend, Inc.</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Delaware</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Australia Pty Ltd.</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Australia</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France S.A.S</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France</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w w:val="98"/>
              </w:rPr>
              <w:t>Dropbox France S.A.S, Paris, Zweigniederlassung Zurich</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Switzerland</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Germany GmbH</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Germany</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International Unlimited Company</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Ireland</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Israel Online Ltd.</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Israel</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Japan KK</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Japan</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Mexico S. de R.L. de C.V</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Mexico</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Netherlands B.V.</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Netherlands</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Poland sp. z.o.o.</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Poland</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Singapore Pte. Ltd.</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Singapore</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Sweden AB</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Sweden</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Taiwan Co. Ltd.</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Taiwan</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Dropbox UK Online Ltd.</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United Kingdom</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King Street Labs, LLC</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Oregon</w:t>
            </w:r>
          </w:p>
        </w:tc>
      </w:tr>
      <w:tr>
        <w:trPr>
          <w:trHeight w:val="223"/>
        </w:trPr>
        <w:tc>
          <w:tcPr>
            <w:tcW w:w="4260" w:type="dxa"/>
            <w:vAlign w:val="bottom"/>
            <w:gridSpan w:val="2"/>
          </w:tcPr>
          <w:p>
            <w:pPr>
              <w:spacing w:after="0"/>
              <w:rPr>
                <w:sz w:val="20"/>
                <w:szCs w:val="20"/>
                <w:color w:val="auto"/>
              </w:rPr>
            </w:pPr>
            <w:r>
              <w:rPr>
                <w:rFonts w:ascii="Arial" w:cs="Arial" w:eastAsia="Arial" w:hAnsi="Arial"/>
                <w:sz w:val="17"/>
                <w:szCs w:val="17"/>
                <w:color w:val="auto"/>
              </w:rPr>
              <w:t>Valt Inc.</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180"/>
          </w:cols>
          <w:pgMar w:left="380" w:top="1376"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9"/>
          <w:szCs w:val="19"/>
          <w:b w:val="1"/>
          <w:bCs w:val="1"/>
          <w:color w:val="auto"/>
        </w:rPr>
        <w:t>Exhibit 23.1</w:t>
      </w:r>
    </w:p>
    <w:p>
      <w:pPr>
        <w:spacing w:after="0" w:line="25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333333"/>
        </w:rPr>
        <w:t>We consent to the incorporation by reference in the following Registration Statements:</w:t>
      </w:r>
    </w:p>
    <w:p>
      <w:pPr>
        <w:spacing w:after="0" w:line="237" w:lineRule="exact"/>
        <w:rPr>
          <w:sz w:val="20"/>
          <w:szCs w:val="20"/>
          <w:color w:val="auto"/>
        </w:rPr>
      </w:pPr>
    </w:p>
    <w:p>
      <w:pPr>
        <w:ind w:left="260" w:hanging="255"/>
        <w:spacing w:after="0"/>
        <w:tabs>
          <w:tab w:leader="none" w:pos="260" w:val="left"/>
        </w:tabs>
        <w:numPr>
          <w:ilvl w:val="0"/>
          <w:numId w:val="48"/>
        </w:numPr>
        <w:rPr>
          <w:rFonts w:ascii="Arial" w:cs="Arial" w:eastAsia="Arial" w:hAnsi="Arial"/>
          <w:sz w:val="17"/>
          <w:szCs w:val="17"/>
          <w:color w:val="333333"/>
        </w:rPr>
      </w:pPr>
      <w:r>
        <w:rPr>
          <w:rFonts w:ascii="Arial" w:cs="Arial" w:eastAsia="Arial" w:hAnsi="Arial"/>
          <w:sz w:val="17"/>
          <w:szCs w:val="17"/>
          <w:color w:val="333333"/>
        </w:rPr>
        <w:t>Registration Statement (Form S-8 No. 333-262866) of Dropbox, Inc., pertaining to the 2018 Equity Incentive Plan of Dropbox, Inc.,</w:t>
      </w:r>
    </w:p>
    <w:p>
      <w:pPr>
        <w:spacing w:after="0" w:line="237" w:lineRule="exact"/>
        <w:rPr>
          <w:rFonts w:ascii="Arial" w:cs="Arial" w:eastAsia="Arial" w:hAnsi="Arial"/>
          <w:sz w:val="17"/>
          <w:szCs w:val="17"/>
          <w:color w:val="333333"/>
        </w:rPr>
      </w:pPr>
    </w:p>
    <w:p>
      <w:pPr>
        <w:ind w:right="80" w:firstLine="5"/>
        <w:spacing w:after="0" w:line="257" w:lineRule="auto"/>
        <w:tabs>
          <w:tab w:leader="none" w:pos="247" w:val="left"/>
        </w:tabs>
        <w:numPr>
          <w:ilvl w:val="0"/>
          <w:numId w:val="48"/>
        </w:numPr>
        <w:rPr>
          <w:rFonts w:ascii="Arial" w:cs="Arial" w:eastAsia="Arial" w:hAnsi="Arial"/>
          <w:sz w:val="17"/>
          <w:szCs w:val="17"/>
          <w:color w:val="333333"/>
        </w:rPr>
      </w:pPr>
      <w:r>
        <w:rPr>
          <w:rFonts w:ascii="Arial" w:cs="Arial" w:eastAsia="Arial" w:hAnsi="Arial"/>
          <w:sz w:val="17"/>
          <w:szCs w:val="17"/>
          <w:color w:val="333333"/>
        </w:rPr>
        <w:t>Registration Statement (Form S-8 No. 333-255665) of Dropbox, Inc., pertaining to the 2013 Stock Plan and 2015 Stock Option and Grant Plan of DocSend, Inc.,</w:t>
      </w:r>
    </w:p>
    <w:p>
      <w:pPr>
        <w:spacing w:after="0" w:line="184" w:lineRule="exact"/>
        <w:rPr>
          <w:rFonts w:ascii="Arial" w:cs="Arial" w:eastAsia="Arial" w:hAnsi="Arial"/>
          <w:sz w:val="17"/>
          <w:szCs w:val="17"/>
          <w:color w:val="333333"/>
        </w:rPr>
      </w:pPr>
    </w:p>
    <w:p>
      <w:pPr>
        <w:ind w:left="260" w:hanging="255"/>
        <w:spacing w:after="0"/>
        <w:tabs>
          <w:tab w:leader="none" w:pos="260" w:val="left"/>
        </w:tabs>
        <w:numPr>
          <w:ilvl w:val="0"/>
          <w:numId w:val="48"/>
        </w:numPr>
        <w:rPr>
          <w:rFonts w:ascii="Arial" w:cs="Arial" w:eastAsia="Arial" w:hAnsi="Arial"/>
          <w:sz w:val="17"/>
          <w:szCs w:val="17"/>
          <w:color w:val="333333"/>
        </w:rPr>
      </w:pPr>
      <w:r>
        <w:rPr>
          <w:rFonts w:ascii="Arial" w:cs="Arial" w:eastAsia="Arial" w:hAnsi="Arial"/>
          <w:sz w:val="17"/>
          <w:szCs w:val="17"/>
          <w:color w:val="333333"/>
        </w:rPr>
        <w:t>Registration Statement (Form S-8 No. 333-253304) of Dropbox, Inc., pertaining to the 2018 Equity Incentive Plan of Dropbox, Inc.,</w:t>
      </w:r>
    </w:p>
    <w:p>
      <w:pPr>
        <w:spacing w:after="0" w:line="224" w:lineRule="exact"/>
        <w:rPr>
          <w:rFonts w:ascii="Arial" w:cs="Arial" w:eastAsia="Arial" w:hAnsi="Arial"/>
          <w:sz w:val="17"/>
          <w:szCs w:val="17"/>
          <w:color w:val="333333"/>
        </w:rPr>
      </w:pPr>
    </w:p>
    <w:p>
      <w:pPr>
        <w:ind w:left="260" w:hanging="255"/>
        <w:spacing w:after="0"/>
        <w:tabs>
          <w:tab w:leader="none" w:pos="260" w:val="left"/>
        </w:tabs>
        <w:numPr>
          <w:ilvl w:val="0"/>
          <w:numId w:val="48"/>
        </w:numPr>
        <w:rPr>
          <w:rFonts w:ascii="Arial" w:cs="Arial" w:eastAsia="Arial" w:hAnsi="Arial"/>
          <w:sz w:val="17"/>
          <w:szCs w:val="17"/>
          <w:color w:val="333333"/>
        </w:rPr>
      </w:pPr>
      <w:r>
        <w:rPr>
          <w:rFonts w:ascii="Arial" w:cs="Arial" w:eastAsia="Arial" w:hAnsi="Arial"/>
          <w:sz w:val="17"/>
          <w:szCs w:val="17"/>
          <w:color w:val="333333"/>
        </w:rPr>
        <w:t>Registration Statement (Form S-8 No. 333-236570) of Dropbox, Inc., pertaining to the 2018 Equity Incentive Plan of Dropbox, Inc.,</w:t>
      </w:r>
    </w:p>
    <w:p>
      <w:pPr>
        <w:spacing w:after="0" w:line="237" w:lineRule="exact"/>
        <w:rPr>
          <w:rFonts w:ascii="Arial" w:cs="Arial" w:eastAsia="Arial" w:hAnsi="Arial"/>
          <w:sz w:val="17"/>
          <w:szCs w:val="17"/>
          <w:color w:val="333333"/>
        </w:rPr>
      </w:pPr>
    </w:p>
    <w:p>
      <w:pPr>
        <w:ind w:left="260" w:hanging="255"/>
        <w:spacing w:after="0"/>
        <w:tabs>
          <w:tab w:leader="none" w:pos="260" w:val="left"/>
        </w:tabs>
        <w:numPr>
          <w:ilvl w:val="0"/>
          <w:numId w:val="48"/>
        </w:numPr>
        <w:rPr>
          <w:rFonts w:ascii="Arial" w:cs="Arial" w:eastAsia="Arial" w:hAnsi="Arial"/>
          <w:sz w:val="17"/>
          <w:szCs w:val="17"/>
          <w:color w:val="333333"/>
        </w:rPr>
      </w:pPr>
      <w:r>
        <w:rPr>
          <w:rFonts w:ascii="Arial" w:cs="Arial" w:eastAsia="Arial" w:hAnsi="Arial"/>
          <w:sz w:val="17"/>
          <w:szCs w:val="17"/>
          <w:color w:val="333333"/>
        </w:rPr>
        <w:t>Registration Statement (Form S-8 No. 333-229924) of Dropbox, Inc., pertaining to the 2011 Equity Incentive Plan of JN Projects, Inc.,</w:t>
      </w:r>
    </w:p>
    <w:p>
      <w:pPr>
        <w:spacing w:after="0" w:line="224" w:lineRule="exact"/>
        <w:rPr>
          <w:rFonts w:ascii="Arial" w:cs="Arial" w:eastAsia="Arial" w:hAnsi="Arial"/>
          <w:sz w:val="17"/>
          <w:szCs w:val="17"/>
          <w:color w:val="333333"/>
        </w:rPr>
      </w:pPr>
    </w:p>
    <w:p>
      <w:pPr>
        <w:ind w:left="260" w:hanging="255"/>
        <w:spacing w:after="0"/>
        <w:tabs>
          <w:tab w:leader="none" w:pos="260" w:val="left"/>
        </w:tabs>
        <w:numPr>
          <w:ilvl w:val="0"/>
          <w:numId w:val="48"/>
        </w:numPr>
        <w:rPr>
          <w:rFonts w:ascii="Arial" w:cs="Arial" w:eastAsia="Arial" w:hAnsi="Arial"/>
          <w:sz w:val="17"/>
          <w:szCs w:val="17"/>
          <w:color w:val="333333"/>
        </w:rPr>
      </w:pPr>
      <w:r>
        <w:rPr>
          <w:rFonts w:ascii="Arial" w:cs="Arial" w:eastAsia="Arial" w:hAnsi="Arial"/>
          <w:sz w:val="17"/>
          <w:szCs w:val="17"/>
          <w:color w:val="333333"/>
        </w:rPr>
        <w:t>Registration Statement (Form S-8 No. 333-229842) of Dropbox, Inc., pertaining to the 2018 Equity Incentive Plan of Dropbox, Inc., and</w:t>
      </w:r>
    </w:p>
    <w:p>
      <w:pPr>
        <w:spacing w:after="0" w:line="224" w:lineRule="exact"/>
        <w:rPr>
          <w:rFonts w:ascii="Arial" w:cs="Arial" w:eastAsia="Arial" w:hAnsi="Arial"/>
          <w:sz w:val="17"/>
          <w:szCs w:val="17"/>
          <w:color w:val="333333"/>
        </w:rPr>
      </w:pPr>
    </w:p>
    <w:p>
      <w:pPr>
        <w:ind w:right="140" w:firstLine="5"/>
        <w:spacing w:after="0" w:line="273" w:lineRule="auto"/>
        <w:tabs>
          <w:tab w:leader="none" w:pos="247" w:val="left"/>
        </w:tabs>
        <w:numPr>
          <w:ilvl w:val="0"/>
          <w:numId w:val="48"/>
        </w:numPr>
        <w:rPr>
          <w:rFonts w:ascii="Arial" w:cs="Arial" w:eastAsia="Arial" w:hAnsi="Arial"/>
          <w:sz w:val="17"/>
          <w:szCs w:val="17"/>
          <w:color w:val="333333"/>
        </w:rPr>
      </w:pPr>
      <w:r>
        <w:rPr>
          <w:rFonts w:ascii="Arial" w:cs="Arial" w:eastAsia="Arial" w:hAnsi="Arial"/>
          <w:sz w:val="17"/>
          <w:szCs w:val="17"/>
          <w:color w:val="333333"/>
        </w:rPr>
        <w:t>Registration Statement (Form S-8 No. 333-223863) of Dropbox, Inc., pertaining to the 2008 Equity Incentive Plan of Dropbox, Inc., 2017 Equity Incentive Plan of Dropbox, Inc., 2018 Equity Incentive Plan of Dropbox, Inc., and 2018 Employee Stock Purchase Plan of Dropbox, Inc.;</w:t>
      </w:r>
    </w:p>
    <w:p>
      <w:pPr>
        <w:spacing w:after="0" w:line="172" w:lineRule="exact"/>
        <w:rPr>
          <w:sz w:val="20"/>
          <w:szCs w:val="20"/>
          <w:color w:val="auto"/>
        </w:rPr>
      </w:pPr>
    </w:p>
    <w:p>
      <w:pPr>
        <w:ind w:right="420"/>
        <w:spacing w:after="0" w:line="305" w:lineRule="auto"/>
        <w:rPr>
          <w:sz w:val="20"/>
          <w:szCs w:val="20"/>
          <w:color w:val="auto"/>
        </w:rPr>
      </w:pPr>
      <w:r>
        <w:rPr>
          <w:rFonts w:ascii="Arial" w:cs="Arial" w:eastAsia="Arial" w:hAnsi="Arial"/>
          <w:sz w:val="16"/>
          <w:szCs w:val="16"/>
          <w:color w:val="333333"/>
        </w:rPr>
        <w:t>of our reports dated February 22, 2023, with respect to the consolidated financial statements of Dropbox, Inc. and the effectiveness of internal control over financial reporting of Dropbox, Inc. included in this Annual Report (Form 10-K) of Dropbox, Inc. for the year ended December 31, 2022.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333333"/>
        </w:rPr>
        <w:t>/s/ Ernst &amp; Young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333333"/>
        </w:rPr>
        <w:t>San Francisco,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333333"/>
        </w:rPr>
        <w:t>February 22, 2023</w:t>
      </w:r>
    </w:p>
    <w:p>
      <w:pPr>
        <w:sectPr>
          <w:pgSz w:w="11900" w:h="16838" w:orient="portrait"/>
          <w:cols w:equalWidth="0" w:num="1">
            <w:col w:w="11240"/>
          </w:cols>
          <w:pgMar w:left="320" w:top="1376"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Andrew W. Houston, certify that:</w:t>
      </w:r>
    </w:p>
    <w:p>
      <w:pPr>
        <w:spacing w:after="0" w:line="224" w:lineRule="exact"/>
        <w:rPr>
          <w:sz w:val="20"/>
          <w:szCs w:val="20"/>
          <w:color w:val="auto"/>
        </w:rPr>
      </w:pPr>
    </w:p>
    <w:p>
      <w:pPr>
        <w:ind w:left="320" w:hanging="315"/>
        <w:spacing w:after="0"/>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Dropbox, Inc.;</w:t>
      </w:r>
    </w:p>
    <w:p>
      <w:pPr>
        <w:spacing w:after="0" w:line="224" w:lineRule="exact"/>
        <w:rPr>
          <w:rFonts w:ascii="Arial" w:cs="Arial" w:eastAsia="Arial" w:hAnsi="Arial"/>
          <w:sz w:val="17"/>
          <w:szCs w:val="17"/>
          <w:color w:val="auto"/>
        </w:rPr>
      </w:pPr>
    </w:p>
    <w:p>
      <w:pPr>
        <w:ind w:left="320" w:right="260" w:hanging="315"/>
        <w:spacing w:after="0" w:line="360" w:lineRule="auto"/>
        <w:tabs>
          <w:tab w:leader="none" w:pos="3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left="320" w:right="60" w:hanging="315"/>
        <w:spacing w:after="0" w:line="289" w:lineRule="auto"/>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40" w:hanging="315"/>
        <w:spacing w:after="0" w:line="289" w:lineRule="auto"/>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7"/>
          <w:szCs w:val="17"/>
          <w:color w:val="auto"/>
        </w:rPr>
      </w:pPr>
    </w:p>
    <w:p>
      <w:pPr>
        <w:ind w:left="640" w:right="200" w:hanging="320"/>
        <w:spacing w:after="0" w:line="273" w:lineRule="auto"/>
        <w:tabs>
          <w:tab w:leader="none" w:pos="637"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right="60" w:hanging="320"/>
        <w:spacing w:after="0" w:line="289" w:lineRule="auto"/>
        <w:tabs>
          <w:tab w:leader="none" w:pos="634"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00" w:hanging="320"/>
        <w:spacing w:after="0" w:line="273" w:lineRule="auto"/>
        <w:tabs>
          <w:tab w:leader="none" w:pos="637"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480" w:hanging="315"/>
        <w:spacing w:after="0" w:line="322" w:lineRule="auto"/>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160" w:hanging="320"/>
        <w:spacing w:after="0" w:line="289" w:lineRule="auto"/>
        <w:tabs>
          <w:tab w:leader="none" w:pos="637"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20" w:hanging="320"/>
        <w:spacing w:after="0" w:line="289" w:lineRule="auto"/>
        <w:tabs>
          <w:tab w:leader="none" w:pos="634"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22, 2023</w:t>
      </w:r>
    </w:p>
    <w:p>
      <w:pPr>
        <w:spacing w:after="0" w:line="145"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DROPBOX, INC.</w:t>
      </w:r>
    </w:p>
    <w:p>
      <w:pPr>
        <w:spacing w:after="0" w:line="277" w:lineRule="exact"/>
        <w:rPr>
          <w:sz w:val="20"/>
          <w:szCs w:val="20"/>
          <w:color w:val="auto"/>
        </w:rPr>
      </w:pPr>
    </w:p>
    <w:tbl>
      <w:tblPr>
        <w:tblLayout w:type="fixed"/>
        <w:tblInd w:w="668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Andrew W. Houston</w:t>
            </w:r>
          </w:p>
        </w:tc>
      </w:tr>
      <w:tr>
        <w:trPr>
          <w:trHeight w:val="216"/>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840" w:type="dxa"/>
            <w:vAlign w:val="bottom"/>
          </w:tcPr>
          <w:p>
            <w:pPr>
              <w:ind w:left="20"/>
              <w:spacing w:after="0"/>
              <w:rPr>
                <w:sz w:val="20"/>
                <w:szCs w:val="20"/>
                <w:color w:val="auto"/>
              </w:rPr>
            </w:pPr>
            <w:r>
              <w:rPr>
                <w:rFonts w:ascii="Arial" w:cs="Arial" w:eastAsia="Arial" w:hAnsi="Arial"/>
                <w:sz w:val="17"/>
                <w:szCs w:val="17"/>
                <w:color w:val="auto"/>
              </w:rPr>
              <w:t>Andrew W. Houston</w:t>
            </w:r>
          </w:p>
        </w:tc>
      </w:tr>
      <w:tr>
        <w:trPr>
          <w:trHeight w:val="224"/>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8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2"/>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065"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Timothy J. Regan, certify that:</w:t>
      </w:r>
    </w:p>
    <w:p>
      <w:pPr>
        <w:spacing w:after="0" w:line="224" w:lineRule="exact"/>
        <w:rPr>
          <w:sz w:val="20"/>
          <w:szCs w:val="20"/>
          <w:color w:val="auto"/>
        </w:rPr>
      </w:pPr>
    </w:p>
    <w:p>
      <w:pPr>
        <w:ind w:left="320" w:hanging="315"/>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Dropbox, Inc.;</w:t>
      </w:r>
    </w:p>
    <w:p>
      <w:pPr>
        <w:spacing w:after="0" w:line="224" w:lineRule="exact"/>
        <w:rPr>
          <w:rFonts w:ascii="Arial" w:cs="Arial" w:eastAsia="Arial" w:hAnsi="Arial"/>
          <w:sz w:val="17"/>
          <w:szCs w:val="17"/>
          <w:color w:val="auto"/>
        </w:rPr>
      </w:pPr>
    </w:p>
    <w:p>
      <w:pPr>
        <w:ind w:left="320" w:right="260" w:hanging="315"/>
        <w:spacing w:after="0" w:line="360" w:lineRule="auto"/>
        <w:tabs>
          <w:tab w:leader="none" w:pos="3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left="320" w:right="60" w:hanging="315"/>
        <w:spacing w:after="0" w:line="289"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40" w:hanging="315"/>
        <w:spacing w:after="0" w:line="289"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7"/>
          <w:szCs w:val="17"/>
          <w:color w:val="auto"/>
        </w:rPr>
      </w:pPr>
    </w:p>
    <w:p>
      <w:pPr>
        <w:ind w:left="640" w:right="200" w:hanging="320"/>
        <w:spacing w:after="0" w:line="273" w:lineRule="auto"/>
        <w:tabs>
          <w:tab w:leader="none" w:pos="637"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right="60" w:hanging="320"/>
        <w:spacing w:after="0" w:line="289" w:lineRule="auto"/>
        <w:tabs>
          <w:tab w:leader="none" w:pos="634"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00" w:hanging="320"/>
        <w:spacing w:after="0" w:line="273" w:lineRule="auto"/>
        <w:tabs>
          <w:tab w:leader="none" w:pos="637"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480" w:hanging="315"/>
        <w:spacing w:after="0" w:line="322"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160" w:hanging="320"/>
        <w:spacing w:after="0" w:line="289" w:lineRule="auto"/>
        <w:tabs>
          <w:tab w:leader="none" w:pos="637"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20" w:hanging="320"/>
        <w:spacing w:after="0" w:line="289" w:lineRule="auto"/>
        <w:tabs>
          <w:tab w:leader="none" w:pos="634"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22, 2023</w:t>
      </w:r>
    </w:p>
    <w:p>
      <w:pPr>
        <w:spacing w:after="0" w:line="263"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DROPBOX, INC.</w:t>
      </w:r>
    </w:p>
    <w:p>
      <w:pPr>
        <w:spacing w:after="0" w:line="224" w:lineRule="exact"/>
        <w:rPr>
          <w:sz w:val="20"/>
          <w:szCs w:val="20"/>
          <w:color w:val="auto"/>
        </w:rPr>
      </w:pPr>
    </w:p>
    <w:p>
      <w:pPr>
        <w:ind w:left="4920"/>
        <w:spacing w:after="0"/>
        <w:tabs>
          <w:tab w:leader="none" w:pos="54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17145</wp:posOffset>
            </wp:positionV>
            <wp:extent cx="14154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Name: Timothy J. Regan</w:t>
      </w:r>
    </w:p>
    <w:p>
      <w:pPr>
        <w:spacing w:after="0" w:line="27" w:lineRule="exact"/>
        <w:rPr>
          <w:sz w:val="20"/>
          <w:szCs w:val="20"/>
          <w:color w:val="auto"/>
        </w:rPr>
      </w:pPr>
    </w:p>
    <w:p>
      <w:pPr>
        <w:ind w:left="4920"/>
        <w:spacing w:after="0"/>
        <w:tabs>
          <w:tab w:leader="none" w:pos="54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Financial Officer</w:t>
      </w:r>
    </w:p>
    <w:p>
      <w:pPr>
        <w:spacing w:after="0" w:line="39" w:lineRule="exact"/>
        <w:rPr>
          <w:sz w:val="20"/>
          <w:szCs w:val="20"/>
          <w:color w:val="auto"/>
        </w:rPr>
      </w:pPr>
    </w:p>
    <w:p>
      <w:pPr>
        <w:ind w:left="5460"/>
        <w:spacing w:after="0"/>
        <w:tabs>
          <w:tab w:leader="none" w:pos="6340" w:val="left"/>
          <w:tab w:leader="none" w:pos="7360" w:val="left"/>
        </w:tabs>
        <w:rPr>
          <w:sz w:val="20"/>
          <w:szCs w:val="20"/>
          <w:color w:val="auto"/>
        </w:rPr>
      </w:pPr>
      <w:r>
        <w:rPr>
          <w:rFonts w:ascii="Arial" w:cs="Arial" w:eastAsia="Arial" w:hAnsi="Arial"/>
          <w:sz w:val="17"/>
          <w:szCs w:val="17"/>
          <w:color w:val="auto"/>
        </w:rPr>
        <w:t>(Principal</w:t>
        <w:tab/>
        <w:t>Accounting</w:t>
      </w:r>
      <w:r>
        <w:rPr>
          <w:sz w:val="20"/>
          <w:szCs w:val="20"/>
          <w:color w:val="auto"/>
        </w:rPr>
        <w:tab/>
      </w:r>
      <w:r>
        <w:rPr>
          <w:rFonts w:ascii="Arial" w:cs="Arial" w:eastAsia="Arial" w:hAnsi="Arial"/>
          <w:sz w:val="15"/>
          <w:szCs w:val="15"/>
          <w:color w:val="auto"/>
        </w:rPr>
        <w:t>and</w:t>
      </w:r>
    </w:p>
    <w:p>
      <w:pPr>
        <w:spacing w:after="0" w:line="14"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Financial Officer)</w:t>
      </w:r>
    </w:p>
    <w:p>
      <w:pPr>
        <w:sectPr>
          <w:pgSz w:w="11900" w:h="16838" w:orient="portrait"/>
          <w:cols w:equalWidth="0" w:num="1">
            <w:col w:w="11240"/>
          </w:cols>
          <w:pgMar w:left="320" w:top="1065"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9"/>
          <w:szCs w:val="19"/>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 xml:space="preserve">Pursuant to the requirement set forth in Rule 13a-14(b) of the Securities Exchange Act of 1934, as amended, (the “Exchange Act”) and Section 1350 of Chapter 63 of Title 18 of the United States Code (18 U.S.C. §1350), </w:t>
      </w:r>
      <w:r>
        <w:rPr>
          <w:rFonts w:ascii="Arial" w:cs="Arial" w:eastAsia="Arial" w:hAnsi="Arial"/>
          <w:sz w:val="19"/>
          <w:szCs w:val="19"/>
          <w:color w:val="auto"/>
        </w:rPr>
        <w:t>Andrew W. Houston</w:t>
      </w:r>
      <w:r>
        <w:rPr>
          <w:rFonts w:ascii="Arial" w:cs="Arial" w:eastAsia="Arial" w:hAnsi="Arial"/>
          <w:sz w:val="17"/>
          <w:szCs w:val="17"/>
          <w:color w:val="auto"/>
        </w:rPr>
        <w:t xml:space="preserve">, Chief Executive Officer of Dropbox, Inc.. (the “Company”), and </w:t>
      </w:r>
      <w:r>
        <w:rPr>
          <w:rFonts w:ascii="Arial" w:cs="Arial" w:eastAsia="Arial" w:hAnsi="Arial"/>
          <w:sz w:val="19"/>
          <w:szCs w:val="19"/>
          <w:color w:val="auto"/>
        </w:rPr>
        <w:t>Timothy</w:t>
      </w:r>
      <w:r>
        <w:rPr>
          <w:rFonts w:ascii="Arial" w:cs="Arial" w:eastAsia="Arial" w:hAnsi="Arial"/>
          <w:sz w:val="17"/>
          <w:szCs w:val="17"/>
          <w:color w:val="auto"/>
        </w:rPr>
        <w:t xml:space="preserve"> </w:t>
      </w:r>
      <w:r>
        <w:rPr>
          <w:rFonts w:ascii="Arial" w:cs="Arial" w:eastAsia="Arial" w:hAnsi="Arial"/>
          <w:sz w:val="19"/>
          <w:szCs w:val="19"/>
          <w:color w:val="auto"/>
        </w:rPr>
        <w:t>J. Regan</w:t>
      </w:r>
      <w:r>
        <w:rPr>
          <w:rFonts w:ascii="Arial" w:cs="Arial" w:eastAsia="Arial" w:hAnsi="Arial"/>
          <w:sz w:val="17"/>
          <w:szCs w:val="17"/>
          <w:color w:val="auto"/>
        </w:rPr>
        <w:t>, Chief Financial Officer of the Company, each hereby certifies that, to the best of his knowledge:</w:t>
      </w:r>
    </w:p>
    <w:p>
      <w:pPr>
        <w:spacing w:after="0" w:line="212" w:lineRule="exact"/>
        <w:rPr>
          <w:sz w:val="20"/>
          <w:szCs w:val="20"/>
          <w:color w:val="auto"/>
        </w:rPr>
      </w:pPr>
    </w:p>
    <w:p>
      <w:pPr>
        <w:ind w:left="640" w:right="520" w:hanging="320"/>
        <w:spacing w:after="0" w:line="289"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2022, to which this Certification is attached as Exhibit 32.1 (the “Periodic Report”), fully complies with the requirements of Section 13(a) or Section 15(d) of the Exchange Act; and</w:t>
      </w:r>
    </w:p>
    <w:p>
      <w:pPr>
        <w:spacing w:after="0" w:line="53" w:lineRule="exact"/>
        <w:rPr>
          <w:rFonts w:ascii="Arial" w:cs="Arial" w:eastAsia="Arial" w:hAnsi="Arial"/>
          <w:sz w:val="17"/>
          <w:szCs w:val="17"/>
          <w:color w:val="auto"/>
        </w:rPr>
      </w:pPr>
    </w:p>
    <w:p>
      <w:pPr>
        <w:ind w:left="640" w:right="600" w:hanging="320"/>
        <w:spacing w:after="0" w:line="289"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22, 2023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564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3564255"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Andrew W. Houston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(Principal Executive Officer)</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564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3564255"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Timothy J. Regan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(Principal Accounting and Financial Officer)</w:t>
      </w:r>
    </w:p>
    <w:sectPr>
      <w:pgSz w:w="11900" w:h="16838" w:orient="portrait"/>
      <w:cols w:equalWidth="0" w:num="1">
        <w:col w:w="11240"/>
      </w:cols>
      <w:pgMar w:left="320" w:top="10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2"/>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2"/>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2"/>
    </w:lvl>
  </w:abstractNum>
  <w:abstractNum w:abstractNumId="36">
    <w:nsid w:val="725A06FB"/>
    <w:multiLevelType w:val="hybridMultilevel"/>
    <w:lvl w:ilvl="0">
      <w:lvlJc w:val="left"/>
      <w:lvlText w:val="(%1)"/>
      <w:numFmt w:val="decimal"/>
      <w:start w:val="2"/>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01"/>
    </w:lvl>
  </w:abstractNum>
  <w:abstractNum w:abstractNumId="44">
    <w:nsid w:val="7644A45C"/>
    <w:multiLevelType w:val="hybridMultilevel"/>
    <w:lvl w:ilvl="0">
      <w:lvlJc w:val="left"/>
      <w:lvlText w:val="*"/>
      <w:numFmt w:val="bullet"/>
      <w:start w:val="1"/>
    </w:lvl>
    <w:lvl w:ilvl="1">
      <w:lvlJc w:val="left"/>
      <w:lvlText w:val="%2"/>
      <w:numFmt w:val="decimal"/>
      <w:start w:val="104"/>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51" Type="http://schemas.openxmlformats.org/officeDocument/2006/relationships/image" Target="media/image130.png"/><Relationship Id="rId170"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37" Type="http://schemas.openxmlformats.org/officeDocument/2006/relationships/hyperlink" Target="http://www.sec.gov/Archives/edgar/data/1467623/000146762318000007/exhibit32-q118.htm" TargetMode="External"/><Relationship Id="rId138" Type="http://schemas.openxmlformats.org/officeDocument/2006/relationships/hyperlink" Target="http://www.sec.gov/Archives/edgar/data/1467623/000146762318000007/exhibit33-q118.htm" TargetMode="External"/><Relationship Id="rId139" Type="http://schemas.openxmlformats.org/officeDocument/2006/relationships/hyperlink" Target="http://www.sec.gov/Archives/edgar/data/1467623/000119312518078140/d451946dex41.htm" TargetMode="External"/><Relationship Id="rId140" Type="http://schemas.openxmlformats.org/officeDocument/2006/relationships/hyperlink" Target="http://www.sec.gov/Archives/edgar/data/1467623/000119312518055809/d451946dex42.htm" TargetMode="External"/><Relationship Id="rId141" Type="http://schemas.openxmlformats.org/officeDocument/2006/relationships/hyperlink" Target="http://www.sec.gov/Archives/edgar/data/1467623/000146762318000007/exhibit43-q118.htm" TargetMode="External"/><Relationship Id="rId142" Type="http://schemas.openxmlformats.org/officeDocument/2006/relationships/hyperlink" Target="https://www.sec.gov/Archives/edgar/data/0001467623/000119312521061031/d143086dex41.htm" TargetMode="External"/><Relationship Id="rId143" Type="http://schemas.openxmlformats.org/officeDocument/2006/relationships/hyperlink" Target="https://www.sec.gov/Archives/edgar/data/0001467623/000119312521061031/d143086dex42.htm" TargetMode="External"/><Relationship Id="rId144" Type="http://schemas.openxmlformats.org/officeDocument/2006/relationships/hyperlink" Target="https://www.sec.gov/Archives/edgar/data/1467623/000146762320000033/exhibit41.htm" TargetMode="External"/><Relationship Id="rId145" Type="http://schemas.openxmlformats.org/officeDocument/2006/relationships/hyperlink" Target="http://www.sec.gov/Archives/edgar/data/1467623/000119312518055809/d451946dex101.htm" TargetMode="External"/><Relationship Id="rId146" Type="http://schemas.openxmlformats.org/officeDocument/2006/relationships/hyperlink" Target="https://www.sec.gov/Archives/edgar/data/1467623/000146762321000012/dbx202010-kex102.htm" TargetMode="External"/><Relationship Id="rId147" Type="http://schemas.openxmlformats.org/officeDocument/2006/relationships/hyperlink" Target="http://www.sec.gov/Archives/edgar/data/1467623/000119312518089786/d553522dex103.htm" TargetMode="External"/><Relationship Id="rId148" Type="http://schemas.openxmlformats.org/officeDocument/2006/relationships/hyperlink" Target="http://www.sec.gov/Archives/edgar/data/1467623/000119312518089786/d553522dex104.htm" TargetMode="External"/><Relationship Id="rId149" Type="http://schemas.openxmlformats.org/officeDocument/2006/relationships/hyperlink" Target="http://www.sec.gov/Archives/edgar/data/1467623/000119312518089786/d553522dex105.htm" TargetMode="External"/><Relationship Id="rId150" Type="http://schemas.openxmlformats.org/officeDocument/2006/relationships/hyperlink" Target="http://www.sec.gov/Archives/edgar/data/1467623/000119312518089786/d553522dex106.htm" TargetMode="External"/><Relationship Id="rId152" Type="http://schemas.openxmlformats.org/officeDocument/2006/relationships/hyperlink" Target="http://www.sec.gov/Archives/edgar/data/1467623/000119312518089786/d553522dex107.htm" TargetMode="External"/><Relationship Id="rId153" Type="http://schemas.openxmlformats.org/officeDocument/2006/relationships/hyperlink" Target="https://www.sec.gov/Archives/edgar/data/1467623/000146762321000012/dbx202010-kex108.htm" TargetMode="External"/><Relationship Id="rId154" Type="http://schemas.openxmlformats.org/officeDocument/2006/relationships/hyperlink" Target="http://www.sec.gov/Archives/edgar/data/1467623/000119312518055809/d451946dex109.htm" TargetMode="External"/><Relationship Id="rId155" Type="http://schemas.openxmlformats.org/officeDocument/2006/relationships/hyperlink" Target="https://www.sec.gov/Archives/edgar/data/1467623/000146762320000011/dbx201910-kex1011.htm" TargetMode="External"/><Relationship Id="rId156" Type="http://schemas.openxmlformats.org/officeDocument/2006/relationships/hyperlink" Target="http://www.sec.gov/Archives/edgar/data/1467623/000119312518078140/d451946dex1012.htm" TargetMode="External"/><Relationship Id="rId157" Type="http://schemas.openxmlformats.org/officeDocument/2006/relationships/hyperlink" Target="https://www.sec.gov/Archives/edgar/data/1467623/000146762320000011/dbx201910-kex1014.htm" TargetMode="External"/><Relationship Id="rId158" Type="http://schemas.openxmlformats.org/officeDocument/2006/relationships/hyperlink" Target="https://www.sec.gov/Archives/edgar/data/1467623/000146762320000011/dbx201910-kex1017.htm" TargetMode="External"/><Relationship Id="rId159" Type="http://schemas.openxmlformats.org/officeDocument/2006/relationships/hyperlink" Target="https://www.sec.gov/Archives/edgar/data/1467623/000146762320000033/exhibit101.htm" TargetMode="External"/><Relationship Id="rId160" Type="http://schemas.openxmlformats.org/officeDocument/2006/relationships/hyperlink" Target="https://www.sec.gov/Archives/edgar/data/1467623/000146762320000044/exhibit101.htm" TargetMode="External"/><Relationship Id="rId161" Type="http://schemas.openxmlformats.org/officeDocument/2006/relationships/hyperlink" Target="https://www.sec.gov/Archives/edgar/data/1467623/000146762321000012/dbx202010-kex1016.htm" TargetMode="External"/><Relationship Id="rId162" Type="http://schemas.openxmlformats.org/officeDocument/2006/relationships/hyperlink" Target="http://www.sec.gov/Archives/edgar/data/1467623/000119312518055809/d451946dex1019.htm" TargetMode="External"/><Relationship Id="rId163" Type="http://schemas.openxmlformats.org/officeDocument/2006/relationships/hyperlink" Target="http://www.sec.gov/Archives/edgar/data/1467623/000146762318000014/exhibit102-q218.htm" TargetMode="External"/><Relationship Id="rId164" Type="http://schemas.openxmlformats.org/officeDocument/2006/relationships/hyperlink" Target="https://www.sec.gov/Archives/edgar/data/0001467623/000119312521061031/d143086dex106.htm" TargetMode="External"/><Relationship Id="rId165" Type="http://schemas.openxmlformats.org/officeDocument/2006/relationships/hyperlink" Target="https://www.sec.gov/ix?doc=/Archives/edgar/data/0001467623/000119312521061031/d143086d8k.htm" TargetMode="External"/><Relationship Id="rId166" Type="http://schemas.openxmlformats.org/officeDocument/2006/relationships/hyperlink" Target="https://www.sec.gov/Archives/edgar/data/0001467623/000119312521061031/d143086dex102.htm" TargetMode="External"/><Relationship Id="rId167" Type="http://schemas.openxmlformats.org/officeDocument/2006/relationships/hyperlink" Target="https://www.sec.gov/Archives/edgar/data/0001467623/000119312521061031/d143086dex103.htm" TargetMode="External"/><Relationship Id="rId168" Type="http://schemas.openxmlformats.org/officeDocument/2006/relationships/hyperlink" Target="https://www.sec.gov/Archives/edgar/data/0001467623/000119312521061031/d143086dex104.htm" TargetMode="External"/><Relationship Id="rId169" Type="http://schemas.openxmlformats.org/officeDocument/2006/relationships/hyperlink" Target="https://www.sec.gov/Archives/edgar/data/0001467623/000119312521061031/d143086dex105.htm" TargetMode="External"/><Relationship Id="rId171" Type="http://schemas.openxmlformats.org/officeDocument/2006/relationships/hyperlink" Target="https://www.sec.gov/Archives/edgar/data/1467623/000146762320000011/dbx201910-kex1022.htm" TargetMode="External"/><Relationship Id="rId172" Type="http://schemas.openxmlformats.org/officeDocument/2006/relationships/hyperlink" Target="https://www.sec.gov/Archives/edgar/data/1467623/000146762322000015/exhibit1026-q4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2023-02-23T05:36:54Z</dcterms:created>
  <dcterms:modified xsi:type="dcterms:W3CDTF">2023-02-23T05:36:54Z</dcterms:modified>
</cp:coreProperties>
</file>