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1"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Washington, D.C. 20549</w:t>
      </w:r>
    </w:p>
    <w:p>
      <w:pPr>
        <w:spacing w:after="0" w:line="224"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Form 8-K</w:t>
      </w:r>
    </w:p>
    <w:p>
      <w:pPr>
        <w:spacing w:after="0" w:line="200" w:lineRule="exact"/>
        <w:rPr>
          <w:sz w:val="24"/>
          <w:szCs w:val="24"/>
          <w:color w:val="auto"/>
        </w:rPr>
      </w:pPr>
    </w:p>
    <w:p>
      <w:pPr>
        <w:spacing w:after="0" w:line="20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Pursuant to Section 13 or 15(d)</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December 10, 2019</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24"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DROPBOX, INC.</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520"/>
          </w:cols>
          <w:pgMar w:left="240" w:top="220" w:right="139" w:bottom="1440" w:gutter="0" w:footer="0" w:header="0"/>
        </w:sectPr>
      </w:pPr>
    </w:p>
    <w:p>
      <w:pPr>
        <w:spacing w:after="0" w:line="200" w:lineRule="exact"/>
        <w:rPr>
          <w:sz w:val="24"/>
          <w:szCs w:val="24"/>
          <w:color w:val="auto"/>
        </w:rPr>
      </w:pPr>
    </w:p>
    <w:p>
      <w:pPr>
        <w:spacing w:after="0" w:line="328"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8"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001-38434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26-0138832</w:t>
      </w:r>
    </w:p>
    <w:p>
      <w:pPr>
        <w:spacing w:after="0" w:line="86" w:lineRule="exact"/>
        <w:rPr>
          <w:sz w:val="24"/>
          <w:szCs w:val="24"/>
          <w:color w:val="auto"/>
        </w:rPr>
      </w:pPr>
    </w:p>
    <w:p>
      <w:pPr>
        <w:sectPr>
          <w:pgSz w:w="11900" w:h="16838" w:orient="portrait"/>
          <w:cols w:equalWidth="0" w:num="3">
            <w:col w:w="4660" w:space="720"/>
            <w:col w:w="2540" w:space="720"/>
            <w:col w:w="2880"/>
          </w:cols>
          <w:pgMar w:left="240" w:top="220" w:right="139" w:bottom="1440" w:gutter="0" w:footer="0" w:header="0"/>
          <w:type w:val="continuous"/>
        </w:sectPr>
      </w:pPr>
    </w:p>
    <w:p>
      <w:pPr>
        <w:jc w:val="center"/>
        <w:ind w:left="82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 R. S. Employer Identification No.)</w:t>
      </w:r>
    </w:p>
    <w:p>
      <w:pPr>
        <w:spacing w:after="0" w:line="50" w:lineRule="exact"/>
        <w:rPr>
          <w:sz w:val="24"/>
          <w:szCs w:val="24"/>
          <w:color w:val="auto"/>
        </w:rPr>
      </w:pPr>
    </w:p>
    <w:p>
      <w:pPr>
        <w:sectPr>
          <w:pgSz w:w="11900" w:h="16838" w:orient="portrait"/>
          <w:cols w:equalWidth="0" w:num="3">
            <w:col w:w="4000" w:space="720"/>
            <w:col w:w="2220" w:space="720"/>
            <w:col w:w="3860"/>
          </w:cols>
          <w:pgMar w:left="240" w:top="220" w:right="139" w:bottom="1440" w:gutter="0" w:footer="0" w:header="0"/>
          <w:type w:val="continuous"/>
        </w:sectPr>
      </w:pPr>
    </w:p>
    <w:p>
      <w:pPr>
        <w:ind w:left="1840"/>
        <w:spacing w:after="0"/>
        <w:rPr>
          <w:sz w:val="20"/>
          <w:szCs w:val="20"/>
          <w:color w:val="auto"/>
        </w:rPr>
      </w:pPr>
      <w:r>
        <w:rPr>
          <w:rFonts w:ascii="Arial" w:cs="Arial" w:eastAsia="Arial" w:hAnsi="Arial"/>
          <w:sz w:val="16"/>
          <w:szCs w:val="16"/>
          <w:b w:val="1"/>
          <w:bCs w:val="1"/>
          <w:color w:val="auto"/>
        </w:rPr>
        <w:t>incorporation)</w:t>
      </w:r>
    </w:p>
    <w:p>
      <w:pPr>
        <w:sectPr>
          <w:pgSz w:w="11900" w:h="16838" w:orient="portrait"/>
          <w:cols w:equalWidth="0" w:num="1">
            <w:col w:w="11520"/>
          </w:cols>
          <w:pgMar w:left="240" w:top="220" w:right="139" w:bottom="1440" w:gutter="0" w:footer="0" w:header="0"/>
          <w:type w:val="continuous"/>
        </w:sectPr>
      </w:pPr>
    </w:p>
    <w:p>
      <w:pPr>
        <w:spacing w:after="0" w:line="25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0" w:lineRule="exact"/>
        <w:rPr>
          <w:sz w:val="24"/>
          <w:szCs w:val="24"/>
          <w:color w:val="auto"/>
        </w:rPr>
      </w:pPr>
    </w:p>
    <w:p>
      <w:pPr>
        <w:spacing w:after="0" w:line="226"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7" w:lineRule="exact"/>
        <w:rPr>
          <w:sz w:val="24"/>
          <w:szCs w:val="24"/>
          <w:color w:val="auto"/>
        </w:rPr>
      </w:pPr>
    </w:p>
    <w:p>
      <w:pPr>
        <w:ind w:left="50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Written communications pursuant to Rule 425 under the Securities Act (17 CFR 230.425)</w:t>
      </w:r>
    </w:p>
    <w:p>
      <w:pPr>
        <w:spacing w:after="0" w:line="244" w:lineRule="exact"/>
        <w:rPr>
          <w:sz w:val="24"/>
          <w:szCs w:val="24"/>
          <w:color w:val="auto"/>
        </w:rPr>
      </w:pPr>
    </w:p>
    <w:p>
      <w:pPr>
        <w:ind w:left="50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Soliciting material pursuant to Rule 14a-12 under the Exchange Act (17 CFR 240.14a-12)</w:t>
      </w:r>
    </w:p>
    <w:p>
      <w:pPr>
        <w:spacing w:after="0" w:line="244" w:lineRule="exact"/>
        <w:rPr>
          <w:sz w:val="24"/>
          <w:szCs w:val="24"/>
          <w:color w:val="auto"/>
        </w:rPr>
      </w:pPr>
    </w:p>
    <w:p>
      <w:pPr>
        <w:ind w:left="50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Pre-commencement communications pursuant to Rule 14d-2(b) under the Exchange Act (17 CFR 240.14d-2(b))</w:t>
      </w:r>
    </w:p>
    <w:p>
      <w:pPr>
        <w:spacing w:after="0" w:line="244" w:lineRule="exact"/>
        <w:rPr>
          <w:sz w:val="24"/>
          <w:szCs w:val="24"/>
          <w:color w:val="auto"/>
        </w:rPr>
      </w:pPr>
    </w:p>
    <w:p>
      <w:pPr>
        <w:ind w:left="50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Pre-commencement communications pursuant to Rule 13e-4(c) under the Exchange Act (17 CFR 240.13e-4(c))</w:t>
      </w:r>
    </w:p>
    <w:p>
      <w:pPr>
        <w:spacing w:after="0" w:line="31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459105</wp:posOffset>
            </wp:positionH>
            <wp:positionV relativeFrom="paragraph">
              <wp:posOffset>100330</wp:posOffset>
            </wp:positionV>
            <wp:extent cx="63474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7460" cy="8255"/>
                    </a:xfrm>
                    <a:prstGeom prst="rect">
                      <a:avLst/>
                    </a:prstGeom>
                    <a:noFill/>
                  </pic:spPr>
                </pic:pic>
              </a:graphicData>
            </a:graphic>
          </wp:anchor>
        </w:drawing>
      </w:r>
    </w:p>
    <w:p>
      <w:pPr>
        <w:spacing w:after="0" w:line="341"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72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89"/>
              </w:rPr>
              <w:t>Title of each class</w:t>
            </w:r>
          </w:p>
        </w:tc>
        <w:tc>
          <w:tcPr>
            <w:tcW w:w="330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94"/>
              </w:rPr>
              <w:t>Trading Symbol(s)</w:t>
            </w:r>
          </w:p>
        </w:tc>
        <w:tc>
          <w:tcPr>
            <w:tcW w:w="2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0"/>
        </w:trPr>
        <w:tc>
          <w:tcPr>
            <w:tcW w:w="10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3740" w:type="dxa"/>
            <w:vAlign w:val="bottom"/>
            <w:gridSpan w:val="3"/>
          </w:tcPr>
          <w:p>
            <w:pPr>
              <w:jc w:val="center"/>
              <w:ind w:right="600"/>
              <w:spacing w:after="0"/>
              <w:rPr>
                <w:sz w:val="20"/>
                <w:szCs w:val="20"/>
                <w:color w:val="auto"/>
              </w:rPr>
            </w:pPr>
            <w:r>
              <w:rPr>
                <w:rFonts w:ascii="Arial" w:cs="Arial" w:eastAsia="Arial" w:hAnsi="Arial"/>
                <w:sz w:val="14"/>
                <w:szCs w:val="14"/>
                <w:color w:val="auto"/>
                <w:w w:val="92"/>
              </w:rPr>
              <w:t>Class A Common Stock, par value $0.00001 per share</w:t>
            </w:r>
          </w:p>
        </w:tc>
        <w:tc>
          <w:tcPr>
            <w:tcW w:w="600" w:type="dxa"/>
            <w:vAlign w:val="bottom"/>
          </w:tcPr>
          <w:p>
            <w:pPr>
              <w:spacing w:after="0"/>
              <w:rPr>
                <w:sz w:val="18"/>
                <w:szCs w:val="18"/>
                <w:color w:val="auto"/>
              </w:rPr>
            </w:pPr>
          </w:p>
        </w:tc>
        <w:tc>
          <w:tcPr>
            <w:tcW w:w="2700" w:type="dxa"/>
            <w:vAlign w:val="bottom"/>
            <w:gridSpan w:val="2"/>
          </w:tcPr>
          <w:p>
            <w:pPr>
              <w:jc w:val="center"/>
              <w:ind w:right="1540"/>
              <w:spacing w:after="0"/>
              <w:rPr>
                <w:sz w:val="20"/>
                <w:szCs w:val="20"/>
                <w:color w:val="auto"/>
              </w:rPr>
            </w:pPr>
            <w:r>
              <w:rPr>
                <w:rFonts w:ascii="Arial" w:cs="Arial" w:eastAsia="Arial" w:hAnsi="Arial"/>
                <w:sz w:val="14"/>
                <w:szCs w:val="14"/>
                <w:color w:val="auto"/>
              </w:rPr>
              <w:t>DBX</w:t>
            </w:r>
          </w:p>
        </w:tc>
        <w:tc>
          <w:tcPr>
            <w:tcW w:w="236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The NASDAQ Stock Market LLC</w:t>
            </w:r>
          </w:p>
        </w:tc>
      </w:tr>
      <w:tr>
        <w:trPr>
          <w:trHeight w:val="337"/>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(Nasdaq Global Select Market)</w:t>
            </w:r>
          </w:p>
        </w:tc>
      </w:tr>
    </w:tbl>
    <w:p>
      <w:pPr>
        <w:spacing w:after="0" w:line="37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6"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305" w:lineRule="exact"/>
        <w:rPr>
          <w:sz w:val="24"/>
          <w:szCs w:val="24"/>
          <w:color w:val="auto"/>
        </w:rPr>
      </w:pPr>
    </w:p>
    <w:p>
      <w:pPr>
        <w:ind w:right="260"/>
        <w:spacing w:after="0" w:line="26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ectPr>
          <w:pgSz w:w="11900" w:h="16838" w:orient="portrait"/>
          <w:cols w:equalWidth="0" w:num="1">
            <w:col w:w="11520"/>
          </w:cols>
          <w:pgMar w:left="240" w:top="220" w:right="139" w:bottom="1440" w:gutter="0" w:footer="0" w:header="0"/>
          <w:type w:val="continuous"/>
        </w:sectPr>
      </w:pPr>
    </w:p>
    <w:bookmarkStart w:id="1" w:name="page2"/>
    <w:bookmarkEnd w:id="1"/>
    <w:p>
      <w:pPr>
        <w:ind w:right="100"/>
        <w:spacing w:after="0" w:line="391"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260" w:lineRule="exact"/>
        <w:rPr>
          <w:sz w:val="20"/>
          <w:szCs w:val="20"/>
          <w:color w:val="auto"/>
        </w:rPr>
      </w:pPr>
    </w:p>
    <w:p>
      <w:pPr>
        <w:jc w:val="both"/>
        <w:spacing w:after="0" w:line="386" w:lineRule="auto"/>
        <w:rPr>
          <w:sz w:val="20"/>
          <w:szCs w:val="20"/>
          <w:color w:val="auto"/>
        </w:rPr>
      </w:pPr>
      <w:r>
        <w:rPr>
          <w:rFonts w:ascii="Arial" w:cs="Arial" w:eastAsia="Arial" w:hAnsi="Arial"/>
          <w:sz w:val="18"/>
          <w:szCs w:val="18"/>
          <w:color w:val="auto"/>
        </w:rPr>
        <w:t>On December 10, 2019, Dropbox, Inc. (“Dropbox”) announced that Yamini Rangan has decided to step down as Chief Customer Officer. Ms. Rangan will remain at Dropbox to help with the transition until January 3, 2020.</w:t>
      </w:r>
    </w:p>
    <w:p>
      <w:pPr>
        <w:spacing w:after="0" w:line="265" w:lineRule="exact"/>
        <w:rPr>
          <w:sz w:val="20"/>
          <w:szCs w:val="20"/>
          <w:color w:val="auto"/>
        </w:rPr>
      </w:pPr>
    </w:p>
    <w:p>
      <w:pPr>
        <w:jc w:val="both"/>
        <w:spacing w:after="0" w:line="434" w:lineRule="auto"/>
        <w:rPr>
          <w:sz w:val="20"/>
          <w:szCs w:val="20"/>
          <w:color w:val="auto"/>
        </w:rPr>
      </w:pPr>
      <w:r>
        <w:rPr>
          <w:rFonts w:ascii="Arial" w:cs="Arial" w:eastAsia="Arial" w:hAnsi="Arial"/>
          <w:sz w:val="16"/>
          <w:szCs w:val="16"/>
          <w:color w:val="auto"/>
        </w:rPr>
        <w:t>Ms. Rangan will receive a transition payment of $500,000. Quentin Clark, whose decision to step down was previously announced in a Current Report on Form 8-K filed on October 2, 2019 with his last day at the company January 3, 2020, will also receive a transition payment of $500,000. Both Ms. Rangan and Mr. Clark will execute a general release of claims in favor of Dropbox and its affiliates containing customary non-disparagement covenants.</w:t>
      </w:r>
    </w:p>
    <w:p>
      <w:pPr>
        <w:sectPr>
          <w:pgSz w:w="11900" w:h="16838" w:orient="portrait"/>
          <w:cols w:equalWidth="0" w:num="1">
            <w:col w:w="11120"/>
          </w:cols>
          <w:pgMar w:left="240" w:top="607" w:right="5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10, 2019</w:t>
      </w:r>
    </w:p>
    <w:p>
      <w:pPr>
        <w:spacing w:after="0" w:line="200" w:lineRule="exact"/>
        <w:rPr>
          <w:sz w:val="20"/>
          <w:szCs w:val="20"/>
          <w:color w:val="auto"/>
        </w:rPr>
      </w:pPr>
    </w:p>
    <w:p>
      <w:pPr>
        <w:spacing w:after="0" w:line="39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Dropbox, Inc.</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31750</wp:posOffset>
            </wp:positionV>
            <wp:extent cx="2827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56"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Bart Volkmer</w:t>
      </w:r>
    </w:p>
    <w:p>
      <w:pPr>
        <w:spacing w:after="0" w:line="6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General Counsel</w:t>
      </w:r>
    </w:p>
    <w:sectPr>
      <w:pgSz w:w="11900" w:h="16838" w:orient="portrait"/>
      <w:cols w:equalWidth="0" w:num="1">
        <w:col w:w="11260"/>
      </w:cols>
      <w:pgMar w:left="240" w:top="5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2019-12-10T15:20:22Z</dcterms:created>
  <dcterms:modified xsi:type="dcterms:W3CDTF">2019-12-10T15:20:22Z</dcterms:modified>
</cp:coreProperties>
</file>