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3097530</wp:posOffset>
            </wp:positionH>
            <wp:positionV relativeFrom="paragraph">
              <wp:posOffset>243840</wp:posOffset>
            </wp:positionV>
            <wp:extent cx="10623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u w:val="single" w:color="auto"/>
          <w:color w:val="auto"/>
        </w:rPr>
        <w:t>Form 8-K</w:t>
      </w:r>
    </w:p>
    <w:p>
      <w:pPr>
        <w:spacing w:after="0" w:line="200" w:lineRule="exact"/>
        <w:rPr>
          <w:sz w:val="24"/>
          <w:szCs w:val="24"/>
          <w:color w:val="auto"/>
        </w:rPr>
      </w:pPr>
    </w:p>
    <w:p>
      <w:pPr>
        <w:spacing w:after="0" w:line="24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February 20, 2020</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81280</wp:posOffset>
            </wp:positionV>
            <wp:extent cx="3143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110"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44450</wp:posOffset>
            </wp:positionV>
            <wp:extent cx="3143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7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34290</wp:posOffset>
            </wp:positionV>
            <wp:extent cx="3143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ectPr>
          <w:pgSz w:w="11900" w:h="16838" w:orient="portrait"/>
          <w:cols w:equalWidth="0" w:num="1">
            <w:col w:w="11520"/>
          </w:cols>
          <w:pgMar w:left="240" w:top="651" w:right="139" w:bottom="1440" w:gutter="0" w:footer="0" w:header="0"/>
        </w:sectPr>
      </w:pPr>
    </w:p>
    <w:p>
      <w:pPr>
        <w:spacing w:after="0" w:line="211"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86" w:lineRule="exact"/>
        <w:rPr>
          <w:sz w:val="24"/>
          <w:szCs w:val="24"/>
          <w:color w:val="auto"/>
        </w:rPr>
      </w:pPr>
    </w:p>
    <w:p>
      <w:pPr>
        <w:sectPr>
          <w:pgSz w:w="11900" w:h="16838" w:orient="portrait"/>
          <w:cols w:equalWidth="0" w:num="3">
            <w:col w:w="4660" w:space="720"/>
            <w:col w:w="2540" w:space="720"/>
            <w:col w:w="2880"/>
          </w:cols>
          <w:pgMar w:left="240" w:top="651" w:right="139" w:bottom="1440" w:gutter="0" w:footer="0" w:header="0"/>
          <w:type w:val="continuous"/>
        </w:sectPr>
      </w:pPr>
    </w:p>
    <w:p>
      <w:pPr>
        <w:jc w:val="center"/>
        <w:ind w:left="8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 R. S. Employer Identification No.)</w:t>
      </w:r>
    </w:p>
    <w:p>
      <w:pPr>
        <w:spacing w:after="0" w:line="50" w:lineRule="exact"/>
        <w:rPr>
          <w:sz w:val="24"/>
          <w:szCs w:val="24"/>
          <w:color w:val="auto"/>
        </w:rPr>
      </w:pPr>
    </w:p>
    <w:p>
      <w:pPr>
        <w:sectPr>
          <w:pgSz w:w="11900" w:h="16838" w:orient="portrait"/>
          <w:cols w:equalWidth="0" w:num="3">
            <w:col w:w="4000" w:space="720"/>
            <w:col w:w="2220" w:space="720"/>
            <w:col w:w="3860"/>
          </w:cols>
          <w:pgMar w:left="240" w:top="651" w:right="139" w:bottom="1440" w:gutter="0" w:footer="0" w:header="0"/>
          <w:type w:val="continuous"/>
        </w:sectPr>
      </w:pPr>
    </w:p>
    <w:p>
      <w:pPr>
        <w:ind w:left="184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520"/>
          </w:cols>
          <w:pgMar w:left="240" w:top="651" w:right="139" w:bottom="1440" w:gutter="0" w:footer="0" w:header="0"/>
          <w:type w:val="continuous"/>
        </w:sectPr>
      </w:pPr>
    </w:p>
    <w:p>
      <w:pPr>
        <w:spacing w:after="0" w:line="4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0" w:lineRule="exact"/>
        <w:rPr>
          <w:sz w:val="24"/>
          <w:szCs w:val="24"/>
          <w:color w:val="auto"/>
        </w:rPr>
      </w:pPr>
    </w:p>
    <w:p>
      <w:pPr>
        <w:ind w:right="24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8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100330</wp:posOffset>
            </wp:positionV>
            <wp:extent cx="634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pacing w:after="0" w:line="341"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72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4"/>
              </w:rPr>
              <w:t>Trading Symbol(s)</w:t>
            </w: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1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3740" w:type="dxa"/>
            <w:vAlign w:val="bottom"/>
            <w:gridSpan w:val="3"/>
          </w:tcPr>
          <w:p>
            <w:pPr>
              <w:jc w:val="center"/>
              <w:ind w:right="600"/>
              <w:spacing w:after="0"/>
              <w:rPr>
                <w:sz w:val="20"/>
                <w:szCs w:val="20"/>
                <w:color w:val="auto"/>
              </w:rPr>
            </w:pPr>
            <w:r>
              <w:rPr>
                <w:rFonts w:ascii="Arial" w:cs="Arial" w:eastAsia="Arial" w:hAnsi="Arial"/>
                <w:sz w:val="14"/>
                <w:szCs w:val="14"/>
                <w:color w:val="auto"/>
                <w:w w:val="92"/>
              </w:rPr>
              <w:t>Class A Common Stock, par value $0.00001 per share</w:t>
            </w:r>
          </w:p>
        </w:tc>
        <w:tc>
          <w:tcPr>
            <w:tcW w:w="600" w:type="dxa"/>
            <w:vAlign w:val="bottom"/>
          </w:tcPr>
          <w:p>
            <w:pPr>
              <w:spacing w:after="0"/>
              <w:rPr>
                <w:sz w:val="18"/>
                <w:szCs w:val="18"/>
                <w:color w:val="auto"/>
              </w:rPr>
            </w:pPr>
          </w:p>
        </w:tc>
        <w:tc>
          <w:tcPr>
            <w:tcW w:w="2700" w:type="dxa"/>
            <w:vAlign w:val="bottom"/>
            <w:gridSpan w:val="2"/>
          </w:tcPr>
          <w:p>
            <w:pPr>
              <w:jc w:val="center"/>
              <w:ind w:right="1540"/>
              <w:spacing w:after="0"/>
              <w:rPr>
                <w:sz w:val="20"/>
                <w:szCs w:val="20"/>
                <w:color w:val="auto"/>
              </w:rPr>
            </w:pPr>
            <w:r>
              <w:rPr>
                <w:rFonts w:ascii="Arial" w:cs="Arial" w:eastAsia="Arial" w:hAnsi="Arial"/>
                <w:sz w:val="14"/>
                <w:szCs w:val="14"/>
                <w:color w:val="auto"/>
              </w:rPr>
              <w:t>DBX</w:t>
            </w: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The NASDAQ Stock Market LLC</w:t>
            </w:r>
          </w:p>
        </w:tc>
      </w:tr>
      <w:tr>
        <w:trPr>
          <w:trHeight w:val="337"/>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(Nasdaq Global Select Market)</w:t>
            </w:r>
          </w:p>
        </w:tc>
      </w:tr>
    </w:tbl>
    <w:p>
      <w:pPr>
        <w:spacing w:after="0" w:line="33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97" w:lineRule="exact"/>
        <w:rPr>
          <w:sz w:val="24"/>
          <w:szCs w:val="24"/>
          <w:color w:val="auto"/>
        </w:rPr>
      </w:pPr>
    </w:p>
    <w:p>
      <w:pPr>
        <w:ind w:right="260"/>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520"/>
          </w:cols>
          <w:pgMar w:left="240" w:top="651"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February 20, 2020, Dropbox, Inc. (“Dropbox”) issued a press release and will hold a conference call announcing its financial results for the quarter and fiscal year ended December 31, 2019. A copy of the press release is attached as Exhibit 99.1 to this current report on Form 8-K and is incorporated by reference herein.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February 20, 2020,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83"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99"/>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entitled "Dropbox Announces Fourth Quarter and Fiscal 2019 Results" dated February 20, 2020</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9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2019</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31750</wp:posOffset>
            </wp:positionV>
            <wp:extent cx="282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Ajay Vashee</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60"/>
          </w:cols>
          <w:pgMar w:left="240" w:top="553" w:right="3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Dropbox Announces Fourth Quarter and Fiscal 2019 Results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Fourth Quarter Revenue of $446.0 Million, Up 19% Year-over-year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Net Cash Provided by Operating Activities of $186.8 Million and Free Cash Flow of $161.3 Million</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Fiscal 2019 Revenue of $1.661 Billion, Up 19% Year-over-year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Net Cash Provided by Operating Activities of $528.5 Million and Free Cash Flow of $392.4 Million</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Board of Directors authorized Dropbox to repurchase up to $600 Million of its Class A shares</w:t>
      </w:r>
    </w:p>
    <w:p>
      <w:pPr>
        <w:spacing w:after="0" w:line="221"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February 20, 2020 - Dropbox, Inc. (NASDAQ: DBX), the world's first smart workspace, today announced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its fourth quarter and fiscal year ended December 31, 2019.</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strong Q4 marked the end of an exciting year for Dropbox as we launched our vision for the smart workspace,” said Dropbox Co-founder and Chief Executive Officer Drew Houston. “We closed the year with more than $1.6 billion in revenue, over 450,000 Dropbox business teams, and millions of people using our new foreground app that keeps Dropbox at the center of our users' workflows. Moving into 2020, I’m confident in the team we have on board and the opportunity ahead.”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2019 Results</w:t>
      </w:r>
    </w:p>
    <w:p>
      <w:pPr>
        <w:spacing w:after="0" w:line="229" w:lineRule="exact"/>
        <w:rPr>
          <w:sz w:val="20"/>
          <w:szCs w:val="20"/>
          <w:color w:val="auto"/>
        </w:rPr>
      </w:pPr>
    </w:p>
    <w:p>
      <w:pPr>
        <w:ind w:left="660" w:right="300" w:hanging="328"/>
        <w:spacing w:after="0" w:line="28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 was $446.0 million, an increase of 19% from the same period last year. On a constant currency basis, year-over-year growth would have been 20%.</w:t>
      </w:r>
      <w:r>
        <w:rPr>
          <w:rFonts w:ascii="Arial" w:cs="Arial" w:eastAsia="Arial" w:hAnsi="Arial"/>
          <w:sz w:val="25"/>
          <w:szCs w:val="25"/>
          <w:color w:val="auto"/>
          <w:vertAlign w:val="superscript"/>
        </w:rPr>
        <w:t>(1)</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recurring revenue ended at $1.820 billion, an increase of 19% from the end of the prior year.</w:t>
      </w:r>
      <w:r>
        <w:rPr>
          <w:rFonts w:ascii="Arial" w:cs="Arial" w:eastAsia="Arial" w:hAnsi="Arial"/>
          <w:sz w:val="25"/>
          <w:szCs w:val="25"/>
          <w:color w:val="auto"/>
          <w:vertAlign w:val="superscript"/>
        </w:rPr>
        <w:t>(2)</w:t>
      </w:r>
    </w:p>
    <w:p>
      <w:pPr>
        <w:spacing w:after="0" w:line="14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Paying users ended at 14.3 million, as compared to 12.7 million as of the end of the prior year. Average revenue per paying user was $125.00, as compared to $119.61 for the same period last year.</w:t>
      </w:r>
    </w:p>
    <w:p>
      <w:pPr>
        <w:spacing w:after="0" w:line="16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gross margin was 76.5%, as compared to 74.9% in the same period last year. Non-GAAP gross margin was 77.6%, as compared to 75.7% in the same period last year.</w:t>
      </w:r>
    </w:p>
    <w:p>
      <w:pPr>
        <w:spacing w:after="0" w:line="16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margin was (1.5%), as compared to (3.2%) in the same period last year. Non-GAAP operating margin was 15.6%, as compared to 11.0% in the same period last year.</w:t>
      </w:r>
    </w:p>
    <w:p>
      <w:pPr>
        <w:spacing w:after="0" w:line="169"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net loss was ($6.6) million, as compared to ($9.5) million in the same period last year. Non-GAAP net income was $67.4 million, as compared to $42.3 million in the same period last year.</w:t>
      </w:r>
    </w:p>
    <w:p>
      <w:pPr>
        <w:spacing w:after="0" w:line="169"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cash provided by operating activities was $186.8 million, as compared to $123.7 million in the same period last year. Free cash flow was $161.3 million, as compared to $88.3 million in the same period last year.</w:t>
      </w:r>
    </w:p>
    <w:p>
      <w:pPr>
        <w:spacing w:after="0" w:line="16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basic and diluted net loss per share was ($0.02), as compared to ($0.02) in the same period last year. Non-GAAP diluted net income per share was $0.16, as compared to $0.10 in the same period last year.</w:t>
      </w:r>
      <w:r>
        <w:rPr>
          <w:rFonts w:ascii="Arial" w:cs="Arial" w:eastAsia="Arial" w:hAnsi="Arial"/>
          <w:sz w:val="25"/>
          <w:szCs w:val="25"/>
          <w:color w:val="auto"/>
          <w:vertAlign w:val="superscript"/>
        </w:rPr>
        <w:t>(3)</w:t>
      </w:r>
    </w:p>
    <w:p>
      <w:pPr>
        <w:spacing w:after="0" w:line="68"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cash equivalents and short-term investments were $1.159 billion at the end of the fourth quarter of 2019, as compared to $1.089 billion at the end of the fourth quarter of last year.</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2019 Results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was $1.661 billion, an increase of 19% year over year. On a constant currency basis, year-over-year growth would have been 21%.</w:t>
      </w:r>
      <w:r>
        <w:rPr>
          <w:rFonts w:ascii="Arial" w:cs="Arial" w:eastAsia="Arial" w:hAnsi="Arial"/>
          <w:sz w:val="22"/>
          <w:szCs w:val="22"/>
          <w:color w:val="auto"/>
          <w:vertAlign w:val="superscript"/>
        </w:rPr>
        <w:t>(1)</w:t>
      </w:r>
    </w:p>
    <w:p>
      <w:pPr>
        <w:spacing w:after="0" w:line="17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revenue per paying user was $123.07, as compared to $117.64 in the prior year.</w:t>
      </w:r>
    </w:p>
    <w:p>
      <w:pPr>
        <w:spacing w:after="0" w:line="22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gross margin was 75.3%, as compared to 71.6% in the prior year. Non-GAAP gross margin was 76.4%, as compared to 75.1% in the prior year.</w:t>
      </w:r>
    </w:p>
    <w:p>
      <w:pPr>
        <w:sectPr>
          <w:pgSz w:w="11900" w:h="16838" w:orient="portrait"/>
          <w:cols w:equalWidth="0" w:num="1">
            <w:col w:w="11380"/>
          </w:cols>
          <w:pgMar w:left="240" w:top="553" w:right="279" w:bottom="1440" w:gutter="0" w:footer="0" w:header="0"/>
        </w:sectPr>
      </w:pPr>
    </w:p>
    <w:bookmarkStart w:id="4" w:name="page5"/>
    <w:bookmarkEnd w:id="4"/>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operating margin was (4.8%), as compared to (35.5%) in the prior year. Non-GAAP operating margin was 12.3%, as compared to 12.2% in the prior year.</w:t>
      </w:r>
    </w:p>
    <w:p>
      <w:pPr>
        <w:spacing w:after="0" w:line="169"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loss was ($52.7) million, as compared to ($484.9) million in the prior year. Non-GAAP net income was $207.0 million, as compared to $166.2 million in the prior year.</w:t>
      </w:r>
    </w:p>
    <w:p>
      <w:pPr>
        <w:spacing w:after="0" w:line="16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was $528.5 million, as compared to $425.4 million in the prior year. Free cash flow was $392.4 million as compared to $362.4 million in the prior year.</w:t>
      </w:r>
    </w:p>
    <w:p>
      <w:pPr>
        <w:spacing w:after="0" w:line="16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basic and diluted net loss per share was ($0.13), as compared to ($1.35) in the prior year. Non-GAAP diluted net income per share was $0.50, as compared to $0.41 in the prior year.</w:t>
      </w:r>
      <w:r>
        <w:rPr>
          <w:rFonts w:ascii="Arial" w:cs="Arial" w:eastAsia="Arial" w:hAnsi="Arial"/>
          <w:sz w:val="25"/>
          <w:szCs w:val="25"/>
          <w:color w:val="auto"/>
          <w:vertAlign w:val="superscript"/>
        </w:rPr>
        <w:t>(4)</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Authorization</w:t>
      </w:r>
    </w:p>
    <w:p>
      <w:pPr>
        <w:spacing w:after="0" w:line="229" w:lineRule="exact"/>
        <w:rPr>
          <w:sz w:val="20"/>
          <w:szCs w:val="20"/>
          <w:color w:val="auto"/>
        </w:rPr>
      </w:pPr>
    </w:p>
    <w:p>
      <w:pPr>
        <w:ind w:left="660" w:right="300" w:hanging="328"/>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On February 19, 2020, the Board of Directors authorized the company to repurchase up to $600 million of its Class A shares. The repurchase is expected to be executed, subject to general business and market conditions and other investment opportunities, through open market purchases or privately negotiated transactions, including through Rule 10b5-1 plans.</w:t>
      </w:r>
    </w:p>
    <w:p>
      <w:pPr>
        <w:spacing w:after="0" w:line="260"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198" w:lineRule="exact"/>
        <w:rPr>
          <w:rFonts w:ascii="Arial" w:cs="Arial" w:eastAsia="Arial" w:hAnsi="Arial"/>
          <w:sz w:val="21"/>
          <w:szCs w:val="21"/>
          <w:color w:val="auto"/>
          <w:vertAlign w:val="superscript"/>
        </w:rPr>
      </w:pPr>
    </w:p>
    <w:p>
      <w:pPr>
        <w:ind w:right="160" w:firstLine="8"/>
        <w:spacing w:after="0" w:line="594"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w:t>
      </w:r>
    </w:p>
    <w:p>
      <w:pPr>
        <w:spacing w:after="0" w:line="18" w:lineRule="exact"/>
        <w:rPr>
          <w:rFonts w:ascii="Arial" w:cs="Arial" w:eastAsia="Arial" w:hAnsi="Arial"/>
          <w:sz w:val="20"/>
          <w:szCs w:val="20"/>
          <w:color w:val="auto"/>
          <w:vertAlign w:val="superscript"/>
        </w:rPr>
      </w:pPr>
    </w:p>
    <w:p>
      <w:pPr>
        <w:ind w:right="340" w:firstLine="8"/>
        <w:spacing w:after="0" w:line="308"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3"/>
          <w:szCs w:val="13"/>
          <w:color w:val="auto"/>
        </w:rPr>
        <w:t>Non-GAAP diluted net income (loss) per share is calculated based upon 417.9 million and 416.3 million diluted weighted-average shares of common stock for the three months ended December 31, 2019 and 2018, respectively.</w:t>
      </w:r>
    </w:p>
    <w:p>
      <w:pPr>
        <w:spacing w:after="0" w:line="160" w:lineRule="exact"/>
        <w:rPr>
          <w:rFonts w:ascii="Arial" w:cs="Arial" w:eastAsia="Arial" w:hAnsi="Arial"/>
          <w:sz w:val="20"/>
          <w:szCs w:val="20"/>
          <w:color w:val="auto"/>
          <w:vertAlign w:val="superscript"/>
        </w:rPr>
      </w:pPr>
    </w:p>
    <w:p>
      <w:pPr>
        <w:ind w:firstLine="8"/>
        <w:spacing w:after="0" w:line="308"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3"/>
          <w:szCs w:val="13"/>
          <w:color w:val="auto"/>
        </w:rPr>
        <w:t>Non-GAAP diluted net income (loss) per share is calculated based upon 416.6 million and 409.8 million diluted weighted-average shares of common stock for the fiscal year ended December 31, 2019 and 2018, respectively.</w:t>
      </w:r>
    </w:p>
    <w:p>
      <w:pPr>
        <w:sectPr>
          <w:pgSz w:w="11900" w:h="16838" w:orient="portrait"/>
          <w:cols w:equalWidth="0" w:num="1">
            <w:col w:w="11420"/>
          </w:cols>
          <w:pgMar w:left="240" w:top="55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Dropbox will provide forward-looking guidance in connection with this quarterly earnings announcement on our conference call, webcast, and on our investor relations website at investors.dropbox.com.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Dropbox plans to host a conference call today to review its fourth quarter and fiscal 2019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investors.dropbox.com. Following the completion of the call, a telephonic replay will be available through 11:59 PM Eastern Time on February 27, 2020 at (855) 859-2056 from the United States or (404) 537-3406 internationally with recording access code 3975989.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Drew Houston, Co-founder and Chief Executive Officer, and Ajay Vashee, Chief Financial Officer, will be presenting at the JMP Securities 2020 Technology Conference in San Francisco, CA, on Tuesday, February 25, 2020 at 2:30 p.m. PT. At that time, a live webcast will be accessible from the Dropbox investor relations website at http://investors.dropbox.com. Following the event, a replay will be made available at the same location.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Dropbox is the world's first smart workspace that helps people and teams focus on the work that matters. With more than 600 million registered users across 180 countries, we're on a mission to design a more enlightened way of working. Dropbox is headquartered in San Francisco, CA, and has 12 offices around the world. For more information on our mission and products, visit dropbox.com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among other things, statements regarding Dropbox's strategies and new products and features, future financial and operational performance as well as trends in our business, the demand for and engagement with our platform and product features, and the benefits from new product experiences and acquisitions.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 (iii) our revenue growth rate; (iv) our history of net losses and our ability to achieve or maintain profitability; (v) our liability for any unauthorized access to our data or our users’ content, including through privacy and data security breaches; (vi) significant disruption of service on our platform or loss of content; (vii) any decline in demand for our platform or for content collaboration solutions in general; (viii) changes in the interoperability of our platform across devices, operating systems, and third-party applications that we do not control; (ix) competition in our markets; (x) our ability to respond to rapid technological changes, extend our platform, develop new features or products, or gain market acceptance for such new features or products; (xi) our ability to manage our growth or plan for future growth; (xii) our acquisition of other businesses and the potential of such acquisitions to require significant management attention, disrupt our business, or dilute stockholder value; and (xiii)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September 30, 2019. Additional</w:t>
      </w:r>
    </w:p>
    <w:p>
      <w:pPr>
        <w:sectPr>
          <w:pgSz w:w="11900" w:h="16838" w:orient="portrait"/>
          <w:cols w:equalWidth="0" w:num="1">
            <w:col w:w="11420"/>
          </w:cols>
          <w:pgMar w:left="240" w:top="553" w:right="23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t>information will be made available in our annual report on Form 10-K and other future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300"/>
          </w:cols>
          <w:pgMar w:left="240" w:top="557"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w w:val="99"/>
              </w:rPr>
              <w:t>December 31,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1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1,330.8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3"/>
              </w:rPr>
              <w:t>Net loss per share attributable to common stockholders,</w:t>
            </w:r>
          </w:p>
        </w:tc>
        <w:tc>
          <w:tcPr>
            <w:tcW w:w="1140" w:type="dxa"/>
            <w:vAlign w:val="bottom"/>
            <w:vMerge w:val="restart"/>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w w:val="91"/>
              </w:rPr>
              <w:t>Weighted-average shares used in computing net loss per</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w w:val="94"/>
              </w:rPr>
              <w:t>share attributable to common stockholders, basic and</w:t>
            </w:r>
          </w:p>
        </w:tc>
        <w:tc>
          <w:tcPr>
            <w:tcW w:w="1140" w:type="dxa"/>
            <w:vAlign w:val="bottom"/>
          </w:tcPr>
          <w:p>
            <w:pPr>
              <w:spacing w:after="0"/>
              <w:rPr>
                <w:sz w:val="18"/>
                <w:szCs w:val="18"/>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color w:val="auto"/>
              </w:rPr>
              <w:t>415.4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Includes stock-based compensation expense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Twelve Months Ended</w:t>
            </w:r>
          </w:p>
        </w:tc>
        <w:tc>
          <w:tcPr>
            <w:tcW w:w="6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88"/>
              </w:rPr>
              <w:t>December 31,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December 31,</w:t>
            </w:r>
          </w:p>
        </w:tc>
        <w:tc>
          <w:tcPr>
            <w:tcW w:w="6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6"/>
        </w:trPr>
        <w:tc>
          <w:tcPr>
            <w:tcW w:w="42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368.2</w:t>
            </w: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140.6</w:t>
            </w:r>
          </w:p>
        </w:tc>
      </w:tr>
    </w:tbl>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2019</w:t>
            </w: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1,210.2</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Finance lease obligation</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Finance lease obligation, non-current</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non-current liabilities</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1,890.8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2,531.3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2,699.2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right="120" w:firstLine="8"/>
        <w:spacing w:after="0" w:line="252" w:lineRule="auto"/>
        <w:tabs>
          <w:tab w:leader="none" w:pos="192"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As of December 31, 2018 the Company had non-current deferred rent of $81.0 million. As of December 31, 2019, deferred rent is now included in the determination of the Company's operating lease right-of-use asset due to the adoption of ASC 842.</w:t>
      </w:r>
    </w:p>
    <w:p>
      <w:pPr>
        <w:sectPr>
          <w:pgSz w:w="11900" w:h="16838" w:orient="portrait"/>
          <w:cols w:equalWidth="0" w:num="1">
            <w:col w:w="11420"/>
          </w:cols>
          <w:pgMar w:left="240" w:top="55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tcPr>
          <w:p>
            <w:pPr>
              <w:spacing w:after="0"/>
              <w:rPr>
                <w:sz w:val="17"/>
                <w:szCs w:val="17"/>
                <w:color w:val="auto"/>
              </w:rPr>
            </w:pPr>
          </w:p>
        </w:tc>
        <w:tc>
          <w:tcPr>
            <w:tcW w:w="280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auto"/>
                <w:w w:val="93"/>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center"/>
              <w:ind w:right="259"/>
              <w:spacing w:after="0"/>
              <w:rPr>
                <w:sz w:val="20"/>
                <w:szCs w:val="20"/>
                <w:color w:val="auto"/>
              </w:rPr>
            </w:pPr>
            <w:r>
              <w:rPr>
                <w:rFonts w:ascii="Arial" w:cs="Arial" w:eastAsia="Arial" w:hAnsi="Arial"/>
                <w:sz w:val="16"/>
                <w:szCs w:val="16"/>
                <w:b w:val="1"/>
                <w:bCs w:val="1"/>
                <w:color w:val="auto"/>
                <w:w w:val="92"/>
              </w:rPr>
              <w:t>Twelve Months Ended</w:t>
            </w:r>
          </w:p>
        </w:tc>
      </w:tr>
      <w:tr>
        <w:trPr>
          <w:trHeight w:val="210"/>
        </w:trPr>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gridSpan w:val="3"/>
          </w:tcPr>
          <w:p>
            <w:pPr>
              <w:jc w:val="center"/>
              <w:ind w:right="379"/>
              <w:spacing w:after="0"/>
              <w:rPr>
                <w:sz w:val="20"/>
                <w:szCs w:val="20"/>
                <w:color w:val="auto"/>
              </w:rPr>
            </w:pPr>
            <w:r>
              <w:rPr>
                <w:rFonts w:ascii="Arial" w:cs="Arial" w:eastAsia="Arial" w:hAnsi="Arial"/>
                <w:sz w:val="16"/>
                <w:szCs w:val="16"/>
                <w:b w:val="1"/>
                <w:bCs w:val="1"/>
                <w:color w:val="auto"/>
                <w:w w:val="92"/>
              </w:rPr>
              <w:t>December 31,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92"/>
              </w:rPr>
              <w:t>December 31,</w:t>
            </w:r>
          </w:p>
        </w:tc>
        <w:tc>
          <w:tcPr>
            <w:tcW w:w="104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(484.9)</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9"/>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Adjustments to reconcile net loss to net cash provided by operating</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166.8</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650.1</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Amortization of deferred commissions</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23"/>
        </w:trPr>
        <w:tc>
          <w:tcPr>
            <w:tcW w:w="468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6"/>
        </w:trPr>
        <w:tc>
          <w:tcPr>
            <w:tcW w:w="4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 and other receivables, net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and other 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Accrued compensation and benefits</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w:t>
            </w:r>
          </w:p>
        </w:tc>
      </w:tr>
      <w:tr>
        <w:trPr>
          <w:trHeight w:val="237"/>
        </w:trPr>
        <w:tc>
          <w:tcPr>
            <w:tcW w:w="4680" w:type="dxa"/>
            <w:vAlign w:val="bottom"/>
          </w:tcPr>
          <w:p>
            <w:pPr>
              <w:ind w:left="280"/>
              <w:spacing w:after="0"/>
              <w:rPr>
                <w:sz w:val="20"/>
                <w:szCs w:val="20"/>
                <w:color w:val="auto"/>
              </w:rPr>
            </w:pPr>
            <w:r>
              <w:rPr>
                <w:rFonts w:ascii="Arial" w:cs="Arial" w:eastAsia="Arial" w:hAnsi="Arial"/>
                <w:sz w:val="16"/>
                <w:szCs w:val="16"/>
                <w:color w:val="auto"/>
              </w:rPr>
              <w:t>Non-current liabilities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Tenant improvement allowance reimbursement</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528.5</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425.4</w:t>
            </w:r>
          </w:p>
        </w:tc>
      </w:tr>
      <w:tr>
        <w:trPr>
          <w:trHeight w:val="33"/>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3"/>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investing activities</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46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bl>
    <w:p>
      <w:pPr>
        <w:spacing w:after="0" w:line="17" w:lineRule="exact"/>
        <w:rPr>
          <w:sz w:val="20"/>
          <w:szCs w:val="20"/>
          <w:color w:val="auto"/>
        </w:rPr>
      </w:pPr>
    </w:p>
    <w:p>
      <w:pPr>
        <w:sectPr>
          <w:pgSz w:w="11900" w:h="16838" w:orient="portrait"/>
          <w:cols w:equalWidth="0" w:num="1">
            <w:col w:w="11420"/>
          </w:cols>
          <w:pgMar w:left="240" w:top="557" w:right="239" w:bottom="1440" w:gutter="0" w:footer="0" w:header="0"/>
        </w:sectPr>
      </w:pPr>
    </w:p>
    <w:p>
      <w:pPr>
        <w:ind w:left="2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Business combinations, net of cash acquired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short-term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sales of short-term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maturities of short-term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 from financing activities</w:t>
      </w:r>
    </w:p>
    <w:p>
      <w:pPr>
        <w:spacing w:after="0" w:line="103" w:lineRule="exact"/>
        <w:rPr>
          <w:sz w:val="20"/>
          <w:szCs w:val="20"/>
          <w:color w:val="auto"/>
        </w:rPr>
      </w:pPr>
    </w:p>
    <w:p>
      <w:pPr>
        <w:ind w:left="280"/>
        <w:spacing w:after="0" w:line="292" w:lineRule="auto"/>
        <w:rPr>
          <w:sz w:val="20"/>
          <w:szCs w:val="20"/>
          <w:color w:val="auto"/>
        </w:rPr>
      </w:pPr>
      <w:r>
        <w:rPr>
          <w:rFonts w:ascii="Arial" w:cs="Arial" w:eastAsia="Arial" w:hAnsi="Arial"/>
          <w:sz w:val="16"/>
          <w:szCs w:val="16"/>
          <w:color w:val="auto"/>
        </w:rPr>
        <w:t>Proceeds from initial public offering and private placement, net of underwriters' discounts and commissions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deferred offering costs</w:t>
      </w:r>
    </w:p>
    <w:p>
      <w:pPr>
        <w:spacing w:after="0" w:line="86" w:lineRule="exact"/>
        <w:rPr>
          <w:sz w:val="20"/>
          <w:szCs w:val="20"/>
          <w:color w:val="auto"/>
        </w:rPr>
      </w:pPr>
    </w:p>
    <w:p>
      <w:pPr>
        <w:ind w:left="280" w:right="160"/>
        <w:spacing w:after="0" w:line="292" w:lineRule="auto"/>
        <w:rPr>
          <w:sz w:val="20"/>
          <w:szCs w:val="20"/>
          <w:color w:val="auto"/>
        </w:rPr>
      </w:pPr>
      <w:r>
        <w:rPr>
          <w:rFonts w:ascii="Arial" w:cs="Arial" w:eastAsia="Arial" w:hAnsi="Arial"/>
          <w:sz w:val="16"/>
          <w:szCs w:val="16"/>
          <w:color w:val="auto"/>
        </w:rPr>
        <w:t>Shares repurchased for tax withholdings on release of restricted stock</w:t>
      </w:r>
    </w:p>
    <w:p>
      <w:pPr>
        <w:spacing w:after="0" w:line="11" w:lineRule="exact"/>
        <w:rPr>
          <w:sz w:val="20"/>
          <w:szCs w:val="20"/>
          <w:color w:val="auto"/>
        </w:rPr>
      </w:pPr>
    </w:p>
    <w:p>
      <w:pPr>
        <w:ind w:left="280" w:right="340"/>
        <w:spacing w:after="0" w:line="344" w:lineRule="auto"/>
        <w:rPr>
          <w:sz w:val="20"/>
          <w:szCs w:val="20"/>
          <w:color w:val="auto"/>
        </w:rPr>
      </w:pPr>
      <w:r>
        <w:rPr>
          <w:rFonts w:ascii="Arial" w:cs="Arial" w:eastAsia="Arial" w:hAnsi="Arial"/>
          <w:sz w:val="16"/>
          <w:szCs w:val="16"/>
          <w:color w:val="auto"/>
        </w:rPr>
        <w:t>Proceeds from issuance of common stock, net of repurchases Principal payments on finance lease obligations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70"/>
        </w:trPr>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(186.1)</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(775.4)</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(850.4)</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23"/>
                <w:szCs w:val="23"/>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456.1</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71.2</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3"/>
                <w:szCs w:val="23"/>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212.4</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62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(633.8)</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689"/>
        </w:trPr>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746.6</w:t>
            </w:r>
          </w:p>
        </w:tc>
      </w:tr>
      <w:tr>
        <w:trPr>
          <w:trHeight w:val="270"/>
        </w:trPr>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459"/>
        </w:trPr>
        <w:tc>
          <w:tcPr>
            <w:tcW w:w="162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(351.9)</w:t>
            </w:r>
          </w:p>
        </w:tc>
      </w:tr>
      <w:tr>
        <w:trPr>
          <w:trHeight w:val="270"/>
        </w:trPr>
        <w:tc>
          <w:tcPr>
            <w:tcW w:w="16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(109.1)</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-2625090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-2282825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-1939925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-1597660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-1246505</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-783590</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-321310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4560" w:space="120"/>
            <w:col w:w="674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300.8</w:t>
            </w:r>
          </w:p>
        </w:tc>
      </w:tr>
      <w:tr>
        <w:trPr>
          <w:trHeight w:val="217"/>
        </w:trPr>
        <w:tc>
          <w:tcPr>
            <w:tcW w:w="46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4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and cash equivalents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w:t>
            </w: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6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443.2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536.2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519.3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430.0</w:t>
            </w:r>
          </w:p>
        </w:tc>
      </w:tr>
      <w:tr>
        <w:trPr>
          <w:trHeight w:val="33"/>
        </w:trPr>
        <w:tc>
          <w:tcPr>
            <w:tcW w:w="4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equivalents—end of period</w:t>
            </w: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551.3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519.3</w:t>
            </w:r>
          </w:p>
        </w:tc>
      </w:tr>
      <w:tr>
        <w:trPr>
          <w:trHeight w:val="263"/>
        </w:trPr>
        <w:tc>
          <w:tcPr>
            <w:tcW w:w="468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data:</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3"/>
        </w:trPr>
        <w:tc>
          <w:tcPr>
            <w:tcW w:w="4680" w:type="dxa"/>
            <w:vAlign w:val="bottom"/>
          </w:tcPr>
          <w:p>
            <w:pPr>
              <w:ind w:left="280"/>
              <w:spacing w:after="0"/>
              <w:rPr>
                <w:sz w:val="20"/>
                <w:szCs w:val="20"/>
                <w:color w:val="auto"/>
              </w:rPr>
            </w:pPr>
            <w:r>
              <w:rPr>
                <w:rFonts w:ascii="Arial" w:cs="Arial" w:eastAsia="Arial" w:hAnsi="Arial"/>
                <w:sz w:val="16"/>
                <w:szCs w:val="16"/>
                <w:color w:val="auto"/>
              </w:rPr>
              <w:t>Property and equipment acquired under finance leases</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9"/>
                <w:szCs w:val="19"/>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98.5</w:t>
            </w:r>
          </w:p>
        </w:tc>
      </w:tr>
      <w:tr>
        <w:trPr>
          <w:trHeight w:val="33"/>
        </w:trPr>
        <w:tc>
          <w:tcPr>
            <w:tcW w:w="46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57"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December 31, 2019</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Stock-based</w:t>
            </w:r>
          </w:p>
        </w:tc>
        <w:tc>
          <w:tcPr>
            <w:tcW w:w="12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Acquisition-related</w:t>
            </w:r>
          </w:p>
        </w:tc>
        <w:tc>
          <w:tcPr>
            <w:tcW w:w="20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Intangibles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GAAP</w:t>
            </w:r>
          </w:p>
        </w:tc>
        <w:tc>
          <w:tcPr>
            <w:tcW w:w="22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compensation</w:t>
            </w: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and other expenses</w:t>
            </w:r>
          </w:p>
        </w:tc>
        <w:tc>
          <w:tcPr>
            <w:tcW w:w="20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amortization</w:t>
            </w:r>
          </w:p>
        </w:tc>
        <w:tc>
          <w:tcPr>
            <w:tcW w:w="28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Non-GAAP</w:t>
            </w:r>
          </w:p>
        </w:tc>
      </w:tr>
      <w:tr>
        <w:trPr>
          <w:trHeight w:val="27"/>
        </w:trPr>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ind w:left="12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346.0</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76.5 %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ind w:left="12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0.2 %</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132.3</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i w:val="1"/>
                <w:iCs w:val="1"/>
                <w:color w:val="auto"/>
                <w:w w:val="95"/>
              </w:rPr>
              <w:t>Research and development margin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97.1</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ind w:left="12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47.1</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i w:val="1"/>
                <w:iCs w:val="1"/>
                <w:color w:val="auto"/>
                <w:w w:val="97"/>
              </w:rPr>
              <w:t>General and administrative margin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69.5</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0.5 %</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December 31, 2018</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GAAP</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Stock-based compensation</w:t>
            </w:r>
          </w:p>
        </w:tc>
        <w:tc>
          <w:tcPr>
            <w:tcW w:w="460" w:type="dxa"/>
            <w:vAlign w:val="bottom"/>
          </w:tcPr>
          <w:p>
            <w:pPr>
              <w:spacing w:after="0"/>
              <w:rPr>
                <w:sz w:val="20"/>
                <w:szCs w:val="20"/>
                <w:color w:val="auto"/>
              </w:rPr>
            </w:pPr>
          </w:p>
        </w:tc>
        <w:tc>
          <w:tcPr>
            <w:tcW w:w="2040" w:type="dxa"/>
            <w:vAlign w:val="bottom"/>
          </w:tcPr>
          <w:p>
            <w:pPr>
              <w:jc w:val="right"/>
              <w:ind w:right="71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5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3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7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420"/>
          </w:cols>
          <w:pgMar w:left="240" w:top="54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Twelve Months Ended December 31, 2019</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Stock-based</w:t>
            </w:r>
          </w:p>
        </w:tc>
        <w:tc>
          <w:tcPr>
            <w:tcW w:w="1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Acquisition-related</w:t>
            </w:r>
          </w:p>
        </w:tc>
        <w:tc>
          <w:tcPr>
            <w:tcW w:w="2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Intangibles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compensation</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and other expenses</w:t>
            </w: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amortization</w:t>
            </w:r>
          </w:p>
        </w:tc>
        <w:tc>
          <w:tcPr>
            <w:tcW w:w="2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391.8</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1,269.5</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500.0</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386.9</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177.6</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205.0</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Twelve Months Ended December 31, 2018</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Employer payroll related</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Stock-based</w:t>
            </w:r>
          </w:p>
        </w:tc>
        <w:tc>
          <w:tcPr>
            <w:tcW w:w="2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to the release of two-tier</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GAAP</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compensation</w:t>
            </w:r>
          </w:p>
        </w:tc>
        <w:tc>
          <w:tcPr>
            <w:tcW w:w="460" w:type="dxa"/>
            <w:vAlign w:val="bottom"/>
          </w:tcPr>
          <w:p>
            <w:pPr>
              <w:spacing w:after="0"/>
              <w:rPr>
                <w:sz w:val="20"/>
                <w:szCs w:val="20"/>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RSUs</w:t>
            </w:r>
          </w:p>
        </w:tc>
        <w:tc>
          <w:tcPr>
            <w:tcW w:w="32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346.6</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1,045.1</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391.7</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343.1</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140.3</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3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(494.0)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170.0</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46.7 %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20"/>
          </w:cols>
          <w:pgMar w:left="240" w:top="54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and twelve months ended December 31, 2019 and 2018</w:t>
      </w:r>
    </w:p>
    <w:p>
      <w:pPr>
        <w:jc w:val="center"/>
        <w:spacing w:after="0"/>
        <w:rPr>
          <w:sz w:val="20"/>
          <w:szCs w:val="20"/>
          <w:color w:val="auto"/>
        </w:rPr>
      </w:pPr>
      <w:r>
        <w:rPr>
          <w:rFonts w:ascii="Arial" w:cs="Arial" w:eastAsia="Arial" w:hAnsi="Arial"/>
          <w:sz w:val="20"/>
          <w:szCs w:val="20"/>
          <w:b w:val="1"/>
          <w:bCs w:val="1"/>
          <w:color w:val="auto"/>
        </w:rPr>
        <w:t>Reconciliation of GAAP net loss to Non-GAAP net income and Non-GAAP diluted net income per share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4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December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7"/>
              </w:rPr>
              <w:t>Twelve Months Ended December 31,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loss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and other expenses</w:t>
            </w: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w w:val="97"/>
              </w:rPr>
              <w:t>Amortization of acquired intangible assets</w:t>
            </w:r>
          </w:p>
        </w:tc>
        <w:tc>
          <w:tcPr>
            <w:tcW w:w="13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losses (gains) on equity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320" w:type="dxa"/>
            <w:vAlign w:val="bottom"/>
          </w:tcPr>
          <w:p>
            <w:pPr>
              <w:ind w:left="40"/>
              <w:spacing w:after="0"/>
              <w:rPr>
                <w:sz w:val="20"/>
                <w:szCs w:val="20"/>
                <w:color w:val="auto"/>
              </w:rPr>
            </w:pPr>
            <w:r>
              <w:rPr>
                <w:rFonts w:ascii="Arial" w:cs="Arial" w:eastAsia="Arial" w:hAnsi="Arial"/>
                <w:sz w:val="18"/>
                <w:szCs w:val="18"/>
                <w:color w:val="auto"/>
                <w:w w:val="91"/>
              </w:rPr>
              <w:t>Employer payroll taxes related to the release</w:t>
            </w: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of two-tier RSUs</w:t>
            </w:r>
          </w:p>
        </w:tc>
        <w:tc>
          <w:tcPr>
            <w:tcW w:w="13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effects of non-GAAP</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97"/>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diluted net income per share</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40"/>
              <w:spacing w:after="0"/>
              <w:rPr>
                <w:sz w:val="20"/>
                <w:szCs w:val="20"/>
                <w:color w:val="auto"/>
              </w:rPr>
            </w:pPr>
            <w:r>
              <w:rPr>
                <w:rFonts w:ascii="Arial" w:cs="Arial" w:eastAsia="Arial" w:hAnsi="Arial"/>
                <w:sz w:val="18"/>
                <w:szCs w:val="18"/>
                <w:color w:val="auto"/>
                <w:w w:val="94"/>
              </w:rPr>
              <w:t>Weighted-average shares used to compute</w:t>
            </w: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w w:val="97"/>
              </w:rPr>
              <w:t>416.3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rPr>
              <w:t>416.6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Non-GAAP diluted net income per share</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and twelve months ended December 31, 2019 and 2018</w:t>
      </w:r>
    </w:p>
    <w:p>
      <w:pPr>
        <w:jc w:val="center"/>
        <w:spacing w:after="0"/>
        <w:rPr>
          <w:sz w:val="20"/>
          <w:szCs w:val="20"/>
          <w:color w:val="auto"/>
        </w:rPr>
      </w:pPr>
      <w:r>
        <w:rPr>
          <w:rFonts w:ascii="Arial" w:cs="Arial" w:eastAsia="Arial" w:hAnsi="Arial"/>
          <w:sz w:val="20"/>
          <w:szCs w:val="20"/>
          <w:b w:val="1"/>
          <w:bCs w:val="1"/>
          <w:color w:val="auto"/>
        </w:rPr>
        <w:t>Reconciliation of free cash flow and supplemental cash flow disclosure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4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December 31,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Twelve Months Ended December 31,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 reconciliation:</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w w:val="97"/>
              </w:rPr>
              <w:t>Net cash provided by operating activities</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1"/>
                <w:szCs w:val="21"/>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123.7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528.5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i w:val="1"/>
                <w:iCs w:val="1"/>
                <w:color w:val="auto"/>
              </w:rPr>
              <w:t>Free cash flow margin</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220" w:type="dxa"/>
            <w:vAlign w:val="bottom"/>
          </w:tcPr>
          <w:p>
            <w:pPr>
              <w:ind w:left="280"/>
              <w:spacing w:after="0"/>
              <w:rPr>
                <w:sz w:val="20"/>
                <w:szCs w:val="20"/>
                <w:color w:val="auto"/>
              </w:rPr>
            </w:pPr>
            <w:r>
              <w:rPr>
                <w:rFonts w:ascii="Arial" w:cs="Arial" w:eastAsia="Arial" w:hAnsi="Arial"/>
                <w:sz w:val="18"/>
                <w:szCs w:val="18"/>
                <w:color w:val="auto"/>
                <w:w w:val="93"/>
              </w:rPr>
              <w:t>Capital expenditures related to our new</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80"/>
              <w:spacing w:after="0"/>
              <w:rPr>
                <w:sz w:val="20"/>
                <w:szCs w:val="20"/>
                <w:color w:val="auto"/>
              </w:rPr>
            </w:pPr>
            <w:r>
              <w:rPr>
                <w:rFonts w:ascii="Arial" w:cs="Arial" w:eastAsia="Arial" w:hAnsi="Arial"/>
                <w:sz w:val="18"/>
                <w:szCs w:val="18"/>
                <w:color w:val="auto"/>
                <w:w w:val="98"/>
              </w:rPr>
              <w:t>corporate headquarters, net of tenant</w:t>
            </w:r>
          </w:p>
        </w:tc>
        <w:tc>
          <w:tcPr>
            <w:tcW w:w="1260" w:type="dxa"/>
            <w:vAlign w:val="bottom"/>
            <w:vMerge w:val="restart"/>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9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340" w:type="dxa"/>
            <w:vAlign w:val="bottom"/>
            <w:vMerge w:val="restart"/>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ind w:right="9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8"/>
                <w:szCs w:val="18"/>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vMerge w:val="restart"/>
          </w:tcPr>
          <w:p>
            <w:pPr>
              <w:jc w:val="right"/>
              <w:ind w:right="9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9"/>
        </w:trPr>
        <w:tc>
          <w:tcPr>
            <w:tcW w:w="3220" w:type="dxa"/>
            <w:vAlign w:val="bottom"/>
          </w:tcPr>
          <w:p>
            <w:pPr>
              <w:ind w:left="280"/>
              <w:spacing w:after="0" w:line="244" w:lineRule="exact"/>
              <w:rPr>
                <w:sz w:val="20"/>
                <w:szCs w:val="20"/>
                <w:color w:val="auto"/>
              </w:rPr>
            </w:pPr>
            <w:r>
              <w:rPr>
                <w:rFonts w:ascii="Arial" w:cs="Arial" w:eastAsia="Arial" w:hAnsi="Arial"/>
                <w:sz w:val="18"/>
                <w:szCs w:val="18"/>
                <w:color w:val="auto"/>
              </w:rPr>
              <w:t>improvement allowances</w:t>
            </w:r>
            <w:r>
              <w:rPr>
                <w:rFonts w:ascii="Arial" w:cs="Arial" w:eastAsia="Arial" w:hAnsi="Arial"/>
                <w:sz w:val="25"/>
                <w:szCs w:val="25"/>
                <w:color w:val="auto"/>
                <w:vertAlign w:val="superscript"/>
              </w:rPr>
              <w:t>(1)</w:t>
            </w:r>
          </w:p>
        </w:tc>
        <w:tc>
          <w:tcPr>
            <w:tcW w:w="126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bottom w:val="single" w:sz="8" w:color="auto"/>
            </w:tcBorders>
            <w:vMerge w:val="continue"/>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40" w:firstLine="8"/>
        <w:spacing w:after="0" w:line="262" w:lineRule="auto"/>
        <w:tabs>
          <w:tab w:leader="none" w:pos="192"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Capital expenditures include cash outflows related to the build-out of our new corporate headquarters in San Francisco, CA. Net cash provided by operating activities include tenant improvement allowances related to our new corporate headquarters, and represents cash received from our landlord to partially offset this build-out. These amounts are presented net in the table above.</w:t>
      </w:r>
    </w:p>
    <w:p>
      <w:pPr>
        <w:sectPr>
          <w:pgSz w:w="11900" w:h="16838" w:orient="portrait"/>
          <w:cols w:equalWidth="0" w:num="1">
            <w:col w:w="11420"/>
          </w:cols>
          <w:pgMar w:left="240" w:top="54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To provide investors and others with additional information regarding Dropbox's results, we have disclosed the following non-GAAP financial measures: including revenues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it excludes stock-based compensation expense, amortization of acquired intangible assets, other acquisition-related expenses, which include third-party diligence costs and compensation expense for key acquired personnel, and employer payroll tax expense relating to the release of two-tier RSUs in connection with our initial public offering during the six months ended June 30, 2018. Non-GAAP net income also excludes net gains and losses on equity investments, and includes the income tax effect of the aforementioned adjustments, including the tax effects of acquired intangible assets.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 average shares used in the computation include certain shares that are excluded from the GAAP diluted net loss per share calculation because their effect would have been anti-dilutive. In order to present revenue on a constant currency basis for the fiscal year and quarter ended December 31, 2019, Dropbox calculates constant currency growth rates by applying the prior period weighted average exchange rates to current period results. Dropbox presents constant currency information to provide a framework for assessing how our underlying business performed excluding the effect of foreign currency rate fluctuations.</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9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related to our new corporate headquarters, and may be calculated differently by other companies in our industry, limiting its usefulness as a comparative measure.</w:t>
      </w:r>
    </w:p>
    <w:p>
      <w:pPr>
        <w:spacing w:after="0" w:line="1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new corporate headquarters, net of tenant improvement allowances.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400"/>
          </w:cols>
          <w:pgMar w:left="240" w:top="1416" w:right="259" w:bottom="1440" w:gutter="0" w:footer="0" w:header="0"/>
        </w:sectPr>
      </w:pPr>
    </w:p>
    <w:bookmarkStart w:id="14" w:name="page15"/>
    <w:bookmarkEnd w:id="14"/>
    <w:p>
      <w:pPr>
        <w:spacing w:after="0" w:line="290" w:lineRule="auto"/>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Yip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press@dropbox.com</w:t>
      </w:r>
    </w:p>
    <w:sectPr>
      <w:pgSz w:w="11900" w:h="16838" w:orient="portrait"/>
      <w:cols w:equalWidth="0" w:num="1">
        <w:col w:w="10219"/>
      </w:cols>
      <w:pgMar w:left="240" w:top="5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lvl>
    <w:lvl w:ilvl="1">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2020-02-20T15:15:33Z</dcterms:created>
  <dcterms:modified xsi:type="dcterms:W3CDTF">2020-02-20T15:15:33Z</dcterms:modified>
</cp:coreProperties>
</file>