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August 4, 2022</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5"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5" w:right="239" w:bottom="1440" w:gutter="0" w:footer="0" w:header="0"/>
          <w:type w:val="continuous"/>
        </w:sectPr>
      </w:pPr>
    </w:p>
    <w:p>
      <w:pPr>
        <w:spacing w:after="0" w:line="31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7"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78740</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4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86"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667385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On August 4, 2022, Dropbox, Inc. (“Dropbox” or the "Company") issued a press release and will hold a conference call announcing its financial results for the quarter ended June 30, 2022. A copy of the press release is attached as Exhibit 99.1 to this current report on Form 8-K and is incorporated by reference herein.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1"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color w:val="auto"/>
        </w:rPr>
        <w:t>On August 4, 2022,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38"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1"/>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900" w:type="dxa"/>
            <w:vAlign w:val="bottom"/>
            <w:gridSpan w:val="4"/>
          </w:tcPr>
          <w:p>
            <w:pPr>
              <w:ind w:left="20"/>
              <w:spacing w:after="0" w:line="18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Second Quarter Fiscal 2022 Results" dated August 4, 2022</w:t>
              </w:r>
            </w:hyperlink>
          </w:p>
        </w:tc>
      </w:tr>
      <w:tr>
        <w:trPr>
          <w:trHeight w:val="1208"/>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40" w:type="dxa"/>
            <w:vAlign w:val="bottom"/>
            <w:tcBorders>
              <w:top w:val="single" w:sz="8" w:color="0000FF"/>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pacing w:after="0" w:line="34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8" w:right="479" w:bottom="1440" w:gutter="0" w:footer="0" w:header="0"/>
        </w:sectPr>
      </w:pPr>
    </w:p>
    <w:bookmarkStart w:id="3" w:name="page4"/>
    <w:bookmarkEnd w:id="3"/>
    <w:p>
      <w:pPr>
        <w:ind w:left="3800"/>
        <w:spacing w:after="0"/>
        <w:rPr>
          <w:sz w:val="20"/>
          <w:szCs w:val="20"/>
          <w:color w:val="auto"/>
        </w:rPr>
      </w:pPr>
      <w:r>
        <w:rPr>
          <w:rFonts w:ascii="Arial" w:cs="Arial" w:eastAsia="Arial" w:hAnsi="Arial"/>
          <w:sz w:val="18"/>
          <w:szCs w:val="18"/>
          <w:b w:val="1"/>
          <w:bCs w:val="1"/>
          <w:color w:val="auto"/>
        </w:rPr>
        <w:t>Dropbox Announces Second Quarter Fiscal 2022 Results</w:t>
      </w:r>
    </w:p>
    <w:p>
      <w:pPr>
        <w:spacing w:after="0" w:line="251"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Second Quarter Revenue of $572.7 Million, Up 7.9% Year-over-year; on a constant currency basis, Up 8.8% Year-over-year GAAP Operating Margin of 14.5% and Non-GAAP Operating Margin of 31.9% Net Cash Provided by Operating Activities of $209.9 Million and Free Cash Flow of $205.9 Million</w:t>
      </w:r>
    </w:p>
    <w:p>
      <w:pPr>
        <w:spacing w:after="0" w:line="208"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August 4, 2022 - Dropbox, Inc. (NASDAQ: DBX), today announced financial results for its second quarter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2022.</w:t>
      </w:r>
    </w:p>
    <w:p>
      <w:pPr>
        <w:spacing w:after="0" w:line="201"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"Our Q2 results are a testament to the strength of our business and the value our product delivers to our customers, despite the unpredictable macro environment," said Dropbox Co-Founder and Chief Executive Officer Drew Houston. "We made great progress this quarter, enhancing performance and functionality in our core FSS product, releasing additional security and data protection capabilities, and expanding workflows, like Capture and Replay. We believe we're operating from a position of strength to deliver value to shareholders, thanks to strong profitability and improved customer retention. I'm proud of the team's discipline and execution, and excited for what's ahead as we build one organized place for your cloud content and all the workflows around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2022 Results</w:t>
      </w:r>
    </w:p>
    <w:p>
      <w:pPr>
        <w:spacing w:after="0" w:line="251" w:lineRule="exact"/>
        <w:rPr>
          <w:sz w:val="20"/>
          <w:szCs w:val="20"/>
          <w:color w:val="auto"/>
        </w:rPr>
      </w:pPr>
    </w:p>
    <w:p>
      <w:pPr>
        <w:ind w:left="640" w:right="28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$572.7 million, an increase of 7.9% from the same period last year. On a constant currency basis, year-over-year growth would have been 8.8%.</w:t>
      </w:r>
      <w:r>
        <w:rPr>
          <w:rFonts w:ascii="Arial" w:cs="Arial" w:eastAsia="Arial" w:hAnsi="Arial"/>
          <w:sz w:val="23"/>
          <w:szCs w:val="23"/>
          <w:color w:val="auto"/>
          <w:vertAlign w:val="superscript"/>
        </w:rPr>
        <w:t>(1)</w:t>
      </w:r>
    </w:p>
    <w:p>
      <w:pPr>
        <w:spacing w:after="0" w:line="133" w:lineRule="exact"/>
        <w:rPr>
          <w:rFonts w:ascii="Arial" w:cs="Arial" w:eastAsia="Arial" w:hAnsi="Arial"/>
          <w:sz w:val="18"/>
          <w:szCs w:val="18"/>
          <w:color w:val="auto"/>
        </w:rPr>
      </w:pPr>
    </w:p>
    <w:p>
      <w:pPr>
        <w:ind w:left="640" w:right="10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ARR ended at $2.333 billion, an increase of $43.7 million quarter-over quarter and an increase of 7.7% year-over-year. On a constant currency basis, year-over-year growth would have been 8.3%.</w:t>
      </w:r>
      <w:r>
        <w:rPr>
          <w:rFonts w:ascii="Arial" w:cs="Arial" w:eastAsia="Arial" w:hAnsi="Arial"/>
          <w:sz w:val="23"/>
          <w:szCs w:val="23"/>
          <w:color w:val="auto"/>
          <w:vertAlign w:val="superscript"/>
        </w:rPr>
        <w:t>(2)</w:t>
      </w:r>
    </w:p>
    <w:p>
      <w:pPr>
        <w:spacing w:after="0" w:line="133" w:lineRule="exact"/>
        <w:rPr>
          <w:rFonts w:ascii="Arial" w:cs="Arial" w:eastAsia="Arial" w:hAnsi="Arial"/>
          <w:sz w:val="18"/>
          <w:szCs w:val="18"/>
          <w:color w:val="auto"/>
        </w:rPr>
      </w:pPr>
    </w:p>
    <w:p>
      <w:pPr>
        <w:ind w:left="640" w:right="2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ended at 17.37 million, as compared to 16.14 million for the same period last year. Average revenue per paying user was $133.34, as compared to $133.15 for the same period last year.</w:t>
      </w:r>
    </w:p>
    <w:p>
      <w:pPr>
        <w:spacing w:after="0" w:line="206" w:lineRule="exact"/>
        <w:rPr>
          <w:rFonts w:ascii="Arial" w:cs="Arial" w:eastAsia="Arial" w:hAnsi="Arial"/>
          <w:sz w:val="18"/>
          <w:szCs w:val="18"/>
          <w:color w:val="auto"/>
        </w:rPr>
      </w:pPr>
    </w:p>
    <w:p>
      <w:pPr>
        <w:ind w:left="6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81.5%, as compared to 79.8% for the same period last year. Non-GAAP gross margin was 83.0%, as compared to 81.2% for the same period last year.</w:t>
      </w:r>
    </w:p>
    <w:p>
      <w:pPr>
        <w:spacing w:after="0" w:line="206" w:lineRule="exact"/>
        <w:rPr>
          <w:rFonts w:ascii="Arial" w:cs="Arial" w:eastAsia="Arial" w:hAnsi="Arial"/>
          <w:sz w:val="18"/>
          <w:szCs w:val="18"/>
          <w:color w:val="auto"/>
        </w:rPr>
      </w:pPr>
    </w:p>
    <w:p>
      <w:pPr>
        <w:ind w:left="640" w:right="16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14.5%, as compared to 15.9% for the same period last year. Non-GAAP operating margin was 31.9%, as compared to 31.9% for the same period last year.</w:t>
      </w:r>
    </w:p>
    <w:p>
      <w:pPr>
        <w:spacing w:after="0" w:line="206" w:lineRule="exact"/>
        <w:rPr>
          <w:rFonts w:ascii="Arial" w:cs="Arial" w:eastAsia="Arial" w:hAnsi="Arial"/>
          <w:sz w:val="18"/>
          <w:szCs w:val="18"/>
          <w:color w:val="auto"/>
        </w:rPr>
      </w:pPr>
    </w:p>
    <w:p>
      <w:pPr>
        <w:ind w:left="640" w:right="140" w:hanging="315"/>
        <w:spacing w:after="0" w:line="256"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income was $62.0 million, as compared to $88.0 million for the same period last year. Non-GAAP net income was $138.1 million, as compared to $160.5 million for the same period last year. The company's GAAP and non-GAAP net income declined year-over year as a result of a significant increase in income tax expense due to the impact of new R&amp;D tax legislation.</w:t>
      </w:r>
    </w:p>
    <w:p>
      <w:pPr>
        <w:spacing w:after="0" w:line="214" w:lineRule="exact"/>
        <w:rPr>
          <w:rFonts w:ascii="Arial" w:cs="Arial" w:eastAsia="Arial" w:hAnsi="Arial"/>
          <w:sz w:val="18"/>
          <w:szCs w:val="18"/>
          <w:color w:val="auto"/>
        </w:rPr>
      </w:pPr>
    </w:p>
    <w:p>
      <w:pPr>
        <w:ind w:left="640" w:right="2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$209.9 million, as compared to $219.9 million for the same period last year. Free cash flow was $205.9 million, as compared to $216.0 million for the same period last year.</w:t>
      </w:r>
    </w:p>
    <w:p>
      <w:pPr>
        <w:spacing w:after="0" w:line="206" w:lineRule="exact"/>
        <w:rPr>
          <w:rFonts w:ascii="Arial" w:cs="Arial" w:eastAsia="Arial" w:hAnsi="Arial"/>
          <w:sz w:val="18"/>
          <w:szCs w:val="18"/>
          <w:color w:val="auto"/>
        </w:rPr>
      </w:pPr>
    </w:p>
    <w:p>
      <w:pPr>
        <w:ind w:left="640" w:right="100" w:hanging="315"/>
        <w:spacing w:after="0" w:line="319" w:lineRule="auto"/>
        <w:tabs>
          <w:tab w:leader="none" w:pos="635" w:val="left"/>
        </w:tabs>
        <w:numPr>
          <w:ilvl w:val="1"/>
          <w:numId w:val="2"/>
        </w:numPr>
        <w:rPr>
          <w:rFonts w:ascii="Arial" w:cs="Arial" w:eastAsia="Arial" w:hAnsi="Arial"/>
          <w:sz w:val="16"/>
          <w:szCs w:val="16"/>
          <w:color w:val="auto"/>
        </w:rPr>
      </w:pPr>
      <w:r>
        <w:rPr>
          <w:rFonts w:ascii="Arial" w:cs="Arial" w:eastAsia="Arial" w:hAnsi="Arial"/>
          <w:sz w:val="16"/>
          <w:szCs w:val="16"/>
          <w:color w:val="auto"/>
        </w:rPr>
        <w:t>GAAP diluted net income per share attributable to common stockholders was $0.17, as compared to $0.22 for the same period last year. Non-GAAP diluted net income per share attributable to common stockholders was $0.38, as compared to $0.40 in the same period last year.</w:t>
      </w:r>
      <w:r>
        <w:rPr>
          <w:rFonts w:ascii="Arial" w:cs="Arial" w:eastAsia="Arial" w:hAnsi="Arial"/>
          <w:sz w:val="21"/>
          <w:szCs w:val="21"/>
          <w:color w:val="auto"/>
          <w:vertAlign w:val="superscript"/>
        </w:rPr>
        <w:t>(3)</w:t>
      </w:r>
    </w:p>
    <w:p>
      <w:pPr>
        <w:spacing w:after="0" w:line="98" w:lineRule="exact"/>
        <w:rPr>
          <w:rFonts w:ascii="Arial" w:cs="Arial" w:eastAsia="Arial" w:hAnsi="Arial"/>
          <w:sz w:val="16"/>
          <w:szCs w:val="16"/>
          <w:color w:val="auto"/>
        </w:rPr>
      </w:pPr>
    </w:p>
    <w:p>
      <w:pPr>
        <w:ind w:left="640" w:hanging="315"/>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$1.446 billion.</w:t>
      </w:r>
    </w:p>
    <w:p>
      <w:pPr>
        <w:spacing w:after="0" w:line="244" w:lineRule="exact"/>
        <w:rPr>
          <w:rFonts w:ascii="Arial" w:cs="Arial" w:eastAsia="Arial" w:hAnsi="Arial"/>
          <w:sz w:val="18"/>
          <w:szCs w:val="18"/>
          <w:color w:val="auto"/>
        </w:rPr>
      </w:pPr>
    </w:p>
    <w:p>
      <w:pPr>
        <w:ind w:left="160" w:hanging="154"/>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40" w:firstLine="6"/>
        <w:spacing w:after="0" w:line="296" w:lineRule="auto"/>
        <w:tabs>
          <w:tab w:leader="none" w:pos="147"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187" w:lineRule="exact"/>
        <w:rPr>
          <w:rFonts w:ascii="Arial" w:cs="Arial" w:eastAsia="Arial" w:hAnsi="Arial"/>
          <w:sz w:val="17"/>
          <w:szCs w:val="17"/>
          <w:color w:val="auto"/>
          <w:vertAlign w:val="superscript"/>
        </w:rPr>
      </w:pPr>
    </w:p>
    <w:p>
      <w:pPr>
        <w:ind w:right="160" w:firstLine="6"/>
        <w:spacing w:after="0" w:line="275" w:lineRule="auto"/>
        <w:tabs>
          <w:tab w:leader="none" w:pos="163"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365.7 million and 397.0 million diluted weighted-average shares of common stock for the three months ended June 30, 2022 and 2021, respectively.</w:t>
      </w:r>
    </w:p>
    <w:p>
      <w:pPr>
        <w:sectPr>
          <w:pgSz w:w="11900" w:h="16838" w:orient="portrait"/>
          <w:cols w:equalWidth="0" w:num="1">
            <w:col w:w="11240"/>
          </w:cols>
          <w:pgMar w:left="320" w:top="87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5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1"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Dropbox plans to host a conference call today to review its second quarter financial results and to discuss its financial outlook. This call is scheduled to begin at 2:00 p.m. PT / 5:00 p.m. ET and can be accessed by using the web link at http://investors.dropbox.com.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1"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 Regan, Chief Financial Officer, will be presenting at the KeyBanc Technology Leadership Forum on Monday, August 8th.</w:t>
      </w:r>
    </w:p>
    <w:p>
      <w:pPr>
        <w:spacing w:after="0" w:line="245"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 (i) 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macro economic uncertainty, the COVID-19 pandemic, and related public health measures, as well as the potential for a more permanent global shift to remote work, (iii) our ability to retain and upgrade paying users, and increase our recurring revenue; (iv) our ability to attract new users or convert registered users to paying users; (v) our future financial performance, including trends in revenue, costs of revenue, gross profit or gross margin, operating expenses, paying users, and free cash flow;</w:t>
      </w:r>
    </w:p>
    <w:p>
      <w:pPr>
        <w:spacing w:after="0" w:line="1" w:lineRule="exact"/>
        <w:rPr>
          <w:sz w:val="20"/>
          <w:szCs w:val="20"/>
          <w:color w:val="auto"/>
        </w:rPr>
      </w:pPr>
    </w:p>
    <w:p>
      <w:pPr>
        <w:ind w:firstLine="6"/>
        <w:spacing w:after="0" w:line="263"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particularly in light of potential disruptions to the productivity of our employees that may result from our shift to a Virtual First work model; (xiii) 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 plans with respect to our stock repurchase program and other investments; and (xvii) the dual class</w:t>
      </w:r>
    </w:p>
    <w:p>
      <w:pPr>
        <w:sectPr>
          <w:pgSz w:w="11900" w:h="16838" w:orient="portrait"/>
          <w:cols w:equalWidth="0" w:num="1">
            <w:col w:w="11220"/>
          </w:cols>
          <w:pgMar w:left="320" w:top="878" w:right="359" w:bottom="1440" w:gutter="0" w:footer="0" w:header="0"/>
        </w:sectPr>
      </w:pPr>
    </w:p>
    <w:bookmarkStart w:id="5" w:name="page6"/>
    <w:bookmarkEnd w:id="5"/>
    <w:p>
      <w:pPr>
        <w:spacing w:after="0" w:line="249" w:lineRule="auto"/>
        <w:rPr>
          <w:sz w:val="20"/>
          <w:szCs w:val="20"/>
          <w:color w:val="auto"/>
        </w:rPr>
      </w:pPr>
      <w:r>
        <w:rPr>
          <w:rFonts w:ascii="Arial" w:cs="Arial" w:eastAsia="Arial" w:hAnsi="Arial"/>
          <w:sz w:val="18"/>
          <w:szCs w:val="18"/>
          <w:color w:val="auto"/>
        </w:rPr>
        <w:t>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March 31, 2022. Additional information will be made available in our quarterly report on Form 10-Q for the quarter ended June 30, 2022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00"/>
          </w:cols>
          <w:pgMar w:left="320" w:top="884" w:right="379" w:bottom="1440" w:gutter="0" w:footer="0" w:header="0"/>
        </w:sectPr>
      </w:pPr>
    </w:p>
    <w:bookmarkStart w:id="6" w:name="page7"/>
    <w:bookmarkEnd w:id="6"/>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30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6"/>
        </w:trPr>
        <w:tc>
          <w:tcPr>
            <w:tcW w:w="3720" w:type="dxa"/>
            <w:vAlign w:val="bottom"/>
          </w:tcPr>
          <w:p>
            <w:pPr>
              <w:ind w:left="220"/>
              <w:spacing w:after="0" w:line="225"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3"/>
                <w:szCs w:val="23"/>
                <w:color w:val="auto"/>
                <w:vertAlign w:val="superscript"/>
              </w:rPr>
              <w:t>(2)</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9"/>
        </w:trPr>
        <w:tc>
          <w:tcPr>
            <w:tcW w:w="37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line="205" w:lineRule="exact"/>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2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ind w:right="99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99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1"/>
              <w:spacing w:after="0" w:line="199"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0.39</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91"/>
              <w:spacing w:after="0" w:line="199"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net income per share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Arial" w:cs="Arial" w:eastAsia="Arial" w:hAnsi="Arial"/>
                <w:sz w:val="18"/>
                <w:szCs w:val="18"/>
                <w:color w:val="auto"/>
                <w:w w:val="95"/>
              </w:rPr>
              <w:t>Weighted-average shares used in computing net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80"/>
              <w:spacing w:after="0" w:line="173"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198"/>
        </w:trPr>
        <w:tc>
          <w:tcPr>
            <w:tcW w:w="3720" w:type="dxa"/>
            <w:vAlign w:val="bottom"/>
          </w:tcPr>
          <w:p>
            <w:pPr>
              <w:ind w:left="180"/>
              <w:spacing w:after="0" w:line="198" w:lineRule="exact"/>
              <w:rPr>
                <w:sz w:val="20"/>
                <w:szCs w:val="20"/>
                <w:color w:val="auto"/>
              </w:rPr>
            </w:pPr>
            <w:r>
              <w:rPr>
                <w:rFonts w:ascii="Arial" w:cs="Arial" w:eastAsia="Arial" w:hAnsi="Arial"/>
                <w:sz w:val="18"/>
                <w:szCs w:val="18"/>
                <w:color w:val="auto"/>
              </w:rPr>
              <w:t>stockholders, basic</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w:t>
            </w: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stockholders, diluted</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74" w:hanging="174"/>
        <w:spacing w:after="0"/>
        <w:tabs>
          <w:tab w:leader="none" w:pos="174"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w:t>
      </w:r>
    </w:p>
    <w:p>
      <w:pPr>
        <w:spacing w:after="0" w:line="90"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20" w:type="dxa"/>
            <w:vAlign w:val="bottom"/>
            <w:gridSpan w:val="4"/>
          </w:tcPr>
          <w:p>
            <w:pPr>
              <w:jc w:val="center"/>
              <w:ind w:left="451"/>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1120" w:type="dxa"/>
            <w:vAlign w:val="bottom"/>
          </w:tcPr>
          <w:p>
            <w:pPr>
              <w:spacing w:after="0"/>
              <w:rPr>
                <w:sz w:val="18"/>
                <w:szCs w:val="18"/>
                <w:color w:val="auto"/>
              </w:rPr>
            </w:pPr>
          </w:p>
        </w:tc>
      </w:tr>
      <w:tr>
        <w:trPr>
          <w:trHeight w:val="226"/>
        </w:trPr>
        <w:tc>
          <w:tcPr>
            <w:tcW w:w="37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right="611"/>
              <w:spacing w:after="0"/>
              <w:rPr>
                <w:sz w:val="20"/>
                <w:szCs w:val="20"/>
                <w:color w:val="auto"/>
              </w:rPr>
            </w:pPr>
            <w:r>
              <w:rPr>
                <w:rFonts w:ascii="Arial" w:cs="Arial" w:eastAsia="Arial" w:hAnsi="Arial"/>
                <w:sz w:val="18"/>
                <w:szCs w:val="18"/>
                <w:b w:val="1"/>
                <w:bCs w:val="1"/>
                <w:color w:val="auto"/>
                <w:w w:val="85"/>
              </w:rPr>
              <w:t>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1120" w:type="dxa"/>
            <w:vAlign w:val="bottom"/>
            <w:tcBorders>
              <w:bottom w:val="single" w:sz="8" w:color="auto"/>
            </w:tcBorders>
          </w:tcPr>
          <w:p>
            <w:pPr>
              <w:spacing w:after="0"/>
              <w:rPr>
                <w:sz w:val="19"/>
                <w:szCs w:val="19"/>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w w:val="89"/>
              </w:rPr>
              <w:t>2021</w:t>
            </w:r>
          </w:p>
        </w:tc>
      </w:tr>
      <w:tr>
        <w:trPr>
          <w:trHeight w:val="219"/>
        </w:trPr>
        <w:tc>
          <w:tcPr>
            <w:tcW w:w="37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Cost of revenue</w:t>
            </w:r>
          </w:p>
        </w:tc>
        <w:tc>
          <w:tcPr>
            <w:tcW w:w="1240" w:type="dxa"/>
            <w:vAlign w:val="bottom"/>
            <w:shd w:val="clear" w:color="auto" w:fill="CCEEFF"/>
          </w:tcPr>
          <w:p>
            <w:pPr>
              <w:jc w:val="right"/>
              <w:ind w:right="105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r>
    </w:tbl>
    <w:p>
      <w:pPr>
        <w:spacing w:after="0" w:line="320" w:lineRule="exact"/>
        <w:rPr>
          <w:sz w:val="20"/>
          <w:szCs w:val="20"/>
          <w:color w:val="auto"/>
        </w:rPr>
      </w:pPr>
    </w:p>
    <w:p>
      <w:pPr>
        <w:ind w:left="154" w:hanging="154"/>
        <w:spacing w:after="0"/>
        <w:tabs>
          <w:tab w:leader="none" w:pos="154"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our decision to shift to a Virtual First work model.</w:t>
      </w:r>
    </w:p>
    <w:p>
      <w:pPr>
        <w:sectPr>
          <w:pgSz w:w="11900" w:h="16838" w:orient="portrait"/>
          <w:cols w:equalWidth="0" w:num="1">
            <w:col w:w="11214"/>
          </w:cols>
          <w:pgMar w:left="326" w:top="882"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Pr>
          <w:p>
            <w:pPr>
              <w:spacing w:after="0"/>
              <w:rPr>
                <w:sz w:val="19"/>
                <w:szCs w:val="19"/>
                <w:color w:val="auto"/>
              </w:rPr>
            </w:pPr>
          </w:p>
        </w:tc>
        <w:tc>
          <w:tcPr>
            <w:tcW w:w="194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December 31, 2021</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1,094.2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1,135.7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Finance lease obligation, non-current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net, non-current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3,385.2</w:t>
            </w:r>
          </w:p>
        </w:tc>
        <w:tc>
          <w:tcPr>
            <w:tcW w:w="0" w:type="dxa"/>
            <w:vAlign w:val="bottom"/>
          </w:tcPr>
          <w:p>
            <w:pPr>
              <w:spacing w:after="0"/>
              <w:rPr>
                <w:sz w:val="1"/>
                <w:szCs w:val="1"/>
                <w:color w:val="auto"/>
              </w:rPr>
            </w:pPr>
          </w:p>
        </w:tc>
      </w:tr>
      <w:tr>
        <w:trPr>
          <w:trHeight w:val="205"/>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Stockholders' deficit:</w:t>
            </w: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(2,926.1)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(2,739.4)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deficit</w:t>
            </w: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84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r>
      <w:tr>
        <w:trPr>
          <w:trHeight w:val="206"/>
        </w:trPr>
        <w:tc>
          <w:tcPr>
            <w:tcW w:w="70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2021</w:t>
            </w:r>
          </w:p>
        </w:tc>
      </w:tr>
      <w:tr>
        <w:trPr>
          <w:trHeight w:val="19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18"/>
                <w:szCs w:val="18"/>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135.6</w:t>
            </w:r>
          </w:p>
        </w:tc>
      </w:tr>
      <w:tr>
        <w:trPr>
          <w:trHeight w:val="21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8"/>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r>
      <w:tr>
        <w:trPr>
          <w:trHeight w:val="190"/>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(125.4)</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r>
      <w:tr>
        <w:trPr>
          <w:trHeight w:val="210"/>
        </w:trPr>
        <w:tc>
          <w:tcPr>
            <w:tcW w:w="7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08"/>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(377.2)</w:t>
            </w:r>
          </w:p>
        </w:tc>
      </w:tr>
      <w:tr>
        <w:trPr>
          <w:trHeight w:val="190"/>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1,389.1</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Purchase of convertible note hedge in connection with issuance of convertible senior notes</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10"/>
        </w:trPr>
        <w:tc>
          <w:tcPr>
            <w:tcW w:w="7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Common stock repurchases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w:t>
            </w:r>
          </w:p>
        </w:tc>
      </w:tr>
      <w:tr>
        <w:trPr>
          <w:trHeight w:val="208"/>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w:t>
            </w:r>
          </w:p>
        </w:tc>
      </w:tr>
      <w:tr>
        <w:trPr>
          <w:trHeight w:val="20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08"/>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and cash equivalents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w:t>
            </w:r>
          </w:p>
        </w:tc>
      </w:tr>
      <w:tr>
        <w:trPr>
          <w:trHeight w:val="21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2"/>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r>
      <w:tr>
        <w:trPr>
          <w:trHeight w:val="203"/>
        </w:trPr>
        <w:tc>
          <w:tcPr>
            <w:tcW w:w="7040" w:type="dxa"/>
            <w:vAlign w:val="bottom"/>
          </w:tcPr>
          <w:p>
            <w:pPr>
              <w:ind w:left="640"/>
              <w:spacing w:after="0"/>
              <w:rPr>
                <w:sz w:val="20"/>
                <w:szCs w:val="20"/>
                <w:color w:val="auto"/>
              </w:rPr>
            </w:pPr>
            <w:r>
              <w:rPr>
                <w:rFonts w:ascii="Arial" w:cs="Arial" w:eastAsia="Arial" w:hAnsi="Arial"/>
                <w:sz w:val="16"/>
                <w:szCs w:val="16"/>
                <w:color w:val="auto"/>
              </w:rPr>
              <w:t>Property and equipment acquired under finance leases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r>
      <w:tr>
        <w:trPr>
          <w:trHeight w:val="22"/>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June 30, 2022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0"/>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GAAP</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20" w:type="dxa"/>
            <w:vAlign w:val="bottom"/>
            <w:gridSpan w:val="5"/>
          </w:tcPr>
          <w:p>
            <w:pPr>
              <w:jc w:val="center"/>
              <w:ind w:right="26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ind w:left="4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18"/>
                <w:szCs w:val="18"/>
                <w:b w:val="1"/>
                <w:bCs w:val="1"/>
                <w:color w:val="auto"/>
                <w:w w:val="80"/>
              </w:rPr>
              <w:t>estate assets</w:t>
            </w:r>
            <w:r>
              <w:rPr>
                <w:rFonts w:ascii="Arial" w:cs="Arial" w:eastAsia="Arial" w:hAnsi="Arial"/>
                <w:sz w:val="23"/>
                <w:szCs w:val="23"/>
                <w:b w:val="1"/>
                <w:bCs w:val="1"/>
                <w:color w:val="auto"/>
                <w:w w:val="80"/>
                <w:vertAlign w:val="superscript"/>
              </w:rPr>
              <w:t>(1)</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83.0 %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520" w:type="dxa"/>
            <w:vAlign w:val="bottom"/>
            <w:gridSpan w:val="4"/>
            <w:vMerge w:val="restart"/>
          </w:tcPr>
          <w:p>
            <w:pPr>
              <w:ind w:left="84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Impairment related to real estate</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0"/>
              </w:rPr>
              <w:t>Impairment related to real estate</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restart"/>
          </w:tcPr>
          <w:p>
            <w:pPr>
              <w:ind w:left="8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15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assets margin</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decision to shift to a Virtual First work model.</w:t>
      </w:r>
    </w:p>
    <w:p>
      <w:pPr>
        <w:sectPr>
          <w:pgSz w:w="11900" w:h="16838" w:orient="portrait"/>
          <w:cols w:equalWidth="0" w:num="1">
            <w:col w:w="11240"/>
          </w:cols>
          <w:pgMar w:left="320" w:top="87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June 30,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6" w:lineRule="exact"/>
              <w:rPr>
                <w:sz w:val="20"/>
                <w:szCs w:val="20"/>
                <w:color w:val="auto"/>
              </w:rPr>
            </w:pPr>
            <w:r>
              <w:rPr>
                <w:rFonts w:ascii="Arial" w:cs="Arial" w:eastAsia="Arial" w:hAnsi="Arial"/>
                <w:sz w:val="18"/>
                <w:szCs w:val="18"/>
                <w:b w:val="1"/>
                <w:bCs w:val="1"/>
                <w:color w:val="auto"/>
                <w:w w:val="98"/>
              </w:rPr>
              <w:t>Workforce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GAAP</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20" w:type="dxa"/>
            <w:vAlign w:val="bottom"/>
            <w:gridSpan w:val="5"/>
          </w:tcPr>
          <w:p>
            <w:pPr>
              <w:jc w:val="center"/>
              <w:ind w:right="26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71"/>
              <w:spacing w:after="0" w:line="173" w:lineRule="exact"/>
              <w:rPr>
                <w:sz w:val="20"/>
                <w:szCs w:val="20"/>
                <w:color w:val="auto"/>
              </w:rPr>
            </w:pPr>
            <w:r>
              <w:rPr>
                <w:rFonts w:ascii="Arial" w:cs="Arial" w:eastAsia="Arial" w:hAnsi="Arial"/>
                <w:sz w:val="18"/>
                <w:szCs w:val="18"/>
                <w:b w:val="1"/>
                <w:bCs w:val="1"/>
                <w:color w:val="auto"/>
              </w:rPr>
              <w:t>reduction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line="225" w:lineRule="exact"/>
              <w:rPr>
                <w:sz w:val="20"/>
                <w:szCs w:val="20"/>
                <w:color w:val="auto"/>
              </w:rPr>
            </w:pPr>
            <w:r>
              <w:rPr>
                <w:rFonts w:ascii="Arial" w:cs="Arial" w:eastAsia="Arial" w:hAnsi="Arial"/>
                <w:sz w:val="18"/>
                <w:szCs w:val="18"/>
                <w:b w:val="1"/>
                <w:bCs w:val="1"/>
                <w:color w:val="auto"/>
                <w:w w:val="92"/>
              </w:rPr>
              <w:t>expense</w:t>
            </w:r>
            <w:r>
              <w:rPr>
                <w:rFonts w:ascii="Arial" w:cs="Arial" w:eastAsia="Arial" w:hAnsi="Arial"/>
                <w:sz w:val="23"/>
                <w:szCs w:val="23"/>
                <w:b w:val="1"/>
                <w:bCs w:val="1"/>
                <w:color w:val="auto"/>
                <w:w w:val="92"/>
                <w:vertAlign w:val="superscript"/>
              </w:rPr>
              <w:t>(1)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81.2 %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 %</w:t>
            </w: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8"/>
                <w:szCs w:val="18"/>
                <w:color w:val="auto"/>
              </w:rPr>
              <w:t>— %</w:t>
            </w:r>
          </w:p>
        </w:tc>
        <w:tc>
          <w:tcPr>
            <w:tcW w:w="146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workforce reduction such as severance, benefits and other related items.</w:t>
      </w:r>
    </w:p>
    <w:p>
      <w:pPr>
        <w:sectPr>
          <w:pgSz w:w="11900" w:h="16838" w:orient="portrait"/>
          <w:cols w:equalWidth="0" w:num="1">
            <w:col w:w="11240"/>
          </w:cols>
          <w:pgMar w:left="320" w:top="874" w:right="339" w:bottom="1440" w:gutter="0" w:footer="0" w:header="0"/>
        </w:sectPr>
      </w:pPr>
    </w:p>
    <w:bookmarkStart w:id="11" w:name="page12"/>
    <w:bookmarkEnd w:id="11"/>
    <w:p>
      <w:pPr>
        <w:jc w:val="center"/>
        <w:ind w:right="-65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653"/>
        <w:spacing w:after="0"/>
        <w:rPr>
          <w:sz w:val="20"/>
          <w:szCs w:val="20"/>
          <w:color w:val="auto"/>
        </w:rPr>
      </w:pPr>
      <w:r>
        <w:rPr>
          <w:rFonts w:ascii="Arial" w:cs="Arial" w:eastAsia="Arial" w:hAnsi="Arial"/>
          <w:sz w:val="19"/>
          <w:szCs w:val="19"/>
          <w:b w:val="1"/>
          <w:bCs w:val="1"/>
          <w:color w:val="auto"/>
        </w:rPr>
        <w:t>Six Months Ended June 30, 2022</w:t>
      </w:r>
    </w:p>
    <w:p>
      <w:pPr>
        <w:spacing w:after="0" w:line="7" w:lineRule="exact"/>
        <w:rPr>
          <w:sz w:val="20"/>
          <w:szCs w:val="20"/>
          <w:color w:val="auto"/>
        </w:rPr>
      </w:pPr>
    </w:p>
    <w:p>
      <w:pPr>
        <w:jc w:val="center"/>
        <w:ind w:right="-65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65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653"/>
        <w:spacing w:after="0"/>
        <w:rPr>
          <w:sz w:val="20"/>
          <w:szCs w:val="20"/>
          <w:color w:val="auto"/>
        </w:rPr>
      </w:pPr>
      <w:r>
        <w:rPr>
          <w:rFonts w:ascii="Arial" w:cs="Arial" w:eastAsia="Arial" w:hAnsi="Arial"/>
          <w:sz w:val="18"/>
          <w:szCs w:val="18"/>
          <w:i w:val="1"/>
          <w:iCs w:val="1"/>
          <w:color w:val="auto"/>
        </w:rPr>
        <w:t>(Unaudited)</w:t>
      </w:r>
    </w:p>
    <w:tbl>
      <w:tblPr>
        <w:tblLayout w:type="fixed"/>
        <w:tblInd w:w="674" w:type="dxa"/>
        <w:tblCellMar>
          <w:top w:w="0" w:type="dxa"/>
          <w:left w:w="0" w:type="dxa"/>
          <w:bottom w:w="0" w:type="dxa"/>
          <w:right w:w="0" w:type="dxa"/>
        </w:tblCellMar>
      </w:tblPr>
      <w:tr>
        <w:trPr>
          <w:trHeight w:val="206"/>
        </w:trPr>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Stock-based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2"/>
              </w:rPr>
              <w:t>Acquisition-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00"/>
              <w:spacing w:after="0" w:line="206" w:lineRule="exact"/>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GAAP</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ind w:left="20"/>
              <w:spacing w:after="0" w:line="173" w:lineRule="exact"/>
              <w:rPr>
                <w:sz w:val="20"/>
                <w:szCs w:val="20"/>
                <w:color w:val="auto"/>
              </w:rPr>
            </w:pPr>
            <w:r>
              <w:rPr>
                <w:rFonts w:ascii="Arial" w:cs="Arial" w:eastAsia="Arial" w:hAnsi="Arial"/>
                <w:sz w:val="18"/>
                <w:szCs w:val="18"/>
                <w:b w:val="1"/>
                <w:bCs w:val="1"/>
                <w:color w:val="auto"/>
              </w:rPr>
              <w:t>related and other</w:t>
            </w: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20"/>
              <w:spacing w:after="0" w:line="173" w:lineRule="exact"/>
              <w:rPr>
                <w:sz w:val="20"/>
                <w:szCs w:val="20"/>
                <w:color w:val="auto"/>
              </w:rPr>
            </w:pPr>
            <w:r>
              <w:rPr>
                <w:rFonts w:ascii="Arial" w:cs="Arial" w:eastAsia="Arial" w:hAnsi="Arial"/>
                <w:sz w:val="18"/>
                <w:szCs w:val="18"/>
                <w:b w:val="1"/>
                <w:bCs w:val="1"/>
                <w:color w:val="auto"/>
              </w:rPr>
              <w:t>related to real</w:t>
            </w:r>
          </w:p>
        </w:tc>
        <w:tc>
          <w:tcPr>
            <w:tcW w:w="1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226"/>
        </w:trPr>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compensation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expenses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40"/>
              <w:spacing w:after="0" w:line="225" w:lineRule="exact"/>
              <w:rPr>
                <w:sz w:val="20"/>
                <w:szCs w:val="20"/>
                <w:color w:val="auto"/>
              </w:rPr>
            </w:pPr>
            <w:r>
              <w:rPr>
                <w:rFonts w:ascii="Arial" w:cs="Arial" w:eastAsia="Arial" w:hAnsi="Arial"/>
                <w:sz w:val="18"/>
                <w:szCs w:val="18"/>
                <w:b w:val="1"/>
                <w:bCs w:val="1"/>
                <w:color w:val="auto"/>
                <w:w w:val="87"/>
              </w:rPr>
              <w:t>estate assets</w:t>
            </w:r>
            <w:r>
              <w:rPr>
                <w:rFonts w:ascii="Arial" w:cs="Arial" w:eastAsia="Arial" w:hAnsi="Arial"/>
                <w:sz w:val="23"/>
                <w:szCs w:val="23"/>
                <w:b w:val="1"/>
                <w:bCs w:val="1"/>
                <w:color w:val="auto"/>
                <w:w w:val="87"/>
                <w:vertAlign w:val="superscript"/>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ind w:left="7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25"/>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82.2 %</w:t>
            </w: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425.8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320" w:type="dxa"/>
            <w:vAlign w:val="bottom"/>
            <w:gridSpan w:val="2"/>
            <w:vMerge w:val="restart"/>
          </w:tcPr>
          <w:p>
            <w:pPr>
              <w:ind w:left="7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w w:val="99"/>
              </w:rPr>
              <w:t>development 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Sales and marketing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8"/>
              </w:rPr>
              <w:t>Sales and marketing</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17.7 %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ind w:left="7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320" w:type="dxa"/>
            <w:vAlign w:val="bottom"/>
            <w:gridSpan w:val="2"/>
            <w:vMerge w:val="restart"/>
          </w:tcPr>
          <w:p>
            <w:pPr>
              <w:ind w:left="7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w w:val="94"/>
              </w:rPr>
              <w:t>administrative 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Impairment related to</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5"/>
              </w:rPr>
              <w:t>Impairment related to</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real estate assets</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5"/>
                <w:szCs w:val="15"/>
                <w:color w:val="auto"/>
              </w:rPr>
            </w:pPr>
          </w:p>
        </w:tc>
        <w:tc>
          <w:tcPr>
            <w:tcW w:w="14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4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74" w:hanging="174"/>
        <w:spacing w:after="0"/>
        <w:tabs>
          <w:tab w:leader="none" w:pos="174"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Includes impairment charges related to real estate assets as a result of our decision to shift to a Virtual First work model.</w:t>
      </w:r>
    </w:p>
    <w:p>
      <w:pPr>
        <w:sectPr>
          <w:pgSz w:w="11900" w:h="16838" w:orient="portrait"/>
          <w:cols w:equalWidth="0" w:num="1">
            <w:col w:w="10574"/>
          </w:cols>
          <w:pgMar w:left="326" w:top="874" w:right="99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Six Months Ended June 30,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20" w:type="dxa"/>
        <w:tblCellMar>
          <w:top w:w="0" w:type="dxa"/>
          <w:left w:w="0" w:type="dxa"/>
          <w:bottom w:w="0" w:type="dxa"/>
          <w:right w:w="0" w:type="dxa"/>
        </w:tblCellMar>
      </w:tblPr>
      <w:tr>
        <w:trPr>
          <w:trHeight w:val="206"/>
        </w:trPr>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Stock-based</w:t>
            </w:r>
          </w:p>
        </w:tc>
        <w:tc>
          <w:tcPr>
            <w:tcW w:w="100" w:type="dxa"/>
            <w:vAlign w:val="bottom"/>
          </w:tcPr>
          <w:p>
            <w:pPr>
              <w:spacing w:after="0"/>
              <w:rPr>
                <w:sz w:val="17"/>
                <w:szCs w:val="17"/>
                <w:color w:val="auto"/>
              </w:rPr>
            </w:pPr>
          </w:p>
        </w:tc>
        <w:tc>
          <w:tcPr>
            <w:tcW w:w="104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2"/>
              </w:rPr>
              <w:t>Impairment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line="206" w:lineRule="exact"/>
              <w:rPr>
                <w:sz w:val="20"/>
                <w:szCs w:val="20"/>
                <w:color w:val="auto"/>
              </w:rPr>
            </w:pPr>
            <w:r>
              <w:rPr>
                <w:rFonts w:ascii="Arial" w:cs="Arial" w:eastAsia="Arial" w:hAnsi="Arial"/>
                <w:sz w:val="18"/>
                <w:szCs w:val="18"/>
                <w:b w:val="1"/>
                <w:bCs w:val="1"/>
                <w:color w:val="auto"/>
                <w:w w:val="92"/>
              </w:rPr>
              <w:t>Workforce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GAAP</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7"/>
              </w:rPr>
              <w:t>related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center"/>
              <w:ind w:right="38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1220" w:type="dxa"/>
            <w:vAlign w:val="bottom"/>
            <w:gridSpan w:val="2"/>
          </w:tcPr>
          <w:p>
            <w:pPr>
              <w:jc w:val="center"/>
              <w:ind w:right="280"/>
              <w:spacing w:after="0" w:line="173" w:lineRule="exact"/>
              <w:rPr>
                <w:sz w:val="20"/>
                <w:szCs w:val="20"/>
                <w:color w:val="auto"/>
              </w:rPr>
            </w:pPr>
            <w:r>
              <w:rPr>
                <w:rFonts w:ascii="Arial" w:cs="Arial" w:eastAsia="Arial" w:hAnsi="Arial"/>
                <w:sz w:val="18"/>
                <w:szCs w:val="18"/>
                <w:b w:val="1"/>
                <w:bCs w:val="1"/>
                <w:color w:val="auto"/>
                <w:w w:val="90"/>
              </w:rPr>
              <w:t>reduction</w:t>
            </w:r>
          </w:p>
        </w:tc>
        <w:tc>
          <w:tcPr>
            <w:tcW w:w="10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26"/>
        </w:trPr>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4"/>
              </w:rPr>
              <w:t>other expenses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51"/>
              <w:spacing w:after="0" w:line="225" w:lineRule="exact"/>
              <w:rPr>
                <w:sz w:val="20"/>
                <w:szCs w:val="20"/>
                <w:color w:val="auto"/>
              </w:rPr>
            </w:pPr>
            <w:r>
              <w:rPr>
                <w:rFonts w:ascii="Arial" w:cs="Arial" w:eastAsia="Arial" w:hAnsi="Arial"/>
                <w:sz w:val="18"/>
                <w:szCs w:val="18"/>
                <w:b w:val="1"/>
                <w:bCs w:val="1"/>
                <w:color w:val="auto"/>
                <w:w w:val="78"/>
              </w:rPr>
              <w:t>estate assets</w:t>
            </w:r>
            <w:r>
              <w:rPr>
                <w:rFonts w:ascii="Arial" w:cs="Arial" w:eastAsia="Arial" w:hAnsi="Arial"/>
                <w:sz w:val="23"/>
                <w:szCs w:val="23"/>
                <w:b w:val="1"/>
                <w:bCs w:val="1"/>
                <w:color w:val="auto"/>
                <w:w w:val="78"/>
                <w:vertAlign w:val="superscript"/>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1"/>
              <w:spacing w:after="0" w:line="225" w:lineRule="exact"/>
              <w:rPr>
                <w:sz w:val="20"/>
                <w:szCs w:val="20"/>
                <w:color w:val="auto"/>
              </w:rPr>
            </w:pPr>
            <w:r>
              <w:rPr>
                <w:rFonts w:ascii="Arial" w:cs="Arial" w:eastAsia="Arial" w:hAnsi="Arial"/>
                <w:sz w:val="18"/>
                <w:szCs w:val="18"/>
                <w:b w:val="1"/>
                <w:bCs w:val="1"/>
                <w:color w:val="auto"/>
                <w:w w:val="81"/>
              </w:rPr>
              <w:t>expense</w:t>
            </w:r>
            <w:r>
              <w:rPr>
                <w:rFonts w:ascii="Arial" w:cs="Arial" w:eastAsia="Arial" w:hAnsi="Arial"/>
                <w:sz w:val="23"/>
                <w:szCs w:val="23"/>
                <w:b w:val="1"/>
                <w:bCs w:val="1"/>
                <w:color w:val="auto"/>
                <w:w w:val="81"/>
                <w:vertAlign w:val="superscript"/>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w w:val="88"/>
              </w:rPr>
              <w:t>Cost of revenue margin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80.7 %</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Sales and marketing</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vMerge w:val="restart"/>
          </w:tcPr>
          <w:p>
            <w:pPr>
              <w:jc w:val="right"/>
              <w:ind w:right="340"/>
              <w:spacing w:after="0"/>
              <w:rPr>
                <w:sz w:val="20"/>
                <w:szCs w:val="20"/>
                <w:color w:val="auto"/>
              </w:rPr>
            </w:pPr>
            <w:r>
              <w:rPr>
                <w:rFonts w:ascii="Arial" w:cs="Arial" w:eastAsia="Arial" w:hAnsi="Arial"/>
                <w:sz w:val="18"/>
                <w:szCs w:val="18"/>
                <w:color w:val="auto"/>
              </w:rPr>
              <w:t>—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w w:val="97"/>
              </w:rPr>
              <w:t>administrative 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Impairment related to</w:t>
            </w: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7"/>
              </w:rPr>
              <w:t>Impairment related to</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real estate assets</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ind w:left="8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460" w:type="dxa"/>
            <w:vAlign w:val="bottom"/>
            <w:gridSpan w:val="4"/>
            <w:vMerge w:val="restart"/>
          </w:tcPr>
          <w:p>
            <w:pPr>
              <w:jc w:val="right"/>
              <w:ind w:right="32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 %</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ind w:left="6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80" w:hanging="174"/>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Includes impairment charges related to real estate assets as a result of our decision to shift to a Virtual First work model.</w:t>
      </w:r>
    </w:p>
    <w:p>
      <w:pPr>
        <w:ind w:left="160" w:hanging="154"/>
        <w:spacing w:after="0" w:line="220"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workforce reduction such as severance, benefits and other related items.</w:t>
      </w:r>
    </w:p>
    <w:p>
      <w:pPr>
        <w:sectPr>
          <w:pgSz w:w="11900" w:h="16838" w:orient="portrait"/>
          <w:cols w:equalWidth="0" w:num="1">
            <w:col w:w="11240"/>
          </w:cols>
          <w:pgMar w:left="320" w:top="874" w:right="339" w:bottom="1440" w:gutter="0" w:footer="0" w:header="0"/>
        </w:sectPr>
      </w:pPr>
    </w:p>
    <w:bookmarkStart w:id="13" w:name="page14"/>
    <w:bookmarkEnd w:id="13"/>
    <w:p>
      <w:pPr>
        <w:jc w:val="center"/>
        <w:ind w:right="-13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Three and Six Months Ended June 30, 2022 and 2021</w:t>
      </w:r>
    </w:p>
    <w:p>
      <w:pPr>
        <w:spacing w:after="0" w:line="7"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0"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2740" w:type="dxa"/>
            <w:vAlign w:val="bottom"/>
            <w:gridSpan w:val="4"/>
          </w:tcPr>
          <w:p>
            <w:pPr>
              <w:jc w:val="right"/>
              <w:ind w:right="211"/>
              <w:spacing w:after="0" w:line="206"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871"/>
              <w:spacing w:after="0" w:line="206"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other expenses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Impairment related to real estate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Workforce reduction expense</w:t>
            </w: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gains on equity investments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effects of non-GAAP adjustments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5"/>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Non-GAAP diluted net income per share</w:t>
            </w:r>
          </w:p>
        </w:tc>
        <w:tc>
          <w:tcPr>
            <w:tcW w:w="1040" w:type="dxa"/>
            <w:vAlign w:val="bottom"/>
            <w:tcBorders>
              <w:bottom w:val="single" w:sz="8" w:color="auto"/>
            </w:tcBorders>
          </w:tcPr>
          <w:p>
            <w:pPr>
              <w:jc w:val="right"/>
              <w:ind w:right="851"/>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71"/>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199"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0.76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1"/>
              <w:spacing w:after="0" w:line="199"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60" w:type="dxa"/>
            <w:vAlign w:val="bottom"/>
            <w:shd w:val="clear" w:color="auto" w:fill="CCEEFF"/>
          </w:tcPr>
          <w:p>
            <w:pPr>
              <w:spacing w:after="0" w:line="140" w:lineRule="exact"/>
              <w:rPr>
                <w:sz w:val="20"/>
                <w:szCs w:val="20"/>
                <w:color w:val="auto"/>
              </w:rPr>
            </w:pPr>
            <w:r>
              <w:rPr>
                <w:rFonts w:ascii="Arial" w:cs="Arial" w:eastAsia="Arial" w:hAnsi="Arial"/>
                <w:sz w:val="15"/>
                <w:szCs w:val="15"/>
                <w:color w:val="auto"/>
              </w:rPr>
              <w:t>Weighted-average shares used to compute Non-GAAP</w:t>
            </w:r>
          </w:p>
        </w:tc>
        <w:tc>
          <w:tcPr>
            <w:tcW w:w="10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8"/>
        </w:trPr>
        <w:tc>
          <w:tcPr>
            <w:tcW w:w="4260" w:type="dxa"/>
            <w:vAlign w:val="bottom"/>
            <w:tcBorders>
              <w:bottom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diluted net income per share</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Three and Six Months Ended June 30, 2022 and 2021</w:t>
      </w:r>
    </w:p>
    <w:p>
      <w:pPr>
        <w:spacing w:after="0" w:line="7"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020" w:type="dxa"/>
            <w:vAlign w:val="bottom"/>
          </w:tcPr>
          <w:p>
            <w:pPr>
              <w:spacing w:after="0"/>
              <w:rPr>
                <w:sz w:val="17"/>
                <w:szCs w:val="17"/>
                <w:color w:val="auto"/>
              </w:rPr>
            </w:pPr>
          </w:p>
        </w:tc>
        <w:tc>
          <w:tcPr>
            <w:tcW w:w="2760" w:type="dxa"/>
            <w:vAlign w:val="bottom"/>
            <w:gridSpan w:val="4"/>
          </w:tcPr>
          <w:p>
            <w:pPr>
              <w:jc w:val="right"/>
              <w:ind w:right="171"/>
              <w:spacing w:after="0" w:line="206" w:lineRule="exact"/>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gridSpan w:val="3"/>
          </w:tcPr>
          <w:p>
            <w:pPr>
              <w:jc w:val="right"/>
              <w:spacing w:after="0" w:line="206" w:lineRule="exact"/>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209.9</w:t>
            </w:r>
          </w:p>
        </w:tc>
        <w:tc>
          <w:tcPr>
            <w:tcW w:w="80" w:type="dxa"/>
            <w:vAlign w:val="bottom"/>
          </w:tcPr>
          <w:p>
            <w:pPr>
              <w:spacing w:after="0"/>
              <w:rPr>
                <w:sz w:val="19"/>
                <w:szCs w:val="19"/>
                <w:color w:val="auto"/>
              </w:rPr>
            </w:pP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219.9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c>
          <w:tcPr>
            <w:tcW w:w="640" w:type="dxa"/>
            <w:vAlign w:val="bottom"/>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205.9</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216.0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36.0 %</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40.7 %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29.7 %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200"/>
              <w:spacing w:after="0" w:line="173" w:lineRule="exact"/>
              <w:rPr>
                <w:sz w:val="20"/>
                <w:szCs w:val="20"/>
                <w:color w:val="auto"/>
              </w:rPr>
            </w:pPr>
            <w:r>
              <w:rPr>
                <w:rFonts w:ascii="Arial" w:cs="Arial" w:eastAsia="Arial" w:hAnsi="Arial"/>
                <w:sz w:val="18"/>
                <w:szCs w:val="18"/>
                <w:color w:val="auto"/>
              </w:rPr>
              <w:t>Key employee holdback payments related to</w:t>
            </w: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80" w:type="dxa"/>
            <w:vAlign w:val="bottom"/>
            <w:vMerge w:val="restart"/>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640" w:type="dxa"/>
            <w:vAlign w:val="bottom"/>
            <w:vMerge w:val="restart"/>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line="199"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(1)</w:t>
            </w:r>
          </w:p>
        </w:tc>
        <w:tc>
          <w:tcPr>
            <w:tcW w:w="102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shd w:val="clear" w:color="auto" w:fill="CCEEFF"/>
          </w:tcPr>
          <w:p>
            <w:pPr>
              <w:ind w:left="20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3"/>
                <w:szCs w:val="23"/>
                <w:color w:val="auto"/>
                <w:vertAlign w:val="superscript"/>
              </w:rPr>
              <w:t>(2)</w:t>
            </w: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 w:right="20" w:firstLine="6"/>
        <w:spacing w:after="0" w:line="272" w:lineRule="auto"/>
        <w:tabs>
          <w:tab w:leader="none" w:pos="15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We make payment installments of deal consideration employee holdbacks pertaining to our various acquisitions in accordance with the acquisition agreements. The related expenses are recognized within research and development and sales and marketing expenses over the required service period.</w:t>
      </w:r>
    </w:p>
    <w:p>
      <w:pPr>
        <w:spacing w:after="0" w:line="190"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workforce reduction such as severance, benefits, and other related items.</w:t>
      </w:r>
    </w:p>
    <w:p>
      <w:pPr>
        <w:sectPr>
          <w:pgSz w:w="11900" w:h="16838" w:orient="portrait"/>
          <w:cols w:equalWidth="0" w:num="1">
            <w:col w:w="11094"/>
          </w:cols>
          <w:pgMar w:left="326" w:top="874"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expenses related to our reduction in force, net gains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For periods that we are in a GAAP net income position, the weighted average shares used in the computation are the same as the shares used in our non-GAAP diluted net income per share computation. In order to present revenue on a constant currency basis for the quarter ended June 30, 2022,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9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its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87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Alissa Stewart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6"/>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2022-08-04T15:34:11Z</dcterms:created>
  <dcterms:modified xsi:type="dcterms:W3CDTF">2022-08-04T15:34:11Z</dcterms:modified>
</cp:coreProperties>
</file>