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20" w:right="21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50" w:lineRule="exact"/>
        <w:rPr>
          <w:sz w:val="24"/>
          <w:szCs w:val="24"/>
          <w:color w:val="auto"/>
        </w:rPr>
      </w:pPr>
    </w:p>
    <w:p>
      <w:pPr>
        <w:sectPr>
          <w:pgSz w:w="11900" w:h="16838" w:orient="portrait"/>
          <w:cols w:equalWidth="0" w:num="2">
            <w:col w:w="7500" w:space="720"/>
            <w:col w:w="3120"/>
          </w:cols>
          <w:pgMar w:left="240" w:top="368" w:right="319" w:bottom="1440" w:gutter="0" w:footer="0" w:header="0"/>
          <w:type w:val="continuous"/>
        </w:sectPr>
      </w:pPr>
    </w:p>
    <w:p>
      <w:pPr>
        <w:ind w:left="168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840" w:space="720"/>
            <w:col w:w="3780"/>
          </w:cols>
          <w:pgMar w:left="240" w:top="368" w:right="3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333 Brannan Street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San Francisco, California 94107</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8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820" w:type="dxa"/>
            <w:vAlign w:val="bottom"/>
            <w:gridSpan w:val="3"/>
          </w:tcPr>
          <w:p>
            <w:pPr>
              <w:jc w:val="center"/>
              <w:ind w:left="1119"/>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38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to be so registered</w:t>
            </w:r>
          </w:p>
        </w:tc>
        <w:tc>
          <w:tcPr>
            <w:tcW w:w="1640" w:type="dxa"/>
            <w:vAlign w:val="bottom"/>
          </w:tcPr>
          <w:p>
            <w:pPr>
              <w:spacing w:after="0"/>
              <w:rPr>
                <w:sz w:val="13"/>
                <w:szCs w:val="13"/>
                <w:color w:val="auto"/>
              </w:rPr>
            </w:pPr>
          </w:p>
        </w:tc>
        <w:tc>
          <w:tcPr>
            <w:tcW w:w="2180" w:type="dxa"/>
            <w:vAlign w:val="bottom"/>
            <w:gridSpan w:val="2"/>
          </w:tcPr>
          <w:p>
            <w:pPr>
              <w:jc w:val="center"/>
              <w:ind w:right="330"/>
              <w:spacing w:after="0" w:line="153" w:lineRule="exact"/>
              <w:rPr>
                <w:sz w:val="20"/>
                <w:szCs w:val="20"/>
                <w:color w:val="auto"/>
              </w:rPr>
            </w:pPr>
            <w:r>
              <w:rPr>
                <w:rFonts w:ascii="Arial" w:cs="Arial" w:eastAsia="Arial" w:hAnsi="Arial"/>
                <w:sz w:val="14"/>
                <w:szCs w:val="14"/>
                <w:b w:val="1"/>
                <w:bCs w:val="1"/>
                <w:color w:val="auto"/>
                <w:w w:val="88"/>
              </w:rPr>
              <w:t>each class is to be registered</w:t>
            </w:r>
          </w:p>
        </w:tc>
        <w:tc>
          <w:tcPr>
            <w:tcW w:w="0" w:type="dxa"/>
            <w:vAlign w:val="bottom"/>
          </w:tcPr>
          <w:p>
            <w:pPr>
              <w:spacing w:after="0"/>
              <w:rPr>
                <w:sz w:val="1"/>
                <w:szCs w:val="1"/>
                <w:color w:val="auto"/>
              </w:rPr>
            </w:pPr>
          </w:p>
        </w:tc>
      </w:tr>
      <w:tr>
        <w:trPr>
          <w:trHeight w:val="32"/>
        </w:trPr>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w w:val="99"/>
              </w:rPr>
              <w:t>Class A Common</w:t>
            </w:r>
          </w:p>
        </w:tc>
        <w:tc>
          <w:tcPr>
            <w:tcW w:w="1120" w:type="dxa"/>
            <w:vAlign w:val="bottom"/>
            <w:tcBorders>
              <w:bottom w:val="single" w:sz="8" w:color="auto"/>
            </w:tcBorders>
          </w:tcPr>
          <w:p>
            <w:pPr>
              <w:spacing w:after="0"/>
              <w:rPr>
                <w:sz w:val="2"/>
                <w:szCs w:val="2"/>
                <w:color w:val="auto"/>
              </w:rPr>
            </w:pPr>
          </w:p>
        </w:tc>
        <w:tc>
          <w:tcPr>
            <w:tcW w:w="2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$0.00001 per share</w:t>
            </w:r>
          </w:p>
        </w:tc>
        <w:tc>
          <w:tcPr>
            <w:tcW w:w="164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The</w:t>
            </w:r>
          </w:p>
        </w:tc>
        <w:tc>
          <w:tcPr>
            <w:tcW w:w="1740" w:type="dxa"/>
            <w:vAlign w:val="bottom"/>
            <w:tcBorders>
              <w:bottom w:val="single" w:sz="8" w:color="auto"/>
            </w:tcBorders>
          </w:tcPr>
          <w:p>
            <w:pPr>
              <w:spacing w:after="0"/>
              <w:rPr>
                <w:sz w:val="2"/>
                <w:szCs w:val="2"/>
                <w:color w:val="auto"/>
              </w:rPr>
            </w:pPr>
          </w:p>
        </w:tc>
        <w:tc>
          <w:tcPr>
            <w:tcW w:w="44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7"/>
              </w:rPr>
              <w:t>LLC</w:t>
            </w:r>
          </w:p>
        </w:tc>
        <w:tc>
          <w:tcPr>
            <w:tcW w:w="0" w:type="dxa"/>
            <w:vAlign w:val="bottom"/>
          </w:tcPr>
          <w:p>
            <w:pPr>
              <w:spacing w:after="0"/>
              <w:rPr>
                <w:sz w:val="1"/>
                <w:szCs w:val="1"/>
                <w:color w:val="auto"/>
              </w:rPr>
            </w:pPr>
          </w:p>
        </w:tc>
      </w:tr>
      <w:tr>
        <w:trPr>
          <w:trHeight w:val="228"/>
        </w:trPr>
        <w:tc>
          <w:tcPr>
            <w:tcW w:w="1500" w:type="dxa"/>
            <w:vAlign w:val="bottom"/>
            <w:vMerge w:val="continue"/>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79"/>
              </w:rPr>
              <w:t>Stock, par value</w:t>
            </w:r>
          </w:p>
        </w:tc>
        <w:tc>
          <w:tcPr>
            <w:tcW w:w="268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NASDAQ Stock Market</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202565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333-223182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 a description of the securities of Dropbox, Inc. (the “</w:t>
      </w:r>
      <w:r>
        <w:rPr>
          <w:rFonts w:ascii="Arial" w:cs="Arial" w:eastAsia="Arial" w:hAnsi="Arial"/>
          <w:sz w:val="17"/>
          <w:szCs w:val="17"/>
          <w:b w:val="1"/>
          <w:bCs w:val="1"/>
          <w:color w:val="auto"/>
        </w:rPr>
        <w:t>Registrant</w:t>
      </w:r>
      <w:r>
        <w:rPr>
          <w:rFonts w:ascii="Arial" w:cs="Arial" w:eastAsia="Arial" w:hAnsi="Arial"/>
          <w:sz w:val="17"/>
          <w:szCs w:val="17"/>
          <w:color w:val="auto"/>
        </w:rPr>
        <w:t>”) being registered hereunder, reference is made to the information set forth under the heading “Description of Capital Stock” contained in the Registrant’s registration statement on Form S-1 (File No. 333-223182), as initially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February 23, 2018,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19, 2018</w:t>
      </w:r>
      <w:r>
        <w:rPr>
          <w:sz w:val="20"/>
          <w:szCs w:val="20"/>
          <w:color w:val="auto"/>
        </w:rPr>
        <w:tab/>
      </w:r>
      <w:r>
        <w:rPr>
          <w:rFonts w:ascii="Arial" w:cs="Arial" w:eastAsia="Arial" w:hAnsi="Arial"/>
          <w:sz w:val="17"/>
          <w:szCs w:val="17"/>
          <w:b w:val="1"/>
          <w:bCs w:val="1"/>
          <w:color w:val="auto"/>
        </w:rPr>
        <w:t>DROPBOX,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Bart E.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Bart E. Volkmer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2019-12-07T15:46:56Z</dcterms:created>
  <dcterms:modified xsi:type="dcterms:W3CDTF">2019-12-07T15:46:56Z</dcterms:modified>
</cp:coreProperties>
</file>