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Vashee Ajay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02/18/2020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right="26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6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360" w:space="72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Stpck</w:t>
            </w: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02/18/2020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12,996</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18.53</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428,331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have been withheld by the Issuer to satisfy income tax withholding and remittance obligations in connection with the vesting and net settlement of restricted stock units previously reported.</w:t>
      </w:r>
    </w:p>
    <w:p>
      <w:pPr>
        <w:spacing w:after="0" w:line="30" w:lineRule="exact"/>
        <w:rPr>
          <w:rFonts w:ascii="Arial" w:cs="Arial" w:eastAsia="Arial" w:hAnsi="Arial"/>
          <w:sz w:val="14"/>
          <w:szCs w:val="14"/>
          <w:color w:val="008000"/>
        </w:rPr>
      </w:pPr>
    </w:p>
    <w:p>
      <w:pPr>
        <w:ind w:left="40" w:right="5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February 15, 2023. In the event the Reporting Person ceases to be a Service Provider, the unvested restricted stock units will be cancelled by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02/20/2020</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2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2020-02-20T18:12:32Z</dcterms:created>
  <dcterms:modified xsi:type="dcterms:W3CDTF">2020-02-20T18:12:32Z</dcterms:modified>
</cp:coreProperties>
</file>