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5,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DROPBOX,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 R. 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5120" w:space="720"/>
            <w:col w:w="2240" w:space="720"/>
            <w:col w:w="2440"/>
          </w:cols>
          <w:pgMar w:left="320" w:top="700"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700"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1020" w:hanging="56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020" w:hanging="56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020" w:hanging="562"/>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80" w:firstLine="458"/>
        <w:spacing w:after="0" w:line="498" w:lineRule="auto"/>
        <w:tabs>
          <w:tab w:leader="none" w:pos="100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w:t>
            </w:r>
          </w:p>
        </w:tc>
      </w:t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DBX</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On March 5, 2025, Dropbox, Inc. (the “Company”) filed (i) a certificate of conversion with the Secretary of State of the State of Delaware and</w:t>
      </w:r>
    </w:p>
    <w:p>
      <w:pPr>
        <w:spacing w:after="0" w:line="27" w:lineRule="exact"/>
        <w:rPr>
          <w:sz w:val="20"/>
          <w:szCs w:val="20"/>
          <w:color w:val="auto"/>
        </w:rPr>
      </w:pPr>
    </w:p>
    <w:p>
      <w:pPr>
        <w:ind w:right="360" w:firstLine="8"/>
        <w:spacing w:after="0" w:line="255" w:lineRule="auto"/>
        <w:tabs>
          <w:tab w:leader="none" w:pos="26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articles of conversion with the Secretary of State of the State of Nevada, pursuant to which the reincorporation of the Company from the State of Delaware to the State of Nevada (the “Reincorporation”) became effective on March 5, 2025, at 5:00 p.m. Pacific Time (the “Effective Time”). At the Effective Time:</w:t>
      </w:r>
    </w:p>
    <w:p>
      <w:pPr>
        <w:spacing w:after="0" w:line="185" w:lineRule="exact"/>
        <w:rPr>
          <w:rFonts w:ascii="Times New Roman" w:cs="Times New Roman" w:eastAsia="Times New Roman" w:hAnsi="Times New Roman"/>
          <w:sz w:val="18"/>
          <w:szCs w:val="18"/>
          <w:color w:val="212529"/>
        </w:rPr>
      </w:pPr>
    </w:p>
    <w:p>
      <w:pPr>
        <w:ind w:left="1260" w:hanging="685"/>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state of incorporation changed from the State of Delaware to the State of Nevada; and</w:t>
      </w:r>
    </w:p>
    <w:p>
      <w:pPr>
        <w:spacing w:after="0" w:line="225" w:lineRule="exact"/>
        <w:rPr>
          <w:rFonts w:ascii="Times New Roman" w:cs="Times New Roman" w:eastAsia="Times New Roman" w:hAnsi="Times New Roman"/>
          <w:sz w:val="18"/>
          <w:szCs w:val="18"/>
          <w:color w:val="auto"/>
        </w:rPr>
      </w:pPr>
    </w:p>
    <w:p>
      <w:pPr>
        <w:ind w:left="1260" w:right="40" w:hanging="685"/>
        <w:spacing w:after="0" w:line="261" w:lineRule="auto"/>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the Company ceased to be governed by the laws of the State of Delaware and the Company’s existing amended and restated certificate of incorporation and amended and restated bylaws, and instead became governed by the laws of the State of Nevada and the articles of incorporation filed with the Secretary of State of the State of Nevada (the “Nevada Charter”) and the bylaws approved by the Company’s board of directors (the “Nevada Bylaws”).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12529"/>
        </w:rPr>
        <w:t>The Reincorporation did not result in any change in the business, jobs, management, properties, location of any of the Company’s offices or facilities, number of employees, obligations, assets, liabilities, or net worth (other than as a result of the costs related to the Reincorporation). The Reincorporation did not materially affect any of the Company’s material contracts with any third parties, and the Company’s rights and obligations under those material contractual arrangements continue to be the rights and obligations of the Company after the Reincorporation.</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12529"/>
        </w:rPr>
        <w:t>At the Effective Time, each outstanding share of Class A Common Stock, par value $0.00001 per share, of the Delaware corporation (the “Delaware Corporation Class A Common Stock”) automatically converted into one outstanding share of Class A common stock, par value $0.00001 per share, of the Nevada corporation (the “Nevada Corporation Class A Common Stock”), and each outstanding share of Class B Common Stock of the Delaware corporation, par value $0.00001 per share (the “Delaware Corporation Class B Common Stock”), automatically converted into one outstanding share of Class B common stock, par value $0.00001 per share, of the Nevada corporation (the “Nevada Corporation Class B Common Stock”). Stockholders do not have to exchange their existing stock certificates for new stock certificates. At the Effective Time, each outstanding restricted stock unit, option, or right to acquire shares of Delaware Corporation Class A Common Stock or Delaware Corporation Class B Common Stock automatically became a restricted stock unit, option, or right to acquire an equal number of shares of Nevada Corporation Class A Common Stock or Nevada Corporation Class B Common Stock, as applicable, under the same terms and conditions. The Nevada Corporation Class A Common Stock continues to be traded on the Nasdaq Global Select Market under the symbol “DBX.”</w:t>
      </w:r>
    </w:p>
    <w:p>
      <w:pPr>
        <w:spacing w:after="0" w:line="194" w:lineRule="exact"/>
        <w:rPr>
          <w:sz w:val="20"/>
          <w:szCs w:val="20"/>
          <w:color w:val="auto"/>
        </w:rPr>
      </w:pPr>
    </w:p>
    <w:p>
      <w:pPr>
        <w:jc w:val="both"/>
        <w:ind w:right="60" w:firstLine="324"/>
        <w:spacing w:after="0" w:line="256" w:lineRule="auto"/>
        <w:rPr>
          <w:sz w:val="20"/>
          <w:szCs w:val="20"/>
          <w:color w:val="auto"/>
        </w:rPr>
      </w:pPr>
      <w:r>
        <w:rPr>
          <w:rFonts w:ascii="Times New Roman" w:cs="Times New Roman" w:eastAsia="Times New Roman" w:hAnsi="Times New Roman"/>
          <w:sz w:val="18"/>
          <w:szCs w:val="18"/>
          <w:color w:val="212529"/>
        </w:rPr>
        <w:t>Certain rights of the Company’s stockholders were changed as a result of the Reincorporation. A more detailed description of the Plan of Conversion, Nevada Charter, Nevada Bylaws, and the effects of the Reincorporation is set forth in the Information Statement filed by the Company with the Securities and Exchange Commission on February 10, 2025. In addition, certain ministerial changes were made to the indentures for the Company’s 0% Convertible Senior Notes due 2026 (the “2026 Notes”) and outstanding 0% Convertible Senior Notes due 2028 (the “2028 Notes”). Copies of the Plan of Conversion, Nevada Charter, and Nevada Bylaws as well as copies of the supplemental indentures for the 2026 Notes and the 2028 Notes are filed as Exhibits 2.1, 3.1, and 3.2, 4.1 and 4.2,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4"/>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No.</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Plan of Conversion</w:t>
            </w:r>
          </w:p>
        </w:tc>
        <w:tc>
          <w:tcPr>
            <w:tcW w:w="8700" w:type="dxa"/>
            <w:vAlign w:val="bottom"/>
            <w:tcBorders>
              <w:top w:val="single" w:sz="8" w:color="auto"/>
            </w:tcBorders>
            <w:gridSpan w:val="4"/>
          </w:tcPr>
          <w:p>
            <w:pPr>
              <w:spacing w:after="0"/>
              <w:rPr>
                <w:sz w:val="14"/>
                <w:szCs w:val="14"/>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Articles of Incorporation of Dropbox, Inc.</w:t>
            </w:r>
          </w:p>
        </w:tc>
        <w:tc>
          <w:tcPr>
            <w:tcW w:w="7060" w:type="dxa"/>
            <w:vAlign w:val="bottom"/>
            <w:gridSpan w:val="2"/>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Bylaws of Dropbox, Inc.</w:t>
            </w:r>
          </w:p>
        </w:tc>
        <w:tc>
          <w:tcPr>
            <w:tcW w:w="8300" w:type="dxa"/>
            <w:vAlign w:val="bottom"/>
            <w:gridSpan w:val="3"/>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Supplemental Indenture dated March 3, 2025 between the Company and U.S. Bank Trust Company, National Association (2026 Notes)</w:t>
            </w:r>
          </w:p>
        </w:tc>
        <w:tc>
          <w:tcPr>
            <w:tcW w:w="340" w:type="dxa"/>
            <w:vAlign w:val="bottom"/>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Supplemental Indenture dated March 3, 2025 between the Company and U.S. Bank Trust Company, National Association (2028 Notes)</w:t>
            </w:r>
          </w:p>
        </w:tc>
        <w:tc>
          <w:tcPr>
            <w:tcW w:w="340" w:type="dxa"/>
            <w:vAlign w:val="bottom"/>
          </w:tcPr>
          <w:p>
            <w:pPr>
              <w:spacing w:after="0"/>
              <w:rPr>
                <w:sz w:val="17"/>
                <w:szCs w:val="17"/>
                <w:color w:val="auto"/>
              </w:rPr>
            </w:pPr>
          </w:p>
        </w:tc>
      </w:tr>
      <w:tr>
        <w:trPr>
          <w:trHeight w:val="23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Dropbox, Inc.</w:t>
            </w:r>
          </w:p>
        </w:tc>
      </w:tr>
      <w:tr>
        <w:trPr>
          <w:trHeight w:val="4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Bart Volkmer</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Bart Volkmer</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is adopted as of January 17, 2025 to convert Dropbox, Inc., a Delaware corporation (the “</w:t>
      </w:r>
      <w:r>
        <w:rPr>
          <w:rFonts w:ascii="Times New Roman" w:cs="Times New Roman" w:eastAsia="Times New Roman" w:hAnsi="Times New Roman"/>
          <w:sz w:val="18"/>
          <w:szCs w:val="18"/>
          <w:b w:val="1"/>
          <w:bCs w:val="1"/>
          <w:color w:val="auto"/>
        </w:rPr>
        <w:t>Converting Entity</w:t>
      </w:r>
      <w:r>
        <w:rPr>
          <w:rFonts w:ascii="Times New Roman" w:cs="Times New Roman" w:eastAsia="Times New Roman" w:hAnsi="Times New Roman"/>
          <w:sz w:val="18"/>
          <w:szCs w:val="18"/>
          <w:color w:val="auto"/>
        </w:rPr>
        <w:t>”), to a Nevada corporation to be known as “Dropbox, Inc.” (the “</w:t>
      </w:r>
      <w:r>
        <w:rPr>
          <w:rFonts w:ascii="Times New Roman" w:cs="Times New Roman" w:eastAsia="Times New Roman" w:hAnsi="Times New Roman"/>
          <w:sz w:val="18"/>
          <w:szCs w:val="18"/>
          <w:b w:val="1"/>
          <w:bCs w:val="1"/>
          <w:color w:val="auto"/>
        </w:rPr>
        <w:t>Converted Entity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Converting Entity</w:t>
      </w:r>
      <w:r>
        <w:rPr>
          <w:rFonts w:ascii="Times New Roman" w:cs="Times New Roman" w:eastAsia="Times New Roman" w:hAnsi="Times New Roman"/>
          <w:sz w:val="18"/>
          <w:szCs w:val="18"/>
          <w:color w:val="auto"/>
        </w:rPr>
        <w:t>. The Converting Entity is a corporation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Converted Entity</w:t>
      </w:r>
      <w:r>
        <w:rPr>
          <w:rFonts w:ascii="Times New Roman" w:cs="Times New Roman" w:eastAsia="Times New Roman" w:hAnsi="Times New Roman"/>
          <w:sz w:val="18"/>
          <w:szCs w:val="18"/>
          <w:color w:val="auto"/>
        </w:rPr>
        <w:t>. The Converted Entity shall be a corporation organized under Chapter 78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The name of the Converted Entity shall be Dropbox, Inc.</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The Conversion</w:t>
      </w:r>
      <w:r>
        <w:rPr>
          <w:rFonts w:ascii="Times New Roman" w:cs="Times New Roman" w:eastAsia="Times New Roman" w:hAnsi="Times New Roman"/>
          <w:sz w:val="18"/>
          <w:szCs w:val="18"/>
          <w:color w:val="auto"/>
        </w:rPr>
        <w:t>. The Converting Entity shall be converted to the Converted Entity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pursuant to Section 92A.195 of the NRS and Section 266 of the DGCL.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Filing of Conversion Documents; Effective Time</w:t>
      </w:r>
      <w:r>
        <w:rPr>
          <w:rFonts w:ascii="Times New Roman" w:cs="Times New Roman" w:eastAsia="Times New Roman" w:hAnsi="Times New Roman"/>
          <w:sz w:val="18"/>
          <w:szCs w:val="18"/>
          <w:color w:val="auto"/>
        </w:rPr>
        <w:t>. As soon as practicable following the satisfaction of the conditions set forth in Section 9, if this Plan of Conversion shall not have been terminated prior thereto as provided in Section 12, the Converting Entity shall cause (i) articles of conversion meeting the requirements of Section 92A.205 of the NRS (the “</w:t>
      </w:r>
      <w:r>
        <w:rPr>
          <w:rFonts w:ascii="Times New Roman" w:cs="Times New Roman" w:eastAsia="Times New Roman" w:hAnsi="Times New Roman"/>
          <w:sz w:val="18"/>
          <w:szCs w:val="18"/>
          <w:b w:val="1"/>
          <w:bCs w:val="1"/>
          <w:color w:val="auto"/>
        </w:rPr>
        <w:t>Articles of Conversion</w:t>
      </w:r>
      <w:r>
        <w:rPr>
          <w:rFonts w:ascii="Times New Roman" w:cs="Times New Roman" w:eastAsia="Times New Roman" w:hAnsi="Times New Roman"/>
          <w:sz w:val="18"/>
          <w:szCs w:val="18"/>
          <w:color w:val="auto"/>
        </w:rPr>
        <w:t>”) to be properly executed and filed in accordance with such section and (ii) a certificate of conversion meeting the requirements of Section 266 of the DGCL (the “</w:t>
      </w:r>
      <w:r>
        <w:rPr>
          <w:rFonts w:ascii="Times New Roman" w:cs="Times New Roman" w:eastAsia="Times New Roman" w:hAnsi="Times New Roman"/>
          <w:sz w:val="18"/>
          <w:szCs w:val="18"/>
          <w:b w:val="1"/>
          <w:b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 and otherwise make all other filings or recordings as required by the NRS or DGCL in connection with the Conversion. The Conversion shall become effective at the time designated in the Articles of Conversion and Certificate of Conversion as the effective time of the Conversion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Articles of Incorporation and Bylaws</w:t>
      </w:r>
      <w:r>
        <w:rPr>
          <w:rFonts w:ascii="Times New Roman" w:cs="Times New Roman" w:eastAsia="Times New Roman" w:hAnsi="Times New Roman"/>
          <w:sz w:val="18"/>
          <w:szCs w:val="18"/>
          <w:color w:val="auto"/>
        </w:rPr>
        <w:t xml:space="preserve">. At the Effective Time, the Articles of Incorporation and Bylaws of the Converted Entity, in the forms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shall govern the Converted Entity until amended in accordance with their respective terms and applicable law.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 From and after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and the lead independent director of the Board of Directors of the Converting Entity as of immediately prior to the Effective Time shall be, from and after the Effective Time, the chair of the Board of Directors of the Converted Entity and the lead independent director of the Board of Directors of the Converted Entity, respectively, each to serve at the pleasure of the Board of Directors of the Converted Entity; (iii) each committee of the Board of Directors of the Converting Entity as of immediately prior to the Effective Time shall be, from and after the Effective Time,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from and after the Effective Time,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“officer” for purposes of Section 16 of the Exchange Act shall remain in effect), each to serve until his or her successor has been duly elected or appointed and qualified or until his or her earlier death, resignation or removal.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Effect on Capital Stock of Converting Entity</w:t>
      </w:r>
      <w:r>
        <w:rPr>
          <w:rFonts w:ascii="Times New Roman" w:cs="Times New Roman" w:eastAsia="Times New Roman" w:hAnsi="Times New Roman"/>
          <w:sz w:val="18"/>
          <w:szCs w:val="18"/>
          <w:color w:val="auto"/>
        </w:rPr>
        <w:t>. At the Effective Time, by virtue of the Conversion and without any further action on the part of the Converting Entity, the Converted Entity or any other person, (i) each share of Class A Common Stock, par value $0.00001 per share, of the Converting Entity issued and outstanding or held in treasury immediately prior to the Effective Time shall be automatically converted into one (1) share of Class A Common Stock, par value $0.00001 per share, of the Converted Entity; and (ii) each share of Class B Common Stock, par value $0.00001 per share, of the Converting Entity issued and outstanding or held in treasury immediately prior to the Effective Time shall be automatically converted into one (1) share of Class B Common Stock, par value $0.00001 per share, of the Converted Entity. At and after the Effective Time: (x) all of the outstanding certificates that immediately prior to the Effective Time represented issued and outstanding shares of Class A Common Stock or Class B Common Stock of the Converting Entity shall be deemed for all purposes to evidence ownership of and to represent shares of Class A Common Stock or Class B Common Stock, as applicable, of the Converted Entity and shall be so registered on the books and records of the Converted Entity and its transfer agent; and (y) all of the issued and outstanding shares of Class A Common Stock and Class B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Effect on Other Securities of Converting Entity</w:t>
      </w:r>
      <w:r>
        <w:rPr>
          <w:rFonts w:ascii="Times New Roman" w:cs="Times New Roman" w:eastAsia="Times New Roman" w:hAnsi="Times New Roman"/>
          <w:sz w:val="18"/>
          <w:szCs w:val="18"/>
          <w:color w:val="auto"/>
        </w:rPr>
        <w:t>. At the Effective Time, any warrant, option, restricted stock unit, equity or equity-based award, or other right to acquire any shares of, or of any instrument to convert into or based on the value of, the Class A Common Stock or Class B Common Stock of the Converting Entity or other equity security of the Converting Entity, whether vested or unvested, which is outstanding immediately prior to the Effective Time (each,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Conditions Precedent</w:t>
      </w:r>
      <w:r>
        <w:rPr>
          <w:rFonts w:ascii="Times New Roman" w:cs="Times New Roman" w:eastAsia="Times New Roman" w:hAnsi="Times New Roman"/>
          <w:sz w:val="18"/>
          <w:szCs w:val="18"/>
          <w:color w:val="auto"/>
        </w:rPr>
        <w:t>. Completion of the Conversion is subject to the following conditions: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          the resolution of the Board of Directors of the Converting Entity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approving the conversion of the Converting Entity to the Converted Entity pursuant to and in accordance with applicable law and this Plan of Conversion shall have been adopted and approved by the affirmative vote or consent of a majority of the aggregate voting power of the shares of the Class A Common Stock and Class B Common Stock of the Converting Entity outstanding and entitled to vote thereon, voting together as a single class;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other than the filing of the Articles of Conversion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Effect of Conversion</w:t>
      </w:r>
      <w:r>
        <w:rPr>
          <w:rFonts w:ascii="Times New Roman" w:cs="Times New Roman" w:eastAsia="Times New Roman" w:hAnsi="Times New Roman"/>
          <w:sz w:val="18"/>
          <w:szCs w:val="18"/>
          <w:color w:val="auto"/>
        </w:rPr>
        <w:t>. From and after the Effective Time, the Conversion shall, for all purposes of the laws of the State of Delaware, have the effects set forth in Section 266(h) of the DGCL and shall, for all purposes of the laws of the State of Nevada, have the effects set forth in NRS 92A.250(3).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Record of Conversion</w:t>
      </w:r>
      <w:r>
        <w:rPr>
          <w:rFonts w:ascii="Times New Roman" w:cs="Times New Roman" w:eastAsia="Times New Roman" w:hAnsi="Times New Roman"/>
          <w:sz w:val="18"/>
          <w:szCs w:val="18"/>
          <w:color w:val="auto"/>
        </w:rPr>
        <w:t>. A copy of this Plan of Conversion will be kept at the principal place of business of the Converted Entity and, upon the request of any stockholder of the Converting Entity, a copy of this Plan of Conversion shall promptly be delivered to such stockholder.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Termination; Abandonment</w:t>
      </w:r>
      <w:r>
        <w:rPr>
          <w:rFonts w:ascii="Times New Roman" w:cs="Times New Roman" w:eastAsia="Times New Roman" w:hAnsi="Times New Roman"/>
          <w:sz w:val="18"/>
          <w:szCs w:val="18"/>
          <w:color w:val="auto"/>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Plan of Reorganization</w:t>
      </w:r>
      <w:r>
        <w:rPr>
          <w:rFonts w:ascii="Times New Roman" w:cs="Times New Roman" w:eastAsia="Times New Roman" w:hAnsi="Times New Roman"/>
          <w:sz w:val="18"/>
          <w:szCs w:val="18"/>
          <w:color w:val="auto"/>
        </w:rPr>
        <w:t>. It is intended that the Conversion qualify as a “reorganization” within the meaning of Section 368(a)(1)(F)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any similar provision of state or local law). This Plan of Conversion shall constitute, and is adopted as, a “plan of reorganization” within the meaning of Sections 1.368-2(g) and 1.368-3(a) of the U.S. Treasury Regulations promulgated under the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This Plan of Conversion has been adopted by the Board of Directors as of the date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w w:val="99"/>
              </w:rPr>
              <w:t>Dropbox, Inc.</w:t>
            </w:r>
          </w:p>
        </w:tc>
        <w:tc>
          <w:tcPr>
            <w:tcW w:w="4520" w:type="dxa"/>
            <w:vAlign w:val="bottom"/>
          </w:tcPr>
          <w:p>
            <w:pPr>
              <w:spacing w:after="0"/>
              <w:rPr>
                <w:sz w:val="20"/>
                <w:szCs w:val="20"/>
                <w:color w:val="auto"/>
              </w:rPr>
            </w:pPr>
          </w:p>
        </w:tc>
      </w:tr>
      <w:tr>
        <w:trPr>
          <w:trHeight w:val="648"/>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W. Houston</w:t>
            </w:r>
          </w:p>
        </w:tc>
      </w:tr>
      <w:tr>
        <w:trPr>
          <w:trHeight w:val="191"/>
        </w:trPr>
        <w:tc>
          <w:tcPr>
            <w:tcW w:w="620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Andrew W. Houston</w:t>
            </w:r>
          </w:p>
        </w:tc>
      </w:tr>
      <w:tr>
        <w:trPr>
          <w:trHeight w:val="234"/>
        </w:trPr>
        <w:tc>
          <w:tcPr>
            <w:tcW w:w="62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6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CORPORATION</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The name of the corporation is Dropbox,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The Corporation is the resulting entity in the conversion of Dropbox, Inc., a Delaware corporation (the “</w:t>
      </w:r>
      <w:r>
        <w:rPr>
          <w:rFonts w:ascii="Times New Roman" w:cs="Times New Roman" w:eastAsia="Times New Roman" w:hAnsi="Times New Roman"/>
          <w:sz w:val="18"/>
          <w:szCs w:val="18"/>
          <w:b w:val="1"/>
          <w:bCs w:val="1"/>
          <w:i w:val="1"/>
          <w:iCs w:val="1"/>
          <w:color w:val="auto"/>
        </w:rPr>
        <w:t>Delaware Corporation</w:t>
      </w:r>
      <w:r>
        <w:rPr>
          <w:rFonts w:ascii="Times New Roman" w:cs="Times New Roman" w:eastAsia="Times New Roman" w:hAnsi="Times New Roman"/>
          <w:sz w:val="18"/>
          <w:szCs w:val="18"/>
          <w:color w:val="auto"/>
        </w:rPr>
        <w:t>”), into a Nevada 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and is a continuation of the existence thereof pursuant to Chapter 92A of the Nevada Revised Statutes (as amended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 AND REGISTERED OFFICE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NRS.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Corporation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authorized to be issued is 3,675,000,000, 2,400,000,000 shares of which are designated Class A Common Stock, par value $0.00001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475,000,000 shares of which are designated Class B Common Stock, par value $0.00001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800,000,000 shares of which are designated Class C Common Stock, par value $0.00001 per share (the “</w:t>
      </w:r>
      <w:r>
        <w:rPr>
          <w:rFonts w:ascii="Times New Roman" w:cs="Times New Roman" w:eastAsia="Times New Roman" w:hAnsi="Times New Roman"/>
          <w:sz w:val="18"/>
          <w:szCs w:val="18"/>
          <w:b w:val="1"/>
          <w:bCs w:val="1"/>
          <w:i w:val="1"/>
          <w:iCs w:val="1"/>
          <w:color w:val="auto"/>
        </w:rPr>
        <w:t>Class C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The total number of shares of Preferred Stock authorized to be issued is 240,000,000 shares, par value $0.00001 per share.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powers, preferences, privileges, restrictions and other matters relating to the Common Stock are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following definitions apply;</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xml:space="preserve">”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Times New Roman" w:cs="Times New Roman" w:eastAsia="Times New Roman" w:hAnsi="Times New Roman"/>
          <w:sz w:val="18"/>
          <w:szCs w:val="18"/>
          <w:u w:val="single" w:color="auto"/>
          <w:color w:val="auto"/>
        </w:rPr>
        <w:t>Section V.1.1</w:t>
      </w:r>
      <w:r>
        <w:rPr>
          <w:rFonts w:ascii="Times New Roman" w:cs="Times New Roman" w:eastAsia="Times New Roman" w:hAnsi="Times New Roman"/>
          <w:sz w:val="18"/>
          <w:szCs w:val="18"/>
          <w:color w:val="auto"/>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w:t>
      </w:r>
    </w:p>
    <w:p>
      <w:pPr>
        <w:spacing w:after="0" w:line="1" w:lineRule="exact"/>
        <w:rPr>
          <w:sz w:val="20"/>
          <w:szCs w:val="20"/>
          <w:color w:val="auto"/>
        </w:rPr>
      </w:pPr>
    </w:p>
    <w:p>
      <w:pPr>
        <w:jc w:val="both"/>
        <w:ind w:firstLine="8"/>
        <w:spacing w:after="0" w:line="253" w:lineRule="auto"/>
        <w:tabs>
          <w:tab w:leader="none" w:pos="2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these Articles of Incorporation of the Corporation, as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a sale, lease, exclusive license or other disposition of all or substantially all of the assets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Controlled Company Exemption</w:t>
      </w:r>
      <w:r>
        <w:rPr>
          <w:rFonts w:ascii="Times New Roman" w:cs="Times New Roman" w:eastAsia="Times New Roman" w:hAnsi="Times New Roman"/>
          <w:sz w:val="18"/>
          <w:szCs w:val="18"/>
          <w:color w:val="auto"/>
        </w:rPr>
        <w:t>” means, if and to the extent otherwise applicable to the Corporation, the exemptions from the Listing Standards available to any company that constitutes a “controlled company” within the meaning of the Listing Standards.</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means, with respect to a Founder, the permanent and total disability of such Founder such that such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date specified by the holders of two-thirds of the then outstanding shares of Class B Common Stock, voting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class;</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the first date on which the number of outstanding shares of Class B Common Stock represents less than five percent (5%) of the aggregate number of outstanding shares of Class A Common Stock and Class B Common Stock; or</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either Andrew Houston or Arash Ferdowsi.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March 23, 2018.</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Acquisition or Asset Transfer.</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 entity.</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xml:space="preserve">” means, with respect to any Qualified Stockholder, any trust, account, plan, corporation, partnership, or limited liability company specified in </w:t>
      </w:r>
      <w:r>
        <w:rPr>
          <w:rFonts w:ascii="Times New Roman" w:cs="Times New Roman" w:eastAsia="Times New Roman" w:hAnsi="Times New Roman"/>
          <w:sz w:val="18"/>
          <w:szCs w:val="18"/>
          <w:u w:val="single" w:color="auto"/>
          <w:color w:val="auto"/>
        </w:rPr>
        <w:t>Section V.1.15(b)</w:t>
      </w:r>
      <w:r>
        <w:rPr>
          <w:rFonts w:ascii="Times New Roman" w:cs="Times New Roman" w:eastAsia="Times New Roman" w:hAnsi="Times New Roman"/>
          <w:sz w:val="18"/>
          <w:szCs w:val="18"/>
          <w:color w:val="auto"/>
        </w:rPr>
        <w:t xml:space="preserve"> with respect to such Qualified Stockholder, so long as such Permitted Entity meets the requirements of the exception set forth in </w:t>
      </w:r>
      <w:r>
        <w:rPr>
          <w:rFonts w:ascii="Times New Roman" w:cs="Times New Roman" w:eastAsia="Times New Roman" w:hAnsi="Times New Roman"/>
          <w:sz w:val="18"/>
          <w:szCs w:val="18"/>
          <w:u w:val="single" w:color="auto"/>
          <w:color w:val="auto"/>
        </w:rPr>
        <w:t>Section V.1.15</w:t>
      </w:r>
      <w:r>
        <w:rPr>
          <w:rFonts w:ascii="Times New Roman" w:cs="Times New Roman" w:eastAsia="Times New Roman" w:hAnsi="Times New Roman"/>
          <w:sz w:val="18"/>
          <w:szCs w:val="18"/>
          <w:color w:val="auto"/>
        </w:rPr>
        <w:t xml:space="preserve"> applicable to such Permitted Entity.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             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62"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             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83"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(ii)             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(iii)             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18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(iv)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8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(v)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18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(vi)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or rights or interests therein, received in a Transfer that constitutes a Permitted Transfer.</w:t>
      </w:r>
    </w:p>
    <w:p>
      <w:pPr>
        <w:spacing w:after="0" w:line="15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(a) any registered holder of a share of the Delaware Corporation’s Class B Common Stock immediately after the IPO Date; (b) the initial registered holder of any shares of the Delaware Corporation’s Class B Common Stock that were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in each case, were outstanding as of the IPO Date or issued in connection with the Conversion, as applicable; (c) a Permitted Transferee; and (d) the initial registered holder of any shares of the Delaware Corporation’s Class B Common Stock that were originally issued by the Delaware Corporation after the IPO Date in compliance with the certificate of incorporation of the Delaware Corporation or any shares of Class B Common Stock that are issued by the Corporation in connection with the Conversion or otherwise issued by the Corporation after the effectiveness of these Articles in compliance with these Articles.</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18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             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58"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capital stock or other security, the power (whether exclusive or shared) to vote or direct the voting of such security, including by proxy, voting agreement or otherwise.</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means the total number of authorized directors whether or not there exist any vacancies or unfilled seats in previously authorized directorships.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Identical Rights</w:t>
      </w:r>
      <w:r>
        <w:rPr>
          <w:rFonts w:ascii="Times New Roman" w:cs="Times New Roman" w:eastAsia="Times New Roman" w:hAnsi="Times New Roman"/>
          <w:sz w:val="18"/>
          <w:szCs w:val="18"/>
          <w:color w:val="auto"/>
        </w:rPr>
        <w:t xml:space="preserve">. Except as otherwise provided in these Articles or required by applicable law, shares of Common Stock shall have the same rights and powers, rank equally (including as to dividends and distributions, and any liquidation, dissolution or winding up of the corporation but excluding voting and other matters as described in </w:t>
      </w:r>
      <w:r>
        <w:rPr>
          <w:rFonts w:ascii="Times New Roman" w:cs="Times New Roman" w:eastAsia="Times New Roman" w:hAnsi="Times New Roman"/>
          <w:sz w:val="18"/>
          <w:szCs w:val="18"/>
          <w:u w:val="single" w:color="auto"/>
          <w:color w:val="auto"/>
        </w:rPr>
        <w:t>Section V.3</w:t>
      </w:r>
      <w:r>
        <w:rPr>
          <w:rFonts w:ascii="Times New Roman" w:cs="Times New Roman" w:eastAsia="Times New Roman" w:hAnsi="Times New Roman"/>
          <w:sz w:val="18"/>
          <w:szCs w:val="18"/>
          <w:color w:val="auto"/>
        </w:rPr>
        <w:t xml:space="preserve"> below), share ratably and be identical in all respects as to all matters, including:</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             Subject to the prior rights of holders of all classes and series of stock at the time outstanding having prior rights as to dividends or distributions, the holders of the Common Stock shall be entitled to receive, when, as and if declared by the Board, out of any assets of the Corporation legally available therefor, such dividends or distributions as may be declared from time to time by the Board. Any dividends or distributions paid to the holders of shares of Common Stock shall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 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Class A Common Stock</w:t>
      </w:r>
      <w:r>
        <w:rPr>
          <w:rFonts w:ascii="Times New Roman" w:cs="Times New Roman" w:eastAsia="Times New Roman" w:hAnsi="Times New Roman"/>
          <w:sz w:val="18"/>
          <w:szCs w:val="18"/>
          <w:color w:val="auto"/>
        </w:rPr>
        <w:t>. Each holder of shares of Class A Common Stock will be entitled to one (1) vote for each share thereof held at the record date for the determination of the stockholders entitled to vote on such matters.</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Class B Common Stock</w:t>
      </w:r>
      <w:r>
        <w:rPr>
          <w:rFonts w:ascii="Times New Roman" w:cs="Times New Roman" w:eastAsia="Times New Roman" w:hAnsi="Times New Roman"/>
          <w:sz w:val="18"/>
          <w:szCs w:val="18"/>
          <w:color w:val="auto"/>
        </w:rPr>
        <w:t>. Each holder of shares of Class B Common Stock will be entitled to ten (10) votes for each share thereof held at the record date for the determination of the stockholders entitled to vote on such matters.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Class C Common Stock</w:t>
      </w:r>
      <w:r>
        <w:rPr>
          <w:rFonts w:ascii="Times New Roman" w:cs="Times New Roman" w:eastAsia="Times New Roman" w:hAnsi="Times New Roman"/>
          <w:sz w:val="18"/>
          <w:szCs w:val="18"/>
          <w:color w:val="auto"/>
        </w:rPr>
        <w:t>. Except as required by law, the Class C Common Stock will have no voting rights and no holder thereof shall be entitled to vote on any matter. For the avoidance of doubt, any right of the Class C Common Stock, or any holder thereof, to vote pursuant to NRS 78.2055(3) or 78.207(3) is hereby specifically denied.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Except as otherwise expressly provided herein or as required by law, the holders of Class A Common Stock, Class B Common Stock and Class C Common Stock will vote together and not as separate series or classes.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Times New Roman" w:cs="Times New Roman" w:eastAsia="Times New Roman" w:hAnsi="Times New Roman"/>
          <w:sz w:val="18"/>
          <w:szCs w:val="18"/>
          <w:u w:val="single" w:color="auto"/>
          <w:color w:val="auto"/>
        </w:rPr>
        <w:t>Section V.9</w:t>
      </w:r>
      <w:r>
        <w:rPr>
          <w:rFonts w:ascii="Times New Roman" w:cs="Times New Roman" w:eastAsia="Times New Roman" w:hAnsi="Times New Roman"/>
          <w:sz w:val="18"/>
          <w:szCs w:val="18"/>
          <w:color w:val="auto"/>
        </w:rPr>
        <w:t>) by the affirmative vote of the holders of a majority of the voting power of the Class A Common Stock and Class B Common Stock, voting together as a single class, irrespective of any applicable provisions of NRS 78.390(2); provided, that the number of authorized shares of Class B Common Stock shall not be increased without the affirmative vote of the holders of a majority of the outstanding shares of Class B Common Stock, voting as a separate class.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Election of Directors</w:t>
      </w:r>
      <w:r>
        <w:rPr>
          <w:rFonts w:ascii="Times New Roman" w:cs="Times New Roman" w:eastAsia="Times New Roman" w:hAnsi="Times New Roman"/>
          <w:sz w:val="18"/>
          <w:szCs w:val="18"/>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w:t>
      </w:r>
    </w:p>
    <w:p>
      <w:pPr>
        <w:spacing w:after="0" w:line="3" w:lineRule="exact"/>
        <w:rPr>
          <w:sz w:val="20"/>
          <w:szCs w:val="20"/>
          <w:color w:val="auto"/>
        </w:rPr>
      </w:pPr>
    </w:p>
    <w:p>
      <w:pPr>
        <w:ind w:firstLine="8"/>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Class C Conversion Date, if any, the holders of Common Stock, voting together as a single class, shall be entitled to elect and remove all directors of the Company.</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Liquidation Rights</w:t>
      </w:r>
      <w:r>
        <w:rPr>
          <w:rFonts w:ascii="Times New Roman" w:cs="Times New Roman" w:eastAsia="Times New Roman" w:hAnsi="Times New Roman"/>
          <w:sz w:val="17"/>
          <w:szCs w:val="17"/>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Times New Roman" w:cs="Times New Roman" w:eastAsia="Times New Roman" w:hAnsi="Times New Roman"/>
          <w:sz w:val="17"/>
          <w:szCs w:val="17"/>
          <w:u w:val="single" w:color="auto"/>
          <w:color w:val="auto"/>
        </w:rPr>
        <w:t>Section V.4</w:t>
      </w:r>
      <w:r>
        <w:rPr>
          <w:rFonts w:ascii="Times New Roman" w:cs="Times New Roman" w:eastAsia="Times New Roman" w:hAnsi="Times New Roman"/>
          <w:sz w:val="17"/>
          <w:szCs w:val="17"/>
          <w:color w:val="auto"/>
        </w:rPr>
        <w:t>; provided, further, however,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w:t>
      </w:r>
    </w:p>
    <w:p>
      <w:pPr>
        <w:spacing w:after="0" w:line="5" w:lineRule="exact"/>
        <w:rPr>
          <w:sz w:val="20"/>
          <w:szCs w:val="20"/>
          <w:color w:val="auto"/>
        </w:rPr>
      </w:pPr>
    </w:p>
    <w:p>
      <w:pPr>
        <w:ind w:firstLine="8"/>
        <w:spacing w:after="0" w:line="260" w:lineRule="auto"/>
        <w:tabs>
          <w:tab w:leader="none" w:pos="3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the voting power of any securities distributed to the holder of a share of Class A Common Stock and that any securities distributed to the holder of a share of Class C Common Stock have no voting rights or power.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Conversion of the Class B Common Stock</w:t>
      </w:r>
      <w:r>
        <w:rPr>
          <w:rFonts w:ascii="Times New Roman" w:cs="Times New Roman" w:eastAsia="Times New Roman" w:hAnsi="Times New Roman"/>
          <w:sz w:val="18"/>
          <w:szCs w:val="18"/>
          <w:color w:val="auto"/>
        </w:rPr>
        <w:t>. The Class B Common Stock will be convertible into Class A Common Stock as follows: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5.1             Each share of Class B Common Stock will automatically convert into one fully paid and nonassessable share of Class A Common Stock on the Final Conversion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             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on the occurrence of a Transfer of such share of Class B Common Stock, other than a Permitted Transfer; or</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(c)             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w:t>
      </w:r>
      <w:r>
        <w:rPr>
          <w:rFonts w:ascii="Times New Roman" w:cs="Times New Roman" w:eastAsia="Times New Roman" w:hAnsi="Times New Roman"/>
          <w:sz w:val="18"/>
          <w:szCs w:val="18"/>
          <w:u w:val="single" w:color="auto"/>
          <w:color w:val="auto"/>
        </w:rPr>
        <w:t>Section V.1.18</w:t>
      </w:r>
      <w:r>
        <w:rPr>
          <w:rFonts w:ascii="Times New Roman" w:cs="Times New Roman" w:eastAsia="Times New Roman" w:hAnsi="Times New Roman"/>
          <w:sz w:val="18"/>
          <w:szCs w:val="18"/>
          <w:color w:val="auto"/>
        </w:rPr>
        <w:t xml:space="preserve"> of these Articles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if both Founders die and/or suffer a Disability simultaneously or the second Founder dies or suffers a Disability following the death or Disability of the other Founder, but prior to the conversion pursuant to this </w:t>
      </w:r>
      <w:r>
        <w:rPr>
          <w:rFonts w:ascii="Times New Roman" w:cs="Times New Roman" w:eastAsia="Times New Roman" w:hAnsi="Times New Roman"/>
          <w:sz w:val="18"/>
          <w:szCs w:val="18"/>
          <w:u w:val="single" w:color="auto"/>
          <w:color w:val="auto"/>
        </w:rPr>
        <w:t>Section V.5.2(c)</w:t>
      </w:r>
      <w:r>
        <w:rPr>
          <w:rFonts w:ascii="Times New Roman" w:cs="Times New Roman" w:eastAsia="Times New Roman" w:hAnsi="Times New Roman"/>
          <w:sz w:val="18"/>
          <w:szCs w:val="18"/>
          <w:color w:val="auto"/>
        </w:rPr>
        <w:t xml:space="preserve">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Conversion of the Class C Common Stock</w:t>
      </w:r>
      <w:r>
        <w:rPr>
          <w:rFonts w:ascii="Times New Roman" w:cs="Times New Roman" w:eastAsia="Times New Roman" w:hAnsi="Times New Roman"/>
          <w:sz w:val="18"/>
          <w:szCs w:val="18"/>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Times New Roman" w:cs="Times New Roman" w:eastAsia="Times New Roman" w:hAnsi="Times New Roman"/>
          <w:sz w:val="18"/>
          <w:szCs w:val="18"/>
          <w:b w:val="1"/>
          <w:bCs w:val="1"/>
          <w:i w:val="1"/>
          <w:iCs w:val="1"/>
          <w:color w:val="auto"/>
        </w:rPr>
        <w:t>Class C Conversion Date</w:t>
      </w:r>
      <w:r>
        <w:rPr>
          <w:rFonts w:ascii="Times New Roman" w:cs="Times New Roman" w:eastAsia="Times New Roman" w:hAnsi="Times New Roman"/>
          <w:sz w:val="18"/>
          <w:szCs w:val="18"/>
          <w:color w:val="auto"/>
        </w:rPr>
        <w:t>”), each outstanding share of Class C Capital Stock shall automatically, without further action by the Corporation or the holders thereof, convert into one (1) fully paid and nonassessable share of Class A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Procedures</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Immediate Effect</w:t>
      </w:r>
      <w:r>
        <w:rPr>
          <w:rFonts w:ascii="Times New Roman" w:cs="Times New Roman" w:eastAsia="Times New Roman" w:hAnsi="Times New Roman"/>
          <w:sz w:val="18"/>
          <w:szCs w:val="18"/>
          <w:color w:val="auto"/>
        </w:rPr>
        <w:t xml:space="preserve">. In the event of and upon a conversion of shares of Class B Common Stock to shares of Class A Common Stock pursuant to </w:t>
      </w:r>
      <w:r>
        <w:rPr>
          <w:rFonts w:ascii="Times New Roman" w:cs="Times New Roman" w:eastAsia="Times New Roman" w:hAnsi="Times New Roman"/>
          <w:sz w:val="18"/>
          <w:szCs w:val="18"/>
          <w:u w:val="single" w:color="auto"/>
          <w:color w:val="auto"/>
        </w:rPr>
        <w:t>Section V.5</w:t>
      </w:r>
      <w:r>
        <w:rPr>
          <w:rFonts w:ascii="Times New Roman" w:cs="Times New Roman" w:eastAsia="Times New Roman" w:hAnsi="Times New Roman"/>
          <w:sz w:val="18"/>
          <w:szCs w:val="18"/>
          <w:color w:val="auto"/>
        </w:rPr>
        <w:t xml:space="preserve"> or Class C Common Stock to Class A Common Stock pursuant to </w:t>
      </w:r>
      <w:r>
        <w:rPr>
          <w:rFonts w:ascii="Times New Roman" w:cs="Times New Roman" w:eastAsia="Times New Roman" w:hAnsi="Times New Roman"/>
          <w:sz w:val="18"/>
          <w:szCs w:val="18"/>
          <w:u w:val="single" w:color="auto"/>
          <w:color w:val="auto"/>
        </w:rPr>
        <w:t>Section V.6</w:t>
      </w:r>
      <w:r>
        <w:rPr>
          <w:rFonts w:ascii="Times New Roman" w:cs="Times New Roman" w:eastAsia="Times New Roman" w:hAnsi="Times New Roman"/>
          <w:sz w:val="18"/>
          <w:szCs w:val="18"/>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Reservation of Stock Issuable Upon Conversion</w:t>
      </w:r>
      <w:r>
        <w:rPr>
          <w:rFonts w:ascii="Times New Roman" w:cs="Times New Roman" w:eastAsia="Times New Roman" w:hAnsi="Times New Roman"/>
          <w:sz w:val="18"/>
          <w:szCs w:val="18"/>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 Reissuance of Class B Common Stock</w:t>
      </w:r>
      <w:r>
        <w:rPr>
          <w:rFonts w:ascii="Times New Roman" w:cs="Times New Roman" w:eastAsia="Times New Roman" w:hAnsi="Times New Roman"/>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Preemptive Rights</w:t>
      </w:r>
      <w:r>
        <w:rPr>
          <w:rFonts w:ascii="Times New Roman" w:cs="Times New Roman" w:eastAsia="Times New Roman" w:hAnsi="Times New Roman"/>
          <w:sz w:val="18"/>
          <w:szCs w:val="18"/>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Class B Protective Provisions</w:t>
      </w:r>
      <w:r>
        <w:rPr>
          <w:rFonts w:ascii="Times New Roman" w:cs="Times New Roman" w:eastAsia="Times New Roman" w:hAnsi="Times New Roman"/>
          <w:sz w:val="18"/>
          <w:szCs w:val="18"/>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12.1           directly or indirectly, whether by amendment, or through merger, recapitalization, consolidation or otherwise, amend or 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12.4           authorize, or issue any shares of, any class or series of capital stock of the Corporation having the right to more than (1) vote for each share thereof;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consummate a Liquidation Event.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Rights of Preferred Stock</w:t>
      </w:r>
      <w:r>
        <w:rPr>
          <w:rFonts w:ascii="Times New Roman" w:cs="Times New Roman" w:eastAsia="Times New Roman" w:hAnsi="Times New Roman"/>
          <w:sz w:val="18"/>
          <w:szCs w:val="18"/>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Designation</w:t>
      </w:r>
      <w:r>
        <w:rPr>
          <w:rFonts w:ascii="Times New Roman" w:cs="Times New Roman" w:eastAsia="Times New Roman" w:hAnsi="Times New Roman"/>
          <w:sz w:val="18"/>
          <w:szCs w:val="18"/>
          <w:color w:val="auto"/>
        </w:rPr>
        <w:t>”), to establish from time to time the number of shares to be included in each such series, and to fix the designation, powers, preferences,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rights of the shares of each such series and any qualifications, limitations or restrictions thereof.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Vote to Increase or Decrease Authorized Shares</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78.390(2).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Board Size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Board Structure</w:t>
      </w:r>
      <w:r>
        <w:rPr>
          <w:rFonts w:ascii="Times New Roman" w:cs="Times New Roman" w:eastAsia="Times New Roman" w:hAnsi="Times New Roman"/>
          <w:sz w:val="18"/>
          <w:szCs w:val="18"/>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Times New Roman" w:cs="Times New Roman" w:eastAsia="Times New Roman" w:hAnsi="Times New Roman"/>
          <w:sz w:val="18"/>
          <w:szCs w:val="18"/>
          <w:b w:val="1"/>
          <w:bCs w:val="1"/>
          <w:i w:val="1"/>
          <w:iCs w:val="1"/>
          <w:color w:val="auto"/>
        </w:rPr>
        <w:t>Classified Board Effective Date</w:t>
      </w:r>
      <w:r>
        <w:rPr>
          <w:rFonts w:ascii="Times New Roman" w:cs="Times New Roman" w:eastAsia="Times New Roman" w:hAnsi="Times New Roman"/>
          <w:sz w:val="18"/>
          <w:szCs w:val="18"/>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Times New Roman" w:cs="Times New Roman" w:eastAsia="Times New Roman" w:hAnsi="Times New Roman"/>
          <w:sz w:val="18"/>
          <w:szCs w:val="18"/>
          <w:u w:val="single" w:color="auto"/>
          <w:color w:val="auto"/>
        </w:rPr>
        <w:t>Section VII.2</w:t>
      </w:r>
      <w:r>
        <w:rPr>
          <w:rFonts w:ascii="Times New Roman" w:cs="Times New Roman" w:eastAsia="Times New Roman" w:hAnsi="Times New Roman"/>
          <w:sz w:val="18"/>
          <w:szCs w:val="18"/>
          <w:color w:val="auto"/>
        </w:rPr>
        <w:t xml:space="preserve"> in the event a Classified Board Effective Date occurs) and until his or her successor shall have been duly elected and qualified. Notwithstanding the foregoing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Removal; Vacancies</w:t>
      </w:r>
      <w:r>
        <w:rPr>
          <w:rFonts w:ascii="Times New Roman" w:cs="Times New Roman" w:eastAsia="Times New Roman" w:hAnsi="Times New Roman"/>
          <w:sz w:val="18"/>
          <w:szCs w:val="18"/>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BUSINESS AND CONDUCT OF AFFAIRS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Board Power</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by statute or by these Articles or the Bylaws of the Corporation, the Board is hereby empowered to exercise all such powers and do all such acts and things as may be exercised or done by the Corporation.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Written Ballot</w:t>
      </w:r>
      <w:r>
        <w:rPr>
          <w:rFonts w:ascii="Times New Roman" w:cs="Times New Roman" w:eastAsia="Times New Roman" w:hAnsi="Times New Roman"/>
          <w:sz w:val="18"/>
          <w:szCs w:val="18"/>
          <w:color w:val="auto"/>
        </w:rPr>
        <w:t>. Elections of directors need not be by written ballot unless otherwise provided in the Bylaws of the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Amendment of Bylaws</w:t>
      </w:r>
      <w:r>
        <w:rPr>
          <w:rFonts w:ascii="Times New Roman" w:cs="Times New Roman" w:eastAsia="Times New Roman" w:hAnsi="Times New Roman"/>
          <w:sz w:val="18"/>
          <w:szCs w:val="18"/>
          <w:color w:val="auto"/>
        </w:rPr>
        <w:t>. In furtherance and not in limitation of the powers conferred by the NRS, the Board is expressly authorized to adopt, amend or repeal the Bylaws of the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of the Corporation.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Availability of Stockholder Action by Written Consent</w:t>
      </w:r>
      <w:r>
        <w:rPr>
          <w:rFonts w:ascii="Times New Roman" w:cs="Times New Roman" w:eastAsia="Times New Roman" w:hAnsi="Times New Roman"/>
          <w:sz w:val="18"/>
          <w:szCs w:val="18"/>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 Reliance on the Controlled Company Exemption</w:t>
      </w:r>
      <w:r>
        <w:rPr>
          <w:rFonts w:ascii="Times New Roman" w:cs="Times New Roman" w:eastAsia="Times New Roman" w:hAnsi="Times New Roman"/>
          <w:sz w:val="18"/>
          <w:szCs w:val="18"/>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nor the adoption of any provision of these Articles inconsistent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shall eliminate, reduce or otherwise adversely affect any limitation on the personal liability of a director or officer of the Corporation existing at the time of such amendment, repeal or adoption of such an inconsistent provision.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SEVERABILITY AND AMENDMENT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             Except as provided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these Articles inconsistent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clause (i)(b)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these Articles (except 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these Articles inconsistent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March 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7400" w:type="dxa"/>
            <w:vAlign w:val="bottom"/>
            <w:vMerge w:val="restart"/>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Page</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400" w:type="dxa"/>
            <w:vAlign w:val="bottom"/>
          </w:tcPr>
          <w:p>
            <w:pPr>
              <w:spacing w:after="0"/>
              <w:rPr>
                <w:sz w:val="18"/>
                <w:szCs w:val="18"/>
                <w:color w:val="auto"/>
              </w:rPr>
            </w:pPr>
          </w:p>
        </w:tc>
        <w:tc>
          <w:tcPr>
            <w:tcW w:w="28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OFFICES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400" w:type="dxa"/>
            <w:vAlign w:val="bottom"/>
          </w:tcPr>
          <w:p>
            <w:pPr>
              <w:spacing w:after="0"/>
              <w:rPr>
                <w:sz w:val="18"/>
                <w:szCs w:val="18"/>
                <w:color w:val="auto"/>
              </w:rPr>
            </w:pPr>
          </w:p>
        </w:tc>
        <w:tc>
          <w:tcPr>
            <w:tcW w:w="28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400" w:type="dxa"/>
            <w:vAlign w:val="bottom"/>
          </w:tcPr>
          <w:p>
            <w:pPr>
              <w:spacing w:after="0"/>
              <w:rPr>
                <w:sz w:val="18"/>
                <w:szCs w:val="18"/>
                <w:color w:val="auto"/>
              </w:rPr>
            </w:pPr>
          </w:p>
        </w:tc>
        <w:tc>
          <w:tcPr>
            <w:tcW w:w="28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 OF MEETINGS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MEETING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MEETING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 NOTICE PROCEDURES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2.10</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 ACTION BY CONSENT WITHOUT A MEETING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 DATES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PROXIES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INSPECTORS OF ELECTION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3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 OF MEETINGS; MEETINGS BY REMOTE COMMUNICATION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3.6</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REGULAR MEETINGS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MEETINGS;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 VOTING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ACTION BY WRITTEN CONSENT WITHOUT A MEETING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REMOVAL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3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COMMITTEES OF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 MINUTES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SUBCOMMITTEES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3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5.2</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OFFICERS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5.3</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SUBORDINATE OFFICERS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3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VACANCIES IN OFFICES</w:t>
            </w:r>
          </w:p>
        </w:tc>
        <w:tc>
          <w:tcPr>
            <w:tcW w:w="9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 OF SECURITIES OF OTHER ENTITIES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CERTIFICATES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AND OTHER DISTRIBUTIONS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STOCK</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6.7</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REGISTERED STOCKHOLDERS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STOCKHOLDERS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STOCKHOLDERS SHARING AN ADDRESS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PERSON WITH WHOM COMMUNICATION IS UNLAWFUL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NOTICE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 INDEMNIFICATION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SUCCESSFUL DEFENSE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 PAYMENT OF EXPENSES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8.7</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DETERMINATION; CLAIM</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8.8</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NON-EXCLUSIVITY OF RIGHTS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8.9</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8.10</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REPEAL OR MODIFICATION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DEFINITIONS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SEAL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DEFINITIONS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 EXCLUSIVE FORUM</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XII - ACQUISITION OF CONTROLLING INTEREST STATUTES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BYLAWS OF 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office of Dropbox,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the street address of the corporation’s registered agent in the State of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determined by the corporation’s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from time to time in accordance with the corporation’s articles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as the same may be amended from time to time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and the corporation’s bylaws, as the same may be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(these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may at any time establish other offices at any place or places either within or outside the State of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Nevada, designated by the board of directors. The board of directors may, in its sole discretion, determine that a meeting of stockholders shall not be held at any place, but may instead be held solely by means of remote communication as authorized by Section 78.320(4) of the Nevada Revised Statutes (as amended from time to time,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annual meeting, directors shall be elected and any other proper business, brought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these bylaws, may be transacted.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acting pursuant to a resolution adopted by a majority of the Whole Board (as defined below), may cancel, postpone or reschedule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scheduled annual meeting of stockholders at any time, before or after the notice for such meeting has been sent to the stockholders. For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or unfilled seats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authorized directorships.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(i)            A special meeting of the stockholders, other than as may be required by the NRS, may be called at any time by (a) 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articles of incorporation), by written request of the holders of at least 30% of the voting power of the corporation’s Class A Common Stock and Class B Common Stock, voting together as a single class, provided that such written request is in compliance with the requirements of </w:t>
      </w:r>
      <w:r>
        <w:rPr>
          <w:rFonts w:ascii="Times New Roman" w:cs="Times New Roman" w:eastAsia="Times New Roman" w:hAnsi="Times New Roman"/>
          <w:sz w:val="18"/>
          <w:szCs w:val="18"/>
          <w:u w:val="single" w:color="auto"/>
          <w:color w:val="auto"/>
        </w:rPr>
        <w:t>Section 2.3(ii) </w:t>
      </w:r>
      <w:r>
        <w:rPr>
          <w:rFonts w:ascii="Times New Roman" w:cs="Times New Roman" w:eastAsia="Times New Roman" w:hAnsi="Times New Roman"/>
          <w:sz w:val="18"/>
          <w:szCs w:val="18"/>
          <w:color w:val="auto"/>
        </w:rPr>
        <w:t>of these bylaws,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(ii)            If any person(s) other than the board of directors calls a special meeting, the request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be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(b)            specify the general nature of the business proposed to be transacted, subject to any additional applicable requirements as are set forth in </w:t>
      </w:r>
      <w:r>
        <w:rPr>
          <w:rFonts w:ascii="Times New Roman" w:cs="Times New Roman" w:eastAsia="Times New Roman" w:hAnsi="Times New Roman"/>
          <w:sz w:val="18"/>
          <w:szCs w:val="18"/>
          <w:u w:val="single" w:color="auto"/>
          <w:color w:val="auto"/>
        </w:rPr>
        <w:t>Section 2.4(iii) </w:t>
      </w:r>
      <w:r>
        <w:rPr>
          <w:rFonts w:ascii="Times New Roman" w:cs="Times New Roman" w:eastAsia="Times New Roman" w:hAnsi="Times New Roman"/>
          <w:sz w:val="18"/>
          <w:szCs w:val="18"/>
          <w:color w:val="auto"/>
        </w:rPr>
        <w:t xml:space="preserve">and in </w:t>
      </w:r>
      <w:r>
        <w:rPr>
          <w:rFonts w:ascii="Times New Roman" w:cs="Times New Roman" w:eastAsia="Times New Roman" w:hAnsi="Times New Roman"/>
          <w:sz w:val="18"/>
          <w:szCs w:val="18"/>
          <w:u w:val="single" w:color="auto"/>
          <w:color w:val="auto"/>
        </w:rPr>
        <w:t>Section 2.4(i)(b) </w:t>
      </w:r>
      <w:r>
        <w:rPr>
          <w:rFonts w:ascii="Times New Roman" w:cs="Times New Roman" w:eastAsia="Times New Roman" w:hAnsi="Times New Roman"/>
          <w:sz w:val="18"/>
          <w:szCs w:val="18"/>
          <w:color w:val="auto"/>
        </w:rPr>
        <w:t>(for the proposal of business other than nominations); and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be delivered personally or sent by registered mail to the secretary of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Upon receipt of such a request, the board of directors shall determine the date, time and place (if any) of such special meeting, which must be scheduled to be held on a date that is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w:t>
      </w:r>
      <w:r>
        <w:rPr>
          <w:rFonts w:ascii="Times New Roman" w:cs="Times New Roman" w:eastAsia="Times New Roman" w:hAnsi="Times New Roman"/>
          <w:sz w:val="18"/>
          <w:szCs w:val="18"/>
          <w:u w:val="single" w:color="auto"/>
          <w:color w:val="auto"/>
        </w:rPr>
        <w:t>Section 2.3(ii)</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(iii)            The notice of a special meeting shall include the purpose for which the meeting is called. Only such business shall be conducted at a special meeting of stockholders as shall have been brought before the meeting by or at the direction of the board of directors, acting pursuant to a resolution adopted by a majority of the Whole Board, chairperson of the board of directors, chief executive officer or president (in the absence of a chief executive officer) or in the notice specified in </w:t>
      </w:r>
      <w:r>
        <w:rPr>
          <w:rFonts w:ascii="Times New Roman" w:cs="Times New Roman" w:eastAsia="Times New Roman" w:hAnsi="Times New Roman"/>
          <w:sz w:val="18"/>
          <w:szCs w:val="18"/>
          <w:u w:val="single" w:color="auto"/>
          <w:color w:val="auto"/>
        </w:rPr>
        <w:t>Section 2.3(ii) </w:t>
      </w:r>
      <w:r>
        <w:rPr>
          <w:rFonts w:ascii="Times New Roman" w:cs="Times New Roman" w:eastAsia="Times New Roman" w:hAnsi="Times New Roman"/>
          <w:sz w:val="18"/>
          <w:szCs w:val="18"/>
          <w:color w:val="auto"/>
        </w:rPr>
        <w:t xml:space="preserve">above. Nothing contained in this </w:t>
      </w:r>
      <w:r>
        <w:rPr>
          <w:rFonts w:ascii="Times New Roman" w:cs="Times New Roman" w:eastAsia="Times New Roman" w:hAnsi="Times New Roman"/>
          <w:sz w:val="18"/>
          <w:szCs w:val="18"/>
          <w:u w:val="single" w:color="auto"/>
          <w:color w:val="auto"/>
        </w:rPr>
        <w:t>Section 2.3(ii) </w:t>
      </w:r>
      <w:r>
        <w:rPr>
          <w:rFonts w:ascii="Times New Roman" w:cs="Times New Roman" w:eastAsia="Times New Roman" w:hAnsi="Times New Roman"/>
          <w:sz w:val="18"/>
          <w:szCs w:val="18"/>
          <w:color w:val="auto"/>
        </w:rPr>
        <w:t>shall be construed as limiting, fixing or affecting the time when a meeting of stockholders called by action of the board of directors may be held.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i w:val="1"/>
          <w:iCs w:val="1"/>
          <w:color w:val="auto"/>
        </w:rPr>
        <w:t>Advance Notice of Stockholder Business.</w:t>
      </w:r>
      <w:r>
        <w:rPr>
          <w:rFonts w:ascii="Times New Roman" w:cs="Times New Roman" w:eastAsia="Times New Roman" w:hAnsi="Times New Roman"/>
          <w:sz w:val="17"/>
          <w:szCs w:val="17"/>
          <w:color w:val="auto"/>
        </w:rPr>
        <w:t xml:space="preserve"> At an annual meeting of the stockholders, only such business shall be conducted as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properly brought before the meeting. To be properly brought before an annual meeting, business must be brought: (A)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notice of annual meeting (or any supplement thereto), (B) by or at the direction of the board of directors, or (C) by a stockholder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who (1) is a stockholder of record at the time of the giving of the notice required by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on the record date for the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stockholders entitled to notice of, and to vote at, the annual meeting and (2) has timely complied in proper written form with the notice procedures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in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In addition, for business to be properly brought before an annual meeting by a stockholder, such business must be a proper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for stockholder action pursuant to these bylaws and applicable law. For the avoidance of doubt, clause (C) above shall be the exclusive means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to bring business (other than business included in the corporation’s proxy materials pursuant to Rule 14a-8 under the Securities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1934, and the rules and regulations thereunder, as amended and inclusive of such rules and regulations and any successor thereto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an annual meeting of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            To comply with clause (C) of </w:t>
      </w:r>
      <w:r>
        <w:rPr>
          <w:rFonts w:ascii="Times New Roman" w:cs="Times New Roman" w:eastAsia="Times New Roman" w:hAnsi="Times New Roman"/>
          <w:sz w:val="18"/>
          <w:szCs w:val="18"/>
          <w:u w:val="single" w:color="auto"/>
          <w:color w:val="auto"/>
        </w:rPr>
        <w:t>Section 2.4(i) </w:t>
      </w:r>
      <w:r>
        <w:rPr>
          <w:rFonts w:ascii="Times New Roman" w:cs="Times New Roman" w:eastAsia="Times New Roman" w:hAnsi="Times New Roman"/>
          <w:sz w:val="18"/>
          <w:szCs w:val="18"/>
          <w:color w:val="auto"/>
        </w:rPr>
        <w:t xml:space="preserve">above, a stockholder’s notice must set forth all information required under this </w:t>
      </w:r>
      <w:r>
        <w:rPr>
          <w:rFonts w:ascii="Times New Roman" w:cs="Times New Roman" w:eastAsia="Times New Roman" w:hAnsi="Times New Roman"/>
          <w:sz w:val="18"/>
          <w:szCs w:val="18"/>
          <w:u w:val="single" w:color="auto"/>
          <w:color w:val="auto"/>
        </w:rPr>
        <w:t>Section 2.4(i) </w:t>
      </w:r>
      <w:r>
        <w:rPr>
          <w:rFonts w:ascii="Times New Roman" w:cs="Times New Roman" w:eastAsia="Times New Roman" w:hAnsi="Times New Roman"/>
          <w:sz w:val="18"/>
          <w:szCs w:val="18"/>
          <w:color w:val="auto"/>
        </w:rPr>
        <w:t xml:space="preserve">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provided, however,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w:t>
      </w:r>
      <w:r>
        <w:rPr>
          <w:rFonts w:ascii="Times New Roman" w:cs="Times New Roman" w:eastAsia="Times New Roman" w:hAnsi="Times New Roman"/>
          <w:sz w:val="18"/>
          <w:szCs w:val="18"/>
          <w:u w:val="single" w:color="auto"/>
          <w:color w:val="auto"/>
        </w:rPr>
        <w:t>Section 2.4(i)(a)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187"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(b)            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w:t>
      </w:r>
    </w:p>
    <w:p>
      <w:pPr>
        <w:spacing w:after="0" w:line="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 through (6), a “</w:t>
      </w:r>
      <w:r>
        <w:rPr>
          <w:rFonts w:ascii="Times New Roman" w:cs="Times New Roman" w:eastAsia="Times New Roman" w:hAnsi="Times New Roman"/>
          <w:sz w:val="18"/>
          <w:szCs w:val="18"/>
          <w:b w:val="1"/>
          <w:bCs w:val="1"/>
          <w:color w:val="auto"/>
        </w:rPr>
        <w:t>Business Solicitation Statement</w:t>
      </w:r>
      <w:r>
        <w:rPr>
          <w:rFonts w:ascii="Times New Roman" w:cs="Times New Roman" w:eastAsia="Times New Roman" w:hAnsi="Times New Roman"/>
          <w:sz w:val="18"/>
          <w:szCs w:val="18"/>
          <w:color w:val="auto"/>
        </w:rPr>
        <w:t xml:space="preserve">”). In addition, to be in proper written form, a stockholder’s notice to the secretary must be supplemented not later than ten days following the record date for the determination of stockholders entitled to notice of, and to vote at, the meeting to disclose the information contained in clauses (3) and (4) above as of such record date.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Stockholder Associated Person</w:t>
      </w:r>
      <w:r>
        <w:rPr>
          <w:rFonts w:ascii="Times New Roman" w:cs="Times New Roman" w:eastAsia="Times New Roman" w:hAnsi="Times New Roman"/>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(c)            Without exception, no business shall be conducted at any annual meeting except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the chairperson should so determine, the chairperson shall so declare at the annual meeting that any such business not properly brought before the annual meeting shall not be conducted.</w:t>
      </w:r>
    </w:p>
    <w:p>
      <w:pPr>
        <w:spacing w:after="0" w:line="19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Advance Notice of Director Nominations at Annual Meetings.</w:t>
      </w:r>
      <w:r>
        <w:rPr>
          <w:rFonts w:ascii="Times New Roman" w:cs="Times New Roman" w:eastAsia="Times New Roman" w:hAnsi="Times New Roman"/>
          <w:sz w:val="18"/>
          <w:szCs w:val="18"/>
          <w:color w:val="auto"/>
        </w:rPr>
        <w:t xml:space="preserve"> Notwithstanding anything in these bylaws to the contrary, only persons who are nominated in accordance with the procedures set forth in this </w:t>
      </w:r>
      <w:r>
        <w:rPr>
          <w:rFonts w:ascii="Times New Roman" w:cs="Times New Roman" w:eastAsia="Times New Roman" w:hAnsi="Times New Roman"/>
          <w:sz w:val="18"/>
          <w:szCs w:val="18"/>
          <w:u w:val="single" w:color="auto"/>
          <w:color w:val="auto"/>
        </w:rPr>
        <w:t>Section 2.4(ii) </w:t>
      </w:r>
      <w:r>
        <w:rPr>
          <w:rFonts w:ascii="Times New Roman" w:cs="Times New Roman" w:eastAsia="Times New Roman" w:hAnsi="Times New Roman"/>
          <w:sz w:val="18"/>
          <w:szCs w:val="18"/>
          <w:color w:val="auto"/>
        </w:rPr>
        <w:t xml:space="preserve">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is a stockholder of record at the time of the giving of the notice required by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xml:space="preserve">, on the record date for the determination of stockholders entitled to notice of the annual meeting and on the record date for the determination of stockholders entitled to vote at the annual meeting and (2) has complied with the notice procedures set forth in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 In addition to any other applicable requirements, for a nomination to be made by a stockholder, the stockholder must have given timely notice thereof in proper written form to the secretary of the corporation.  </w:t>
      </w:r>
    </w:p>
    <w:p>
      <w:pPr>
        <w:spacing w:after="0" w:line="212"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(a)            To comply with clause (B) of </w:t>
      </w:r>
      <w:r>
        <w:rPr>
          <w:rFonts w:ascii="Times New Roman" w:cs="Times New Roman" w:eastAsia="Times New Roman" w:hAnsi="Times New Roman"/>
          <w:sz w:val="18"/>
          <w:szCs w:val="18"/>
          <w:u w:val="single" w:color="auto"/>
          <w:color w:val="auto"/>
        </w:rPr>
        <w:t>Section 2.4(ii) </w:t>
      </w:r>
      <w:r>
        <w:rPr>
          <w:rFonts w:ascii="Times New Roman" w:cs="Times New Roman" w:eastAsia="Times New Roman" w:hAnsi="Times New Roman"/>
          <w:sz w:val="18"/>
          <w:szCs w:val="18"/>
          <w:color w:val="auto"/>
        </w:rPr>
        <w:t xml:space="preserve">above, a nomination to be made by a stockholder must set forth all information required under this </w:t>
      </w:r>
      <w:r>
        <w:rPr>
          <w:rFonts w:ascii="Times New Roman" w:cs="Times New Roman" w:eastAsia="Times New Roman" w:hAnsi="Times New Roman"/>
          <w:sz w:val="18"/>
          <w:szCs w:val="18"/>
          <w:u w:val="single" w:color="auto"/>
          <w:color w:val="auto"/>
        </w:rPr>
        <w:t>Section 2.4(ii) </w:t>
      </w:r>
      <w:r>
        <w:rPr>
          <w:rFonts w:ascii="Times New Roman" w:cs="Times New Roman" w:eastAsia="Times New Roman" w:hAnsi="Times New Roman"/>
          <w:sz w:val="18"/>
          <w:szCs w:val="18"/>
          <w:color w:val="auto"/>
        </w:rPr>
        <w:t xml:space="preserve">and must be received by the secretary of the corporation at the principal executive offices of the corporation at the time set forth in, and in accordance with, the final three sentences of </w:t>
      </w:r>
      <w:r>
        <w:rPr>
          <w:rFonts w:ascii="Times New Roman" w:cs="Times New Roman" w:eastAsia="Times New Roman" w:hAnsi="Times New Roman"/>
          <w:sz w:val="18"/>
          <w:szCs w:val="18"/>
          <w:u w:val="single" w:color="auto"/>
          <w:color w:val="auto"/>
        </w:rPr>
        <w:t>Section 2.4(i)(a) </w:t>
      </w:r>
      <w:r>
        <w:rPr>
          <w:rFonts w:ascii="Times New Roman" w:cs="Times New Roman" w:eastAsia="Times New Roman" w:hAnsi="Times New Roman"/>
          <w:sz w:val="18"/>
          <w:szCs w:val="18"/>
          <w:color w:val="auto"/>
        </w:rPr>
        <w:t xml:space="preserve">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w:t>
      </w:r>
      <w:r>
        <w:rPr>
          <w:rFonts w:ascii="Times New Roman" w:cs="Times New Roman" w:eastAsia="Times New Roman" w:hAnsi="Times New Roman"/>
          <w:sz w:val="18"/>
          <w:szCs w:val="18"/>
          <w:u w:val="single" w:color="auto"/>
          <w:color w:val="auto"/>
        </w:rPr>
        <w:t>Section 2.4(ii) </w:t>
      </w:r>
      <w:r>
        <w:rPr>
          <w:rFonts w:ascii="Times New Roman" w:cs="Times New Roman" w:eastAsia="Times New Roman" w:hAnsi="Times New Roman"/>
          <w:sz w:val="18"/>
          <w:szCs w:val="18"/>
          <w:color w:val="auto"/>
        </w:rPr>
        <w:t>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To be in proper written form, such stockholder’s notice to the secretary must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as to each person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whom the stockholder proposes to nominate for election or re-election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 the name, age, business address and residence address of the nominee, (B) the principal occupation or employment of the nominee, (C)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and number of shares of the corporation that are held of record or are beneficially owned by the nominee and any derivative positions held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 held by the nominee, (D) whether and the extent to which any hedging or other transaction or series of transactions has been entered into 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nominee with respect to any securities of the corporation, and a description of any other agreement, arrangement or understanding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short position or any borrowing or lending of shares), the effect or intent of which is to mitigate loss to, or to manage the risk or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price changes for, or to increase or decrease the voting power of the nominee, (E) a description of all arrangements or understandings between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stockholder, any nominee or any other person or persons (naming such person or persons) pursuant to which the nominations are to be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 including a description of any compensatory, payment or other financial agreement, arrangement or understanding involving the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of any compensation or other payment received by or on behalf of the nominee, in each case in connection with candidacy or service as a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(such agreement, arrangement or understanding, a “</w:t>
      </w:r>
      <w:r>
        <w:rPr>
          <w:rFonts w:ascii="Times New Roman" w:cs="Times New Roman" w:eastAsia="Times New Roman" w:hAnsi="Times New Roman"/>
          <w:sz w:val="18"/>
          <w:szCs w:val="18"/>
          <w:b w:val="1"/>
          <w:bCs w:val="1"/>
          <w:color w:val="auto"/>
        </w:rPr>
        <w:t>Third-Party Compensation Arrangement</w:t>
      </w:r>
      <w:r>
        <w:rPr>
          <w:rFonts w:ascii="Times New Roman" w:cs="Times New Roman" w:eastAsia="Times New Roman" w:hAnsi="Times New Roman"/>
          <w:sz w:val="18"/>
          <w:szCs w:val="18"/>
          <w:color w:val="auto"/>
        </w:rPr>
        <w:t>”), (F) a written statement executed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consenting to (x) being named as a nominee of such stockholder, (y) serving as a director of the corporation if elected and (z) being named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corporation’s form of proxy pursuant to Rule 14a-19 under the 1934 Act (“</w:t>
      </w:r>
      <w:r>
        <w:rPr>
          <w:rFonts w:ascii="Times New Roman" w:cs="Times New Roman" w:eastAsia="Times New Roman" w:hAnsi="Times New Roman"/>
          <w:sz w:val="17"/>
          <w:szCs w:val="17"/>
          <w:b w:val="1"/>
          <w:bCs w:val="1"/>
          <w:color w:val="auto"/>
        </w:rPr>
        <w:t>Rule 14a-19</w:t>
      </w:r>
      <w:r>
        <w:rPr>
          <w:rFonts w:ascii="Times New Roman" w:cs="Times New Roman" w:eastAsia="Times New Roman" w:hAnsi="Times New Roman"/>
          <w:sz w:val="17"/>
          <w:szCs w:val="17"/>
          <w:color w:val="auto"/>
        </w:rPr>
        <w:t>”) , and (H) any other information relating to the nominee that would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to be disclosed about such nominee if proxies were being solicited for the election or re-election of the nominee as a director, or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required, in each case pursuant to Section 14 of the 1934 Act;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2600"/>
        <w:spacing w:after="0"/>
        <w:rPr>
          <w:sz w:val="20"/>
          <w:szCs w:val="20"/>
          <w:color w:val="auto"/>
        </w:rPr>
      </w:pPr>
      <w:r>
        <w:rPr>
          <w:rFonts w:ascii="Times New Roman" w:cs="Times New Roman" w:eastAsia="Times New Roman" w:hAnsi="Times New Roman"/>
          <w:sz w:val="17"/>
          <w:szCs w:val="17"/>
          <w:color w:val="auto"/>
        </w:rPr>
        <w:t>(2)            as to such stockholder giving notice, (A) the information required to be provided pursuant to clauses (2) through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of </w:t>
      </w:r>
      <w:r>
        <w:rPr>
          <w:rFonts w:ascii="Times New Roman" w:cs="Times New Roman" w:eastAsia="Times New Roman" w:hAnsi="Times New Roman"/>
          <w:sz w:val="18"/>
          <w:szCs w:val="18"/>
          <w:u w:val="single" w:color="auto"/>
          <w:color w:val="auto"/>
        </w:rPr>
        <w:t>Section 2.4(i)(b) </w:t>
      </w:r>
      <w:r>
        <w:rPr>
          <w:rFonts w:ascii="Times New Roman" w:cs="Times New Roman" w:eastAsia="Times New Roman" w:hAnsi="Times New Roman"/>
          <w:sz w:val="18"/>
          <w:szCs w:val="18"/>
          <w:color w:val="auto"/>
        </w:rPr>
        <w:t xml:space="preserve">above, and the update and supplement referenced in the second sentence of </w:t>
      </w:r>
      <w:r>
        <w:rPr>
          <w:rFonts w:ascii="Times New Roman" w:cs="Times New Roman" w:eastAsia="Times New Roman" w:hAnsi="Times New Roman"/>
          <w:sz w:val="18"/>
          <w:szCs w:val="18"/>
          <w:u w:val="single" w:color="auto"/>
          <w:color w:val="auto"/>
        </w:rPr>
        <w:t>Section 2.4(i)(b) </w:t>
      </w:r>
      <w:r>
        <w:rPr>
          <w:rFonts w:ascii="Times New Roman" w:cs="Times New Roman" w:eastAsia="Times New Roman" w:hAnsi="Times New Roman"/>
          <w:sz w:val="18"/>
          <w:szCs w:val="18"/>
          <w:color w:val="auto"/>
        </w:rPr>
        <w:t>above (except that the references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 such clauses shall instead refer to nominations of directors for purposes of this paragraph), and (B) a representation and undertaking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such stockholder or Stockholder Associated Person or others acting in concert with them intends, or are part of a group that intends, to (x) deliver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or form of proxy to or otherwise solicit proxies from holders of at least the percentage of the voting power of the corporation’s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stock required to elect such nominee(s) (which representation and undertaking must include a statement as to whether such stockholder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 Associated Person intends to solicit the requisite percentage of the voting power of the corporation’s stock under Rule 14a-19), or (y) otherwise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solicit proxies from stockholders in support of such nomination (such information provided and statements made as required by </w:t>
      </w:r>
      <w:r>
        <w:rPr>
          <w:rFonts w:ascii="Times New Roman" w:cs="Times New Roman" w:eastAsia="Times New Roman" w:hAnsi="Times New Roman"/>
          <w:sz w:val="18"/>
          <w:szCs w:val="18"/>
          <w:u w:val="single" w:color="auto"/>
          <w:color w:val="auto"/>
        </w:rPr>
        <w:t>Section 2.4(ii)(b)(1)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2.4(ii)(b)(2)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Nominee Solicitation Statement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At the request of the board of directors, any person nominated by a stockholder for election as a director must furnish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secretary of the corporation (1) that information required to be set forth in the stockholder’s notice of nomination of such person as a director as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subsequent to the date on which the notice of such person’s nomination was given, (2) a written representation and undertaking that, unless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to the corporation, such nominee is not, and will not become, a party to any Third-Party Compensation Arrangement and (3)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may reasonably be required by the corporation to determine the eligibility of such proposed nominee to serve as an independent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or that could be material to a reasonable stockholder’s understanding of the independence, or lack thereof, of such nominee; in the absence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timely furnishing of any such information, if requested, such stockholder’s nomination shall not be considered in proper form and shall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consideration at the annual meeting pursuant to this </w:t>
      </w:r>
      <w:r>
        <w:rPr>
          <w:rFonts w:ascii="Times New Roman" w:cs="Times New Roman" w:eastAsia="Times New Roman" w:hAnsi="Times New Roman"/>
          <w:sz w:val="18"/>
          <w:szCs w:val="18"/>
          <w:u w:val="single" w:color="auto"/>
          <w:color w:val="auto"/>
        </w:rPr>
        <w:t>Section 2.4(ii)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(d)            Without exception, no person shall be eligible for election or re-election as a director of the corporation at an annual meeting of stockholders unless nominated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  </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firstLine="1944"/>
        <w:spacing w:after="0" w:line="255" w:lineRule="auto"/>
        <w:rPr>
          <w:sz w:val="20"/>
          <w:szCs w:val="20"/>
          <w:color w:val="auto"/>
        </w:rPr>
      </w:pPr>
      <w:r>
        <w:rPr>
          <w:rFonts w:ascii="Times New Roman" w:cs="Times New Roman" w:eastAsia="Times New Roman" w:hAnsi="Times New Roman"/>
          <w:sz w:val="18"/>
          <w:szCs w:val="18"/>
          <w:color w:val="auto"/>
        </w:rPr>
        <w:t>(e)            No later than five (5)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such nominee(s)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Advance Notice of Director Nominations for Special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(a)            For a special meeting of stockholders at which directors are to be elected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nominations of persons for election to the board of directors shall be made only (1) by or at the direction of the board of directors or (2) by any stockholder of the corporation who (A) is a stockholder of record at the time of the giving of the notice required by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on the record date for the determination of stockholders entitled to notice of, and to vote at, the special meeting and (B) delivers a timely written notice of the nomination to the secretary of the corporation that includes the information set forth in </w:t>
      </w:r>
      <w:r>
        <w:rPr>
          <w:rFonts w:ascii="Times New Roman" w:cs="Times New Roman" w:eastAsia="Times New Roman" w:hAnsi="Times New Roman"/>
          <w:sz w:val="18"/>
          <w:szCs w:val="18"/>
          <w:u w:val="single" w:color="auto"/>
          <w:color w:val="auto"/>
        </w:rPr>
        <w:t>Sections 2.4(ii)(b)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2.4(ii)(c) </w:t>
      </w:r>
      <w:r>
        <w:rPr>
          <w:rFonts w:ascii="Times New Roman" w:cs="Times New Roman" w:eastAsia="Times New Roman" w:hAnsi="Times New Roman"/>
          <w:sz w:val="18"/>
          <w:szCs w:val="18"/>
          <w:color w:val="auto"/>
        </w:rPr>
        <w:t xml:space="preserve">above (with references therein to “annual meeting” deemed to mean “special meeting” for the purposes of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(or extend any time period) for the giving of a stockholder’s notice as described above. A person shall not be eligible for election or re-election as a director at a special meeting unless the person is nominated (i) by or at the direction of the board of directors or (ii) by a stockholder in accordance with the notice procedures set forth in this </w:t>
      </w:r>
      <w:r>
        <w:rPr>
          <w:rFonts w:ascii="Times New Roman" w:cs="Times New Roman" w:eastAsia="Times New Roman" w:hAnsi="Times New Roman"/>
          <w:sz w:val="18"/>
          <w:szCs w:val="18"/>
          <w:u w:val="single" w:color="auto"/>
          <w:color w:val="auto"/>
        </w:rPr>
        <w:t>Section 2.4(iii)</w:t>
      </w:r>
      <w:r>
        <w:rPr>
          <w:rFonts w:ascii="Times New Roman" w:cs="Times New Roman" w:eastAsia="Times New Roman" w:hAnsi="Times New Roman"/>
          <w:sz w:val="18"/>
          <w:szCs w:val="18"/>
          <w:color w:val="auto"/>
        </w:rPr>
        <w:t xml:space="preserve">.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Any person nominated in accordance with this </w:t>
      </w:r>
      <w:r>
        <w:rPr>
          <w:rFonts w:ascii="Times New Roman" w:cs="Times New Roman" w:eastAsia="Times New Roman" w:hAnsi="Times New Roman"/>
          <w:sz w:val="18"/>
          <w:szCs w:val="18"/>
          <w:u w:val="single" w:color="auto"/>
          <w:color w:val="auto"/>
        </w:rPr>
        <w:t>Section 2.4(iii) </w:t>
      </w:r>
      <w:r>
        <w:rPr>
          <w:rFonts w:ascii="Times New Roman" w:cs="Times New Roman" w:eastAsia="Times New Roman" w:hAnsi="Times New Roman"/>
          <w:sz w:val="18"/>
          <w:szCs w:val="18"/>
          <w:color w:val="auto"/>
        </w:rPr>
        <w:t xml:space="preserve">is subject to, and must comply with, the provisions of </w:t>
      </w:r>
      <w:r>
        <w:rPr>
          <w:rFonts w:ascii="Times New Roman" w:cs="Times New Roman" w:eastAsia="Times New Roman" w:hAnsi="Times New Roman"/>
          <w:sz w:val="18"/>
          <w:szCs w:val="18"/>
          <w:u w:val="single" w:color="auto"/>
          <w:color w:val="auto"/>
        </w:rPr>
        <w:t>Section 2.4(ii)(c)</w:t>
      </w: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(b)            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Other Requirements and Procedures.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(a)            In addition to the foregoing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stockholder must also comply with all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requirements of state law and of the 1934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Nothing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any rights of: (1) a stockholder to request the inclusion of proposals in the corporation’s proxy statement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Rule 14a-8 (or any successor provision) under the 1934 Act or (2) the corporation to omit a proposal from the corporation’s proxy statement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14a-8 (or any successor provision) under the 1934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NRS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78.370 (and shall contain or be accompanied by such additional information as may be required by, the NRS, including, without limitation, NRS 78.379,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92A.120 or 92A.410), and which shall state the place, if any, date and hour of the meeting, the means of remote communications, if any, by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proxy holders may be deemed to be present in person and vote at such meeting, the record date for determining the stockholders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at the meeting and, in the case of a special meeting, the purpose or purposes for which the meeting is called, provided, however, that (i)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plan of merger, conversion or exchange is to be submitted to a vote at the meeting, the notice of the meeting must state that the purpose, or one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meeting is to consider the plan of merger, conversion or exchange and must contain or be accompanied by a copy or summary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(ii) if a proposed action creating dissenter’s rights is to be submitted to a vote at the meeting, the notice of the meeting must state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are or may be entitled to assert dissenter’s rights under NRS 92A.300 to 92A.500, inclusive, and be accompanied by a copy of those statutory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Except as otherwise provided in the NRS, the articles of incorporation or these bylaws, the notice of any meeting of stockholders shall be given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less than 10 nor more than 60 days before the date of the meeting to each stockholder entitled to vote at such meeting as of the record date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the stockholders entitled to notice of, and to vote at,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QUORUM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articles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articles of incorporation, these bylaws or the rules of any applicable stock exchange on which the corporation’s securities are listed. 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subject to NRS 78.350(5).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these bylaws otherwise require, when a meeting is adjourned to another time or place (including an adjournment taken to address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failure to convene or continue a meeting using remote communication), notice need not be given of the adjourned meeting if the time, place,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thereof, and the means of remote communications, if any, by which stockholders and proxy holders may be deemed to be present in person and vote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adjourned meeting are (i) announced at the meeting at which the adjournment is taken, (ii) displayed, during the time scheduled for the meeting,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electronic network used to enable stockholders and proxy holders to participate in the meeting by means of remote communication or (iii)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meeting given in accordance with the applicable provisions of NRS 78.370. At the adjourned meeting, the corporation may transact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which might have been transacted at the original meeting. If the adjournment is for more than 60 days after the meeting date set for the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 new record date for the adjourned meeting must be set and notice of the adjourned meeting shall be given to each stockholder of record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at the adjourned meeting. If after the adjournment a new record date for stockholders entitled to vote is fixed for the adjourned meeting,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directors shall fix a new record date for notice of such adjourned meeting in accordance with the applicable provisions of NRS 78.350 and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bylaws, and shall give notice of the adjourned meeting to each stockholder of record entitled to vote at such adjourned meeting as of the record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for notice of such adjourned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stockholders entitled to vote at any meeting of stockholders shall be determined in accordance with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bylaws, subject to NRS 78.352 (relating to voting rights of fiduciaries, pledgors and joint owners of stock) and NRS 78.365 (relating to voting trusts and other voting agreements). Except as otherwise provided by law, the articles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articles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articles of incorporation, these bylaws or the rules of any applicable stock exchange.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2.10           STOCKHOLDER ACTION BY CONSENT WITHOUT A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in the articles of incorporation, any action required or permitted to be taken at any annual or special meeting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be taken without a meeting, without prior notice and without a vote, if a consent or consents, setting forth the action so taken,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the holders of outstanding stock having not less than the minimum number of votes that would be necessary to authorize or take such action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at which all shares entitled to vote thereon were present and voted and (i) shall be delivered to the corporation at the principal place of business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by hand or by certified or registered mail, return receipt requested and (ii) such consent must set forth or be delivered with information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enables the corporation to determine the date of delivery of such consent and the identity of the person giving such consent and, if such consent is given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person authorized to act for a stockholder or member as proxy, such consent must comply with the applicable provisions of NRS 78.355. Prompt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taking of the corporate action without a meeting by less than unanimous consent shall be provided to stockholders if and to the extent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consent shall be effective to take the corporate action referred to therein unless consents signed by a sufficient number of stockholders to take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action are delivered to the corporation in the manner prescribed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applicable law within sixty (60) days of the first date on which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is so delivered to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NRS 78.350 and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at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2.12           PROXIES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 document or by a transmission permitted by law submitted in accordance with the procedure established for the meeting, but no such proxy shall be voted or acted upon after six (6) months from its date, unless the proxy provides for a longer period, subject to applicable limitations under NRS 78.355. The authorization of a person to act as a proxy may be documented, signed and delivered in accordance with applicable law;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applicable provisions of NRS 78.355.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arranged in alphabetical order, and showing the address of each stockholder and the number of shares registered in the name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The corporation shall not be required to include electronic mail addresses or other electronic contact information on such list. Such list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to the examination of any stockholder for any purpose germane to the meeting for a period of ten (10) days ending on the day before the meeting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on a reasonably accessible electronic network, provided that the information required to gain access to such list is provided with the notice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or (ii) during ordinary business hours, at the corporation’s principal place of business. In the event that the corporation determines to make the 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on an electronic network, the corporation may take reasonable steps to ensure that such information is available only to stockholders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Before any meeting of stockholders, the corporation shall appoint an inspector or inspectors of election to act at the meeting or its adjournment and make a written report thereof. The corporation may designate one (1) or more persons as alternate inspectors to replace any inspector who fails to act. 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            POWERS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the NRS or the articles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shall consist of one or more individuals, each of whom shall be a natural person. Unless the articles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articles of incorporation or these bylaws. The articles of incorporation or these bylaws may prescribe other qualifications for directors. If so provided in the articles of incorporation, the directors of the corporation shall be divided into three classes. Until such time, the directors of the corporation shall be elected at each annual meeting of stockholders to hold office until the next annual meeting and until their successors have been duly elected and qualified or until their earlier resignation or removal.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of directors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to the chief executive officer of the corporation) or to the secretary of the corporation. A resignation is effective when the resignation is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the resignation specifies a later effective date or an effective date determined upon the happening of an event or events. Unless otherwise specified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resignation, acceptance of such resignation shall not be necessary to make it effective. A resignation which is conditioned upon the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failing to receive a specified vote for re-election as a director may provide that it is irrevocable. Unless otherwise provided in the articles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these bylaws, when one or more directors resign from the board of directors, effective at a future date, a majority of the directors then in office,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who have so resigned, shall have power to fill such vacancy or vacancies, the vote thereon to take effect when such resignation or resignations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 Unless otherwise provided in the articles of incorporation or these bylaws or permitted in the specific case by resolution of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subject to the rights of holders of Preferred Stock, vacancies occurring on the board of directors for any reason and newly created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directorships resulting from any increase in the authorized number of directors may be filled only by a vote of a majority of the remaining members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although less than a quorum, or by a sole remaining director, at any meeting of the board of directors, and not by stockholders.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divided into classes as provided by the articles of incorporation, a person so chosen to fill a vacancy or newly created directorship shall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until the next election of the class for which such director shall have been chosen and until such director’s successor shall have been duly elected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PLACE OF MEETINGS; MEETINGS BY REMOTE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board of directors may hold meetings, both regular and special, either within or outside the State of Nevada. Unless otherwise restricted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incorporation or these bylaws, members of the board of directors may participate in a meeting of the board of directors by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videoconferencing, teleconferencing or other available technology satisfying the applicable requirements of NRS 78.315(3),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a meeting shall constitute presence in person at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the president, the secretary or a majority of the Whole Board. Notice of the time and place of special meetings of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delivered personally by hand or by courier;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sent by United States first-class mail, postage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sent by facsimile;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sent by electronic mail;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           otherwise given by electronic transmission (as defined in NRS Chapter 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directed to each director at that director’s address, facsimile number, electronic mail address or other contact for notice by electronic transmission,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as shown on the corporation’s records. If the notice is (i) delivered personally by hand or by courier, (ii) sent by facsimile, (iii) sent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 or (iv) otherwise given by electronic transmission, it shall be delivered, sent or otherwise directed to each director, as applicable, at least 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hours before the time of the holding of the meeting. If the notice is sent by United States mail, it shall be deposited in the United States mail at least four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before the time of the holding of the meeting. Any oral notice of the time and place of the meeting may be communicated to the director in lieu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if such oral notice is given in person or by telephone at least 24 hours before the time of the holding of the special meeting. The notice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specify the place of the meeting (if the meeting is to be held at the corporation’s principal executive office) nor the purpose of the meeting,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The affirmative vote of a majority of the directors present at any meeting at which a quorum is present shall be the act of the board of directors, except as may be otherwise specifically provided by statute, the articles of incorporation or these bylaws.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Unless otherwise restricted by the articles of incorporation or these bylaws, (i) any action required or permitted to be taken at any meeting of the board of directors may be taken without a meeting if all members of the board of directors consent thereto in writing or by electronic transmission and (ii) a consent may be documented, signed and delivered in any manner permitted by the applicable provisions of NRS 78.315.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(i) revocable prior to its becoming effective and (ii) deemed to have been given for purposes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at such effective time so long as such person is then a director and did not revoke the consent prior to such time. After an action is taken, the consent or consents relating thereto shall be filed with the minutes of the proceedings of the board of directors in the same paper or electronic form as the minutes are maintained.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restricted by the articles of incorporation or these bylaws, the board of directors shall have the authority to fix the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Any director may be removed from office at any time, with or without cause, in accordance with NRS 78.335. No reduction of the authorized number of directors shall have the effect of removing any director prior to the expiration of such director’s term of office.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may, by resolution adopted by the affirmative vote of a majority of the Whole Board, designate one or more 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to consist of one or more of the directors of the corporation. The board of directors may designate one or more directors as alternate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any committee, who may replace any absent or disqualified member at any meeting of the committee. In the absence or disqualification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a committee, the member or members thereof present at any meeting and not disqualified from voting, whether or not such member or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quorum, may unanimously appoint another member of the board of directors to act at the meeting in the place of any such absent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disqualified member. Any such committee, to the extent provided in the resolution of the board of directors or in these bylaws, shall have and may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powers and authority of the board of directors in the management of the business and affairs of the corporation, and may authorize the seal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to be affixed to all papers that may require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shall be governed by, and held and taken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Section 3.5</w:t>
      </w:r>
      <w:r>
        <w:rPr>
          <w:rFonts w:ascii="Times New Roman" w:cs="Times New Roman" w:eastAsia="Times New Roman" w:hAnsi="Times New Roman"/>
          <w:sz w:val="18"/>
          <w:szCs w:val="18"/>
          <w:color w:val="auto"/>
        </w:rPr>
        <w:t xml:space="preserve"> (place of meetings and meetings by 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Section 3.6</w:t>
      </w:r>
      <w:r>
        <w:rPr>
          <w:rFonts w:ascii="Times New Roman" w:cs="Times New Roman" w:eastAsia="Times New Roman" w:hAnsi="Times New Roman"/>
          <w:sz w:val="18"/>
          <w:szCs w:val="18"/>
          <w:color w:val="auto"/>
        </w:rPr>
        <w:t xml:space="preserve"> (regular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Section 3.7</w:t>
      </w:r>
      <w:r>
        <w:rPr>
          <w:rFonts w:ascii="Times New Roman" w:cs="Times New Roman" w:eastAsia="Times New Roman" w:hAnsi="Times New Roman"/>
          <w:sz w:val="18"/>
          <w:szCs w:val="18"/>
          <w:color w:val="auto"/>
        </w:rPr>
        <w:t xml:space="preserve"> (special meetings and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Section 3.8</w:t>
      </w:r>
      <w:r>
        <w:rPr>
          <w:rFonts w:ascii="Times New Roman" w:cs="Times New Roman" w:eastAsia="Times New Roman" w:hAnsi="Times New Roman"/>
          <w:sz w:val="18"/>
          <w:szCs w:val="18"/>
          <w:color w:val="auto"/>
        </w:rPr>
        <w:t xml:space="preserve"> (quorum;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Section 3.9</w:t>
      </w:r>
      <w:r>
        <w:rPr>
          <w:rFonts w:ascii="Times New Roman" w:cs="Times New Roman" w:eastAsia="Times New Roman" w:hAnsi="Times New Roman"/>
          <w:sz w:val="18"/>
          <w:szCs w:val="18"/>
          <w:color w:val="auto"/>
        </w:rPr>
        <w:t xml:space="preserve"> (action without a meeting);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Section 7.4</w:t>
      </w:r>
      <w:r>
        <w:rPr>
          <w:rFonts w:ascii="Times New Roman" w:cs="Times New Roman" w:eastAsia="Times New Roman" w:hAnsi="Times New Roman"/>
          <w:sz w:val="18"/>
          <w:szCs w:val="18"/>
          <w:color w:val="auto"/>
        </w:rPr>
        <w:t xml:space="preserve"> (waiver of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of directors and its members, provided, however, that unless and to the extent provided in the resolutions of the board of directors designating a committee: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time and place of regular meetings of such committee may be determined either by resolution of the board of directors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of such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(ii)           special meetings of such committee may also be called by resolution of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notice of special meetings of such committee shall also be given to any and all alternate members of such committee, who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right to attend all meetings of 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may adopt rules for the government of any committee not inconsistent with the provisions of these bylaws.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in the articles of incorporation, these bylaws or the resolutions of the board of directors designating the committee,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may create one or more subcommittees, each subcommittee to consist of at least one member of the committee, and delegate to a subcommittee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of the powers and authority of the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officers of the corporation shall be a president, a treasurer and a secretary, or the equivalents of such offices. The corporation may also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discretion of the board of directors, a chairperson of the board of directors, a vice chairperson of the board of directors, a chief executive officer,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one or more vice presidents, one or more assistant vice presidents, one or more assistant treasurers, one or more assistant secretaries,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such other officers with such other titles as may be appointed from time to time in accordance with the provisions of these bylaws. Any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may be held by the same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The board of directors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these bylaws, subject to the rights, if any, of an officer under any contract of employment.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 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of directors or as provided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chief financial officer or treasurer,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or assistant secretary of the corporation, or any other person authorized by the board of directors or the chief executive officer, the president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is authorized to vote, represent, and exercise on behalf of this corporation all rights incident to any and all shares or other securities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or issued by, any other entity or entities, and all rights incident to any management authority conferred on this corporation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governing documents of any entity or entities, standing in the name of this corporation, including the right to act by written consent. The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herein may be exercised either by such person directly or by any other person authorized to do so by proxy or power of attorney duly executed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 having the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may be designated from time to time by the board of directors and, to the extent not so provided, as generally pertain to their respective offices,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control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preferences, and the relative, participating, optional or other special rights of each class of stock or series thereof and the qualifications, limitations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of such preferences and/or rights shall be set forth in full or summarized on the face or back of the certificate that the corporation shall issue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 such class or series of stock; provided, however, that, except as may be otherwise provided in NRS 78.235, in lieu of the foregoing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set forth on the face or back of the certificate that the corporation shall issue to represent such class or series of stock, a statement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will furnish without charge to each stockholder who so requests the powers, designations, preferences and relative, participating, optional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special rights of each class of stock or series thereof and the qualifications, limitations or restrictions of such preferences and/or rights. Within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time after the issuance or transfer of uncertificated stock, the registered owner thereof shall be given a notice, in writing or by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transmission, containing the information required to be set forth or stated on certificates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the applicable provisions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NRS, including NRS 78.235 and 78.242, or with respect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 statement that the corporation will furnish without charge to each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so requests the powers, designations, preferences and relative, participating, optional or other special rights of each class of stock or series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qualifications, limitations or restrictions of such preferences and/or rights. Except as otherwise expressly provided by law, the rights and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uncertificated stock and the rights and obligations of the holders of certificates representing stock of the same class and series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DIVIDENDS AND OTHER DISTRIBUTIONS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articles of incorporation or applicable law, may declare and pay dividends or other distributions upon the shares of the corporation’s capital stock. Dividends and distributions may be paid in cash, in property, or in shares of the corporation’s capital stock, subject to the provisions of the articles of incorporation and the NRS. The board of directors may set apart out of any of the funds of the corporation available for dividends a reserve or reserves for any proper purpose and may abolish any such reserve.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Transfers of record of shares of stock of the corporation shall be made only upon its books by the holders thereof, in person or by an attorney duly authorized, and, 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these bylaws, if such stock is certificated, upon the surrender of a certificate or certificates for a like number of shares, properly endorsed or accompanied by proper evidence of succession, assignation or authority to transfer.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corporation shall have power to enter into and perform any agreement with any number of stockholders of any one or more classes or series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corporation to restrict the transfer of shares of stock of the corporation of any one or more classes or series owned by such stockholders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not prohibited by the NRS.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(i)             shall be entitled to recognize the exclusive right of a person registered on its books as the owner of shares to receive dividends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notices and to vote as such owner;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620"/>
        <w:spacing w:after="0" w:line="260" w:lineRule="auto"/>
        <w:rPr>
          <w:sz w:val="20"/>
          <w:szCs w:val="20"/>
          <w:color w:val="auto"/>
        </w:rPr>
      </w:pPr>
      <w:r>
        <w:rPr>
          <w:rFonts w:ascii="Times New Roman" w:cs="Times New Roman" w:eastAsia="Times New Roman" w:hAnsi="Times New Roman"/>
          <w:sz w:val="18"/>
          <w:szCs w:val="18"/>
          <w:color w:val="auto"/>
        </w:rPr>
        <w:t>(ii)            shall not be bound to recognize any equitable or other claim to or interest in such share or shares on the part of another person, whether or not it shall have express or other notice thereof, except as otherwise provided by the laws of Nevada.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NOTICE TO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Any notice to stockholders given by the corporation under any provision of the NRS, the articles of incorporation or these bylaws may be given in the manner set forth in NRS 78.370 and in accordance with the applicable provisions of NRS Chapter 75.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prohibited under the NRS, without limiting the manner by which notice otherwise may be given effectively to stockholders, any notice to stockholders given by the corporation under the provisions of the NRS, the articles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notices given pursuant to Sections 78.220 or 78.685, or Chapter 104, of the NRS.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Whenever notice is required to be given under the NRS, the articles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NRS, the certificate shall state, if such is the fact and if notice is required, that notice was given to all persons entitled to receive notice except such persons with whom communication is unlawful.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NRS, the articles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articles of incorporation or these bylaws.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indemnify, to the fullest extent permitted by the NRS,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indemnify, to the fullest extent permitted by the NRS,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competent jurisdiction in which such Proceeding was brought shall determine upon application that, despite the adjudication of liability but in view of all the circumstances of the case, such person is fairly and reasonably entitled to indemnity for such expenses which such court shall deem proper.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that a present or former director or officer of the corporation has been successful on the merits or otherwise in defense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Proceeding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or in defense of any claim, issue or matter therein, such person shall be indemnified against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attorneys’ fees) actually and reasonably incurred by such person in connection therewith. The corporation may indemnify any other person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a present or former director or officer of the corporation against expenses (including attorneys’ fees) actually and reasonably incurred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extent such person has been successful on the merits or otherwise in defense of any Proceeding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or in defense of any claim, issue or matter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corporation shall have power to advance expenses to and indemnify its employees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or any other persons, to the extent not prohibited by the NRS or other applicable law. The board of directors shall have the power to delegate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persons identified in subsections (3)(a) through 3(c) of NRS 78.7502 the determination of whether employees or agents shall be indemnified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an advancement of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            ADVANCE PAYMENT OF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corporation in defending any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paid by the corporation in advance of the final disposition of such Proceeding upon receipt of a written request therefor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reasonably evidencing such expenses) and an undertaking by or on behalf of the person to repay such amounts if it shall ultimately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determined that the person is not entitled to be indemnified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NRS. Such expenses (including attorneys’ fees) actually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incurred by former directors and officers or other current or former employees and agents of the corporation or by persons currently or formerly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serving at the request of the corporation as directors, officers, employees or agents of another corporation, partnership, joint venture, trust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may be so paid upon such terms and conditions, if any, as the corporation deems appropriate. The right to advancement of expenses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any Proceeding (or any part of any Proceeding) for which indemnity is excluded pursuant to these bylaws, but shall apply to any Proceeding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 of any Proceeding) referenced in </w:t>
      </w:r>
      <w:r>
        <w:rPr>
          <w:rFonts w:ascii="Times New Roman" w:cs="Times New Roman" w:eastAsia="Times New Roman" w:hAnsi="Times New Roman"/>
          <w:sz w:val="18"/>
          <w:szCs w:val="18"/>
          <w:u w:val="single" w:color="auto"/>
          <w:color w:val="auto"/>
        </w:rPr>
        <w:t>Section 8.6(ii)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8.6(iii) </w:t>
      </w:r>
      <w:r>
        <w:rPr>
          <w:rFonts w:ascii="Times New Roman" w:cs="Times New Roman" w:eastAsia="Times New Roman" w:hAnsi="Times New Roman"/>
          <w:sz w:val="18"/>
          <w:szCs w:val="18"/>
          <w:color w:val="auto"/>
        </w:rPr>
        <w:t>prior to a determination that the person is not entitled to be indemnified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Subject to the requirements in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and the NRS, the corporation shall not be obligated to indemnify any person pursuant to this </w:t>
      </w:r>
      <w:r>
        <w:rPr>
          <w:rFonts w:ascii="Times New Roman" w:cs="Times New Roman" w:eastAsia="Times New Roman" w:hAnsi="Times New Roman"/>
          <w:sz w:val="17"/>
          <w:szCs w:val="17"/>
          <w:u w:val="single" w:color="auto"/>
          <w:color w:val="auto"/>
        </w:rPr>
        <w:t>Article VIII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Proceeding (or any part of any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for which payment has actually been made to or on behalf of such person under any statute, insurance policy, indemnity provision,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or otherwise, except with respect to any excess beyond the amount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(ii)            for an accounting or disgorgement of profits pursuant to Section 16(b) of the 1934 Act, or similar provisions of federal, state or local statutory law or common law, if such person is held liable therefor (including pursuant to any settlement arrangements);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(iii)           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Sarbanes-Oxley Act), if such person is held liable therefor (including pursuant to any settlement arrangements);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(iv)          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(d) otherwise required by applicable law; or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a claim for indemnification or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not paid in full within ninety (90) days after receipt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of the written request therefor, the claimant shall be entitled to an adjudication by a court of competent jurisdiction of such claimant’s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entitlement to such indemnification or advancement of expenses. The corporation shall indemnify such person against any and all expenses that are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reasonably incurred by such person in connection with any action for indemnification or advancement of expenses from the corporation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to the extent such person is successful in such action, and to the extent not prohibited by law. In any such suit, the corporation shall,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fullest extent not prohibited by law, have the burden of proving that the claimant is not entitled to the requested indemnification or advancement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indemnification and advancement of expenses provided by, or granted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deemed exclusive of any other rights to which those seeking indemnification or advancement of expenses may be entitled under the articles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NRS or other applicable law.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8.9             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may purchase and maintain insurance to the fullest extent permitted by the NRS on behalf of any person who is or was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employee or agent of the corporation, or is or was serving at the request of the corporation as a director, officer, employee or agent of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partnership, joint venture, trust or other enterprise against any liability asserted against such person and incurred by such person in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or arising out of such person’s status as such, whether or not the corporation would have the power to indemnify such person against such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provisions of the NRS.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8.10           SURVIVAL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The rights to indemnification and advancement of expenses conferred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continue as to a person who has ceased to be a director, officer, employee or agent and shall inure to the benefit of the heirs, executors and administrators of such a person.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articles of incorporation or a bylaw shall not be eliminated or impaired by an amendment to or repeal or elimination of the articles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include, in addition to the resulting entity, any constituent entity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constituent of a constituent) absorbed in a consolidation or merger which, if its separate existence had continued, would have had power and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indemnify its directors, officers, employees or agents, so that any person who is or was a director, officer, employee or agent of such constituent entity,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or was serving at the request of such constituent entity as a director, officer, employee or agent of another corporation, partnership, joint venture, trust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enterprise, shall stand in the same position under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resulting or surviving entity as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would have with respect to such constituent entity if its separate existence had continued.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plan; and references to “</w:t>
      </w:r>
      <w:r>
        <w:rPr>
          <w:rFonts w:ascii="Times New Roman" w:cs="Times New Roman" w:eastAsia="Times New Roman" w:hAnsi="Times New Roman"/>
          <w:sz w:val="18"/>
          <w:szCs w:val="18"/>
          <w:b w:val="1"/>
          <w:bCs w:val="1"/>
          <w:color w:val="auto"/>
        </w:rPr>
        <w:t>serving at the request of the corporation</w:t>
      </w:r>
      <w:r>
        <w:rPr>
          <w:rFonts w:ascii="Times New Roman" w:cs="Times New Roman" w:eastAsia="Times New Roman" w:hAnsi="Times New Roman"/>
          <w:sz w:val="18"/>
          <w:szCs w:val="18"/>
          <w:color w:val="auto"/>
        </w:rPr>
        <w:t>” shall include any service as a director, officer, employee or agent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which imposes duties on, or involves services by, such director, officer, employee or agent with respect to an employee benefit plan,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or beneficiaries; and a person who acted in good faith and in a manner such person reasonably believed to be in the interest of the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 the corporation</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provided by law, the articles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SEAL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NRS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corporation, partnership, limited liability company, joint venture, trust or other enterprise and a natural person. Any reference in these bylaws to a section of the NRS shall be deemed to refer to such section as amended from time to time and any successor provisions thereto. 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paragraph of the bylaws containing any such provision held to be invalid, illegal or unenforceable that is not itself held to be invalid, illegal or unenforceable) shall not in any way be affected or impaired thereby; and (ii) to the fullest extent possible, the provisions of the bylaws (including, without limitation, each such portion of any paragraph of the bylaws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  </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provided, however,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articles of incorporation, confer the power to adopt, amend or repeal bylaws upon the directors. The fact that such power has been so conferred upon the directors shall not divest the stockholders of the power, nor limit their power to adopt, amend or repeal bylaws. A bylaw amendment adopted by stockholders which specifies the votes that shall be necessary for the election of directors shall not be further amended or repealed by the board of directors.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Unless the corporation expressly consents in writing to the selection of an alternative forum, the Eighth Judicial District Court of the State of Nevada, Clark County, Nevada shall, to the fullest extent permitted by law, be the sole and exclusive forum for (i) any derivative action or proceeding brought on behalf of the corporation, (ii) any action asserting a claim of breach of a fiduciary duty owed by any director, stockholder or officer or other employee of the corporation to the corporation or the corporation’s stockholders, (iii) any action arising pursuant to any provision of the NRS or the articles of incorporation or these bylaws (as either may be amended from time to time), including any internal action (as defined in NRS 78.046),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 Unless the corporation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Any person or entity purchasing or otherwise acquiring or holding any interest in any security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This provision shall be enforceable by any party to a claim covered by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ACQUISITION OF CONTROLLING INTEREST STATUTES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 other provision in these Bylaws to the contrary, and in accordance with the provisions of NRS 78.378, the provisions of NRS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78.378 to 78.3793, inclusive (or any successor statutes thereto), relating to acquisitions of controlling interests in the corporation, do not apply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to any acquisition of shares of the corporation’s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40" w:hanging="132"/>
        <w:spacing w:after="0"/>
        <w:tabs>
          <w:tab w:leader="none" w:pos="5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March 3, 2025, between DROPBOX,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 Company, National Association (as successor in interest to U.S. Bank National Association), a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WHEREAS, the Company and the Trustee are parties to that certain Indenture, dated as of February 26, 2021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pursuant to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its 0% Convertible Senior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WHEREAS, on or around March 5, 2025, the Company expects to convert from a corporation organized under the laws of the State of Delaware into a corporation organized under the laws of the State of Nevada (the “</w:t>
      </w:r>
      <w:r>
        <w:rPr>
          <w:rFonts w:ascii="Times New Roman" w:cs="Times New Roman" w:eastAsia="Times New Roman" w:hAnsi="Times New Roman"/>
          <w:sz w:val="18"/>
          <w:szCs w:val="18"/>
          <w:b w:val="1"/>
          <w:bCs w:val="1"/>
          <w:color w:val="auto"/>
        </w:rPr>
        <w:t>Nevada Corporation</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right="300" w:firstLine="648"/>
        <w:spacing w:after="0" w:line="260" w:lineRule="auto"/>
        <w:rPr>
          <w:sz w:val="20"/>
          <w:szCs w:val="20"/>
          <w:color w:val="auto"/>
        </w:rPr>
      </w:pPr>
      <w:r>
        <w:rPr>
          <w:rFonts w:ascii="Times New Roman" w:cs="Times New Roman" w:eastAsia="Times New Roman" w:hAnsi="Times New Roman"/>
          <w:sz w:val="18"/>
          <w:szCs w:val="18"/>
          <w:color w:val="auto"/>
        </w:rPr>
        <w:t>WHEREAS, pursuant to the Reincorporation, each share of Common Stock (as defined in the Indenture) of the Company will convert into one share of Class A common stock, par value $0.00001 per share, of the Nevada Corporation (the “</w:t>
      </w:r>
      <w:r>
        <w:rPr>
          <w:rFonts w:ascii="Times New Roman" w:cs="Times New Roman" w:eastAsia="Times New Roman" w:hAnsi="Times New Roman"/>
          <w:sz w:val="18"/>
          <w:szCs w:val="18"/>
          <w:b w:val="1"/>
          <w:bCs w:val="1"/>
          <w:color w:val="auto"/>
        </w:rPr>
        <w:t>Nevada Corporation Common Stock</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Reincorporation will constitute a Common Stock Change Event pursuant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13.07(a) of the Indenture provides, among other things, that in the event of a Common Stock Change Event,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execute with the Trustee a supplemental indenture providing that at and after the effective time of such Common Stock Change Event,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 each $1,000 principal amount of Notes shall be changed into a right to convert such principal amount of Notes into the kind and amount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other securities, or other property or assets (including cash or any combination thereof) that a holder of a number of shares of Common Stock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Conversion Rate immediately prior to such Common Stock 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upon such Common Stock Change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and after the effective time of the Common Stock Change Event (A)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successor or acquiring Person, as the case may be, shall continue to have the right to determine the form of consideration to be paid or delivered,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upon conversion of Notes in accordance with Section 13.02 of the Indenture and (B)(I) any amount payable in cash upon conversion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in accordance with Section 13.02 of the Indenture shall continue to be payable in cash, (II) any shares of Common Stock that the Company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required to deliver upon conversion of the Notes in accordance with Section 13.02 of the Indenture shall instead be deliverable in the amount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Reference Property that a holder of that number of shares of Common Stock would have received in such Common Stock Change Event, (III)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Daily VWAP shall be calculated based on the value of a unit of Reference Property and (IV) the conditions to conversion described in Sections 13.01(b)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and 13.01(b)(iv) of the Indenture will be determined as if each reference to a share of Common Stock were instead a reference to a Reference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18"/>
          <w:szCs w:val="18"/>
          <w:color w:val="auto"/>
        </w:rPr>
        <w:t>WHEREAS, Section 10.01 of the Indenture provides that the Company and the Trustee may enter into any supplemental indenture without the consent of any Holder, among other things, (i) in connection with any Common Stock Change Event, to provide that the Notes are convertible into Reference Property, subject to the provisions of Section 13.02 of the Indenture, and make such related changes to the terms of the Notes to the extent expressly required by Section 13.07 of the Indenture; or (ii) to make any change that does not adversely affect the rights of any Holder;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conditions for the execution and delivery of this Supplemental Indenture have been complied with or have been done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FIRST SUPPLEMENTAL INDENTURE 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receipt of which is hereby acknowledged,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agree as follows for the equal and ratable benefit of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Capitalized terms used but not defined herein shall have the meanings assigned to them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Unit of Reference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mean one share of Nevada Corporation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Conversion of Notes</w:t>
      </w:r>
      <w:r>
        <w:rPr>
          <w:rFonts w:ascii="Times New Roman" w:cs="Times New Roman" w:eastAsia="Times New Roman" w:hAnsi="Times New Roman"/>
          <w:sz w:val="18"/>
          <w:szCs w:val="18"/>
          <w:color w:val="auto"/>
        </w:rPr>
        <w:t>. Pursuant to Section 13.07(a) of the Indenture, (a) at and after the effective time of the Reincorporation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the right to convert each $1,000 principal amount of Notes into the Common Stock shall be changed to a right to convert such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Notes into the number of Units of Reference Property equal to the Conversion Rate immediately prior to the Effective Time; (b)(i)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continue to have the right to determine the form of consideration to be paid or delivered, as the case may be, upon conversion of Notes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Section 13.02 of the Indenture and (ii)(A) any amount payable in cash upon conversion of the Notes in accordance with Section 13.02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continue to be payable in cash, (B) any shares of Common Stock that the Company would have been required to deliver upon conversion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accordance with Section 13.02 of the Indenture shall instead be deliverable in Units of Reference Property, (C) the Daily VWAP shall be calculated 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value of a Unit of Reference Property and (D) the conditions to conversion described in Sections 13.01(b)(ii) and 13.01(b)(iv) of the Indenture will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as if each reference to a share of Common Stock were instead a reference to a Unit of Reference Property. The provisions of the Indenture,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modified herein, shall continue to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Holders’ right to convert the Notes into the Reference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i w:val="1"/>
          <w:iCs w:val="1"/>
          <w:color w:val="auto"/>
        </w:rPr>
        <w:t>Effectiveness; Construction</w:t>
      </w:r>
      <w:r>
        <w:rPr>
          <w:rFonts w:ascii="Times New Roman" w:cs="Times New Roman" w:eastAsia="Times New Roman" w:hAnsi="Times New Roman"/>
          <w:sz w:val="18"/>
          <w:szCs w:val="18"/>
          <w:color w:val="auto"/>
        </w:rPr>
        <w:t>. This Supplemental Indenture shall become effective immediately upon the effectiveness of the Reincorporation. Upon such effectiveness, the Indenture shall be supplemented in accordance herewith. This Supplemental Indenture shall form a part of the Indenture for all purposes, and every Holder heretofore or hereafter authenticated and delivered under the Indenture shall be bound thereby. The Indenture and this Supplemental Indenture shall henceforth be read and construed together.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Indenture Remains in Full Force and Effect</w:t>
      </w:r>
      <w:r>
        <w:rPr>
          <w:rFonts w:ascii="Times New Roman" w:cs="Times New Roman" w:eastAsia="Times New Roman" w:hAnsi="Times New Roman"/>
          <w:sz w:val="18"/>
          <w:szCs w:val="18"/>
          <w:color w:val="auto"/>
        </w:rPr>
        <w:t>. Except as supplemented hereby, all provisions in the Indenture shall remain in full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Trustee Matters</w:t>
      </w:r>
      <w:r>
        <w:rPr>
          <w:rFonts w:ascii="Times New Roman" w:cs="Times New Roman" w:eastAsia="Times New Roman" w:hAnsi="Times New Roman"/>
          <w:sz w:val="18"/>
          <w:szCs w:val="18"/>
          <w:color w:val="auto"/>
        </w:rPr>
        <w:t>. 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protection to the Trustee, whether or not elsewhere herein so provided. The recitals contained in this Supplemental Indenture shall be taken as the statements of the Company and the Trustee assumes no responsibility for their correctness. The Trustee makes no representation as to the validity or sufficiency of this Supplemental Indenture.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i w:val="1"/>
          <w:iCs w:val="1"/>
          <w:color w:val="auto"/>
        </w:rPr>
        <w:t>No Third-Party Beneficiaries</w:t>
      </w:r>
      <w:r>
        <w:rPr>
          <w:rFonts w:ascii="Times New Roman" w:cs="Times New Roman" w:eastAsia="Times New Roman" w:hAnsi="Times New Roman"/>
          <w:sz w:val="18"/>
          <w:szCs w:val="18"/>
          <w:color w:val="auto"/>
        </w:rPr>
        <w:t>. Nothing in this Supplemental Indenture, expressed or implied, shall give to any Person, other than the parties to the Indenture, any Paying Agent, any Conversion Agent, any authenticating agent, any Note Registrar and their successors under the Indenture or the Holders , any benefit or any legal or equitable right, remedy or claim under the Indenture, as supplemented hereby.  </w:t>
      </w:r>
    </w:p>
    <w:p>
      <w:pPr>
        <w:spacing w:after="0" w:line="204"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the event any provision of this Supplemental Indenture shall be invalid, illegal or unenforceable, then (to the extent permitted by law) the validity, legality or enforceability of the remaining provisions shall not in any way be affected or impaired.  </w:t>
      </w:r>
    </w:p>
    <w:p>
      <w:pPr>
        <w:spacing w:after="0" w:line="200" w:lineRule="exact"/>
        <w:rPr>
          <w:sz w:val="20"/>
          <w:szCs w:val="20"/>
          <w:color w:val="auto"/>
        </w:rPr>
      </w:pPr>
    </w:p>
    <w:p>
      <w:pPr>
        <w:ind w:right="280" w:firstLine="648"/>
        <w:spacing w:after="0" w:line="260"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Article and Section headings of this Supplemental Indenture have been inserted for convenience of reference only and are not to be considered a part of this Supplemental Indenture and shall in no way modify or restrict any of the terms or provisions 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Company and the Trustee in this Supplemental Indenture shall bind their respective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 whether so expressed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AND ANY CLAIM, CONTROVERSY OR DISPUTE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OR RELATED TO THIS SUPPLEMENTAL INDENTURE SHALL BE GOVERNED BY, AND CONSTRUED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i w:val="1"/>
          <w:iCs w:val="1"/>
          <w:color w:val="auto"/>
        </w:rPr>
        <w:t>Counterpart Signatures</w:t>
      </w:r>
      <w:r>
        <w:rPr>
          <w:rFonts w:ascii="Times New Roman" w:cs="Times New Roman" w:eastAsia="Times New Roman" w:hAnsi="Times New Roman"/>
          <w:sz w:val="18"/>
          <w:szCs w:val="18"/>
          <w:color w:val="auto"/>
        </w:rPr>
        <w:t>. This Supplemental Indenture may be executed in any number of counterparts, each of which shall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but such counterparts shall together constitute but one and the same instrument. The exchange of copies of this Supplemental Indenture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pages by facsimile or PDF transmission shall constitute effective execution and delivery of this Supplemental Indenture as to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used in lieu of the original Supplemental Indenture for all purposes. Signatures of the parties hereto transmitted by facsimile or PDF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their original signatures for all purposes. The words “execution,” “signed,” “signature,” “delivery,” and words of like import in or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Supplemental Indenture or any document to be signed in connection with this Supplemental Indenture shall be deemed to include electronic 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deliveries or the keeping of records in electronic form, each of which shall be of the same legal effect, validity or enforceability as a manually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physical delivery thereof or the use of a paper-based recordkeeping system, as the case may be, and the parties hereto consent to conduct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hereunder by electronic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Supplemental Indenture to be duly executed as of the date first written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DROPBOX, INC.</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Timothy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Timothy Regan</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337" w:right="839" w:bottom="1440" w:gutter="0" w:footer="0" w:header="0"/>
        </w:sectPr>
      </w:pPr>
    </w:p>
    <w:bookmarkStart w:id="52" w:name="page53"/>
    <w:bookmarkEnd w:id="52"/>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A.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Jason</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320" w:top="364" w:right="12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March 3, 2025, between DROPBOX,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 Company, National Association (as successor in interest to U.S. Bank National Association), a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WHEREAS, the Company and the Trustee are parties to that certain Indenture, dated as of February 26, 2021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pursuant to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its 0% Convertible Senior Notes due 2028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WHEREAS, on or around March 5, 2025, the Company expects to convert from a corporation organized under the laws of the State of Delaware into a corporation organized under the laws of the State of Nevada (the “</w:t>
      </w:r>
      <w:r>
        <w:rPr>
          <w:rFonts w:ascii="Times New Roman" w:cs="Times New Roman" w:eastAsia="Times New Roman" w:hAnsi="Times New Roman"/>
          <w:sz w:val="18"/>
          <w:szCs w:val="18"/>
          <w:b w:val="1"/>
          <w:bCs w:val="1"/>
          <w:color w:val="auto"/>
        </w:rPr>
        <w:t>Nevada Corporation</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right="300" w:firstLine="648"/>
        <w:spacing w:after="0" w:line="260" w:lineRule="auto"/>
        <w:rPr>
          <w:sz w:val="20"/>
          <w:szCs w:val="20"/>
          <w:color w:val="auto"/>
        </w:rPr>
      </w:pPr>
      <w:r>
        <w:rPr>
          <w:rFonts w:ascii="Times New Roman" w:cs="Times New Roman" w:eastAsia="Times New Roman" w:hAnsi="Times New Roman"/>
          <w:sz w:val="18"/>
          <w:szCs w:val="18"/>
          <w:color w:val="auto"/>
        </w:rPr>
        <w:t>WHEREAS, pursuant to the Reincorporation, each share of Common Stock (as defined in the Indenture) of the Company will convert into one share of Class A common stock, par value $0.00001 per share, of the Nevada Corporation (the “</w:t>
      </w:r>
      <w:r>
        <w:rPr>
          <w:rFonts w:ascii="Times New Roman" w:cs="Times New Roman" w:eastAsia="Times New Roman" w:hAnsi="Times New Roman"/>
          <w:sz w:val="18"/>
          <w:szCs w:val="18"/>
          <w:b w:val="1"/>
          <w:bCs w:val="1"/>
          <w:color w:val="auto"/>
        </w:rPr>
        <w:t>Nevada Corporation Common Stock</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Reincorporation will constitute a Common Stock Change Event pursuant to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13.07(a) of the Indenture provides, among other things, that in the event of a Common Stock Change Event,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execute with the Trustee a supplemental indenture providing that at and after the effective time of such Common Stock Change Event,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 each $1,000 principal amount of Notes shall be changed into a right to convert such principal amount of Notes into the kind and amount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other securities, or other property or assets (including cash or any combination thereof) that a holder of a number of shares of Common Stock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Conversion Rate immediately prior to such Common Stock 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upon such Common Stock Change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and after the effective time of the Common Stock Change Event (A)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successor or acquiring Person, as the case may be, shall continue to have the right to determine the form of consideration to be paid or delivered,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upon conversion of Notes in accordance with Section 13.02 of the Indenture and (B)(I) any amount payable in cash upon conversion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in accordance with Section 13.02 of the Indenture shall continue to be payable in cash, (II) any shares of Common Stock that the Company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required to deliver upon conversion of the Notes in accordance with Section 13.02 of the Indenture shall instead be deliverable in the amount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Reference Property that a holder of that number of shares of Common Stock would have received in such Common Stock Change Event, (III)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Daily VWAP shall be calculated based on the value of a unit of Reference Property and (IV) the conditions to conversion described in Sections 13.01(b)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and 13.01(b)(iv) of the Indenture will be determined as if each reference to a share of Common Stock were instead a reference to a Reference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18"/>
          <w:szCs w:val="18"/>
          <w:color w:val="auto"/>
        </w:rPr>
        <w:t>WHEREAS, Section 10.01 of the Indenture provides that the Company and the Trustee may enter into any supplemental indenture without the consent of any Holder, among other things, (i) in connection with any Common Stock Change Event, to provide that the Notes are convertible into Reference Property, subject to the provisions of Section 13.02 of the Indenture, and make such related changes to the terms of the Notes to the extent expressly required by Section 13.07 of the Indenture; or (ii) to make any change that does not adversely affect the rights of any Holder;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conditions for the execution and delivery of this Supplemental Indenture have been complied with or have been done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FIRST SUPPLEMENTAL INDENTURE 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receipt of which is hereby acknowledged,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agree as follows for the equal and ratable benefit of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Capitalized terms used but not defined herein shall have the meanings assigned to them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Unit of Reference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mean one share of Nevada Corporation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Conversion of Notes</w:t>
      </w:r>
      <w:r>
        <w:rPr>
          <w:rFonts w:ascii="Times New Roman" w:cs="Times New Roman" w:eastAsia="Times New Roman" w:hAnsi="Times New Roman"/>
          <w:sz w:val="18"/>
          <w:szCs w:val="18"/>
          <w:color w:val="auto"/>
        </w:rPr>
        <w:t>. Pursuant to Section 13.07(a) of the Indenture, (a) at and after the effective time of the Reincorporation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the right to convert each $1,000 principal amount of Notes into the Common Stock shall be changed to a right to convert such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Notes into the number of Units of Reference Property equal to the Conversion Rate immediately prior to the Effective Time; (b)(i)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continue to have the right to determine the form of consideration to be paid or delivered, as the case may be, upon conversion of Notes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Section 13.02 of the Indenture and (ii)(A) any amount payable in cash upon conversion of the Notes in accordance with Section 13.02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continue to be payable in cash, (B) any shares of Common Stock that the Company would have been required to deliver upon conversion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accordance with Section 13.02 of the Indenture shall instead be deliverable in Units of Reference Property, (C) the Daily VWAP shall be calculated 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value of a Unit of Reference Property and (D) the conditions to conversion described in Sections 13.01(b)(ii) and 13.01(b)(iv) of the Indenture will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as if each reference to a share of Common Stock were instead a reference to a Unit of Reference Property. The provisions of the Indenture,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modified herein, shall continue to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Holders’ right to convert the Notes into the Reference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i w:val="1"/>
          <w:iCs w:val="1"/>
          <w:color w:val="auto"/>
        </w:rPr>
        <w:t>Effectiveness; Construction</w:t>
      </w:r>
      <w:r>
        <w:rPr>
          <w:rFonts w:ascii="Times New Roman" w:cs="Times New Roman" w:eastAsia="Times New Roman" w:hAnsi="Times New Roman"/>
          <w:sz w:val="18"/>
          <w:szCs w:val="18"/>
          <w:color w:val="auto"/>
        </w:rPr>
        <w:t>. This Supplemental Indenture shall become effective immediately upon the effectiveness of the Reincorporation. Upon such effectiveness, the Indenture shall be supplemented in accordance herewith. This Supplemental Indenture shall form a part of the Indenture for all purposes, and every Holder heretofore or hereafter authenticated and delivered under the Indenture shall be bound thereby. The Indenture and this Supplemental Indenture shall henceforth be read and construed together.  </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Indenture Remains in Full Force and Effect</w:t>
      </w:r>
      <w:r>
        <w:rPr>
          <w:rFonts w:ascii="Times New Roman" w:cs="Times New Roman" w:eastAsia="Times New Roman" w:hAnsi="Times New Roman"/>
          <w:sz w:val="18"/>
          <w:szCs w:val="18"/>
          <w:color w:val="auto"/>
        </w:rPr>
        <w:t>. Except as supplemented hereby, all provisions in the Indenture shall remain in full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Trustee Matters</w:t>
      </w:r>
      <w:r>
        <w:rPr>
          <w:rFonts w:ascii="Times New Roman" w:cs="Times New Roman" w:eastAsia="Times New Roman" w:hAnsi="Times New Roman"/>
          <w:sz w:val="18"/>
          <w:szCs w:val="18"/>
          <w:color w:val="auto"/>
        </w:rPr>
        <w:t>. The Trustee accepts the Indenture, as supplemented hereby, and agrees to perform the same upon the terms and conditions set forth therein, as supplemented hereby. The Trustee shall be entitled to the benefit of every provision of the Indenture relating to the conduct or affecting the liability or affording protection to the Trustee, whether or not elsewhere herein so provided. The recitals contained in this Supplemental Indenture shall be taken as the statements of the Company and the Trustee assumes no responsibility for their correctness. The Trustee makes no representation as to the validity or sufficiency of this Supplemental Indenture.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i w:val="1"/>
          <w:iCs w:val="1"/>
          <w:color w:val="auto"/>
        </w:rPr>
        <w:t>No Third-Party Beneficiaries</w:t>
      </w:r>
      <w:r>
        <w:rPr>
          <w:rFonts w:ascii="Times New Roman" w:cs="Times New Roman" w:eastAsia="Times New Roman" w:hAnsi="Times New Roman"/>
          <w:sz w:val="18"/>
          <w:szCs w:val="18"/>
          <w:color w:val="auto"/>
        </w:rPr>
        <w:t>. Nothing in this Supplemental Indenture, expressed or implied, shall give to any Person, other than the parties to the Indenture, any Paying Agent, any Conversion Agent, any authenticating agent, any Note Registrar and their successors under the Indenture or the Holders , any benefit or any legal or equitable right, remedy or claim under the Indenture, as supplemented hereby.  </w:t>
      </w:r>
    </w:p>
    <w:p>
      <w:pPr>
        <w:spacing w:after="0" w:line="204"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the event any provision of this Supplemental Indenture shall be invalid, illegal or unenforceable, then (to the extent permitted by law) the validity, legality or enforceability of the remaining provisions shall not in any way be affected or impaired.  </w:t>
      </w:r>
    </w:p>
    <w:p>
      <w:pPr>
        <w:spacing w:after="0" w:line="200" w:lineRule="exact"/>
        <w:rPr>
          <w:sz w:val="20"/>
          <w:szCs w:val="20"/>
          <w:color w:val="auto"/>
        </w:rPr>
      </w:pPr>
    </w:p>
    <w:p>
      <w:pPr>
        <w:ind w:right="280" w:firstLine="648"/>
        <w:spacing w:after="0" w:line="260"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Article and Section headings of this Supplemental Indenture have been inserted for convenience of reference only and are not to be considered a part of this Supplemental Indenture and shall in no way modify or restrict any of the terms or provisions 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Company and the Trustee in this Supplemental Indenture shall bind their respective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 whether so expressed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AND ANY CLAIM, CONTROVERSY OR DISPUTE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OR RELATED TO THIS SUPPLEMENTAL INDENTURE SHALL BE GOVERNED BY, AND CONSTRUED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i w:val="1"/>
          <w:iCs w:val="1"/>
          <w:color w:val="auto"/>
        </w:rPr>
        <w:t>Counterpart Signatures</w:t>
      </w:r>
      <w:r>
        <w:rPr>
          <w:rFonts w:ascii="Times New Roman" w:cs="Times New Roman" w:eastAsia="Times New Roman" w:hAnsi="Times New Roman"/>
          <w:sz w:val="18"/>
          <w:szCs w:val="18"/>
          <w:color w:val="auto"/>
        </w:rPr>
        <w:t>. This Supplemental Indenture may be executed in any number of counterparts, each of which shall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but such counterparts shall together constitute but one and the same instrument. The exchange of copies of this Supplemental Indenture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pages by facsimile or PDF transmission shall constitute effective execution and delivery of this Supplemental Indenture as to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used in lieu of the original Supplemental Indenture for all purposes. Signatures of the parties hereto transmitted by facsimile or PDF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their original signatures for all purposes. The words “execution,” “signed,” “signature,” “delivery,” and words of like import in or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Supplemental Indenture or any document to be signed in connection with this Supplemental Indenture shall be deemed to include electronic 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deliveries or the keeping of records in electronic form, each of which shall be of the same legal effect, validity or enforceability as a manually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physical delivery thereof or the use of a paper-based recordkeeping system, as the case may be, and the parties hereto consent to conduct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hereunder by electronic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Supplemental Indenture to be duly executed as of the date first written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DROPBOX, INC.</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Timothy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Timothy Regan</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337" w:right="839" w:bottom="1440" w:gutter="0" w:footer="0" w:header="0"/>
        </w:sectPr>
      </w:pPr>
    </w:p>
    <w:bookmarkStart w:id="57" w:name="page58"/>
    <w:bookmarkEnd w:id="57"/>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A.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Jason</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300"/>
      </w:cols>
      <w:pgMar w:left="320" w:top="337"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2"/>
    </w:lvl>
    <w:lvl w:ilvl="1">
      <w:lvlJc w:val="left"/>
      <w:lvlText w:val="·"/>
      <w:numFmt w:val="bullet"/>
      <w:start w:val="1"/>
    </w:lvl>
  </w:abstractNum>
  <w:abstractNum w:abstractNumId="2">
    <w:nsid w:val="238E1F29"/>
    <w:multiLevelType w:val="hybridMultilevel"/>
    <w:lvl w:ilvl="0">
      <w:lvlJc w:val="left"/>
      <w:lvlText w:val="(%1)"/>
      <w:numFmt w:val="upperLetter"/>
      <w:start w:val="2"/>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2025-03-10T05:21:29Z</dcterms:created>
  <dcterms:modified xsi:type="dcterms:W3CDTF">2025-03-10T05:21:29Z</dcterms:modified>
</cp:coreProperties>
</file>