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2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May 21, 2026</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2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1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40"/>
          </w:cols>
          <w:pgMar w:left="320" w:top="849" w:right="239" w:bottom="1440" w:gutter="0" w:footer="0" w:header="0"/>
        </w:sectPr>
      </w:pPr>
    </w:p>
    <w:p>
      <w:pPr>
        <w:spacing w:after="0" w:line="103"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20" w:lineRule="exact"/>
        <w:rPr>
          <w:sz w:val="24"/>
          <w:szCs w:val="24"/>
          <w:color w:val="auto"/>
        </w:rPr>
      </w:pPr>
    </w:p>
    <w:p>
      <w:pPr>
        <w:sectPr>
          <w:pgSz w:w="11900" w:h="16838" w:orient="portrait"/>
          <w:cols w:equalWidth="0" w:num="3">
            <w:col w:w="3860" w:space="720"/>
            <w:col w:w="2200" w:space="720"/>
            <w:col w:w="3840"/>
          </w:cols>
          <w:pgMar w:left="320" w:top="849"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340"/>
          </w:cols>
          <w:pgMar w:left="320" w:top="849" w:right="239" w:bottom="1440" w:gutter="0" w:footer="0" w:header="0"/>
          <w:type w:val="continuous"/>
        </w:sectPr>
      </w:pPr>
    </w:p>
    <w:p>
      <w:pPr>
        <w:spacing w:after="0" w:line="31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930-7766</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5" w:lineRule="exact"/>
        <w:rPr>
          <w:sz w:val="24"/>
          <w:szCs w:val="24"/>
          <w:color w:val="auto"/>
        </w:rPr>
      </w:pPr>
    </w:p>
    <w:p>
      <w:pPr>
        <w:ind w:right="240"/>
        <w:spacing w:after="0" w:line="25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84"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82550</wp:posOffset>
            </wp:positionV>
            <wp:extent cx="6258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148"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tcPr>
          <w:p>
            <w:pPr>
              <w:spacing w:after="0"/>
              <w:rPr>
                <w:sz w:val="13"/>
                <w:szCs w:val="13"/>
                <w:color w:val="auto"/>
              </w:rPr>
            </w:pPr>
          </w:p>
        </w:tc>
        <w:tc>
          <w:tcPr>
            <w:tcW w:w="19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10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08"/>
        </w:trPr>
        <w:tc>
          <w:tcPr>
            <w:tcW w:w="426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DBX</w:t>
            </w:r>
          </w:p>
        </w:tc>
        <w:tc>
          <w:tcPr>
            <w:tcW w:w="7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9"/>
        </w:trPr>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91"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60" w:lineRule="exact"/>
        <w:rPr>
          <w:sz w:val="24"/>
          <w:szCs w:val="24"/>
          <w:color w:val="auto"/>
        </w:rPr>
      </w:pPr>
    </w:p>
    <w:p>
      <w:pPr>
        <w:ind w:right="260"/>
        <w:spacing w:after="0" w:line="26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431165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type w:val="continuous"/>
        </w:sectPr>
      </w:pPr>
    </w:p>
    <w:bookmarkStart w:id="1" w:name="page2"/>
    <w:bookmarkEnd w:id="1"/>
    <w:p>
      <w:pPr>
        <w:ind w:left="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46" w:lineRule="exact"/>
        <w:rPr>
          <w:sz w:val="20"/>
          <w:szCs w:val="20"/>
          <w:color w:val="auto"/>
        </w:rPr>
      </w:pPr>
    </w:p>
    <w:p>
      <w:pPr>
        <w:ind w:left="20"/>
        <w:spacing w:after="0" w:line="250" w:lineRule="auto"/>
        <w:rPr>
          <w:sz w:val="20"/>
          <w:szCs w:val="20"/>
          <w:color w:val="auto"/>
        </w:rPr>
      </w:pPr>
      <w:r>
        <w:rPr>
          <w:rFonts w:ascii="Times New Roman" w:cs="Times New Roman" w:eastAsia="Times New Roman" w:hAnsi="Times New Roman"/>
          <w:sz w:val="18"/>
          <w:szCs w:val="18"/>
          <w:color w:val="auto"/>
        </w:rPr>
        <w:t>On May 21, 2026, at the 2026 Annual Meeting of Stockholders (the “Annual Meeting”) of Dropbox, Inc. (the “Company”), the Company’s stockholders voted upon the following proposals described in the Company’s definitive proxy statement filed with the Securities and Exchange Commission on April 7, 2026: (1) to elect seven directors to the Board of Directors of the Company to serve until the next annual meeting of stockholders and until their successors are duly elected and qualified; (2) to ratify the appointment of Ernst &amp; Young LLP, an independent registered public accounting firm, as auditors for the fiscal year ending December 31, 2026; (3) to approve, on an advisory basis, the compensation of the Company’s named executive officers; and (4) to approve an amendment and restatement of the Company’s articles of incorporation to waive jury trials for internal actions, together with contextual and other ministerial changes.</w:t>
      </w:r>
    </w:p>
    <w:p>
      <w:pPr>
        <w:spacing w:after="0" w:line="215" w:lineRule="exact"/>
        <w:rPr>
          <w:sz w:val="20"/>
          <w:szCs w:val="20"/>
          <w:color w:val="auto"/>
        </w:rPr>
      </w:pPr>
    </w:p>
    <w:p>
      <w:pPr>
        <w:ind w:left="20" w:right="200"/>
        <w:spacing w:after="0" w:line="274" w:lineRule="auto"/>
        <w:rPr>
          <w:sz w:val="20"/>
          <w:szCs w:val="20"/>
          <w:color w:val="auto"/>
        </w:rPr>
      </w:pPr>
      <w:r>
        <w:rPr>
          <w:rFonts w:ascii="Times New Roman" w:cs="Times New Roman" w:eastAsia="Times New Roman" w:hAnsi="Times New Roman"/>
          <w:sz w:val="18"/>
          <w:szCs w:val="18"/>
          <w:color w:val="auto"/>
        </w:rPr>
        <w:t>All nominated directors were elected, and proposals 2, 3 and 4 were approved by the required stockholder vote. The final voting results with respect to each proposal are as set forth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(1) Proposal for election of seven directors:</w:t>
            </w: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265"/>
        </w:trPr>
        <w:tc>
          <w:tcPr>
            <w:tcW w:w="2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244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For</w:t>
            </w:r>
          </w:p>
        </w:tc>
        <w:tc>
          <w:tcPr>
            <w:tcW w:w="244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238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6"/>
        </w:trPr>
        <w:tc>
          <w:tcPr>
            <w:tcW w:w="4000" w:type="dxa"/>
            <w:vAlign w:val="bottom"/>
            <w:gridSpan w:val="2"/>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2"/>
        </w:trPr>
        <w:tc>
          <w:tcPr>
            <w:tcW w:w="20" w:type="dxa"/>
            <w:vAlign w:val="bottom"/>
          </w:tcPr>
          <w:p>
            <w:pPr>
              <w:spacing w:after="0"/>
              <w:rPr>
                <w:sz w:val="23"/>
                <w:szCs w:val="23"/>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 Campbell</w:t>
            </w:r>
          </w:p>
        </w:tc>
        <w:tc>
          <w:tcPr>
            <w:tcW w:w="2340" w:type="dxa"/>
            <w:vAlign w:val="bottom"/>
            <w:tcBorders>
              <w:top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814,113,740</w:t>
            </w:r>
          </w:p>
        </w:tc>
        <w:tc>
          <w:tcPr>
            <w:tcW w:w="100" w:type="dxa"/>
            <w:vAlign w:val="bottom"/>
            <w:tcBorders>
              <w:top w:val="single" w:sz="8" w:color="CCEEFF"/>
            </w:tcBorders>
            <w:shd w:val="clear" w:color="auto" w:fill="CCEEFF"/>
          </w:tcPr>
          <w:p>
            <w:pPr>
              <w:spacing w:after="0"/>
              <w:rPr>
                <w:sz w:val="23"/>
                <w:szCs w:val="23"/>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70,388,400</w:t>
            </w:r>
          </w:p>
        </w:tc>
        <w:tc>
          <w:tcPr>
            <w:tcW w:w="80" w:type="dxa"/>
            <w:vAlign w:val="bottom"/>
            <w:tcBorders>
              <w:top w:val="single" w:sz="8" w:color="CCEEFF"/>
            </w:tcBorders>
            <w:shd w:val="clear" w:color="auto" w:fill="CCEEFF"/>
          </w:tcPr>
          <w:p>
            <w:pPr>
              <w:spacing w:after="0"/>
              <w:rPr>
                <w:sz w:val="23"/>
                <w:szCs w:val="23"/>
                <w:color w:val="auto"/>
              </w:rPr>
            </w:pPr>
          </w:p>
        </w:tc>
        <w:tc>
          <w:tcPr>
            <w:tcW w:w="2380" w:type="dxa"/>
            <w:vAlign w:val="bottom"/>
            <w:tcBorders>
              <w:top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7,504,514</w:t>
            </w:r>
          </w:p>
        </w:tc>
      </w:tr>
      <w:tr>
        <w:trPr>
          <w:trHeight w:val="292"/>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W. Houston</w:t>
            </w:r>
          </w:p>
        </w:tc>
        <w:tc>
          <w:tcPr>
            <w:tcW w:w="23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846,246,817</w:t>
            </w:r>
          </w:p>
        </w:tc>
        <w:tc>
          <w:tcPr>
            <w:tcW w:w="10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38,255,323</w:t>
            </w:r>
          </w:p>
        </w:tc>
        <w:tc>
          <w:tcPr>
            <w:tcW w:w="80" w:type="dxa"/>
            <w:vAlign w:val="bottom"/>
          </w:tcPr>
          <w:p>
            <w:pPr>
              <w:spacing w:after="0"/>
              <w:rPr>
                <w:sz w:val="24"/>
                <w:szCs w:val="24"/>
                <w:color w:val="auto"/>
              </w:rPr>
            </w:pPr>
          </w:p>
        </w:tc>
        <w:tc>
          <w:tcPr>
            <w:tcW w:w="238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7,504,514</w:t>
            </w:r>
          </w:p>
        </w:tc>
      </w:tr>
      <w:tr>
        <w:trPr>
          <w:trHeight w:val="292"/>
        </w:trPr>
        <w:tc>
          <w:tcPr>
            <w:tcW w:w="20" w:type="dxa"/>
            <w:vAlign w:val="bottom"/>
          </w:tcPr>
          <w:p>
            <w:pPr>
              <w:spacing w:after="0"/>
              <w:rPr>
                <w:sz w:val="24"/>
                <w:szCs w:val="24"/>
                <w:color w:val="auto"/>
              </w:rPr>
            </w:pPr>
          </w:p>
        </w:tc>
        <w:tc>
          <w:tcPr>
            <w:tcW w:w="3980" w:type="dxa"/>
            <w:vAlign w:val="bottom"/>
            <w:shd w:val="clear" w:color="auto" w:fill="CDEEFF"/>
          </w:tcPr>
          <w:p>
            <w:pPr>
              <w:spacing w:after="0"/>
              <w:rPr>
                <w:sz w:val="20"/>
                <w:szCs w:val="20"/>
                <w:color w:val="auto"/>
              </w:rPr>
            </w:pPr>
            <w:r>
              <w:rPr>
                <w:rFonts w:ascii="Times New Roman" w:cs="Times New Roman" w:eastAsia="Times New Roman" w:hAnsi="Times New Roman"/>
                <w:sz w:val="18"/>
                <w:szCs w:val="18"/>
                <w:color w:val="auto"/>
              </w:rPr>
              <w:t>Warren Jenson</w:t>
            </w:r>
          </w:p>
        </w:tc>
        <w:tc>
          <w:tcPr>
            <w:tcW w:w="2340" w:type="dxa"/>
            <w:vAlign w:val="bottom"/>
            <w:shd w:val="clear" w:color="auto" w:fill="CDEEFF"/>
          </w:tcPr>
          <w:p>
            <w:pPr>
              <w:jc w:val="right"/>
              <w:ind w:right="652"/>
              <w:spacing w:after="0"/>
              <w:rPr>
                <w:sz w:val="20"/>
                <w:szCs w:val="20"/>
                <w:color w:val="auto"/>
              </w:rPr>
            </w:pPr>
            <w:r>
              <w:rPr>
                <w:rFonts w:ascii="Times New Roman" w:cs="Times New Roman" w:eastAsia="Times New Roman" w:hAnsi="Times New Roman"/>
                <w:sz w:val="18"/>
                <w:szCs w:val="18"/>
                <w:color w:val="auto"/>
              </w:rPr>
              <w:t>838,943,164</w:t>
            </w:r>
          </w:p>
        </w:tc>
        <w:tc>
          <w:tcPr>
            <w:tcW w:w="100" w:type="dxa"/>
            <w:vAlign w:val="bottom"/>
            <w:shd w:val="clear" w:color="auto" w:fill="CDEEFF"/>
          </w:tcPr>
          <w:p>
            <w:pPr>
              <w:spacing w:after="0"/>
              <w:rPr>
                <w:sz w:val="24"/>
                <w:szCs w:val="24"/>
                <w:color w:val="auto"/>
              </w:rPr>
            </w:pPr>
          </w:p>
        </w:tc>
        <w:tc>
          <w:tcPr>
            <w:tcW w:w="2360" w:type="dxa"/>
            <w:vAlign w:val="bottom"/>
            <w:shd w:val="clear" w:color="auto" w:fill="CDEEFF"/>
          </w:tcPr>
          <w:p>
            <w:pPr>
              <w:jc w:val="center"/>
              <w:spacing w:after="0"/>
              <w:rPr>
                <w:sz w:val="20"/>
                <w:szCs w:val="20"/>
                <w:color w:val="auto"/>
              </w:rPr>
            </w:pPr>
            <w:r>
              <w:rPr>
                <w:rFonts w:ascii="Times New Roman" w:cs="Times New Roman" w:eastAsia="Times New Roman" w:hAnsi="Times New Roman"/>
                <w:sz w:val="18"/>
                <w:szCs w:val="18"/>
                <w:color w:val="auto"/>
                <w:w w:val="98"/>
              </w:rPr>
              <w:t>45,558,976</w:t>
            </w:r>
          </w:p>
        </w:tc>
        <w:tc>
          <w:tcPr>
            <w:tcW w:w="80" w:type="dxa"/>
            <w:vAlign w:val="bottom"/>
            <w:shd w:val="clear" w:color="auto" w:fill="CDEEFF"/>
          </w:tcPr>
          <w:p>
            <w:pPr>
              <w:spacing w:after="0"/>
              <w:rPr>
                <w:sz w:val="24"/>
                <w:szCs w:val="24"/>
                <w:color w:val="auto"/>
              </w:rPr>
            </w:pPr>
          </w:p>
        </w:tc>
        <w:tc>
          <w:tcPr>
            <w:tcW w:w="2380" w:type="dxa"/>
            <w:vAlign w:val="bottom"/>
            <w:shd w:val="clear" w:color="auto" w:fill="CDEEFF"/>
          </w:tcPr>
          <w:p>
            <w:pPr>
              <w:jc w:val="right"/>
              <w:ind w:right="752"/>
              <w:spacing w:after="0"/>
              <w:rPr>
                <w:sz w:val="20"/>
                <w:szCs w:val="20"/>
                <w:color w:val="auto"/>
              </w:rPr>
            </w:pPr>
            <w:r>
              <w:rPr>
                <w:rFonts w:ascii="Times New Roman" w:cs="Times New Roman" w:eastAsia="Times New Roman" w:hAnsi="Times New Roman"/>
                <w:sz w:val="18"/>
                <w:szCs w:val="18"/>
                <w:color w:val="auto"/>
              </w:rPr>
              <w:t>7,504,514</w:t>
            </w:r>
          </w:p>
        </w:tc>
      </w:tr>
      <w:tr>
        <w:trPr>
          <w:trHeight w:val="292"/>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Moore</w:t>
            </w:r>
          </w:p>
        </w:tc>
        <w:tc>
          <w:tcPr>
            <w:tcW w:w="23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883,103,191</w:t>
            </w:r>
          </w:p>
        </w:tc>
        <w:tc>
          <w:tcPr>
            <w:tcW w:w="10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1,398,949</w:t>
            </w:r>
          </w:p>
        </w:tc>
        <w:tc>
          <w:tcPr>
            <w:tcW w:w="80" w:type="dxa"/>
            <w:vAlign w:val="bottom"/>
          </w:tcPr>
          <w:p>
            <w:pPr>
              <w:spacing w:after="0"/>
              <w:rPr>
                <w:sz w:val="24"/>
                <w:szCs w:val="24"/>
                <w:color w:val="auto"/>
              </w:rPr>
            </w:pPr>
          </w:p>
        </w:tc>
        <w:tc>
          <w:tcPr>
            <w:tcW w:w="238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7,504,514</w:t>
            </w:r>
          </w:p>
        </w:tc>
      </w:tr>
      <w:tr>
        <w:trPr>
          <w:trHeight w:val="292"/>
        </w:trPr>
        <w:tc>
          <w:tcPr>
            <w:tcW w:w="20" w:type="dxa"/>
            <w:vAlign w:val="bottom"/>
          </w:tcPr>
          <w:p>
            <w:pPr>
              <w:spacing w:after="0"/>
              <w:rPr>
                <w:sz w:val="24"/>
                <w:szCs w:val="24"/>
                <w:color w:val="auto"/>
              </w:rPr>
            </w:pPr>
          </w:p>
        </w:tc>
        <w:tc>
          <w:tcPr>
            <w:tcW w:w="3980" w:type="dxa"/>
            <w:vAlign w:val="bottom"/>
            <w:shd w:val="clear" w:color="auto" w:fill="CDEEFF"/>
          </w:tcPr>
          <w:p>
            <w:pPr>
              <w:spacing w:after="0"/>
              <w:rPr>
                <w:sz w:val="20"/>
                <w:szCs w:val="20"/>
                <w:color w:val="auto"/>
              </w:rPr>
            </w:pPr>
            <w:r>
              <w:rPr>
                <w:rFonts w:ascii="Times New Roman" w:cs="Times New Roman" w:eastAsia="Times New Roman" w:hAnsi="Times New Roman"/>
                <w:sz w:val="18"/>
                <w:szCs w:val="18"/>
                <w:color w:val="auto"/>
              </w:rPr>
              <w:t>Abhay Parasnis</w:t>
            </w:r>
          </w:p>
        </w:tc>
        <w:tc>
          <w:tcPr>
            <w:tcW w:w="2340" w:type="dxa"/>
            <w:vAlign w:val="bottom"/>
            <w:shd w:val="clear" w:color="auto" w:fill="CDEEFF"/>
          </w:tcPr>
          <w:p>
            <w:pPr>
              <w:jc w:val="right"/>
              <w:ind w:right="652"/>
              <w:spacing w:after="0"/>
              <w:rPr>
                <w:sz w:val="20"/>
                <w:szCs w:val="20"/>
                <w:color w:val="auto"/>
              </w:rPr>
            </w:pPr>
            <w:r>
              <w:rPr>
                <w:rFonts w:ascii="Times New Roman" w:cs="Times New Roman" w:eastAsia="Times New Roman" w:hAnsi="Times New Roman"/>
                <w:sz w:val="18"/>
                <w:szCs w:val="18"/>
                <w:color w:val="auto"/>
              </w:rPr>
              <w:t>882,991,036</w:t>
            </w:r>
          </w:p>
        </w:tc>
        <w:tc>
          <w:tcPr>
            <w:tcW w:w="100" w:type="dxa"/>
            <w:vAlign w:val="bottom"/>
            <w:shd w:val="clear" w:color="auto" w:fill="CDEEFF"/>
          </w:tcPr>
          <w:p>
            <w:pPr>
              <w:spacing w:after="0"/>
              <w:rPr>
                <w:sz w:val="24"/>
                <w:szCs w:val="24"/>
                <w:color w:val="auto"/>
              </w:rPr>
            </w:pPr>
          </w:p>
        </w:tc>
        <w:tc>
          <w:tcPr>
            <w:tcW w:w="2360" w:type="dxa"/>
            <w:vAlign w:val="bottom"/>
            <w:shd w:val="clear" w:color="auto" w:fill="CDEEFF"/>
          </w:tcPr>
          <w:p>
            <w:pPr>
              <w:jc w:val="center"/>
              <w:spacing w:after="0"/>
              <w:rPr>
                <w:sz w:val="20"/>
                <w:szCs w:val="20"/>
                <w:color w:val="auto"/>
              </w:rPr>
            </w:pPr>
            <w:r>
              <w:rPr>
                <w:rFonts w:ascii="Times New Roman" w:cs="Times New Roman" w:eastAsia="Times New Roman" w:hAnsi="Times New Roman"/>
                <w:sz w:val="18"/>
                <w:szCs w:val="18"/>
                <w:color w:val="auto"/>
                <w:w w:val="97"/>
              </w:rPr>
              <w:t>1,511,104</w:t>
            </w:r>
          </w:p>
        </w:tc>
        <w:tc>
          <w:tcPr>
            <w:tcW w:w="80" w:type="dxa"/>
            <w:vAlign w:val="bottom"/>
            <w:shd w:val="clear" w:color="auto" w:fill="CDEEFF"/>
          </w:tcPr>
          <w:p>
            <w:pPr>
              <w:spacing w:after="0"/>
              <w:rPr>
                <w:sz w:val="24"/>
                <w:szCs w:val="24"/>
                <w:color w:val="auto"/>
              </w:rPr>
            </w:pPr>
          </w:p>
        </w:tc>
        <w:tc>
          <w:tcPr>
            <w:tcW w:w="2380" w:type="dxa"/>
            <w:vAlign w:val="bottom"/>
            <w:shd w:val="clear" w:color="auto" w:fill="CDEEFF"/>
          </w:tcPr>
          <w:p>
            <w:pPr>
              <w:jc w:val="right"/>
              <w:ind w:right="752"/>
              <w:spacing w:after="0"/>
              <w:rPr>
                <w:sz w:val="20"/>
                <w:szCs w:val="20"/>
                <w:color w:val="auto"/>
              </w:rPr>
            </w:pPr>
            <w:r>
              <w:rPr>
                <w:rFonts w:ascii="Times New Roman" w:cs="Times New Roman" w:eastAsia="Times New Roman" w:hAnsi="Times New Roman"/>
                <w:sz w:val="18"/>
                <w:szCs w:val="18"/>
                <w:color w:val="auto"/>
              </w:rPr>
              <w:t>7,504,514</w:t>
            </w:r>
          </w:p>
        </w:tc>
      </w:tr>
      <w:tr>
        <w:trPr>
          <w:trHeight w:val="292"/>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Peacock</w:t>
            </w:r>
          </w:p>
        </w:tc>
        <w:tc>
          <w:tcPr>
            <w:tcW w:w="23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764,234,894</w:t>
            </w:r>
          </w:p>
        </w:tc>
        <w:tc>
          <w:tcPr>
            <w:tcW w:w="10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120,267,246</w:t>
            </w:r>
          </w:p>
        </w:tc>
        <w:tc>
          <w:tcPr>
            <w:tcW w:w="80" w:type="dxa"/>
            <w:vAlign w:val="bottom"/>
          </w:tcPr>
          <w:p>
            <w:pPr>
              <w:spacing w:after="0"/>
              <w:rPr>
                <w:sz w:val="24"/>
                <w:szCs w:val="24"/>
                <w:color w:val="auto"/>
              </w:rPr>
            </w:pPr>
          </w:p>
        </w:tc>
        <w:tc>
          <w:tcPr>
            <w:tcW w:w="238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7,504,514</w:t>
            </w:r>
          </w:p>
        </w:tc>
      </w:tr>
      <w:tr>
        <w:trPr>
          <w:trHeight w:val="292"/>
        </w:trPr>
        <w:tc>
          <w:tcPr>
            <w:tcW w:w="20" w:type="dxa"/>
            <w:vAlign w:val="bottom"/>
          </w:tcPr>
          <w:p>
            <w:pPr>
              <w:spacing w:after="0"/>
              <w:rPr>
                <w:sz w:val="24"/>
                <w:szCs w:val="24"/>
                <w:color w:val="auto"/>
              </w:rPr>
            </w:pPr>
          </w:p>
        </w:tc>
        <w:tc>
          <w:tcPr>
            <w:tcW w:w="3980" w:type="dxa"/>
            <w:vAlign w:val="bottom"/>
            <w:shd w:val="clear" w:color="auto" w:fill="CDEEFF"/>
          </w:tcPr>
          <w:p>
            <w:pPr>
              <w:spacing w:after="0"/>
              <w:rPr>
                <w:sz w:val="20"/>
                <w:szCs w:val="20"/>
                <w:color w:val="auto"/>
              </w:rPr>
            </w:pPr>
            <w:r>
              <w:rPr>
                <w:rFonts w:ascii="Times New Roman" w:cs="Times New Roman" w:eastAsia="Times New Roman" w:hAnsi="Times New Roman"/>
                <w:sz w:val="18"/>
                <w:szCs w:val="18"/>
                <w:color w:val="auto"/>
              </w:rPr>
              <w:t>Michael Seibel</w:t>
            </w:r>
          </w:p>
        </w:tc>
        <w:tc>
          <w:tcPr>
            <w:tcW w:w="2340" w:type="dxa"/>
            <w:vAlign w:val="bottom"/>
            <w:shd w:val="clear" w:color="auto" w:fill="CDEEFF"/>
          </w:tcPr>
          <w:p>
            <w:pPr>
              <w:jc w:val="right"/>
              <w:ind w:right="652"/>
              <w:spacing w:after="0"/>
              <w:rPr>
                <w:sz w:val="20"/>
                <w:szCs w:val="20"/>
                <w:color w:val="auto"/>
              </w:rPr>
            </w:pPr>
            <w:r>
              <w:rPr>
                <w:rFonts w:ascii="Times New Roman" w:cs="Times New Roman" w:eastAsia="Times New Roman" w:hAnsi="Times New Roman"/>
                <w:sz w:val="18"/>
                <w:szCs w:val="18"/>
                <w:color w:val="auto"/>
              </w:rPr>
              <w:t>880,713,655</w:t>
            </w:r>
          </w:p>
        </w:tc>
        <w:tc>
          <w:tcPr>
            <w:tcW w:w="100" w:type="dxa"/>
            <w:vAlign w:val="bottom"/>
            <w:shd w:val="clear" w:color="auto" w:fill="CDEEFF"/>
          </w:tcPr>
          <w:p>
            <w:pPr>
              <w:spacing w:after="0"/>
              <w:rPr>
                <w:sz w:val="24"/>
                <w:szCs w:val="24"/>
                <w:color w:val="auto"/>
              </w:rPr>
            </w:pPr>
          </w:p>
        </w:tc>
        <w:tc>
          <w:tcPr>
            <w:tcW w:w="2360" w:type="dxa"/>
            <w:vAlign w:val="bottom"/>
            <w:shd w:val="clear" w:color="auto" w:fill="CDEEFF"/>
          </w:tcPr>
          <w:p>
            <w:pPr>
              <w:jc w:val="center"/>
              <w:spacing w:after="0"/>
              <w:rPr>
                <w:sz w:val="20"/>
                <w:szCs w:val="20"/>
                <w:color w:val="auto"/>
              </w:rPr>
            </w:pPr>
            <w:r>
              <w:rPr>
                <w:rFonts w:ascii="Times New Roman" w:cs="Times New Roman" w:eastAsia="Times New Roman" w:hAnsi="Times New Roman"/>
                <w:sz w:val="18"/>
                <w:szCs w:val="18"/>
                <w:color w:val="auto"/>
                <w:w w:val="97"/>
              </w:rPr>
              <w:t>3,788,485</w:t>
            </w:r>
          </w:p>
        </w:tc>
        <w:tc>
          <w:tcPr>
            <w:tcW w:w="80" w:type="dxa"/>
            <w:vAlign w:val="bottom"/>
            <w:shd w:val="clear" w:color="auto" w:fill="CDEEFF"/>
          </w:tcPr>
          <w:p>
            <w:pPr>
              <w:spacing w:after="0"/>
              <w:rPr>
                <w:sz w:val="24"/>
                <w:szCs w:val="24"/>
                <w:color w:val="auto"/>
              </w:rPr>
            </w:pPr>
          </w:p>
        </w:tc>
        <w:tc>
          <w:tcPr>
            <w:tcW w:w="2380" w:type="dxa"/>
            <w:vAlign w:val="bottom"/>
            <w:shd w:val="clear" w:color="auto" w:fill="CDEEFF"/>
          </w:tcPr>
          <w:p>
            <w:pPr>
              <w:jc w:val="right"/>
              <w:ind w:right="752"/>
              <w:spacing w:after="0"/>
              <w:rPr>
                <w:sz w:val="20"/>
                <w:szCs w:val="20"/>
                <w:color w:val="auto"/>
              </w:rPr>
            </w:pPr>
            <w:r>
              <w:rPr>
                <w:rFonts w:ascii="Times New Roman" w:cs="Times New Roman" w:eastAsia="Times New Roman" w:hAnsi="Times New Roman"/>
                <w:sz w:val="18"/>
                <w:szCs w:val="18"/>
                <w:color w:val="auto"/>
              </w:rPr>
              <w:t>7,504,514</w:t>
            </w:r>
          </w:p>
        </w:tc>
      </w:tr>
    </w:tbl>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 Proposal to ratify Ernst &amp; Young LLP as auditors for the fiscal year ending December 31, 2026:</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0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For</w:t>
            </w:r>
          </w:p>
        </w:tc>
        <w:tc>
          <w:tcPr>
            <w:tcW w:w="410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020" w:type="dxa"/>
            <w:vAlign w:val="bottom"/>
          </w:tcPr>
          <w:p>
            <w:pPr>
              <w:jc w:val="right"/>
              <w:ind w:right="1152"/>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6"/>
        </w:trPr>
        <w:tc>
          <w:tcPr>
            <w:tcW w:w="300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19"/>
        </w:trPr>
        <w:tc>
          <w:tcPr>
            <w:tcW w:w="300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889,057,414</w:t>
            </w:r>
          </w:p>
        </w:tc>
        <w:tc>
          <w:tcPr>
            <w:tcW w:w="1100" w:type="dxa"/>
            <w:vAlign w:val="bottom"/>
            <w:shd w:val="clear" w:color="auto" w:fill="CCEEFF"/>
          </w:tcPr>
          <w:p>
            <w:pPr>
              <w:spacing w:after="0"/>
              <w:rPr>
                <w:sz w:val="19"/>
                <w:szCs w:val="19"/>
                <w:color w:val="auto"/>
              </w:rPr>
            </w:pPr>
          </w:p>
        </w:tc>
        <w:tc>
          <w:tcPr>
            <w:tcW w:w="300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rPr>
              <w:t>2,875,768</w:t>
            </w:r>
          </w:p>
        </w:tc>
        <w:tc>
          <w:tcPr>
            <w:tcW w:w="1100" w:type="dxa"/>
            <w:vAlign w:val="bottom"/>
            <w:shd w:val="clear" w:color="auto" w:fill="CCEEFF"/>
          </w:tcPr>
          <w:p>
            <w:pPr>
              <w:spacing w:after="0"/>
              <w:rPr>
                <w:sz w:val="19"/>
                <w:szCs w:val="19"/>
                <w:color w:val="auto"/>
              </w:rPr>
            </w:pPr>
          </w:p>
        </w:tc>
        <w:tc>
          <w:tcPr>
            <w:tcW w:w="3020" w:type="dxa"/>
            <w:vAlign w:val="bottom"/>
            <w:shd w:val="clear" w:color="auto" w:fill="CCEEFF"/>
          </w:tcPr>
          <w:p>
            <w:pPr>
              <w:jc w:val="right"/>
              <w:ind w:right="1172"/>
              <w:spacing w:after="0"/>
              <w:rPr>
                <w:sz w:val="20"/>
                <w:szCs w:val="20"/>
                <w:color w:val="auto"/>
              </w:rPr>
            </w:pPr>
            <w:r>
              <w:rPr>
                <w:rFonts w:ascii="Times New Roman" w:cs="Times New Roman" w:eastAsia="Times New Roman" w:hAnsi="Times New Roman"/>
                <w:sz w:val="18"/>
                <w:szCs w:val="18"/>
                <w:color w:val="auto"/>
              </w:rPr>
              <w:t>73,472</w:t>
            </w:r>
          </w:p>
        </w:tc>
      </w:tr>
    </w:tbl>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 Proposal to approve, on an advisory basis, the compensation of the Company’s named executive officers: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For</w:t>
            </w:r>
          </w:p>
        </w:tc>
        <w:tc>
          <w:tcPr>
            <w:tcW w:w="306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04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6"/>
        </w:trPr>
        <w:tc>
          <w:tcPr>
            <w:tcW w:w="2100" w:type="dxa"/>
            <w:vAlign w:val="bottom"/>
            <w:tcBorders>
              <w:bottom w:val="single" w:sz="8" w:color="auto"/>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19"/>
        </w:trPr>
        <w:tc>
          <w:tcPr>
            <w:tcW w:w="21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878,049,859</w:t>
            </w:r>
          </w:p>
        </w:tc>
        <w:tc>
          <w:tcPr>
            <w:tcW w:w="90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6,378,683</w:t>
            </w:r>
          </w:p>
        </w:tc>
        <w:tc>
          <w:tcPr>
            <w:tcW w:w="94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rPr>
              <w:t>73,598</w:t>
            </w:r>
          </w:p>
        </w:tc>
        <w:tc>
          <w:tcPr>
            <w:tcW w:w="90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7,504,514</w:t>
            </w:r>
          </w:p>
        </w:tc>
      </w:tr>
    </w:tbl>
    <w:p>
      <w:pPr>
        <w:spacing w:after="0" w:line="200" w:lineRule="exact"/>
        <w:rPr>
          <w:sz w:val="20"/>
          <w:szCs w:val="20"/>
          <w:color w:val="auto"/>
        </w:rPr>
      </w:pPr>
    </w:p>
    <w:p>
      <w:pPr>
        <w:spacing w:after="0" w:line="352" w:lineRule="exact"/>
        <w:rPr>
          <w:sz w:val="20"/>
          <w:szCs w:val="20"/>
          <w:color w:val="auto"/>
        </w:rPr>
      </w:pPr>
    </w:p>
    <w:p>
      <w:pPr>
        <w:ind w:left="20" w:right="260" w:firstLine="6"/>
        <w:spacing w:after="0" w:line="274" w:lineRule="auto"/>
        <w:tabs>
          <w:tab w:leader="none" w:pos="27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to approve an amendment and restatement of our articles of incorporation to waive jury trials for internal actions, together with contextual and other ministerial changes:</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For</w:t>
            </w:r>
          </w:p>
        </w:tc>
        <w:tc>
          <w:tcPr>
            <w:tcW w:w="306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04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1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6"/>
        </w:trPr>
        <w:tc>
          <w:tcPr>
            <w:tcW w:w="2100" w:type="dxa"/>
            <w:vAlign w:val="bottom"/>
            <w:tcBorders>
              <w:bottom w:val="single" w:sz="8" w:color="auto"/>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19"/>
        </w:trPr>
        <w:tc>
          <w:tcPr>
            <w:tcW w:w="21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857,730,370</w:t>
            </w:r>
          </w:p>
        </w:tc>
        <w:tc>
          <w:tcPr>
            <w:tcW w:w="90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26,626,140</w:t>
            </w:r>
          </w:p>
        </w:tc>
        <w:tc>
          <w:tcPr>
            <w:tcW w:w="94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145,630</w:t>
            </w:r>
          </w:p>
        </w:tc>
        <w:tc>
          <w:tcPr>
            <w:tcW w:w="90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7,504,514</w:t>
            </w:r>
          </w:p>
        </w:tc>
      </w:tr>
    </w:tbl>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complete text of our Amended and Restated Articles of Incorporation is filed as Exhibit 3.1 to this Current Report on Form 8-K.</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4920" w:type="dxa"/>
            <w:vAlign w:val="bottom"/>
          </w:tcPr>
          <w:p>
            <w:pPr>
              <w:spacing w:after="0"/>
              <w:rPr>
                <w:sz w:val="20"/>
                <w:szCs w:val="20"/>
                <w:color w:val="auto"/>
              </w:rPr>
            </w:pPr>
          </w:p>
        </w:tc>
      </w:tr>
      <w:tr>
        <w:trPr>
          <w:trHeight w:val="517"/>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40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39"/>
        </w:trPr>
        <w:tc>
          <w:tcPr>
            <w:tcW w:w="126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4660" w:type="dxa"/>
            <w:vAlign w:val="bottom"/>
          </w:tcPr>
          <w:p>
            <w:pPr>
              <w:spacing w:after="0"/>
              <w:rPr>
                <w:sz w:val="3"/>
                <w:szCs w:val="3"/>
                <w:color w:val="auto"/>
              </w:rPr>
            </w:pPr>
          </w:p>
        </w:tc>
        <w:tc>
          <w:tcPr>
            <w:tcW w:w="4920" w:type="dxa"/>
            <w:vAlign w:val="bottom"/>
          </w:tcPr>
          <w:p>
            <w:pPr>
              <w:spacing w:after="0"/>
              <w:rPr>
                <w:sz w:val="3"/>
                <w:szCs w:val="3"/>
                <w:color w:val="auto"/>
              </w:rPr>
            </w:pPr>
          </w:p>
        </w:tc>
      </w:tr>
      <w:tr>
        <w:trPr>
          <w:trHeight w:val="245"/>
        </w:trPr>
        <w:tc>
          <w:tcPr>
            <w:tcW w:w="12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tcPr>
          <w:p>
            <w:pPr>
              <w:spacing w:after="0"/>
              <w:rPr>
                <w:sz w:val="21"/>
                <w:szCs w:val="21"/>
                <w:color w:val="auto"/>
              </w:rPr>
            </w:pPr>
          </w:p>
        </w:tc>
        <w:tc>
          <w:tcPr>
            <w:tcW w:w="9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Amended and Restated Articles of Incorporation of the Registrant</w:t>
            </w:r>
          </w:p>
        </w:tc>
      </w:tr>
      <w:tr>
        <w:trPr>
          <w:trHeight w:val="968"/>
        </w:trPr>
        <w:tc>
          <w:tcPr>
            <w:tcW w:w="1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60" w:type="dxa"/>
            <w:vAlign w:val="bottom"/>
            <w:tcBorders>
              <w:top w:val="single" w:sz="8" w:color="0000FF"/>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7130415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00" w:top="875"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26, 2026</w:t>
      </w:r>
    </w:p>
    <w:p>
      <w:pPr>
        <w:spacing w:after="0" w:line="28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 William Yoon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11430</wp:posOffset>
            </wp:positionV>
            <wp:extent cx="2780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William Yoon</w:t>
      </w:r>
    </w:p>
    <w:p>
      <w:pPr>
        <w:spacing w:after="0" w:line="2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Chief Legal Officer</w:t>
      </w:r>
    </w:p>
    <w:p>
      <w:pPr>
        <w:sectPr>
          <w:pgSz w:w="11900" w:h="16838" w:orient="portrait"/>
          <w:cols w:equalWidth="0" w:num="1">
            <w:col w:w="11080"/>
          </w:cols>
          <w:pgMar w:left="320" w:top="875" w:right="4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24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9"/>
          <w:szCs w:val="19"/>
          <w:b w:val="1"/>
          <w:bCs w:val="1"/>
          <w:color w:val="auto"/>
        </w:rPr>
        <w:t>AMENDED AND RESTATED ARTICLES OF INCORPORATION</w:t>
      </w:r>
    </w:p>
    <w:p>
      <w:pPr>
        <w:spacing w:after="0" w:line="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9"/>
          <w:szCs w:val="19"/>
          <w:b w:val="1"/>
          <w:bCs w:val="1"/>
          <w:color w:val="auto"/>
        </w:rPr>
        <w:t>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ARTICLE I</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NAME OF CORPORATION</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name of the corporation is Dropbox, Inc. (the “</w:t>
      </w:r>
      <w:r>
        <w:rPr>
          <w:rFonts w:ascii="Times New Roman" w:cs="Times New Roman" w:eastAsia="Times New Roman" w:hAnsi="Times New Roman"/>
          <w:sz w:val="19"/>
          <w:szCs w:val="19"/>
          <w:b w:val="1"/>
          <w:bCs w:val="1"/>
          <w:i w:val="1"/>
          <w:iCs w:val="1"/>
          <w:color w:val="auto"/>
        </w:rPr>
        <w:t>Corporation</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ARTICLE II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REGISTERED AGENT AND REGISTERED OFFICE</w:t>
      </w:r>
    </w:p>
    <w:p>
      <w:pPr>
        <w:spacing w:after="0" w:line="211" w:lineRule="exact"/>
        <w:rPr>
          <w:sz w:val="20"/>
          <w:szCs w:val="20"/>
          <w:color w:val="auto"/>
        </w:rPr>
      </w:pPr>
    </w:p>
    <w:p>
      <w:pPr>
        <w:jc w:val="both"/>
        <w:ind w:firstLine="637"/>
        <w:spacing w:after="0" w:line="274" w:lineRule="auto"/>
        <w:rPr>
          <w:sz w:val="20"/>
          <w:szCs w:val="20"/>
          <w:color w:val="auto"/>
        </w:rPr>
      </w:pPr>
      <w:r>
        <w:rPr>
          <w:rFonts w:ascii="Times New Roman" w:cs="Times New Roman" w:eastAsia="Times New Roman" w:hAnsi="Times New Roman"/>
          <w:sz w:val="19"/>
          <w:szCs w:val="19"/>
          <w:color w:val="auto"/>
        </w:rPr>
        <w:t>The registered office of the Corporation shall be the street address of its registered agent in the State of Nevada. The Corporation may, from time to time, in the manner provided by law, change the registered agent and registered office within the State of Nevada. The Corporation may also maintain an office or offices for the conduct of its business, either within or without the State of Nevada.</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ARTICLE III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PURPOSE</w:t>
      </w:r>
    </w:p>
    <w:p>
      <w:pPr>
        <w:spacing w:after="0" w:line="211" w:lineRule="exact"/>
        <w:rPr>
          <w:sz w:val="20"/>
          <w:szCs w:val="20"/>
          <w:color w:val="auto"/>
        </w:rPr>
      </w:pPr>
    </w:p>
    <w:p>
      <w:pPr>
        <w:jc w:val="both"/>
        <w:ind w:firstLine="637"/>
        <w:spacing w:after="0" w:line="300" w:lineRule="auto"/>
        <w:rPr>
          <w:sz w:val="20"/>
          <w:szCs w:val="20"/>
          <w:color w:val="auto"/>
        </w:rPr>
      </w:pPr>
      <w:r>
        <w:rPr>
          <w:rFonts w:ascii="Times New Roman" w:cs="Times New Roman" w:eastAsia="Times New Roman" w:hAnsi="Times New Roman"/>
          <w:sz w:val="19"/>
          <w:szCs w:val="19"/>
          <w:color w:val="auto"/>
        </w:rPr>
        <w:t>The purpose of the Corporation is to engage in any lawful act or activity for which a corporation may be organized under the NRS (as defined below).</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ARTICLE IV</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AUTHORIZED SHARES</w:t>
      </w:r>
    </w:p>
    <w:p>
      <w:pPr>
        <w:spacing w:after="0" w:line="201"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color w:val="auto"/>
        </w:rPr>
        <w:t xml:space="preserve">This Corporation is authorized to issue two classes of stock to be designated, respectively, </w:t>
      </w:r>
      <w:r>
        <w:rPr>
          <w:rFonts w:ascii="Times New Roman" w:cs="Times New Roman" w:eastAsia="Times New Roman" w:hAnsi="Times New Roman"/>
          <w:sz w:val="19"/>
          <w:szCs w:val="19"/>
          <w:b w:val="1"/>
          <w:bCs w:val="1"/>
          <w:i w:val="1"/>
          <w:iCs w:val="1"/>
          <w:color w:val="auto"/>
        </w:rPr>
        <w:t>Common Stock</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Preferred Stock</w:t>
      </w:r>
      <w:r>
        <w:rPr>
          <w:rFonts w:ascii="Times New Roman" w:cs="Times New Roman" w:eastAsia="Times New Roman" w:hAnsi="Times New Roman"/>
          <w:sz w:val="19"/>
          <w:szCs w:val="19"/>
          <w:color w:val="auto"/>
        </w:rPr>
        <w:t>. The total number of shares of Common Stock authorized to be issued is 3,675,000,000, 2,400,000,000 shares of which are designated Class A Common Stock, par value $0.00001 per share (the “</w:t>
      </w:r>
      <w:r>
        <w:rPr>
          <w:rFonts w:ascii="Times New Roman" w:cs="Times New Roman" w:eastAsia="Times New Roman" w:hAnsi="Times New Roman"/>
          <w:sz w:val="19"/>
          <w:szCs w:val="19"/>
          <w:b w:val="1"/>
          <w:bCs w:val="1"/>
          <w:i w:val="1"/>
          <w:iCs w:val="1"/>
          <w:color w:val="auto"/>
        </w:rPr>
        <w:t>Class A Common Stock</w:t>
      </w:r>
      <w:r>
        <w:rPr>
          <w:rFonts w:ascii="Times New Roman" w:cs="Times New Roman" w:eastAsia="Times New Roman" w:hAnsi="Times New Roman"/>
          <w:sz w:val="19"/>
          <w:szCs w:val="19"/>
          <w:color w:val="auto"/>
        </w:rPr>
        <w:t>”), 475,000,000 shares of which are designated Class B Common Stock, par value $0.00001 per share (the “</w:t>
      </w:r>
      <w:r>
        <w:rPr>
          <w:rFonts w:ascii="Times New Roman" w:cs="Times New Roman" w:eastAsia="Times New Roman" w:hAnsi="Times New Roman"/>
          <w:sz w:val="19"/>
          <w:szCs w:val="19"/>
          <w:b w:val="1"/>
          <w:bCs w:val="1"/>
          <w:i w:val="1"/>
          <w:iCs w:val="1"/>
          <w:color w:val="auto"/>
        </w:rPr>
        <w:t>Class B Common Stock</w:t>
      </w:r>
      <w:r>
        <w:rPr>
          <w:rFonts w:ascii="Times New Roman" w:cs="Times New Roman" w:eastAsia="Times New Roman" w:hAnsi="Times New Roman"/>
          <w:sz w:val="19"/>
          <w:szCs w:val="19"/>
          <w:color w:val="auto"/>
        </w:rPr>
        <w:t>”) and 800,000,000 shares of which are designated Class C Common Stock, par value $0.00001 per share (the “</w:t>
      </w:r>
      <w:r>
        <w:rPr>
          <w:rFonts w:ascii="Times New Roman" w:cs="Times New Roman" w:eastAsia="Times New Roman" w:hAnsi="Times New Roman"/>
          <w:sz w:val="19"/>
          <w:szCs w:val="19"/>
          <w:b w:val="1"/>
          <w:bCs w:val="1"/>
          <w:i w:val="1"/>
          <w:iCs w:val="1"/>
          <w:color w:val="auto"/>
        </w:rPr>
        <w:t>Class C Common Stock</w:t>
      </w:r>
      <w:r>
        <w:rPr>
          <w:rFonts w:ascii="Times New Roman" w:cs="Times New Roman" w:eastAsia="Times New Roman" w:hAnsi="Times New Roman"/>
          <w:sz w:val="19"/>
          <w:szCs w:val="19"/>
          <w:color w:val="auto"/>
        </w:rPr>
        <w:t>”). The total number of shares of Preferred Stock authorized to be issued is 240,000,000 shares, par value $0.00001 per share.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ARTICLE V</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rights, powers, preferences, privileges, restrictions and other matters relating to the Common Stock are as follows:</w:t>
      </w:r>
    </w:p>
    <w:p>
      <w:pPr>
        <w:spacing w:after="0" w:line="219" w:lineRule="exact"/>
        <w:rPr>
          <w:sz w:val="20"/>
          <w:szCs w:val="20"/>
          <w:color w:val="auto"/>
        </w:rPr>
      </w:pPr>
    </w:p>
    <w:p>
      <w:pPr>
        <w:ind w:left="1280" w:hanging="637"/>
        <w:spacing w:after="0"/>
        <w:tabs>
          <w:tab w:leader="none" w:pos="128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For purposes of these Articles (as defined below), the following definitions apply;</w:t>
      </w:r>
    </w:p>
    <w:p>
      <w:pPr>
        <w:spacing w:after="0" w:line="175" w:lineRule="exact"/>
        <w:rPr>
          <w:sz w:val="20"/>
          <w:szCs w:val="20"/>
          <w:color w:val="auto"/>
        </w:rPr>
      </w:pPr>
    </w:p>
    <w:p>
      <w:pPr>
        <w:ind w:firstLine="1273"/>
        <w:spacing w:after="0" w:line="232" w:lineRule="auto"/>
        <w:rPr>
          <w:sz w:val="20"/>
          <w:szCs w:val="20"/>
          <w:color w:val="auto"/>
        </w:rPr>
      </w:pPr>
      <w:r>
        <w:rPr>
          <w:rFonts w:ascii="Times New Roman" w:cs="Times New Roman" w:eastAsia="Times New Roman" w:hAnsi="Times New Roman"/>
          <w:sz w:val="19"/>
          <w:szCs w:val="19"/>
          <w:color w:val="auto"/>
        </w:rPr>
        <w:t>1.1 “</w:t>
      </w:r>
      <w:r>
        <w:rPr>
          <w:rFonts w:ascii="Times New Roman" w:cs="Times New Roman" w:eastAsia="Times New Roman" w:hAnsi="Times New Roman"/>
          <w:sz w:val="19"/>
          <w:szCs w:val="19"/>
          <w:b w:val="1"/>
          <w:bCs w:val="1"/>
          <w:i w:val="1"/>
          <w:iCs w:val="1"/>
          <w:color w:val="auto"/>
        </w:rPr>
        <w:t>Acquisition</w:t>
      </w:r>
      <w:r>
        <w:rPr>
          <w:rFonts w:ascii="Times New Roman" w:cs="Times New Roman" w:eastAsia="Times New Roman" w:hAnsi="Times New Roman"/>
          <w:sz w:val="19"/>
          <w:szCs w:val="19"/>
          <w:color w:val="auto"/>
        </w:rPr>
        <w:t>” means (A) any consolidation or merger of the Corporation with or into any other corporation or other entity or person, or any other corporate reorganization, other than any such consolidation, merger or reorganization in which the shares of</w:t>
      </w:r>
    </w:p>
    <w:p>
      <w:pPr>
        <w:spacing w:after="0" w:line="2"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capital stock of the Corporation immediately prior to such consolidation, merger or reorganization continue to represent a majority of the voting power of the surviving entity (or, if the surviving entity is a wholly owned subsidiary, its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1 of 13</w:t>
      </w:r>
    </w:p>
    <w:p>
      <w:pPr>
        <w:sectPr>
          <w:pgSz w:w="11900" w:h="16838" w:orient="portrait"/>
          <w:cols w:equalWidth="0" w:num="1">
            <w:col w:w="11240"/>
          </w:cols>
          <w:pgMar w:left="320" w:top="139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9"/>
          <w:szCs w:val="19"/>
          <w:color w:val="auto"/>
        </w:rPr>
        <w:t xml:space="preserve">immediately after such consolidation, merger or reorganization (provided that, for the purpose of this </w:t>
      </w:r>
      <w:r>
        <w:rPr>
          <w:rFonts w:ascii="Times New Roman" w:cs="Times New Roman" w:eastAsia="Times New Roman" w:hAnsi="Times New Roman"/>
          <w:sz w:val="19"/>
          <w:szCs w:val="19"/>
          <w:u w:val="single" w:color="auto"/>
          <w:color w:val="auto"/>
        </w:rPr>
        <w:t>Section V.1.1</w:t>
      </w:r>
      <w:r>
        <w:rPr>
          <w:rFonts w:ascii="Times New Roman" w:cs="Times New Roman" w:eastAsia="Times New Roman" w:hAnsi="Times New Roman"/>
          <w:sz w:val="19"/>
          <w:szCs w:val="19"/>
          <w:color w:val="auto"/>
        </w:rPr>
        <w:t>, all stock, options, warrants,</w:t>
      </w:r>
    </w:p>
    <w:p>
      <w:pPr>
        <w:spacing w:after="0" w:line="3"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purchase rights or other securities exercisable for or convertible into Common Stock outstanding immediately prior to such merger or consolidation shall be deemed to be outstanding immediately prior to such merger or consolidation and, if applicable, converted or exchanged</w:t>
      </w:r>
    </w:p>
    <w:p>
      <w:pPr>
        <w:spacing w:after="0" w:line="219" w:lineRule="auto"/>
        <w:rPr>
          <w:sz w:val="20"/>
          <w:szCs w:val="20"/>
          <w:color w:val="auto"/>
        </w:rPr>
      </w:pPr>
      <w:r>
        <w:rPr>
          <w:rFonts w:ascii="Times New Roman" w:cs="Times New Roman" w:eastAsia="Times New Roman" w:hAnsi="Times New Roman"/>
          <w:sz w:val="19"/>
          <w:szCs w:val="19"/>
          <w:color w:val="auto"/>
        </w:rPr>
        <w:t>in such merger or consolidation on the same terms as the actual outstanding shares of capital stock are converted or exchanged); or (B) any</w:t>
      </w:r>
    </w:p>
    <w:p>
      <w:pPr>
        <w:spacing w:after="0" w:line="211" w:lineRule="auto"/>
        <w:rPr>
          <w:sz w:val="20"/>
          <w:szCs w:val="20"/>
          <w:color w:val="auto"/>
        </w:rPr>
      </w:pPr>
      <w:r>
        <w:rPr>
          <w:rFonts w:ascii="Times New Roman" w:cs="Times New Roman" w:eastAsia="Times New Roman" w:hAnsi="Times New Roman"/>
          <w:sz w:val="19"/>
          <w:szCs w:val="19"/>
          <w:color w:val="auto"/>
        </w:rPr>
        <w:t>transaction or series of related transactions to which the Corporation is a party in which shares of the Corporation are transferred such that in excess of fifty percent (50%) of the Corporation’s voting power is transferred; provided that an Acquisition shall not include any transaction or</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color w:val="auto"/>
        </w:rPr>
        <w:t>series of transactions principally for bona fide equity financing purposes in which cash is received by the Corporation or any successor or indebtedness of the Corporation is cancelled or converted or a combination thereof.</w:t>
      </w:r>
    </w:p>
    <w:p>
      <w:pPr>
        <w:spacing w:after="0" w:line="141" w:lineRule="exact"/>
        <w:rPr>
          <w:sz w:val="20"/>
          <w:szCs w:val="20"/>
          <w:color w:val="auto"/>
        </w:rPr>
      </w:pPr>
    </w:p>
    <w:p>
      <w:pPr>
        <w:ind w:firstLine="1273"/>
        <w:spacing w:after="0" w:line="261" w:lineRule="auto"/>
        <w:rPr>
          <w:sz w:val="20"/>
          <w:szCs w:val="20"/>
          <w:color w:val="auto"/>
        </w:rPr>
      </w:pPr>
      <w:r>
        <w:rPr>
          <w:rFonts w:ascii="Times New Roman" w:cs="Times New Roman" w:eastAsia="Times New Roman" w:hAnsi="Times New Roman"/>
          <w:sz w:val="19"/>
          <w:szCs w:val="19"/>
          <w:color w:val="auto"/>
        </w:rPr>
        <w:t>1.2 “</w:t>
      </w:r>
      <w:r>
        <w:rPr>
          <w:rFonts w:ascii="Times New Roman" w:cs="Times New Roman" w:eastAsia="Times New Roman" w:hAnsi="Times New Roman"/>
          <w:sz w:val="19"/>
          <w:szCs w:val="19"/>
          <w:b w:val="1"/>
          <w:bCs w:val="1"/>
          <w:i w:val="1"/>
          <w:iCs w:val="1"/>
          <w:color w:val="auto"/>
        </w:rPr>
        <w:t>Articles</w:t>
      </w:r>
      <w:r>
        <w:rPr>
          <w:rFonts w:ascii="Times New Roman" w:cs="Times New Roman" w:eastAsia="Times New Roman" w:hAnsi="Times New Roman"/>
          <w:sz w:val="19"/>
          <w:szCs w:val="19"/>
          <w:color w:val="auto"/>
        </w:rPr>
        <w:t>” means these Amended and Restated Articles of Incorporation of the Corporation, as further amended and/or restated from time to time.</w:t>
      </w:r>
    </w:p>
    <w:p>
      <w:pPr>
        <w:spacing w:after="0" w:line="124" w:lineRule="exact"/>
        <w:rPr>
          <w:sz w:val="20"/>
          <w:szCs w:val="20"/>
          <w:color w:val="auto"/>
        </w:rPr>
      </w:pPr>
    </w:p>
    <w:p>
      <w:pPr>
        <w:jc w:val="right"/>
        <w:spacing w:after="0"/>
        <w:tabs>
          <w:tab w:leader="none" w:pos="9320" w:val="left"/>
        </w:tabs>
        <w:rPr>
          <w:sz w:val="20"/>
          <w:szCs w:val="20"/>
          <w:color w:val="auto"/>
        </w:rPr>
      </w:pPr>
      <w:r>
        <w:rPr>
          <w:rFonts w:ascii="Times New Roman" w:cs="Times New Roman" w:eastAsia="Times New Roman" w:hAnsi="Times New Roman"/>
          <w:sz w:val="19"/>
          <w:szCs w:val="19"/>
          <w:color w:val="auto"/>
        </w:rPr>
        <w:t>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Asset Transfer</w:t>
      </w:r>
      <w:r>
        <w:rPr>
          <w:rFonts w:ascii="Times New Roman" w:cs="Times New Roman" w:eastAsia="Times New Roman" w:hAnsi="Times New Roman"/>
          <w:sz w:val="19"/>
          <w:szCs w:val="19"/>
          <w:color w:val="auto"/>
        </w:rPr>
        <w:t>” means a sale, lease, exclusive license or other disposition of all or substantially all of the assets of the</w:t>
      </w:r>
    </w:p>
    <w:p>
      <w:pPr>
        <w:spacing w:after="0"/>
        <w:rPr>
          <w:sz w:val="20"/>
          <w:szCs w:val="20"/>
          <w:color w:val="auto"/>
        </w:rPr>
      </w:pPr>
      <w:r>
        <w:rPr>
          <w:rFonts w:ascii="Times New Roman" w:cs="Times New Roman" w:eastAsia="Times New Roman" w:hAnsi="Times New Roman"/>
          <w:sz w:val="19"/>
          <w:szCs w:val="19"/>
          <w:color w:val="auto"/>
        </w:rPr>
        <w:t>Corporation.</w:t>
      </w:r>
    </w:p>
    <w:p>
      <w:pPr>
        <w:spacing w:after="0" w:line="167" w:lineRule="exact"/>
        <w:rPr>
          <w:sz w:val="20"/>
          <w:szCs w:val="20"/>
          <w:color w:val="auto"/>
        </w:rPr>
      </w:pPr>
    </w:p>
    <w:p>
      <w:pPr>
        <w:ind w:left="1280"/>
        <w:spacing w:after="0"/>
        <w:tabs>
          <w:tab w:leader="none" w:pos="1880" w:val="left"/>
        </w:tabs>
        <w:rPr>
          <w:sz w:val="20"/>
          <w:szCs w:val="20"/>
          <w:color w:val="auto"/>
        </w:rPr>
      </w:pPr>
      <w:r>
        <w:rPr>
          <w:rFonts w:ascii="Times New Roman" w:cs="Times New Roman" w:eastAsia="Times New Roman" w:hAnsi="Times New Roman"/>
          <w:sz w:val="19"/>
          <w:szCs w:val="19"/>
          <w:color w:val="auto"/>
        </w:rPr>
        <w:t>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means the Board of Directors of the Corporation.</w:t>
      </w:r>
    </w:p>
    <w:p>
      <w:pPr>
        <w:spacing w:after="0" w:line="193" w:lineRule="exact"/>
        <w:rPr>
          <w:sz w:val="20"/>
          <w:szCs w:val="20"/>
          <w:color w:val="auto"/>
        </w:rPr>
      </w:pPr>
    </w:p>
    <w:p>
      <w:pPr>
        <w:ind w:firstLine="1273"/>
        <w:spacing w:after="0" w:line="246" w:lineRule="auto"/>
        <w:rPr>
          <w:sz w:val="20"/>
          <w:szCs w:val="20"/>
          <w:color w:val="auto"/>
        </w:rPr>
      </w:pPr>
      <w:r>
        <w:rPr>
          <w:rFonts w:ascii="Times New Roman" w:cs="Times New Roman" w:eastAsia="Times New Roman" w:hAnsi="Times New Roman"/>
          <w:sz w:val="19"/>
          <w:szCs w:val="19"/>
          <w:color w:val="auto"/>
        </w:rPr>
        <w:t>1.5 “</w:t>
      </w:r>
      <w:r>
        <w:rPr>
          <w:rFonts w:ascii="Times New Roman" w:cs="Times New Roman" w:eastAsia="Times New Roman" w:hAnsi="Times New Roman"/>
          <w:sz w:val="19"/>
          <w:szCs w:val="19"/>
          <w:b w:val="1"/>
          <w:bCs w:val="1"/>
          <w:i w:val="1"/>
          <w:iCs w:val="1"/>
          <w:color w:val="auto"/>
        </w:rPr>
        <w:t>Controlled Company Exemption</w:t>
      </w:r>
      <w:r>
        <w:rPr>
          <w:rFonts w:ascii="Times New Roman" w:cs="Times New Roman" w:eastAsia="Times New Roman" w:hAnsi="Times New Roman"/>
          <w:sz w:val="19"/>
          <w:szCs w:val="19"/>
          <w:color w:val="auto"/>
        </w:rPr>
        <w:t>” means, if and to the extent otherwise applicable to the Corporation, the exemptions from the Listing Standards available to any company that constitutes a “controlled company” within the meaning of the Listing Standards.</w:t>
      </w:r>
    </w:p>
    <w:p>
      <w:pPr>
        <w:spacing w:after="0" w:line="149" w:lineRule="exact"/>
        <w:rPr>
          <w:sz w:val="20"/>
          <w:szCs w:val="20"/>
          <w:color w:val="auto"/>
        </w:rPr>
      </w:pPr>
    </w:p>
    <w:p>
      <w:pPr>
        <w:ind w:firstLine="1273"/>
        <w:spacing w:after="0" w:line="261" w:lineRule="auto"/>
        <w:rPr>
          <w:sz w:val="20"/>
          <w:szCs w:val="20"/>
          <w:color w:val="auto"/>
        </w:rPr>
      </w:pPr>
      <w:r>
        <w:rPr>
          <w:rFonts w:ascii="Times New Roman" w:cs="Times New Roman" w:eastAsia="Times New Roman" w:hAnsi="Times New Roman"/>
          <w:sz w:val="19"/>
          <w:szCs w:val="19"/>
          <w:color w:val="auto"/>
        </w:rPr>
        <w:t>1.6 “</w:t>
      </w:r>
      <w:r>
        <w:rPr>
          <w:rFonts w:ascii="Times New Roman" w:cs="Times New Roman" w:eastAsia="Times New Roman" w:hAnsi="Times New Roman"/>
          <w:sz w:val="19"/>
          <w:szCs w:val="19"/>
          <w:b w:val="1"/>
          <w:bCs w:val="1"/>
          <w:i w:val="1"/>
          <w:iCs w:val="1"/>
          <w:color w:val="auto"/>
        </w:rPr>
        <w:t>Conversion</w:t>
      </w:r>
      <w:r>
        <w:rPr>
          <w:rFonts w:ascii="Times New Roman" w:cs="Times New Roman" w:eastAsia="Times New Roman" w:hAnsi="Times New Roman"/>
          <w:sz w:val="19"/>
          <w:szCs w:val="19"/>
          <w:color w:val="auto"/>
        </w:rPr>
        <w:t>” means the conversion of the Delaware Corporation into the Corporation on March 5, 2025, and the continuation of the existence thereof pursuant to the NRS.</w:t>
      </w:r>
    </w:p>
    <w:p>
      <w:pPr>
        <w:spacing w:after="0" w:line="122" w:lineRule="exact"/>
        <w:rPr>
          <w:sz w:val="20"/>
          <w:szCs w:val="20"/>
          <w:color w:val="auto"/>
        </w:rPr>
      </w:pPr>
    </w:p>
    <w:p>
      <w:pPr>
        <w:ind w:left="1280"/>
        <w:spacing w:after="0"/>
        <w:tabs>
          <w:tab w:leader="none" w:pos="1880" w:val="left"/>
        </w:tabs>
        <w:rPr>
          <w:sz w:val="20"/>
          <w:szCs w:val="20"/>
          <w:color w:val="auto"/>
        </w:rPr>
      </w:pPr>
      <w:r>
        <w:rPr>
          <w:rFonts w:ascii="Times New Roman" w:cs="Times New Roman" w:eastAsia="Times New Roman" w:hAnsi="Times New Roman"/>
          <w:sz w:val="19"/>
          <w:szCs w:val="19"/>
          <w:color w:val="auto"/>
        </w:rPr>
        <w:t>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Delaware Corporation</w:t>
      </w:r>
      <w:r>
        <w:rPr>
          <w:rFonts w:ascii="Times New Roman" w:cs="Times New Roman" w:eastAsia="Times New Roman" w:hAnsi="Times New Roman"/>
          <w:sz w:val="19"/>
          <w:szCs w:val="19"/>
          <w:color w:val="auto"/>
        </w:rPr>
        <w:t>” means Dropbox, Inc., a Delaware corporation, which was converted into the Corporation.</w:t>
      </w:r>
    </w:p>
    <w:p>
      <w:pPr>
        <w:spacing w:after="0" w:line="193" w:lineRule="exact"/>
        <w:rPr>
          <w:sz w:val="20"/>
          <w:szCs w:val="20"/>
          <w:color w:val="auto"/>
        </w:rPr>
      </w:pPr>
    </w:p>
    <w:p>
      <w:pPr>
        <w:ind w:firstLine="1273"/>
        <w:spacing w:after="0" w:line="225" w:lineRule="auto"/>
        <w:rPr>
          <w:sz w:val="20"/>
          <w:szCs w:val="20"/>
          <w:color w:val="auto"/>
        </w:rPr>
      </w:pPr>
      <w:r>
        <w:rPr>
          <w:rFonts w:ascii="Times New Roman" w:cs="Times New Roman" w:eastAsia="Times New Roman" w:hAnsi="Times New Roman"/>
          <w:sz w:val="19"/>
          <w:szCs w:val="19"/>
          <w:color w:val="auto"/>
        </w:rPr>
        <w:t>1.8 “</w:t>
      </w:r>
      <w:r>
        <w:rPr>
          <w:rFonts w:ascii="Times New Roman" w:cs="Times New Roman" w:eastAsia="Times New Roman" w:hAnsi="Times New Roman"/>
          <w:sz w:val="19"/>
          <w:szCs w:val="19"/>
          <w:b w:val="1"/>
          <w:bCs w:val="1"/>
          <w:i w:val="1"/>
          <w:iCs w:val="1"/>
          <w:color w:val="auto"/>
        </w:rPr>
        <w:t>Disability</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b w:val="1"/>
          <w:bCs w:val="1"/>
          <w:i w:val="1"/>
          <w:iCs w:val="1"/>
          <w:color w:val="auto"/>
        </w:rPr>
        <w:t>Disabled</w:t>
      </w:r>
      <w:r>
        <w:rPr>
          <w:rFonts w:ascii="Times New Roman" w:cs="Times New Roman" w:eastAsia="Times New Roman" w:hAnsi="Times New Roman"/>
          <w:sz w:val="19"/>
          <w:szCs w:val="19"/>
          <w:color w:val="auto"/>
        </w:rPr>
        <w:t>” means, with respect to a Founder, the permanent and total disability of such Founder such that such Founder is unable to engage in any substantial gainful activity by reason of any medically determinable physical or mental impairment</w:t>
      </w:r>
    </w:p>
    <w:p>
      <w:pPr>
        <w:spacing w:after="0" w:line="219" w:lineRule="auto"/>
        <w:rPr>
          <w:sz w:val="20"/>
          <w:szCs w:val="20"/>
          <w:color w:val="auto"/>
        </w:rPr>
      </w:pPr>
      <w:r>
        <w:rPr>
          <w:rFonts w:ascii="Times New Roman" w:cs="Times New Roman" w:eastAsia="Times New Roman" w:hAnsi="Times New Roman"/>
          <w:sz w:val="19"/>
          <w:szCs w:val="19"/>
          <w:color w:val="auto"/>
        </w:rPr>
        <w:t>which can be expected to result in death within 12 months or which has lasted or can be expected to last for a continuous period of not less than</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12 months as determined by a licensed medical practitioner jointly selected by a majority of the Independent Directors and such Founder. If such Founder is incapable of selecting a licensed physician, then such Founder’s spouse shall make the selection on behalf of such Founder, or</w:t>
      </w:r>
    </w:p>
    <w:p>
      <w:pPr>
        <w:spacing w:after="0" w:line="219" w:lineRule="auto"/>
        <w:rPr>
          <w:sz w:val="20"/>
          <w:szCs w:val="20"/>
          <w:color w:val="auto"/>
        </w:rPr>
      </w:pPr>
      <w:r>
        <w:rPr>
          <w:rFonts w:ascii="Times New Roman" w:cs="Times New Roman" w:eastAsia="Times New Roman" w:hAnsi="Times New Roman"/>
          <w:sz w:val="19"/>
          <w:szCs w:val="19"/>
          <w:color w:val="auto"/>
        </w:rPr>
        <w:t>in the absence or incapacity of such Founder’s spouse, such Founder’s adult children by majority vote shall make the selection on behalf of such</w:t>
      </w:r>
    </w:p>
    <w:p>
      <w:pPr>
        <w:spacing w:after="0" w:line="211" w:lineRule="auto"/>
        <w:rPr>
          <w:sz w:val="20"/>
          <w:szCs w:val="20"/>
          <w:color w:val="auto"/>
        </w:rPr>
      </w:pPr>
      <w:r>
        <w:rPr>
          <w:rFonts w:ascii="Times New Roman" w:cs="Times New Roman" w:eastAsia="Times New Roman" w:hAnsi="Times New Roman"/>
          <w:sz w:val="19"/>
          <w:szCs w:val="19"/>
          <w:color w:val="auto"/>
        </w:rPr>
        <w:t>Founder, or in the absence of adult children of such Founder or their inability to act by majority vote, a natural person then acting as the successor trustee of a revocable living trust which was created by such Founder and which holds more shares of all classes of capital stock of</w:t>
      </w:r>
    </w:p>
    <w:p>
      <w:pPr>
        <w:spacing w:after="0" w:line="219" w:lineRule="auto"/>
        <w:rPr>
          <w:sz w:val="20"/>
          <w:szCs w:val="20"/>
          <w:color w:val="auto"/>
        </w:rPr>
      </w:pPr>
      <w:r>
        <w:rPr>
          <w:rFonts w:ascii="Times New Roman" w:cs="Times New Roman" w:eastAsia="Times New Roman" w:hAnsi="Times New Roman"/>
          <w:sz w:val="19"/>
          <w:szCs w:val="19"/>
          <w:color w:val="auto"/>
        </w:rPr>
        <w:t>the Corporation than any other revocable living trust created by such Founder shall make the selection on behalf of such Founder, or in absence</w:t>
      </w:r>
    </w:p>
    <w:p>
      <w:pPr>
        <w:spacing w:after="0"/>
        <w:rPr>
          <w:sz w:val="20"/>
          <w:szCs w:val="20"/>
          <w:color w:val="auto"/>
        </w:rPr>
      </w:pPr>
      <w:r>
        <w:rPr>
          <w:rFonts w:ascii="Times New Roman" w:cs="Times New Roman" w:eastAsia="Times New Roman" w:hAnsi="Times New Roman"/>
          <w:sz w:val="19"/>
          <w:szCs w:val="19"/>
          <w:color w:val="auto"/>
        </w:rPr>
        <w:t>of any such successor trustee, the legal guardian or conservator of the estate of such Founder shall make the selection on behalf of such Founder.</w:t>
      </w:r>
    </w:p>
    <w:p>
      <w:pPr>
        <w:spacing w:after="0" w:line="352" w:lineRule="exact"/>
        <w:rPr>
          <w:sz w:val="20"/>
          <w:szCs w:val="20"/>
          <w:color w:val="auto"/>
        </w:rPr>
      </w:pPr>
    </w:p>
    <w:p>
      <w:pPr>
        <w:ind w:left="1280"/>
        <w:spacing w:after="0"/>
        <w:tabs>
          <w:tab w:leader="none" w:pos="1880" w:val="left"/>
        </w:tabs>
        <w:rPr>
          <w:sz w:val="20"/>
          <w:szCs w:val="20"/>
          <w:color w:val="auto"/>
        </w:rPr>
      </w:pPr>
      <w:r>
        <w:rPr>
          <w:rFonts w:ascii="Times New Roman" w:cs="Times New Roman" w:eastAsia="Times New Roman" w:hAnsi="Times New Roman"/>
          <w:sz w:val="19"/>
          <w:szCs w:val="19"/>
          <w:color w:val="auto"/>
        </w:rPr>
        <w:t>1.9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Final Conversion Date</w:t>
      </w:r>
      <w:r>
        <w:rPr>
          <w:rFonts w:ascii="Times New Roman" w:cs="Times New Roman" w:eastAsia="Times New Roman" w:hAnsi="Times New Roman"/>
          <w:sz w:val="19"/>
          <w:szCs w:val="19"/>
          <w:color w:val="auto"/>
        </w:rPr>
        <w:t>” means:</w:t>
      </w:r>
    </w:p>
    <w:p>
      <w:pPr>
        <w:spacing w:after="0" w:line="186" w:lineRule="exact"/>
        <w:rPr>
          <w:sz w:val="20"/>
          <w:szCs w:val="20"/>
          <w:color w:val="auto"/>
        </w:rPr>
      </w:pPr>
    </w:p>
    <w:p>
      <w:pPr>
        <w:ind w:left="2540" w:hanging="624"/>
        <w:spacing w:after="0"/>
        <w:tabs>
          <w:tab w:leader="none" w:pos="25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specified by the holders of two-thirds of the then outstanding shares of Class B Common Stock, voting</w:t>
      </w:r>
    </w:p>
    <w:p>
      <w:pPr>
        <w:spacing w:after="0"/>
        <w:rPr>
          <w:sz w:val="20"/>
          <w:szCs w:val="20"/>
          <w:color w:val="auto"/>
        </w:rPr>
      </w:pPr>
      <w:r>
        <w:rPr>
          <w:rFonts w:ascii="Times New Roman" w:cs="Times New Roman" w:eastAsia="Times New Roman" w:hAnsi="Times New Roman"/>
          <w:sz w:val="19"/>
          <w:szCs w:val="19"/>
          <w:color w:val="auto"/>
        </w:rPr>
        <w:t>as a separate class;</w:t>
      </w:r>
    </w:p>
    <w:p>
      <w:pPr>
        <w:spacing w:after="0" w:line="171" w:lineRule="exact"/>
        <w:rPr>
          <w:sz w:val="20"/>
          <w:szCs w:val="20"/>
          <w:color w:val="auto"/>
        </w:rPr>
      </w:pPr>
    </w:p>
    <w:p>
      <w:pPr>
        <w:ind w:firstLine="1916"/>
        <w:spacing w:after="0" w:line="256" w:lineRule="auto"/>
        <w:tabs>
          <w:tab w:leader="none" w:pos="2535"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first date on which the number of outstanding shares of Class B Common Stock represents less than five percent (5%) of the aggregate number of outstanding shares of Class A Common Stock and Class B Common Stock; or</w:t>
      </w:r>
    </w:p>
    <w:p>
      <w:pPr>
        <w:spacing w:after="0" w:line="130" w:lineRule="exact"/>
        <w:rPr>
          <w:rFonts w:ascii="Times New Roman" w:cs="Times New Roman" w:eastAsia="Times New Roman" w:hAnsi="Times New Roman"/>
          <w:sz w:val="19"/>
          <w:szCs w:val="19"/>
          <w:color w:val="auto"/>
        </w:rPr>
      </w:pPr>
    </w:p>
    <w:p>
      <w:pPr>
        <w:jc w:val="both"/>
        <w:ind w:firstLine="1916"/>
        <w:spacing w:after="0" w:line="238" w:lineRule="auto"/>
        <w:tabs>
          <w:tab w:leader="none" w:pos="2537"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that is nine months after the death or Disability of the last to die or become Disabled of the Founders, provided, that such date may be extended but not for a total period of longer than eighteen (18) months from the last applicable death or Disability to a date approved by a majority of the Independent Directors then in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2 of 13</w:t>
      </w:r>
    </w:p>
    <w:p>
      <w:pPr>
        <w:sectPr>
          <w:pgSz w:w="11900" w:h="16838" w:orient="portrait"/>
          <w:cols w:equalWidth="0" w:num="1">
            <w:col w:w="11240"/>
          </w:cols>
          <w:pgMar w:left="320" w:top="1377" w:right="339" w:bottom="1440" w:gutter="0" w:footer="0" w:header="0"/>
        </w:sectPr>
      </w:pPr>
    </w:p>
    <w:bookmarkStart w:id="5" w:name="page6"/>
    <w:bookmarkEnd w:id="5"/>
    <w:p>
      <w:pPr>
        <w:ind w:left="1280"/>
        <w:spacing w:after="0"/>
        <w:tabs>
          <w:tab w:leader="none" w:pos="1900" w:val="left"/>
        </w:tabs>
        <w:rPr>
          <w:sz w:val="20"/>
          <w:szCs w:val="20"/>
          <w:color w:val="auto"/>
        </w:rPr>
      </w:pPr>
      <w:r>
        <w:rPr>
          <w:rFonts w:ascii="Times New Roman" w:cs="Times New Roman" w:eastAsia="Times New Roman" w:hAnsi="Times New Roman"/>
          <w:sz w:val="19"/>
          <w:szCs w:val="19"/>
          <w:color w:val="auto"/>
        </w:rPr>
        <w:t>1.10</w:t>
        <w:tab/>
        <w:t>“</w:t>
      </w:r>
      <w:r>
        <w:rPr>
          <w:rFonts w:ascii="Times New Roman" w:cs="Times New Roman" w:eastAsia="Times New Roman" w:hAnsi="Times New Roman"/>
          <w:sz w:val="19"/>
          <w:szCs w:val="19"/>
          <w:b w:val="1"/>
          <w:bCs w:val="1"/>
          <w:i w:val="1"/>
          <w:iCs w:val="1"/>
          <w:color w:val="auto"/>
        </w:rPr>
        <w:t>Founder</w:t>
      </w:r>
      <w:r>
        <w:rPr>
          <w:rFonts w:ascii="Times New Roman" w:cs="Times New Roman" w:eastAsia="Times New Roman" w:hAnsi="Times New Roman"/>
          <w:sz w:val="19"/>
          <w:szCs w:val="19"/>
          <w:color w:val="auto"/>
        </w:rPr>
        <w:t>” means either Andrew Houston or Arash Ferdowsi.</w:t>
      </w:r>
    </w:p>
    <w:p>
      <w:pPr>
        <w:spacing w:after="0" w:line="193" w:lineRule="exact"/>
        <w:rPr>
          <w:sz w:val="20"/>
          <w:szCs w:val="20"/>
          <w:color w:val="auto"/>
        </w:rPr>
      </w:pPr>
    </w:p>
    <w:p>
      <w:pPr>
        <w:jc w:val="both"/>
        <w:ind w:firstLine="1273"/>
        <w:spacing w:after="0" w:line="246" w:lineRule="auto"/>
        <w:rPr>
          <w:sz w:val="20"/>
          <w:szCs w:val="20"/>
          <w:color w:val="auto"/>
        </w:rPr>
      </w:pPr>
      <w:r>
        <w:rPr>
          <w:rFonts w:ascii="Times New Roman" w:cs="Times New Roman" w:eastAsia="Times New Roman" w:hAnsi="Times New Roman"/>
          <w:sz w:val="19"/>
          <w:szCs w:val="19"/>
          <w:color w:val="auto"/>
        </w:rPr>
        <w:t>1.11 “</w:t>
      </w:r>
      <w:r>
        <w:rPr>
          <w:rFonts w:ascii="Times New Roman" w:cs="Times New Roman" w:eastAsia="Times New Roman" w:hAnsi="Times New Roman"/>
          <w:sz w:val="19"/>
          <w:szCs w:val="19"/>
          <w:b w:val="1"/>
          <w:bCs w:val="1"/>
          <w:i w:val="1"/>
          <w:iCs w:val="1"/>
          <w:color w:val="auto"/>
        </w:rPr>
        <w:t>Independent Directors</w:t>
      </w:r>
      <w:r>
        <w:rPr>
          <w:rFonts w:ascii="Times New Roman" w:cs="Times New Roman" w:eastAsia="Times New Roman" w:hAnsi="Times New Roman"/>
          <w:sz w:val="19"/>
          <w:szCs w:val="19"/>
          <w:color w:val="auto"/>
        </w:rPr>
        <w:t>” means the members of the Board designated as independent directors in accordance with the Listing Standards.</w:t>
      </w:r>
    </w:p>
    <w:p>
      <w:pPr>
        <w:spacing w:after="0" w:line="149"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9"/>
          <w:szCs w:val="19"/>
          <w:color w:val="auto"/>
        </w:rPr>
        <w:t>1.12</w:t>
        <w:tab/>
        <w:t>“</w:t>
      </w:r>
      <w:r>
        <w:rPr>
          <w:rFonts w:ascii="Times New Roman" w:cs="Times New Roman" w:eastAsia="Times New Roman" w:hAnsi="Times New Roman"/>
          <w:sz w:val="19"/>
          <w:szCs w:val="19"/>
          <w:b w:val="1"/>
          <w:bCs w:val="1"/>
          <w:i w:val="1"/>
          <w:iCs w:val="1"/>
          <w:color w:val="auto"/>
        </w:rPr>
        <w:t>IPO Date</w:t>
      </w:r>
      <w:r>
        <w:rPr>
          <w:rFonts w:ascii="Times New Roman" w:cs="Times New Roman" w:eastAsia="Times New Roman" w:hAnsi="Times New Roman"/>
          <w:sz w:val="19"/>
          <w:szCs w:val="19"/>
          <w:color w:val="auto"/>
        </w:rPr>
        <w:t>” means March 23, 2018.</w:t>
      </w:r>
    </w:p>
    <w:p>
      <w:pPr>
        <w:spacing w:after="0" w:line="193" w:lineRule="exact"/>
        <w:rPr>
          <w:sz w:val="20"/>
          <w:szCs w:val="20"/>
          <w:color w:val="auto"/>
        </w:rPr>
      </w:pPr>
    </w:p>
    <w:p>
      <w:pPr>
        <w:jc w:val="both"/>
        <w:ind w:firstLine="1273"/>
        <w:spacing w:after="0" w:line="246" w:lineRule="auto"/>
        <w:rPr>
          <w:sz w:val="20"/>
          <w:szCs w:val="20"/>
          <w:color w:val="auto"/>
        </w:rPr>
      </w:pPr>
      <w:r>
        <w:rPr>
          <w:rFonts w:ascii="Times New Roman" w:cs="Times New Roman" w:eastAsia="Times New Roman" w:hAnsi="Times New Roman"/>
          <w:sz w:val="19"/>
          <w:szCs w:val="19"/>
          <w:color w:val="auto"/>
        </w:rPr>
        <w:t>1.13 “</w:t>
      </w:r>
      <w:r>
        <w:rPr>
          <w:rFonts w:ascii="Times New Roman" w:cs="Times New Roman" w:eastAsia="Times New Roman" w:hAnsi="Times New Roman"/>
          <w:sz w:val="19"/>
          <w:szCs w:val="19"/>
          <w:b w:val="1"/>
          <w:bCs w:val="1"/>
          <w:i w:val="1"/>
          <w:iCs w:val="1"/>
          <w:color w:val="auto"/>
        </w:rPr>
        <w:t>Liquidation Event</w:t>
      </w:r>
      <w:r>
        <w:rPr>
          <w:rFonts w:ascii="Times New Roman" w:cs="Times New Roman" w:eastAsia="Times New Roman" w:hAnsi="Times New Roman"/>
          <w:sz w:val="19"/>
          <w:szCs w:val="19"/>
          <w:color w:val="auto"/>
        </w:rPr>
        <w:t>” means any liquidation, dissolution, or winding up of the Corporation, whether voluntary or involuntary, or any Acquisition or Asset Transfer.</w:t>
      </w:r>
    </w:p>
    <w:p>
      <w:pPr>
        <w:spacing w:after="0" w:line="149"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9"/>
          <w:szCs w:val="19"/>
          <w:color w:val="auto"/>
        </w:rPr>
        <w:t>1.14</w:t>
        <w:tab/>
        <w:t>“</w:t>
      </w:r>
      <w:r>
        <w:rPr>
          <w:rFonts w:ascii="Times New Roman" w:cs="Times New Roman" w:eastAsia="Times New Roman" w:hAnsi="Times New Roman"/>
          <w:sz w:val="19"/>
          <w:szCs w:val="19"/>
          <w:b w:val="1"/>
          <w:bCs w:val="1"/>
          <w:i w:val="1"/>
          <w:iCs w:val="1"/>
          <w:color w:val="auto"/>
        </w:rPr>
        <w:t>Listing Standards</w:t>
      </w:r>
      <w:r>
        <w:rPr>
          <w:rFonts w:ascii="Times New Roman" w:cs="Times New Roman" w:eastAsia="Times New Roman" w:hAnsi="Times New Roman"/>
          <w:sz w:val="19"/>
          <w:szCs w:val="19"/>
          <w:color w:val="auto"/>
        </w:rPr>
        <w:t>” means (i) the requirements of any national stock exchange under which the Corporation’s equity</w:t>
      </w:r>
    </w:p>
    <w:p>
      <w:pPr>
        <w:spacing w:after="0" w:line="7"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securities are listed for trading that are generally applicable to companies with common equity securities listed thereon or (ii) if the Corporation’s equity securities are not listed for trading on a national stock exchange, the requirements of the New York Stock Exchange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generally applicable to companies with equity securities listed thereon.</w:t>
      </w:r>
    </w:p>
    <w:p>
      <w:pPr>
        <w:spacing w:after="0" w:line="156"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9"/>
          <w:szCs w:val="19"/>
          <w:color w:val="auto"/>
        </w:rPr>
        <w:t>1.15</w:t>
        <w:tab/>
        <w:t>“</w:t>
      </w:r>
      <w:r>
        <w:rPr>
          <w:rFonts w:ascii="Times New Roman" w:cs="Times New Roman" w:eastAsia="Times New Roman" w:hAnsi="Times New Roman"/>
          <w:sz w:val="19"/>
          <w:szCs w:val="19"/>
          <w:b w:val="1"/>
          <w:bCs w:val="1"/>
          <w:i w:val="1"/>
          <w:iCs w:val="1"/>
          <w:color w:val="auto"/>
        </w:rPr>
        <w:t>NRS</w:t>
      </w:r>
      <w:r>
        <w:rPr>
          <w:rFonts w:ascii="Times New Roman" w:cs="Times New Roman" w:eastAsia="Times New Roman" w:hAnsi="Times New Roman"/>
          <w:sz w:val="19"/>
          <w:szCs w:val="19"/>
          <w:color w:val="auto"/>
        </w:rPr>
        <w:t>” means Chapters 78 and 92A of the Nevada Revised Statutes, as amended from time to time, and any successor</w:t>
      </w:r>
    </w:p>
    <w:p>
      <w:pPr>
        <w:spacing w:after="0"/>
        <w:rPr>
          <w:sz w:val="20"/>
          <w:szCs w:val="20"/>
          <w:color w:val="auto"/>
        </w:rPr>
      </w:pPr>
      <w:r>
        <w:rPr>
          <w:rFonts w:ascii="Times New Roman" w:cs="Times New Roman" w:eastAsia="Times New Roman" w:hAnsi="Times New Roman"/>
          <w:sz w:val="19"/>
          <w:szCs w:val="19"/>
          <w:color w:val="auto"/>
        </w:rPr>
        <w:t>statutes.</w:t>
      </w:r>
    </w:p>
    <w:p>
      <w:pPr>
        <w:spacing w:after="0" w:line="167" w:lineRule="exact"/>
        <w:rPr>
          <w:sz w:val="20"/>
          <w:szCs w:val="20"/>
          <w:color w:val="auto"/>
        </w:rPr>
      </w:pPr>
    </w:p>
    <w:p>
      <w:pPr>
        <w:jc w:val="both"/>
        <w:ind w:firstLine="1273"/>
        <w:spacing w:after="0" w:line="261" w:lineRule="auto"/>
        <w:rPr>
          <w:sz w:val="20"/>
          <w:szCs w:val="20"/>
          <w:color w:val="auto"/>
        </w:rPr>
      </w:pPr>
      <w:r>
        <w:rPr>
          <w:rFonts w:ascii="Times New Roman" w:cs="Times New Roman" w:eastAsia="Times New Roman" w:hAnsi="Times New Roman"/>
          <w:sz w:val="19"/>
          <w:szCs w:val="19"/>
          <w:color w:val="auto"/>
        </w:rPr>
        <w:t>1.16 “</w:t>
      </w:r>
      <w:r>
        <w:rPr>
          <w:rFonts w:ascii="Times New Roman" w:cs="Times New Roman" w:eastAsia="Times New Roman" w:hAnsi="Times New Roman"/>
          <w:sz w:val="19"/>
          <w:szCs w:val="19"/>
          <w:b w:val="1"/>
          <w:bCs w:val="1"/>
          <w:i w:val="1"/>
          <w:iCs w:val="1"/>
          <w:color w:val="auto"/>
        </w:rPr>
        <w:t>Parent</w:t>
      </w:r>
      <w:r>
        <w:rPr>
          <w:rFonts w:ascii="Times New Roman" w:cs="Times New Roman" w:eastAsia="Times New Roman" w:hAnsi="Times New Roman"/>
          <w:sz w:val="19"/>
          <w:szCs w:val="19"/>
          <w:color w:val="auto"/>
        </w:rPr>
        <w:t>” of an entity means any entity that directly or indirectly owns or controls a majority of the voting power of the voting securities of such entity.</w:t>
      </w:r>
    </w:p>
    <w:p>
      <w:pPr>
        <w:spacing w:after="0" w:line="122" w:lineRule="exact"/>
        <w:rPr>
          <w:sz w:val="20"/>
          <w:szCs w:val="20"/>
          <w:color w:val="auto"/>
        </w:rPr>
      </w:pPr>
    </w:p>
    <w:p>
      <w:pPr>
        <w:jc w:val="both"/>
        <w:ind w:firstLine="1273"/>
        <w:spacing w:after="0" w:line="239" w:lineRule="auto"/>
        <w:rPr>
          <w:sz w:val="20"/>
          <w:szCs w:val="20"/>
          <w:color w:val="auto"/>
        </w:rPr>
      </w:pPr>
      <w:r>
        <w:rPr>
          <w:rFonts w:ascii="Times New Roman" w:cs="Times New Roman" w:eastAsia="Times New Roman" w:hAnsi="Times New Roman"/>
          <w:sz w:val="19"/>
          <w:szCs w:val="19"/>
          <w:color w:val="auto"/>
        </w:rPr>
        <w:t>1.17 “</w:t>
      </w:r>
      <w:r>
        <w:rPr>
          <w:rFonts w:ascii="Times New Roman" w:cs="Times New Roman" w:eastAsia="Times New Roman" w:hAnsi="Times New Roman"/>
          <w:sz w:val="19"/>
          <w:szCs w:val="19"/>
          <w:b w:val="1"/>
          <w:bCs w:val="1"/>
          <w:i w:val="1"/>
          <w:iCs w:val="1"/>
          <w:color w:val="auto"/>
        </w:rPr>
        <w:t>Permitted Entity</w:t>
      </w:r>
      <w:r>
        <w:rPr>
          <w:rFonts w:ascii="Times New Roman" w:cs="Times New Roman" w:eastAsia="Times New Roman" w:hAnsi="Times New Roman"/>
          <w:sz w:val="19"/>
          <w:szCs w:val="19"/>
          <w:color w:val="auto"/>
        </w:rPr>
        <w:t xml:space="preserve">” means, with respect to any Qualified Stockholder, any trust, account, plan, corporation, partnership, or limited liability company specified in </w:t>
      </w:r>
      <w:r>
        <w:rPr>
          <w:rFonts w:ascii="Times New Roman" w:cs="Times New Roman" w:eastAsia="Times New Roman" w:hAnsi="Times New Roman"/>
          <w:sz w:val="19"/>
          <w:szCs w:val="19"/>
          <w:u w:val="single" w:color="auto"/>
          <w:color w:val="auto"/>
        </w:rPr>
        <w:t>Section V.1.15(b)</w:t>
      </w:r>
      <w:r>
        <w:rPr>
          <w:rFonts w:ascii="Times New Roman" w:cs="Times New Roman" w:eastAsia="Times New Roman" w:hAnsi="Times New Roman"/>
          <w:sz w:val="19"/>
          <w:szCs w:val="19"/>
          <w:color w:val="auto"/>
        </w:rPr>
        <w:t xml:space="preserve"> with respect to such Qualified Stockholder, so long as such Permitted Entity meets the requirements of the exception set forth in </w:t>
      </w:r>
      <w:r>
        <w:rPr>
          <w:rFonts w:ascii="Times New Roman" w:cs="Times New Roman" w:eastAsia="Times New Roman" w:hAnsi="Times New Roman"/>
          <w:sz w:val="19"/>
          <w:szCs w:val="19"/>
          <w:u w:val="single" w:color="auto"/>
          <w:color w:val="auto"/>
        </w:rPr>
        <w:t>Section V.1.15</w:t>
      </w:r>
      <w:r>
        <w:rPr>
          <w:rFonts w:ascii="Times New Roman" w:cs="Times New Roman" w:eastAsia="Times New Roman" w:hAnsi="Times New Roman"/>
          <w:sz w:val="19"/>
          <w:szCs w:val="19"/>
          <w:color w:val="auto"/>
        </w:rPr>
        <w:t xml:space="preserve"> applicable to such Permitted Entity.</w:t>
      </w:r>
    </w:p>
    <w:p>
      <w:pPr>
        <w:spacing w:after="0" w:line="143"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9"/>
          <w:szCs w:val="19"/>
          <w:color w:val="auto"/>
        </w:rPr>
        <w:t>1.18</w:t>
        <w:tab/>
        <w:t>“</w:t>
      </w:r>
      <w:r>
        <w:rPr>
          <w:rFonts w:ascii="Times New Roman" w:cs="Times New Roman" w:eastAsia="Times New Roman" w:hAnsi="Times New Roman"/>
          <w:sz w:val="19"/>
          <w:szCs w:val="19"/>
          <w:b w:val="1"/>
          <w:bCs w:val="1"/>
          <w:i w:val="1"/>
          <w:iCs w:val="1"/>
          <w:color w:val="auto"/>
        </w:rPr>
        <w:t>Permitted Transfer</w:t>
      </w:r>
      <w:r>
        <w:rPr>
          <w:rFonts w:ascii="Times New Roman" w:cs="Times New Roman" w:eastAsia="Times New Roman" w:hAnsi="Times New Roman"/>
          <w:sz w:val="19"/>
          <w:szCs w:val="19"/>
          <w:color w:val="auto"/>
        </w:rPr>
        <w:t>” means:</w:t>
      </w:r>
    </w:p>
    <w:p>
      <w:pPr>
        <w:spacing w:after="0" w:line="197" w:lineRule="exact"/>
        <w:rPr>
          <w:sz w:val="20"/>
          <w:szCs w:val="20"/>
          <w:color w:val="auto"/>
        </w:rPr>
      </w:pPr>
    </w:p>
    <w:p>
      <w:pPr>
        <w:jc w:val="both"/>
        <w:ind w:firstLine="1916"/>
        <w:spacing w:after="0" w:line="233" w:lineRule="auto"/>
        <w:tabs>
          <w:tab w:leader="none" w:pos="2537"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Founder, a Transfer from such Founder, from such Founder’s Permitted Entities or from such Founder’s Permitted Transferees, to such Founder’s estate as a result of such Founder’s death, to either Founder, to either Founder’s Permitted Entities or to either Founder’s Permitted Transferees; and</w:t>
      </w:r>
    </w:p>
    <w:p>
      <w:pPr>
        <w:spacing w:after="0" w:line="159" w:lineRule="exact"/>
        <w:rPr>
          <w:rFonts w:ascii="Times New Roman" w:cs="Times New Roman" w:eastAsia="Times New Roman" w:hAnsi="Times New Roman"/>
          <w:sz w:val="19"/>
          <w:szCs w:val="19"/>
          <w:color w:val="auto"/>
        </w:rPr>
      </w:pPr>
    </w:p>
    <w:p>
      <w:pPr>
        <w:jc w:val="both"/>
        <w:ind w:firstLine="1916"/>
        <w:spacing w:after="0" w:line="233" w:lineRule="auto"/>
        <w:tabs>
          <w:tab w:leader="none" w:pos="2535"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Transfer of a share of Class B Common Stock by a Qualified Stockholder to any of the Permitted Entities listed below and from any of the Permitted Entities listed below to such Qualified Stockholder or to such Qualified Stockholder’s other Permitted Entities:</w:t>
      </w:r>
    </w:p>
    <w:p>
      <w:pPr>
        <w:spacing w:after="0" w:line="159" w:lineRule="exact"/>
        <w:rPr>
          <w:rFonts w:ascii="Times New Roman" w:cs="Times New Roman" w:eastAsia="Times New Roman" w:hAnsi="Times New Roman"/>
          <w:sz w:val="19"/>
          <w:szCs w:val="19"/>
          <w:color w:val="auto"/>
        </w:rPr>
      </w:pPr>
    </w:p>
    <w:p>
      <w:pPr>
        <w:jc w:val="both"/>
        <w:ind w:firstLine="2553"/>
        <w:spacing w:after="0" w:line="224" w:lineRule="auto"/>
        <w:tabs>
          <w:tab w:leader="none" w:pos="3181" w:val="left"/>
        </w:tabs>
        <w:numPr>
          <w:ilvl w:val="1"/>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trust for the benefit of such Qualified Stockholder or persons other than the Qualified Stockholder so long as a Qualified Stockholder has sole dispositive power and exclusive Voting Control with respect to the shares of Class B Common Stock held by such trust; provided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161" w:lineRule="exact"/>
        <w:rPr>
          <w:rFonts w:ascii="Times New Roman" w:cs="Times New Roman" w:eastAsia="Times New Roman" w:hAnsi="Times New Roman"/>
          <w:sz w:val="19"/>
          <w:szCs w:val="19"/>
          <w:color w:val="auto"/>
        </w:rPr>
      </w:pPr>
    </w:p>
    <w:p>
      <w:pPr>
        <w:jc w:val="both"/>
        <w:ind w:firstLine="2553"/>
        <w:spacing w:after="0" w:line="223" w:lineRule="auto"/>
        <w:tabs>
          <w:tab w:leader="none" w:pos="3182" w:val="left"/>
        </w:tabs>
        <w:numPr>
          <w:ilvl w:val="1"/>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trust under the terms of which a Qualified Stockholder has retained a “qualified interest” within the meaning of §2702(b)(1) of the Internal Revenue Code or a reversionary interest so long as a Qualified Stockholder has sole dispositive power and exclusive Voting Control with respect to the shares of Class B Common Stock held by such trust; provided, however, that in the event a Qualified Stockholder no longer has sole dispositive power and exclusive Voting Control with respect to the shares of Class B Common Stock held by such trust, each such share of Class B Common Stock then held by such trust shall automatically convert into one (1) fully paid and nonassessable share of Class A Common Stock;</w:t>
      </w:r>
    </w:p>
    <w:p>
      <w:pPr>
        <w:spacing w:after="0" w:line="161" w:lineRule="exact"/>
        <w:rPr>
          <w:rFonts w:ascii="Times New Roman" w:cs="Times New Roman" w:eastAsia="Times New Roman" w:hAnsi="Times New Roman"/>
          <w:sz w:val="19"/>
          <w:szCs w:val="19"/>
          <w:color w:val="auto"/>
        </w:rPr>
      </w:pPr>
    </w:p>
    <w:p>
      <w:pPr>
        <w:ind w:firstLine="2553"/>
        <w:spacing w:after="0" w:line="256" w:lineRule="auto"/>
        <w:tabs>
          <w:tab w:leader="none" w:pos="3183" w:val="left"/>
        </w:tabs>
        <w:numPr>
          <w:ilvl w:val="1"/>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Individual Retirement Account, as defined in Section 408(a) of the Internal Revenue Code, or a pension, profit sharing, stock bonus or other type of plan or trust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3 of 13</w:t>
      </w:r>
    </w:p>
    <w:p>
      <w:pPr>
        <w:sectPr>
          <w:pgSz w:w="11900" w:h="16838" w:orient="portrait"/>
          <w:cols w:equalWidth="0" w:num="1">
            <w:col w:w="11240"/>
          </w:cols>
          <w:pgMar w:left="320" w:top="137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9"/>
          <w:szCs w:val="19"/>
          <w:color w:val="auto"/>
        </w:rPr>
        <w:t>which such Qualified Stockholder is a participant or beneficiary and which satisfies the requirements for qualification under Section 401 of the</w:t>
      </w:r>
    </w:p>
    <w:p>
      <w:pPr>
        <w:spacing w:after="0" w:line="3"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Internal Revenue Code; provided that in each case such Qualified Stockholder has sole dispositive power and exclusive Voting Control with respect to the shares of Class B Common Stock held in such account, plan or trust, and provided, further, that in the event the Qualified</w:t>
      </w:r>
    </w:p>
    <w:p>
      <w:pPr>
        <w:spacing w:after="0" w:line="219" w:lineRule="auto"/>
        <w:rPr>
          <w:sz w:val="20"/>
          <w:szCs w:val="20"/>
          <w:color w:val="auto"/>
        </w:rPr>
      </w:pPr>
      <w:r>
        <w:rPr>
          <w:rFonts w:ascii="Times New Roman" w:cs="Times New Roman" w:eastAsia="Times New Roman" w:hAnsi="Times New Roman"/>
          <w:sz w:val="19"/>
          <w:szCs w:val="19"/>
          <w:color w:val="auto"/>
        </w:rPr>
        <w:t>Stockholder no longer has sole dispositive power and exclusive Voting Control with respect to the shares of Class B Common Stock held by</w:t>
      </w:r>
    </w:p>
    <w:p>
      <w:pPr>
        <w:spacing w:after="0" w:line="229" w:lineRule="auto"/>
        <w:rPr>
          <w:sz w:val="20"/>
          <w:szCs w:val="20"/>
          <w:color w:val="auto"/>
        </w:rPr>
      </w:pPr>
      <w:r>
        <w:rPr>
          <w:rFonts w:ascii="Times New Roman" w:cs="Times New Roman" w:eastAsia="Times New Roman" w:hAnsi="Times New Roman"/>
          <w:sz w:val="19"/>
          <w:szCs w:val="19"/>
          <w:color w:val="auto"/>
        </w:rPr>
        <w:t>such account, plan or trust, each such share of Class B Common Stock convert into one (1) fully paid and nonassessable share of Class A Common Stock;</w:t>
      </w:r>
    </w:p>
    <w:p>
      <w:pPr>
        <w:spacing w:after="0" w:line="158" w:lineRule="exact"/>
        <w:rPr>
          <w:sz w:val="20"/>
          <w:szCs w:val="20"/>
          <w:color w:val="auto"/>
        </w:rPr>
      </w:pPr>
    </w:p>
    <w:p>
      <w:pPr>
        <w:jc w:val="both"/>
        <w:ind w:firstLine="2553"/>
        <w:spacing w:after="0" w:line="222" w:lineRule="auto"/>
        <w:tabs>
          <w:tab w:leader="none" w:pos="3172"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corporation in which such Qualified Stockholder directly, or indirectly through one or more Permitted Entities, owns shares with sufficient Voting Control in the corporation, or otherwise has legally enforceable rights, such that the Qualified Stockholder retains sole dispositive power and exclusive Voting Control with respect to the shares of Class B Common Stock held by such corporation; provided that in the event the Qualified Stockholder no longer owns sufficient shares or no longer has sufficient legally enforceable rights to ensure the Qualified Stockholder retains sole dispositive power and exclusive Voting Control with respect to the shares of Class B Common Stock held by such corporation, each such share of Class B Common Stock then held by such corporation shall automatically convert into one (1) fully paid and nonassessable share of Class A Common Stock;</w:t>
      </w:r>
    </w:p>
    <w:p>
      <w:pPr>
        <w:spacing w:after="0" w:line="163" w:lineRule="exact"/>
        <w:rPr>
          <w:rFonts w:ascii="Times New Roman" w:cs="Times New Roman" w:eastAsia="Times New Roman" w:hAnsi="Times New Roman"/>
          <w:sz w:val="19"/>
          <w:szCs w:val="19"/>
          <w:color w:val="auto"/>
        </w:rPr>
      </w:pPr>
    </w:p>
    <w:p>
      <w:pPr>
        <w:jc w:val="both"/>
        <w:ind w:firstLine="2553"/>
        <w:spacing w:after="0" w:line="220" w:lineRule="auto"/>
        <w:tabs>
          <w:tab w:leader="none" w:pos="3171"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partnership in which such Qualified Stockholder directly, or indirectly through one or more Permitted Entities, owns partnership interests with sufficient Voting Control in the partnership, or otherwise has legally enforceable rights, such that the Qualified Stockholder retains sole dispositive power and exclusive Voting Control with respect to the shares of Class B Common Stock held by such partnership; provided that in the event the Qualified Stockholder no longer owns sufficient partnership interests or no longer has sufficient legally enforceable rights to ensure the Qualified Stockholder retains sole dispositive power and exclusive Voting Control with respect to the shares of Class B Common Stock held by such partnership, each such share Class B Common Stock then held by such partnership shall automatically convert into one (1) fully paid and nonassessable share of Class A Common Stock; or</w:t>
      </w:r>
    </w:p>
    <w:p>
      <w:pPr>
        <w:spacing w:after="0" w:line="163" w:lineRule="exact"/>
        <w:rPr>
          <w:rFonts w:ascii="Times New Roman" w:cs="Times New Roman" w:eastAsia="Times New Roman" w:hAnsi="Times New Roman"/>
          <w:sz w:val="19"/>
          <w:szCs w:val="19"/>
          <w:color w:val="auto"/>
        </w:rPr>
      </w:pPr>
    </w:p>
    <w:p>
      <w:pPr>
        <w:jc w:val="both"/>
        <w:ind w:firstLine="2553"/>
        <w:spacing w:after="0" w:line="222" w:lineRule="auto"/>
        <w:tabs>
          <w:tab w:leader="none" w:pos="3172"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limited liability company in which such Qualified Stockholder directly, or indirectly through one or more Permitted Entities, owns membership interests with sufficient Voting Control in the limited liability company, or otherwise has legally enforceable rights, such that the Qualified Stockholder retains sole dispositive power and exclusive Voting Control with respect to the shares of Class B Common Stock held by such limited liability company; provided that in the event the Qualified Stockholder no longer owns sufficient membership interests or no longer has sufficient legally enforceable rights to ensure the Qualified Stockholder to retain sole dispositive power and exclusive Voting Control with respect to the shares of Class B Common Stock held by such limited liability company, each such share of Class B Common Stock then held by such limited liability company shall automatically convert into one (1) fully paid and nonassessable share of Class A Common Stock.</w:t>
      </w:r>
    </w:p>
    <w:p>
      <w:pPr>
        <w:spacing w:after="0" w:line="16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For the avoidance of doubt, to the extent any shares are deemed to be held by a trustee of a trust described in (i) or (ii) above, the Transfer shall be a Permitted Transfer and the trustee shall be deemed a Permitted Entity so long as the other requirements of (i) or (ii) above are otherwise satisfied.</w:t>
      </w:r>
    </w:p>
    <w:p>
      <w:pPr>
        <w:spacing w:after="0" w:line="361" w:lineRule="exact"/>
        <w:rPr>
          <w:sz w:val="20"/>
          <w:szCs w:val="20"/>
          <w:color w:val="auto"/>
        </w:rPr>
      </w:pPr>
    </w:p>
    <w:p>
      <w:pPr>
        <w:jc w:val="both"/>
        <w:ind w:firstLine="1273"/>
        <w:spacing w:after="0" w:line="261" w:lineRule="auto"/>
        <w:rPr>
          <w:sz w:val="20"/>
          <w:szCs w:val="20"/>
          <w:color w:val="auto"/>
        </w:rPr>
      </w:pPr>
      <w:r>
        <w:rPr>
          <w:rFonts w:ascii="Times New Roman" w:cs="Times New Roman" w:eastAsia="Times New Roman" w:hAnsi="Times New Roman"/>
          <w:sz w:val="19"/>
          <w:szCs w:val="19"/>
          <w:color w:val="auto"/>
        </w:rPr>
        <w:t>1.19 “</w:t>
      </w:r>
      <w:r>
        <w:rPr>
          <w:rFonts w:ascii="Times New Roman" w:cs="Times New Roman" w:eastAsia="Times New Roman" w:hAnsi="Times New Roman"/>
          <w:sz w:val="19"/>
          <w:szCs w:val="19"/>
          <w:b w:val="1"/>
          <w:bCs w:val="1"/>
          <w:i w:val="1"/>
          <w:iCs w:val="1"/>
          <w:color w:val="auto"/>
        </w:rPr>
        <w:t>Permitted Transferee</w:t>
      </w:r>
      <w:r>
        <w:rPr>
          <w:rFonts w:ascii="Times New Roman" w:cs="Times New Roman" w:eastAsia="Times New Roman" w:hAnsi="Times New Roman"/>
          <w:sz w:val="19"/>
          <w:szCs w:val="19"/>
          <w:color w:val="auto"/>
        </w:rPr>
        <w:t>” means a transferee of shares of Class B Common Stock, or rights or interests therein, received in a Transfer that constitutes a Permitted Transfer.</w:t>
      </w:r>
    </w:p>
    <w:p>
      <w:pPr>
        <w:spacing w:after="0" w:line="122" w:lineRule="exact"/>
        <w:rPr>
          <w:sz w:val="20"/>
          <w:szCs w:val="20"/>
          <w:color w:val="auto"/>
        </w:rPr>
      </w:pPr>
    </w:p>
    <w:p>
      <w:pPr>
        <w:jc w:val="both"/>
        <w:ind w:firstLine="1273"/>
        <w:spacing w:after="0" w:line="232" w:lineRule="auto"/>
        <w:rPr>
          <w:sz w:val="20"/>
          <w:szCs w:val="20"/>
          <w:color w:val="auto"/>
        </w:rPr>
      </w:pPr>
      <w:r>
        <w:rPr>
          <w:rFonts w:ascii="Times New Roman" w:cs="Times New Roman" w:eastAsia="Times New Roman" w:hAnsi="Times New Roman"/>
          <w:sz w:val="19"/>
          <w:szCs w:val="19"/>
          <w:color w:val="auto"/>
        </w:rPr>
        <w:t>1.20 “</w:t>
      </w:r>
      <w:r>
        <w:rPr>
          <w:rFonts w:ascii="Times New Roman" w:cs="Times New Roman" w:eastAsia="Times New Roman" w:hAnsi="Times New Roman"/>
          <w:sz w:val="19"/>
          <w:szCs w:val="19"/>
          <w:b w:val="1"/>
          <w:bCs w:val="1"/>
          <w:i w:val="1"/>
          <w:iCs w:val="1"/>
          <w:color w:val="auto"/>
        </w:rPr>
        <w:t>Qualified Stockholder</w:t>
      </w:r>
      <w:r>
        <w:rPr>
          <w:rFonts w:ascii="Times New Roman" w:cs="Times New Roman" w:eastAsia="Times New Roman" w:hAnsi="Times New Roman"/>
          <w:sz w:val="19"/>
          <w:szCs w:val="19"/>
          <w:color w:val="auto"/>
        </w:rPr>
        <w:t>” means (a) any registered holder of a share of the Delaware Corporation’s Class B Common Stock immediately after the IPO Date; (b) the initial registered holder of any shares of the Delaware Corporation’s Class B Common Stock that</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are originally issued by the Delaware Corporation after the IPO Date or any shares of Class B Common Stock that are issued by the Corporation after the effectiveness of these Articles, in each case, pursuant to the exercise or conversion of options or warrants or settlement of restricted</w:t>
      </w:r>
    </w:p>
    <w:p>
      <w:pPr>
        <w:spacing w:after="0" w:line="219" w:lineRule="auto"/>
        <w:rPr>
          <w:sz w:val="20"/>
          <w:szCs w:val="20"/>
          <w:color w:val="auto"/>
        </w:rPr>
      </w:pPr>
      <w:r>
        <w:rPr>
          <w:rFonts w:ascii="Times New Roman" w:cs="Times New Roman" w:eastAsia="Times New Roman" w:hAnsi="Times New Roman"/>
          <w:sz w:val="19"/>
          <w:szCs w:val="19"/>
          <w:color w:val="auto"/>
        </w:rPr>
        <w:t>stock units (“</w:t>
      </w:r>
      <w:r>
        <w:rPr>
          <w:rFonts w:ascii="Times New Roman" w:cs="Times New Roman" w:eastAsia="Times New Roman" w:hAnsi="Times New Roman"/>
          <w:sz w:val="19"/>
          <w:szCs w:val="19"/>
          <w:b w:val="1"/>
          <w:bCs w:val="1"/>
          <w:i w:val="1"/>
          <w:iCs w:val="1"/>
          <w:color w:val="auto"/>
        </w:rPr>
        <w:t>RSUs</w:t>
      </w:r>
      <w:r>
        <w:rPr>
          <w:rFonts w:ascii="Times New Roman" w:cs="Times New Roman" w:eastAsia="Times New Roman" w:hAnsi="Times New Roman"/>
          <w:sz w:val="19"/>
          <w:szCs w:val="19"/>
          <w:color w:val="auto"/>
        </w:rPr>
        <w:t>”) that, in each case, were outstanding as the IPO Date or issued in connection with the Conversion, as applicable; (c) a</w:t>
      </w:r>
    </w:p>
    <w:p>
      <w:pPr>
        <w:jc w:val="both"/>
        <w:spacing w:after="0" w:line="211" w:lineRule="auto"/>
        <w:rPr>
          <w:sz w:val="20"/>
          <w:szCs w:val="20"/>
          <w:color w:val="auto"/>
        </w:rPr>
      </w:pPr>
      <w:r>
        <w:rPr>
          <w:rFonts w:ascii="Times New Roman" w:cs="Times New Roman" w:eastAsia="Times New Roman" w:hAnsi="Times New Roman"/>
          <w:sz w:val="19"/>
          <w:szCs w:val="19"/>
          <w:color w:val="auto"/>
        </w:rPr>
        <w:t>Permitted Transferee; and (d) the initial registered holder of any shares of the Delaware Corporation’s Class B Common Stock that were originally issued by the Delaware Corporation after the IPO Date in compliance with the certificate of incorporation of the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Corporation or any shares of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4 of 13</w:t>
      </w:r>
    </w:p>
    <w:p>
      <w:pPr>
        <w:sectPr>
          <w:pgSz w:w="11900" w:h="16838" w:orient="portrait"/>
          <w:cols w:equalWidth="0" w:num="1">
            <w:col w:w="11240"/>
          </w:cols>
          <w:pgMar w:left="320" w:top="1377" w:right="339" w:bottom="1440" w:gutter="0" w:footer="0" w:header="0"/>
        </w:sectPr>
      </w:pPr>
    </w:p>
    <w:bookmarkStart w:id="7" w:name="page8"/>
    <w:bookmarkEnd w:id="7"/>
    <w:p>
      <w:pPr>
        <w:spacing w:after="0" w:line="256" w:lineRule="auto"/>
        <w:rPr>
          <w:sz w:val="20"/>
          <w:szCs w:val="20"/>
          <w:color w:val="auto"/>
        </w:rPr>
      </w:pPr>
      <w:r>
        <w:rPr>
          <w:rFonts w:ascii="Times New Roman" w:cs="Times New Roman" w:eastAsia="Times New Roman" w:hAnsi="Times New Roman"/>
          <w:sz w:val="19"/>
          <w:szCs w:val="19"/>
          <w:color w:val="auto"/>
        </w:rPr>
        <w:t>that are issued by the Corporation in connection with the Conversion or otherwise issued by the Corporation after the effectiveness of these Articles in compliance with these Articles.</w:t>
      </w:r>
    </w:p>
    <w:p>
      <w:pPr>
        <w:spacing w:after="0" w:line="127" w:lineRule="exact"/>
        <w:rPr>
          <w:sz w:val="20"/>
          <w:szCs w:val="20"/>
          <w:color w:val="auto"/>
        </w:rPr>
      </w:pPr>
    </w:p>
    <w:p>
      <w:pPr>
        <w:ind w:firstLine="1273"/>
        <w:spacing w:after="0" w:line="232" w:lineRule="auto"/>
        <w:rPr>
          <w:sz w:val="20"/>
          <w:szCs w:val="20"/>
          <w:color w:val="auto"/>
        </w:rPr>
      </w:pPr>
      <w:r>
        <w:rPr>
          <w:rFonts w:ascii="Times New Roman" w:cs="Times New Roman" w:eastAsia="Times New Roman" w:hAnsi="Times New Roman"/>
          <w:sz w:val="19"/>
          <w:szCs w:val="19"/>
          <w:color w:val="auto"/>
        </w:rPr>
        <w:t>1.21 “</w:t>
      </w:r>
      <w:r>
        <w:rPr>
          <w:rFonts w:ascii="Times New Roman" w:cs="Times New Roman" w:eastAsia="Times New Roman" w:hAnsi="Times New Roman"/>
          <w:sz w:val="19"/>
          <w:szCs w:val="19"/>
          <w:b w:val="1"/>
          <w:bCs w:val="1"/>
          <w:i w:val="1"/>
          <w:iCs w:val="1"/>
          <w:color w:val="auto"/>
        </w:rPr>
        <w:t>Transfer</w:t>
      </w:r>
      <w:r>
        <w:rPr>
          <w:rFonts w:ascii="Times New Roman" w:cs="Times New Roman" w:eastAsia="Times New Roman" w:hAnsi="Times New Roman"/>
          <w:sz w:val="19"/>
          <w:szCs w:val="19"/>
          <w:color w:val="auto"/>
        </w:rPr>
        <w:t>” of a share of Class B Common Stock means, directly or indirectly, any sale, assignment, transfer, conveyance, hypothecation or other transfer or disposition of such share or any legal or beneficial interest in such share, whether or not for</w:t>
      </w:r>
    </w:p>
    <w:p>
      <w:pPr>
        <w:spacing w:after="0" w:line="2"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value and whether voluntary or involuntary or by operation of law (including by merger, consolidation or otherwise), including, without limitation, a transfer of a share of Class B Common Stock to a broker or other nominee (regardless of whether there is a corresponding change</w:t>
      </w:r>
    </w:p>
    <w:p>
      <w:pPr>
        <w:spacing w:after="0" w:line="219" w:lineRule="auto"/>
        <w:rPr>
          <w:sz w:val="20"/>
          <w:szCs w:val="20"/>
          <w:color w:val="auto"/>
        </w:rPr>
      </w:pPr>
      <w:r>
        <w:rPr>
          <w:rFonts w:ascii="Times New Roman" w:cs="Times New Roman" w:eastAsia="Times New Roman" w:hAnsi="Times New Roman"/>
          <w:sz w:val="19"/>
          <w:szCs w:val="19"/>
          <w:color w:val="auto"/>
        </w:rPr>
        <w:t>in beneficial ownership), or the transfer of, or entering into a binding agreement with respect to, Voting Control (as defined below) over such</w:t>
      </w:r>
    </w:p>
    <w:p>
      <w:pPr>
        <w:spacing w:after="0" w:line="211" w:lineRule="auto"/>
        <w:rPr>
          <w:sz w:val="20"/>
          <w:szCs w:val="20"/>
          <w:color w:val="auto"/>
        </w:rPr>
      </w:pPr>
      <w:r>
        <w:rPr>
          <w:rFonts w:ascii="Times New Roman" w:cs="Times New Roman" w:eastAsia="Times New Roman" w:hAnsi="Times New Roman"/>
          <w:sz w:val="19"/>
          <w:szCs w:val="19"/>
          <w:color w:val="auto"/>
        </w:rPr>
        <w:t>share by proxy or otherwise. A “</w:t>
      </w:r>
      <w:r>
        <w:rPr>
          <w:rFonts w:ascii="Times New Roman" w:cs="Times New Roman" w:eastAsia="Times New Roman" w:hAnsi="Times New Roman"/>
          <w:sz w:val="19"/>
          <w:szCs w:val="19"/>
          <w:b w:val="1"/>
          <w:bCs w:val="1"/>
          <w:i w:val="1"/>
          <w:iCs w:val="1"/>
          <w:color w:val="auto"/>
        </w:rPr>
        <w:t>Transfer</w:t>
      </w:r>
      <w:r>
        <w:rPr>
          <w:rFonts w:ascii="Times New Roman" w:cs="Times New Roman" w:eastAsia="Times New Roman" w:hAnsi="Times New Roman"/>
          <w:sz w:val="19"/>
          <w:szCs w:val="19"/>
          <w:color w:val="auto"/>
        </w:rPr>
        <w:t>” will also be deemed to have occurred with respect to all shares of Class B Common Stock beneficially held by an entity that is a Qualified Stockholder, if after the IPO Date there is a Transfer of the voting power of the voting securities</w:t>
      </w:r>
    </w:p>
    <w:p>
      <w:pPr>
        <w:spacing w:after="0" w:line="219" w:lineRule="auto"/>
        <w:rPr>
          <w:sz w:val="20"/>
          <w:szCs w:val="20"/>
          <w:color w:val="auto"/>
        </w:rPr>
      </w:pPr>
      <w:r>
        <w:rPr>
          <w:rFonts w:ascii="Times New Roman" w:cs="Times New Roman" w:eastAsia="Times New Roman" w:hAnsi="Times New Roman"/>
          <w:sz w:val="19"/>
          <w:szCs w:val="19"/>
          <w:color w:val="auto"/>
        </w:rPr>
        <w:t>of such entity or any direct or indirect Parent of such entity, such that the previous holders of such voting power no longer retain sole dispositive</w:t>
      </w:r>
    </w:p>
    <w:p>
      <w:pPr>
        <w:spacing w:after="0" w:line="229" w:lineRule="auto"/>
        <w:rPr>
          <w:sz w:val="20"/>
          <w:szCs w:val="20"/>
          <w:color w:val="auto"/>
        </w:rPr>
      </w:pPr>
      <w:r>
        <w:rPr>
          <w:rFonts w:ascii="Times New Roman" w:cs="Times New Roman" w:eastAsia="Times New Roman" w:hAnsi="Times New Roman"/>
          <w:sz w:val="19"/>
          <w:szCs w:val="19"/>
          <w:color w:val="auto"/>
        </w:rPr>
        <w:t>power and exclusive Voting Control with respect to the shares of Class B Common Stock held by such entity. Notwithstanding the foregoing, the following will not be considered a “</w:t>
      </w:r>
      <w:r>
        <w:rPr>
          <w:rFonts w:ascii="Times New Roman" w:cs="Times New Roman" w:eastAsia="Times New Roman" w:hAnsi="Times New Roman"/>
          <w:sz w:val="19"/>
          <w:szCs w:val="19"/>
          <w:b w:val="1"/>
          <w:bCs w:val="1"/>
          <w:i w:val="1"/>
          <w:iCs w:val="1"/>
          <w:color w:val="auto"/>
        </w:rPr>
        <w:t>Transfer</w:t>
      </w:r>
      <w:r>
        <w:rPr>
          <w:rFonts w:ascii="Times New Roman" w:cs="Times New Roman" w:eastAsia="Times New Roman" w:hAnsi="Times New Roman"/>
          <w:sz w:val="19"/>
          <w:szCs w:val="19"/>
          <w:color w:val="auto"/>
        </w:rPr>
        <w:t>”:</w:t>
      </w:r>
    </w:p>
    <w:p>
      <w:pPr>
        <w:spacing w:after="0" w:line="158" w:lineRule="exact"/>
        <w:rPr>
          <w:sz w:val="20"/>
          <w:szCs w:val="20"/>
          <w:color w:val="auto"/>
        </w:rPr>
      </w:pPr>
    </w:p>
    <w:p>
      <w:pPr>
        <w:jc w:val="both"/>
        <w:ind w:firstLine="1280"/>
        <w:spacing w:after="0" w:line="233" w:lineRule="auto"/>
        <w:tabs>
          <w:tab w:leader="none" w:pos="19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granting a revocable proxy to officers or directors of the Corporation at the request of the Board in connection with actions to be taken at an annual or special meeting of stockholders or in connection with any action by written consent of the stockholders solicited by the Board;</w:t>
      </w:r>
    </w:p>
    <w:p>
      <w:pPr>
        <w:spacing w:after="0" w:line="159" w:lineRule="exact"/>
        <w:rPr>
          <w:rFonts w:ascii="Times New Roman" w:cs="Times New Roman" w:eastAsia="Times New Roman" w:hAnsi="Times New Roman"/>
          <w:sz w:val="19"/>
          <w:szCs w:val="19"/>
          <w:color w:val="auto"/>
        </w:rPr>
      </w:pPr>
    </w:p>
    <w:p>
      <w:pPr>
        <w:jc w:val="both"/>
        <w:ind w:firstLine="1280"/>
        <w:spacing w:after="0" w:line="224" w:lineRule="auto"/>
        <w:tabs>
          <w:tab w:leader="none" w:pos="1898"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entering into a voting trust, agreement or arrangement (with or without granting a proxy) solely with stockholders who are holders of Class B Common Stock, which voting trust, agreement or arrangement (i) is disclosed either in a Schedule 13D filed with the Securities and Exchange Commission or in writing to the Secretary of the Corporation, (ii) either has a term not exceeding one year or is terminable by the holder of the shares subject thereto at any time and (iii) does not involve any payment of cash, securities, property or other consideration to the holder of the shares subject thereto other than the mutual promise to vote shares in a designated manner;</w:t>
      </w:r>
    </w:p>
    <w:p>
      <w:pPr>
        <w:spacing w:after="0" w:line="161" w:lineRule="exact"/>
        <w:rPr>
          <w:rFonts w:ascii="Times New Roman" w:cs="Times New Roman" w:eastAsia="Times New Roman" w:hAnsi="Times New Roman"/>
          <w:sz w:val="19"/>
          <w:szCs w:val="19"/>
          <w:color w:val="auto"/>
        </w:rPr>
      </w:pPr>
    </w:p>
    <w:p>
      <w:pPr>
        <w:jc w:val="both"/>
        <w:ind w:firstLine="1280"/>
        <w:spacing w:after="0" w:line="229" w:lineRule="auto"/>
        <w:tabs>
          <w:tab w:leader="none" w:pos="19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pledging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will constitute a “Transfer” unless such foreclosure or similar action qualifies as a “Permitted Transfer” at such time;</w:t>
      </w:r>
    </w:p>
    <w:p>
      <w:pPr>
        <w:spacing w:after="0" w:line="161" w:lineRule="exact"/>
        <w:rPr>
          <w:rFonts w:ascii="Times New Roman" w:cs="Times New Roman" w:eastAsia="Times New Roman" w:hAnsi="Times New Roman"/>
          <w:sz w:val="19"/>
          <w:szCs w:val="19"/>
          <w:color w:val="auto"/>
        </w:rPr>
      </w:pPr>
    </w:p>
    <w:p>
      <w:pPr>
        <w:jc w:val="both"/>
        <w:ind w:firstLine="1280"/>
        <w:spacing w:after="0" w:line="233" w:lineRule="auto"/>
        <w:tabs>
          <w:tab w:leader="none" w:pos="1898"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granting a proxy by a Founder, such Founder’s Permitted Entities or such Founder’s Permitted Transferees to the other Founder to exercise Voting Control of shares of Class B Common Stock owned directly or indirectly, beneficially and of record, by such Founder, such Founder’s Permitted Entities or such Founder’s Permitted Transferees, and the exercise of such proxy by such other Founder;</w:t>
      </w:r>
    </w:p>
    <w:p>
      <w:pPr>
        <w:spacing w:after="0" w:line="159" w:lineRule="exact"/>
        <w:rPr>
          <w:rFonts w:ascii="Times New Roman" w:cs="Times New Roman" w:eastAsia="Times New Roman" w:hAnsi="Times New Roman"/>
          <w:sz w:val="19"/>
          <w:szCs w:val="19"/>
          <w:color w:val="auto"/>
        </w:rPr>
      </w:pPr>
    </w:p>
    <w:p>
      <w:pPr>
        <w:jc w:val="both"/>
        <w:ind w:firstLine="1280"/>
        <w:spacing w:after="0"/>
        <w:tabs>
          <w:tab w:leader="none" w:pos="190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granting a proxy by a Founder, such Founder’s Permitted Entities or such Founder’s Permitted Transferees to a person designated by such Founder and approved by a majority of the Independent Directors then in office, to exercise Voting Control of shares of Class B Common Stock owned directly or indirectly, beneficially and of record, by such Founder, such Founder’s Permitted Entities or such Founder’s Permitted Transferees, or over which such Founder has Voting Control pursuant to proxy or voting agreements then in place, effective either (i) on the death of such Founder or (ii) during any Disability of such Founder, including the exercise of such proxy by such person;</w:t>
      </w:r>
    </w:p>
    <w:p>
      <w:pPr>
        <w:spacing w:after="0" w:line="287" w:lineRule="exact"/>
        <w:rPr>
          <w:rFonts w:ascii="Times New Roman" w:cs="Times New Roman" w:eastAsia="Times New Roman" w:hAnsi="Times New Roman"/>
          <w:sz w:val="19"/>
          <w:szCs w:val="19"/>
          <w:color w:val="auto"/>
        </w:rPr>
      </w:pPr>
    </w:p>
    <w:p>
      <w:pPr>
        <w:jc w:val="both"/>
        <w:ind w:firstLine="1280"/>
        <w:spacing w:after="0" w:line="233" w:lineRule="auto"/>
        <w:tabs>
          <w:tab w:leader="none" w:pos="1905"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granting a proxy to, or entering into a voting arrangement with, one or more Founders to exercise Voting Control of shares of Class B Common Stock owned directly or indirectly, beneficially and of record by any holder of Class B Common Stock in a form approved by a majority of the Independent Directors then in office;</w:t>
      </w:r>
    </w:p>
    <w:p>
      <w:pPr>
        <w:spacing w:after="0" w:line="159" w:lineRule="exact"/>
        <w:rPr>
          <w:rFonts w:ascii="Times New Roman" w:cs="Times New Roman" w:eastAsia="Times New Roman" w:hAnsi="Times New Roman"/>
          <w:sz w:val="19"/>
          <w:szCs w:val="19"/>
          <w:color w:val="auto"/>
        </w:rPr>
      </w:pPr>
    </w:p>
    <w:p>
      <w:pPr>
        <w:ind w:firstLine="1280"/>
        <w:spacing w:after="0" w:line="242" w:lineRule="auto"/>
        <w:tabs>
          <w:tab w:leader="none" w:pos="1898"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entering into a trading plan pursuant to Rule 10b5-1 under the Securities Exchange Act of 1934, as amended, with a broker or other nominee; provided, however, that a sale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5 of 13</w:t>
      </w:r>
    </w:p>
    <w:p>
      <w:pPr>
        <w:sectPr>
          <w:pgSz w:w="11900" w:h="16838" w:orient="portrait"/>
          <w:cols w:equalWidth="0" w:num="1">
            <w:col w:w="11240"/>
          </w:cols>
          <w:pgMar w:left="320" w:top="137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9"/>
          <w:szCs w:val="19"/>
          <w:color w:val="auto"/>
        </w:rPr>
        <w:t>such shares of Class B Common Stock pursuant to such plan shall constitute a “Transfer” at the time of such sale;</w:t>
      </w:r>
    </w:p>
    <w:p>
      <w:pPr>
        <w:spacing w:after="0" w:line="193" w:lineRule="exact"/>
        <w:rPr>
          <w:sz w:val="20"/>
          <w:szCs w:val="20"/>
          <w:color w:val="auto"/>
        </w:rPr>
      </w:pPr>
    </w:p>
    <w:p>
      <w:pPr>
        <w:jc w:val="both"/>
        <w:ind w:firstLine="1280"/>
        <w:spacing w:after="0" w:line="233" w:lineRule="auto"/>
        <w:tabs>
          <w:tab w:leader="none" w:pos="1898"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fact that the spouse of any Qualified Stockholder possesses or obtains an interest in such holder’s shares of Class B Common Stock arising solely by reason of the application of the community property laws of any jurisdiction, so long as no other event or circumstance shall exist or have occurred that constitutes a “Transfer”; and</w:t>
      </w:r>
    </w:p>
    <w:p>
      <w:pPr>
        <w:spacing w:after="0" w:line="159" w:lineRule="exact"/>
        <w:rPr>
          <w:rFonts w:ascii="Times New Roman" w:cs="Times New Roman" w:eastAsia="Times New Roman" w:hAnsi="Times New Roman"/>
          <w:sz w:val="19"/>
          <w:szCs w:val="19"/>
          <w:color w:val="auto"/>
        </w:rPr>
      </w:pPr>
    </w:p>
    <w:p>
      <w:pPr>
        <w:jc w:val="both"/>
        <w:ind w:firstLine="1280"/>
        <w:spacing w:after="0" w:line="233" w:lineRule="auto"/>
        <w:tabs>
          <w:tab w:leader="none" w:pos="1908"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entering into a support, voting, tender or similar agreement, arrangement or understanding (with or without granting a proxy) in connection with a Liquidation Event, provided that such Liquidation Event was approved by a majority of the Independent Directors then in office.</w:t>
      </w:r>
    </w:p>
    <w:p>
      <w:pPr>
        <w:spacing w:after="0" w:line="156" w:lineRule="exact"/>
        <w:rPr>
          <w:sz w:val="20"/>
          <w:szCs w:val="20"/>
          <w:color w:val="auto"/>
        </w:rPr>
      </w:pPr>
    </w:p>
    <w:p>
      <w:pPr>
        <w:ind w:firstLine="1273"/>
        <w:spacing w:after="0" w:line="246" w:lineRule="auto"/>
        <w:rPr>
          <w:sz w:val="20"/>
          <w:szCs w:val="20"/>
          <w:color w:val="auto"/>
        </w:rPr>
      </w:pPr>
      <w:r>
        <w:rPr>
          <w:rFonts w:ascii="Times New Roman" w:cs="Times New Roman" w:eastAsia="Times New Roman" w:hAnsi="Times New Roman"/>
          <w:sz w:val="19"/>
          <w:szCs w:val="19"/>
          <w:color w:val="auto"/>
        </w:rPr>
        <w:t>1.22 “</w:t>
      </w:r>
      <w:r>
        <w:rPr>
          <w:rFonts w:ascii="Times New Roman" w:cs="Times New Roman" w:eastAsia="Times New Roman" w:hAnsi="Times New Roman"/>
          <w:sz w:val="19"/>
          <w:szCs w:val="19"/>
          <w:b w:val="1"/>
          <w:bCs w:val="1"/>
          <w:i w:val="1"/>
          <w:iCs w:val="1"/>
          <w:color w:val="auto"/>
        </w:rPr>
        <w:t>Voting Control</w:t>
      </w:r>
      <w:r>
        <w:rPr>
          <w:rFonts w:ascii="Times New Roman" w:cs="Times New Roman" w:eastAsia="Times New Roman" w:hAnsi="Times New Roman"/>
          <w:sz w:val="19"/>
          <w:szCs w:val="19"/>
          <w:color w:val="auto"/>
        </w:rPr>
        <w:t>” means, with respect to a share of capital stock or other security, the power (whether exclusive or shared) to vote or direct the voting of such security, including by proxy, voting agreement or otherwise.</w:t>
      </w:r>
    </w:p>
    <w:p>
      <w:pPr>
        <w:spacing w:after="0" w:line="149" w:lineRule="exact"/>
        <w:rPr>
          <w:sz w:val="20"/>
          <w:szCs w:val="20"/>
          <w:color w:val="auto"/>
        </w:rPr>
      </w:pPr>
    </w:p>
    <w:p>
      <w:pPr>
        <w:ind w:firstLine="1273"/>
        <w:spacing w:after="0" w:line="261" w:lineRule="auto"/>
        <w:rPr>
          <w:sz w:val="20"/>
          <w:szCs w:val="20"/>
          <w:color w:val="auto"/>
        </w:rPr>
      </w:pPr>
      <w:r>
        <w:rPr>
          <w:rFonts w:ascii="Times New Roman" w:cs="Times New Roman" w:eastAsia="Times New Roman" w:hAnsi="Times New Roman"/>
          <w:sz w:val="19"/>
          <w:szCs w:val="19"/>
          <w:color w:val="auto"/>
        </w:rPr>
        <w:t>1.23 “</w:t>
      </w:r>
      <w:r>
        <w:rPr>
          <w:rFonts w:ascii="Times New Roman" w:cs="Times New Roman" w:eastAsia="Times New Roman" w:hAnsi="Times New Roman"/>
          <w:sz w:val="19"/>
          <w:szCs w:val="19"/>
          <w:b w:val="1"/>
          <w:bCs w:val="1"/>
          <w:i w:val="1"/>
          <w:iCs w:val="1"/>
          <w:color w:val="auto"/>
        </w:rPr>
        <w:t>Voting Threshold Date</w:t>
      </w:r>
      <w:r>
        <w:rPr>
          <w:rFonts w:ascii="Times New Roman" w:cs="Times New Roman" w:eastAsia="Times New Roman" w:hAnsi="Times New Roman"/>
          <w:sz w:val="19"/>
          <w:szCs w:val="19"/>
          <w:color w:val="auto"/>
        </w:rPr>
        <w:t>” means the first date on which the outstanding shares of Class B Common Stock represent less than a majority of the total voting power of the then outstanding shares of the Corporation entitled to vote generally in the election of directors.</w:t>
      </w:r>
    </w:p>
    <w:p>
      <w:pPr>
        <w:spacing w:after="0" w:line="122" w:lineRule="exact"/>
        <w:rPr>
          <w:sz w:val="20"/>
          <w:szCs w:val="20"/>
          <w:color w:val="auto"/>
        </w:rPr>
      </w:pPr>
    </w:p>
    <w:p>
      <w:pPr>
        <w:ind w:firstLine="1273"/>
        <w:spacing w:after="0" w:line="261" w:lineRule="auto"/>
        <w:rPr>
          <w:sz w:val="20"/>
          <w:szCs w:val="20"/>
          <w:color w:val="auto"/>
        </w:rPr>
      </w:pPr>
      <w:r>
        <w:rPr>
          <w:rFonts w:ascii="Times New Roman" w:cs="Times New Roman" w:eastAsia="Times New Roman" w:hAnsi="Times New Roman"/>
          <w:sz w:val="19"/>
          <w:szCs w:val="19"/>
          <w:color w:val="auto"/>
        </w:rPr>
        <w:t>1.24 “</w:t>
      </w:r>
      <w:r>
        <w:rPr>
          <w:rFonts w:ascii="Times New Roman" w:cs="Times New Roman" w:eastAsia="Times New Roman" w:hAnsi="Times New Roman"/>
          <w:sz w:val="19"/>
          <w:szCs w:val="19"/>
          <w:b w:val="1"/>
          <w:bCs w:val="1"/>
          <w:i w:val="1"/>
          <w:iCs w:val="1"/>
          <w:color w:val="auto"/>
        </w:rPr>
        <w:t>Whole Board</w:t>
      </w:r>
      <w:r>
        <w:rPr>
          <w:rFonts w:ascii="Times New Roman" w:cs="Times New Roman" w:eastAsia="Times New Roman" w:hAnsi="Times New Roman"/>
          <w:sz w:val="19"/>
          <w:szCs w:val="19"/>
          <w:color w:val="auto"/>
        </w:rPr>
        <w:t>” means the total number of authorized directors whether or not there exist any vacancies or unfilled seats in previously authorized directorships.</w:t>
      </w:r>
    </w:p>
    <w:p>
      <w:pPr>
        <w:spacing w:after="0" w:line="139" w:lineRule="exact"/>
        <w:rPr>
          <w:sz w:val="20"/>
          <w:szCs w:val="20"/>
          <w:color w:val="auto"/>
        </w:rPr>
      </w:pPr>
    </w:p>
    <w:p>
      <w:pPr>
        <w:jc w:val="both"/>
        <w:ind w:firstLine="643"/>
        <w:spacing w:after="0" w:line="229" w:lineRule="auto"/>
        <w:tabs>
          <w:tab w:leader="none" w:pos="1273"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Identical Rights</w:t>
      </w:r>
      <w:r>
        <w:rPr>
          <w:rFonts w:ascii="Times New Roman" w:cs="Times New Roman" w:eastAsia="Times New Roman" w:hAnsi="Times New Roman"/>
          <w:sz w:val="19"/>
          <w:szCs w:val="19"/>
          <w:color w:val="auto"/>
        </w:rPr>
        <w:t xml:space="preserve">. Except as otherwise provided in these Articles or required by applicable law, shares of Common Stock shall have the same rights and powers, rank equally (including as to dividends and other distributions, and any liquidation, dissolution or winding up of the corporation but excluding voting and other matters as described in </w:t>
      </w:r>
      <w:r>
        <w:rPr>
          <w:rFonts w:ascii="Times New Roman" w:cs="Times New Roman" w:eastAsia="Times New Roman" w:hAnsi="Times New Roman"/>
          <w:sz w:val="19"/>
          <w:szCs w:val="19"/>
          <w:u w:val="single" w:color="auto"/>
          <w:color w:val="auto"/>
        </w:rPr>
        <w:t>Section V.3</w:t>
      </w:r>
      <w:r>
        <w:rPr>
          <w:rFonts w:ascii="Times New Roman" w:cs="Times New Roman" w:eastAsia="Times New Roman" w:hAnsi="Times New Roman"/>
          <w:sz w:val="19"/>
          <w:szCs w:val="19"/>
          <w:color w:val="auto"/>
        </w:rPr>
        <w:t xml:space="preserve"> below), share ratably and be identical in all respects as to all matters, including:</w:t>
      </w:r>
    </w:p>
    <w:p>
      <w:pPr>
        <w:spacing w:after="0" w:line="148" w:lineRule="exact"/>
        <w:rPr>
          <w:sz w:val="20"/>
          <w:szCs w:val="20"/>
          <w:color w:val="auto"/>
        </w:rPr>
      </w:pPr>
    </w:p>
    <w:p>
      <w:pPr>
        <w:ind w:left="1280"/>
        <w:spacing w:after="0"/>
        <w:tabs>
          <w:tab w:leader="none" w:pos="1880" w:val="left"/>
        </w:tabs>
        <w:rPr>
          <w:sz w:val="20"/>
          <w:szCs w:val="20"/>
          <w:color w:val="auto"/>
        </w:rPr>
      </w:pPr>
      <w:r>
        <w:rPr>
          <w:rFonts w:ascii="Times New Roman" w:cs="Times New Roman" w:eastAsia="Times New Roman" w:hAnsi="Times New Roman"/>
          <w:sz w:val="19"/>
          <w:szCs w:val="19"/>
          <w:color w:val="auto"/>
        </w:rPr>
        <w:t>2.1</w:t>
      </w:r>
      <w:r>
        <w:rPr>
          <w:sz w:val="20"/>
          <w:szCs w:val="20"/>
          <w:color w:val="auto"/>
        </w:rPr>
        <w:tab/>
      </w:r>
      <w:r>
        <w:rPr>
          <w:rFonts w:ascii="Times New Roman" w:cs="Times New Roman" w:eastAsia="Times New Roman" w:hAnsi="Times New Roman"/>
          <w:sz w:val="19"/>
          <w:szCs w:val="19"/>
          <w:color w:val="auto"/>
        </w:rPr>
        <w:t>Subject to the prior rights of holders of all classes and series of stock at the time outstanding having prior rights as to</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dividends or other distributions, the holders of the Common Stock shall be entitled to receive, when, as and if declared by the Board, out of any assets of the Corporation legally available therefor, such dividends or other distributions as may be declared from time to time by the Board.</w:t>
      </w:r>
    </w:p>
    <w:p>
      <w:pPr>
        <w:spacing w:after="0" w:line="219" w:lineRule="auto"/>
        <w:rPr>
          <w:sz w:val="20"/>
          <w:szCs w:val="20"/>
          <w:color w:val="auto"/>
        </w:rPr>
      </w:pPr>
      <w:r>
        <w:rPr>
          <w:rFonts w:ascii="Times New Roman" w:cs="Times New Roman" w:eastAsia="Times New Roman" w:hAnsi="Times New Roman"/>
          <w:sz w:val="19"/>
          <w:szCs w:val="19"/>
          <w:color w:val="auto"/>
        </w:rPr>
        <w:t xml:space="preserve">Any dividends or other distributions paid to the holders of shares of Common Stock shall be paid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on an equal priority, </w:t>
      </w:r>
      <w:r>
        <w:rPr>
          <w:rFonts w:ascii="Times New Roman" w:cs="Times New Roman" w:eastAsia="Times New Roman" w:hAnsi="Times New Roman"/>
          <w:sz w:val="19"/>
          <w:szCs w:val="19"/>
          <w:i w:val="1"/>
          <w:iCs w:val="1"/>
          <w:color w:val="auto"/>
        </w:rPr>
        <w:t>pari passu</w:t>
      </w:r>
    </w:p>
    <w:p>
      <w:pPr>
        <w:spacing w:after="0" w:line="229" w:lineRule="auto"/>
        <w:rPr>
          <w:sz w:val="20"/>
          <w:szCs w:val="20"/>
          <w:color w:val="auto"/>
        </w:rPr>
      </w:pPr>
      <w:r>
        <w:rPr>
          <w:rFonts w:ascii="Times New Roman" w:cs="Times New Roman" w:eastAsia="Times New Roman" w:hAnsi="Times New Roman"/>
          <w:sz w:val="19"/>
          <w:szCs w:val="19"/>
          <w:color w:val="auto"/>
        </w:rPr>
        <w:t>basis, unless different treatment of the shares of any such class is approved by the affirmative vote of the holders of a majority of the outstanding shares of such applicable class of Common Stock treated adversely, voting separately as a class.</w:t>
      </w:r>
    </w:p>
    <w:p>
      <w:pPr>
        <w:spacing w:after="0" w:line="158" w:lineRule="exact"/>
        <w:rPr>
          <w:sz w:val="20"/>
          <w:szCs w:val="20"/>
          <w:color w:val="auto"/>
        </w:rPr>
      </w:pPr>
    </w:p>
    <w:p>
      <w:pPr>
        <w:ind w:left="1280"/>
        <w:spacing w:after="0"/>
        <w:tabs>
          <w:tab w:leader="none" w:pos="1880" w:val="left"/>
        </w:tabs>
        <w:rPr>
          <w:sz w:val="20"/>
          <w:szCs w:val="20"/>
          <w:color w:val="auto"/>
        </w:rPr>
      </w:pPr>
      <w:r>
        <w:rPr>
          <w:rFonts w:ascii="Times New Roman" w:cs="Times New Roman" w:eastAsia="Times New Roman" w:hAnsi="Times New Roman"/>
          <w:sz w:val="19"/>
          <w:szCs w:val="19"/>
          <w:color w:val="auto"/>
        </w:rPr>
        <w:t>2.2</w:t>
      </w:r>
      <w:r>
        <w:rPr>
          <w:sz w:val="20"/>
          <w:szCs w:val="20"/>
          <w:color w:val="auto"/>
        </w:rPr>
        <w:tab/>
      </w:r>
      <w:r>
        <w:rPr>
          <w:rFonts w:ascii="Times New Roman" w:cs="Times New Roman" w:eastAsia="Times New Roman" w:hAnsi="Times New Roman"/>
          <w:sz w:val="19"/>
          <w:szCs w:val="19"/>
          <w:color w:val="auto"/>
        </w:rPr>
        <w:t>The Corporation shall not declare or pay any dividend or make any other distribution to the holders of Common Stock</w:t>
      </w:r>
    </w:p>
    <w:p>
      <w:pPr>
        <w:spacing w:after="0" w:line="3"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payable in securities of the Corporation unless the same dividend or distribution with the same record date and payment date shall be declared and paid on all shares of Common Stock; provided, however, that (i) dividends or other distributions payable in shares of Class A Common</w:t>
      </w:r>
    </w:p>
    <w:p>
      <w:pPr>
        <w:spacing w:after="0" w:line="219" w:lineRule="auto"/>
        <w:rPr>
          <w:sz w:val="20"/>
          <w:szCs w:val="20"/>
          <w:color w:val="auto"/>
        </w:rPr>
      </w:pPr>
      <w:r>
        <w:rPr>
          <w:rFonts w:ascii="Times New Roman" w:cs="Times New Roman" w:eastAsia="Times New Roman" w:hAnsi="Times New Roman"/>
          <w:sz w:val="19"/>
          <w:szCs w:val="19"/>
          <w:color w:val="auto"/>
        </w:rPr>
        <w:t>Stock or rights to acquire shares of Class A Common Stock may be declared and paid to the holders of Class A Common Stock without the</w:t>
      </w:r>
    </w:p>
    <w:p>
      <w:pPr>
        <w:spacing w:after="0" w:line="211" w:lineRule="auto"/>
        <w:rPr>
          <w:sz w:val="20"/>
          <w:szCs w:val="20"/>
          <w:color w:val="auto"/>
        </w:rPr>
      </w:pPr>
      <w:r>
        <w:rPr>
          <w:rFonts w:ascii="Times New Roman" w:cs="Times New Roman" w:eastAsia="Times New Roman" w:hAnsi="Times New Roman"/>
          <w:sz w:val="19"/>
          <w:szCs w:val="19"/>
          <w:color w:val="auto"/>
        </w:rPr>
        <w:t>same dividend or distribution being declared and paid to the holders of the Class B Common Stock or Class C Common Stock if, and only if, a dividend payable in shares of Class B Common Stock and Class C Common Stock, as applicable, or rights to acquire shares of Class B</w:t>
      </w:r>
    </w:p>
    <w:p>
      <w:pPr>
        <w:spacing w:after="0" w:line="219" w:lineRule="auto"/>
        <w:rPr>
          <w:sz w:val="20"/>
          <w:szCs w:val="20"/>
          <w:color w:val="auto"/>
        </w:rPr>
      </w:pPr>
      <w:r>
        <w:rPr>
          <w:rFonts w:ascii="Times New Roman" w:cs="Times New Roman" w:eastAsia="Times New Roman" w:hAnsi="Times New Roman"/>
          <w:sz w:val="19"/>
          <w:szCs w:val="19"/>
          <w:color w:val="auto"/>
        </w:rPr>
        <w:t>Common Stock or Class C Common Stock, as applicable, are declared and paid to the holders of Class B Common Stock and Class C Common</w:t>
      </w:r>
    </w:p>
    <w:p>
      <w:pPr>
        <w:spacing w:after="0" w:line="211" w:lineRule="auto"/>
        <w:rPr>
          <w:sz w:val="20"/>
          <w:szCs w:val="20"/>
          <w:color w:val="auto"/>
        </w:rPr>
      </w:pPr>
      <w:r>
        <w:rPr>
          <w:rFonts w:ascii="Times New Roman" w:cs="Times New Roman" w:eastAsia="Times New Roman" w:hAnsi="Times New Roman"/>
          <w:sz w:val="19"/>
          <w:szCs w:val="19"/>
          <w:color w:val="auto"/>
        </w:rPr>
        <w:t>Stock at the same rate and with the same record date and payment date; (ii) dividends or other distributions payable in shares of Class B Common Stock or rights to acquire shares Class B Common Stock may be declared and paid to the holders of Class B Common Stock without</w:t>
      </w:r>
    </w:p>
    <w:p>
      <w:pPr>
        <w:spacing w:after="0" w:line="219" w:lineRule="auto"/>
        <w:rPr>
          <w:sz w:val="20"/>
          <w:szCs w:val="20"/>
          <w:color w:val="auto"/>
        </w:rPr>
      </w:pPr>
      <w:r>
        <w:rPr>
          <w:rFonts w:ascii="Times New Roman" w:cs="Times New Roman" w:eastAsia="Times New Roman" w:hAnsi="Times New Roman"/>
          <w:sz w:val="19"/>
          <w:szCs w:val="19"/>
          <w:color w:val="auto"/>
        </w:rPr>
        <w:t>the same dividend or distribution being declared and paid to the holders of the Class A Common Stock or Class C Common Stock if, and only</w:t>
      </w:r>
    </w:p>
    <w:p>
      <w:pPr>
        <w:spacing w:after="0" w:line="211" w:lineRule="auto"/>
        <w:rPr>
          <w:sz w:val="20"/>
          <w:szCs w:val="20"/>
          <w:color w:val="auto"/>
        </w:rPr>
      </w:pPr>
      <w:r>
        <w:rPr>
          <w:rFonts w:ascii="Times New Roman" w:cs="Times New Roman" w:eastAsia="Times New Roman" w:hAnsi="Times New Roman"/>
          <w:sz w:val="19"/>
          <w:szCs w:val="19"/>
          <w:color w:val="auto"/>
        </w:rPr>
        <w:t>if, a dividend payable in shares of Class A Common Stock and Class C Common Stock, as applicable, or rights to acquire shares of Class A Common Stock or Class C Common Stock, as applicable, are declared and paid to the holders of Class A Common Stock and Class C Common</w:t>
      </w:r>
    </w:p>
    <w:p>
      <w:pPr>
        <w:spacing w:after="0" w:line="219" w:lineRule="auto"/>
        <w:rPr>
          <w:sz w:val="20"/>
          <w:szCs w:val="20"/>
          <w:color w:val="auto"/>
        </w:rPr>
      </w:pPr>
      <w:r>
        <w:rPr>
          <w:rFonts w:ascii="Times New Roman" w:cs="Times New Roman" w:eastAsia="Times New Roman" w:hAnsi="Times New Roman"/>
          <w:sz w:val="19"/>
          <w:szCs w:val="19"/>
          <w:color w:val="auto"/>
        </w:rPr>
        <w:t>Stock at the same rate and with the same record date and payment date and (iii) dividends or other distributions payable in shares of Class C</w:t>
      </w:r>
    </w:p>
    <w:p>
      <w:pPr>
        <w:spacing w:after="0" w:line="229" w:lineRule="auto"/>
        <w:rPr>
          <w:sz w:val="20"/>
          <w:szCs w:val="20"/>
          <w:color w:val="auto"/>
        </w:rPr>
      </w:pPr>
      <w:r>
        <w:rPr>
          <w:rFonts w:ascii="Times New Roman" w:cs="Times New Roman" w:eastAsia="Times New Roman" w:hAnsi="Times New Roman"/>
          <w:sz w:val="19"/>
          <w:szCs w:val="19"/>
          <w:color w:val="auto"/>
        </w:rPr>
        <w:t>Common Stock or rights to acquire shares Class C Common Stock may be declared and paid to the holders of Class C Common Stock without the same dividend or distribution being declared and paid to the holders of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6 of 13</w:t>
      </w:r>
    </w:p>
    <w:p>
      <w:pPr>
        <w:sectPr>
          <w:pgSz w:w="11900" w:h="16838" w:orient="portrait"/>
          <w:cols w:equalWidth="0" w:num="1">
            <w:col w:w="11240"/>
          </w:cols>
          <w:pgMar w:left="320" w:top="137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9"/>
          <w:szCs w:val="19"/>
          <w:color w:val="auto"/>
        </w:rPr>
        <w:t>Common Stock or Class B Common Stock if, and only if, a dividend payable in shares of Class A Common Stock and Class B Common Stock,</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as applicable, or rights to acquire shares of Class A Common Stock or Class B Common Stock, as applicable, are declared and paid to the holders of Class A Common Stock and Class B Common Stock at the same rate and with the same record date and payment date; and provided,</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9"/>
          <w:szCs w:val="19"/>
          <w:color w:val="auto"/>
        </w:rPr>
        <w:t>further, that nothing in the foregoing shall prevent the Corporation from declaring and paying dividends or other distributions payable in shares of one class of Common Stock or rights to acquire one class of Common Stock to holders of all classes of Common Stock.</w:t>
      </w:r>
    </w:p>
    <w:p>
      <w:pPr>
        <w:spacing w:after="0" w:line="145" w:lineRule="exact"/>
        <w:rPr>
          <w:sz w:val="20"/>
          <w:szCs w:val="20"/>
          <w:color w:val="auto"/>
        </w:rPr>
      </w:pPr>
    </w:p>
    <w:p>
      <w:pPr>
        <w:jc w:val="both"/>
        <w:ind w:firstLine="1273"/>
        <w:spacing w:after="0" w:line="238" w:lineRule="auto"/>
        <w:rPr>
          <w:sz w:val="20"/>
          <w:szCs w:val="20"/>
          <w:color w:val="auto"/>
        </w:rPr>
      </w:pPr>
      <w:r>
        <w:rPr>
          <w:rFonts w:ascii="Times New Roman" w:cs="Times New Roman" w:eastAsia="Times New Roman" w:hAnsi="Times New Roman"/>
          <w:sz w:val="19"/>
          <w:szCs w:val="19"/>
          <w:color w:val="auto"/>
        </w:rPr>
        <w:t>2.3 If the Corporation in any manner subdivides or combines the outstanding shares of Class A Common Stock, Class B Common Stock or Class C Common Stock, then the outstanding shares of all Common Stock will be subdivided or combined in the same proportion and manner.</w:t>
      </w:r>
    </w:p>
    <w:p>
      <w:pPr>
        <w:spacing w:after="0" w:line="146" w:lineRule="exact"/>
        <w:rPr>
          <w:sz w:val="20"/>
          <w:szCs w:val="20"/>
          <w:color w:val="auto"/>
        </w:rPr>
      </w:pPr>
    </w:p>
    <w:p>
      <w:pPr>
        <w:jc w:val="both"/>
        <w:ind w:left="640" w:right="8840" w:firstLine="3"/>
        <w:spacing w:after="0" w:line="473" w:lineRule="auto"/>
        <w:tabs>
          <w:tab w:leader="none" w:pos="1277"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Voting Rights</w:t>
      </w:r>
      <w:r>
        <w:rPr>
          <w:rFonts w:ascii="Times New Roman" w:cs="Times New Roman" w:eastAsia="Times New Roman" w:hAnsi="Times New Roman"/>
          <w:sz w:val="19"/>
          <w:szCs w:val="19"/>
          <w:color w:val="auto"/>
        </w:rPr>
        <w:t xml:space="preserve">. 3.1 </w:t>
      </w:r>
      <w:r>
        <w:rPr>
          <w:rFonts w:ascii="Times New Roman" w:cs="Times New Roman" w:eastAsia="Times New Roman" w:hAnsi="Times New Roman"/>
          <w:sz w:val="19"/>
          <w:szCs w:val="19"/>
          <w:u w:val="single" w:color="auto"/>
          <w:color w:val="auto"/>
        </w:rPr>
        <w:t>Common Stock</w:t>
      </w:r>
      <w:r>
        <w:rPr>
          <w:rFonts w:ascii="Times New Roman" w:cs="Times New Roman" w:eastAsia="Times New Roman" w:hAnsi="Times New Roman"/>
          <w:sz w:val="19"/>
          <w:szCs w:val="19"/>
          <w:color w:val="auto"/>
        </w:rPr>
        <w:t>.</w:t>
      </w:r>
    </w:p>
    <w:p>
      <w:pPr>
        <w:spacing w:after="0" w:line="1" w:lineRule="exact"/>
        <w:rPr>
          <w:rFonts w:ascii="Times New Roman" w:cs="Times New Roman" w:eastAsia="Times New Roman" w:hAnsi="Times New Roman"/>
          <w:sz w:val="19"/>
          <w:szCs w:val="19"/>
          <w:color w:val="auto"/>
        </w:rPr>
      </w:pPr>
    </w:p>
    <w:p>
      <w:pPr>
        <w:ind w:firstLine="1916"/>
        <w:spacing w:after="0" w:line="242" w:lineRule="auto"/>
        <w:tabs>
          <w:tab w:leader="none" w:pos="2537"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Class A Common Stock</w:t>
      </w:r>
      <w:r>
        <w:rPr>
          <w:rFonts w:ascii="Times New Roman" w:cs="Times New Roman" w:eastAsia="Times New Roman" w:hAnsi="Times New Roman"/>
          <w:sz w:val="19"/>
          <w:szCs w:val="19"/>
          <w:color w:val="auto"/>
        </w:rPr>
        <w:t>. Each holder of shares of Class A Common Stock will be entitled to one (1) vote for each share thereof held at the record date for the determination of the stockholders entitled to vote on such matters.</w:t>
      </w:r>
    </w:p>
    <w:p>
      <w:pPr>
        <w:spacing w:after="0" w:line="156" w:lineRule="exact"/>
        <w:rPr>
          <w:rFonts w:ascii="Times New Roman" w:cs="Times New Roman" w:eastAsia="Times New Roman" w:hAnsi="Times New Roman"/>
          <w:sz w:val="19"/>
          <w:szCs w:val="19"/>
          <w:color w:val="auto"/>
        </w:rPr>
      </w:pPr>
    </w:p>
    <w:p>
      <w:pPr>
        <w:ind w:right="20" w:firstLine="1916"/>
        <w:spacing w:after="0" w:line="242" w:lineRule="auto"/>
        <w:tabs>
          <w:tab w:leader="none" w:pos="2535"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Class B Common Stock</w:t>
      </w:r>
      <w:r>
        <w:rPr>
          <w:rFonts w:ascii="Times New Roman" w:cs="Times New Roman" w:eastAsia="Times New Roman" w:hAnsi="Times New Roman"/>
          <w:sz w:val="19"/>
          <w:szCs w:val="19"/>
          <w:color w:val="auto"/>
        </w:rPr>
        <w:t>. Each holder of shares of Class B Common Stock will be entitled to ten (10) votes for each share thereof held at the record date for the determination of the stockholders entitled to vote on such matters.</w:t>
      </w:r>
    </w:p>
    <w:p>
      <w:pPr>
        <w:spacing w:after="0" w:line="156" w:lineRule="exact"/>
        <w:rPr>
          <w:rFonts w:ascii="Times New Roman" w:cs="Times New Roman" w:eastAsia="Times New Roman" w:hAnsi="Times New Roman"/>
          <w:sz w:val="19"/>
          <w:szCs w:val="19"/>
          <w:color w:val="auto"/>
        </w:rPr>
      </w:pPr>
    </w:p>
    <w:p>
      <w:pPr>
        <w:jc w:val="both"/>
        <w:ind w:firstLine="1916"/>
        <w:spacing w:after="0" w:line="233" w:lineRule="auto"/>
        <w:tabs>
          <w:tab w:leader="none" w:pos="2537"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Class C Common Stock</w:t>
      </w:r>
      <w:r>
        <w:rPr>
          <w:rFonts w:ascii="Times New Roman" w:cs="Times New Roman" w:eastAsia="Times New Roman" w:hAnsi="Times New Roman"/>
          <w:sz w:val="19"/>
          <w:szCs w:val="19"/>
          <w:color w:val="auto"/>
        </w:rPr>
        <w:t>. Except as required by law, the Class C Common Stock will have no voting rights and no holder thereof shall be entitled to vote on any matter. For the avoidance of doubt, any right of the Class C Common Stock, or any holder thereof, to vote pursuant to NRS 78.2055(3), 78.207(3) or 78.390(2) is hereby specifically denied.</w:t>
      </w:r>
    </w:p>
    <w:p>
      <w:pPr>
        <w:spacing w:after="0" w:line="160" w:lineRule="exact"/>
        <w:rPr>
          <w:sz w:val="20"/>
          <w:szCs w:val="20"/>
          <w:color w:val="auto"/>
        </w:rPr>
      </w:pPr>
    </w:p>
    <w:p>
      <w:pPr>
        <w:ind w:firstLine="1273"/>
        <w:spacing w:after="0" w:line="256" w:lineRule="auto"/>
        <w:rPr>
          <w:sz w:val="20"/>
          <w:szCs w:val="20"/>
          <w:color w:val="auto"/>
        </w:rPr>
      </w:pPr>
      <w:r>
        <w:rPr>
          <w:rFonts w:ascii="Times New Roman" w:cs="Times New Roman" w:eastAsia="Times New Roman" w:hAnsi="Times New Roman"/>
          <w:sz w:val="19"/>
          <w:szCs w:val="19"/>
          <w:color w:val="auto"/>
        </w:rPr>
        <w:t xml:space="preserve">3.1 </w:t>
      </w: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Except as otherwise expressly provided herein or as required by law, the holders of Class A Common Stock, Class B Common Stock and Class C Common Stock will vote together and not as separate series or classes.</w:t>
      </w:r>
    </w:p>
    <w:p>
      <w:pPr>
        <w:spacing w:after="0" w:line="131" w:lineRule="exact"/>
        <w:rPr>
          <w:sz w:val="20"/>
          <w:szCs w:val="20"/>
          <w:color w:val="auto"/>
        </w:rPr>
      </w:pPr>
    </w:p>
    <w:p>
      <w:pPr>
        <w:ind w:firstLine="1273"/>
        <w:spacing w:after="0" w:line="230" w:lineRule="auto"/>
        <w:rPr>
          <w:sz w:val="20"/>
          <w:szCs w:val="20"/>
          <w:color w:val="auto"/>
        </w:rPr>
      </w:pPr>
      <w:r>
        <w:rPr>
          <w:rFonts w:ascii="Times New Roman" w:cs="Times New Roman" w:eastAsia="Times New Roman" w:hAnsi="Times New Roman"/>
          <w:sz w:val="19"/>
          <w:szCs w:val="19"/>
          <w:color w:val="auto"/>
        </w:rPr>
        <w:t xml:space="preserve">3.2 </w:t>
      </w:r>
      <w:r>
        <w:rPr>
          <w:rFonts w:ascii="Times New Roman" w:cs="Times New Roman" w:eastAsia="Times New Roman" w:hAnsi="Times New Roman"/>
          <w:sz w:val="19"/>
          <w:szCs w:val="19"/>
          <w:u w:val="single" w:color="auto"/>
          <w:color w:val="auto"/>
        </w:rPr>
        <w:t>Authorized Shares</w:t>
      </w:r>
      <w:r>
        <w:rPr>
          <w:rFonts w:ascii="Times New Roman" w:cs="Times New Roman" w:eastAsia="Times New Roman" w:hAnsi="Times New Roman"/>
          <w:sz w:val="19"/>
          <w:szCs w:val="19"/>
          <w:color w:val="auto"/>
        </w:rPr>
        <w:t>. The number of authorized shares of Common Stock or any class or series thereof may be increased or decreased (but not below (i) the number of shares of Common Stock or, in the case of a class or series of Common Stock, such class or</w:t>
      </w:r>
    </w:p>
    <w:p>
      <w:pPr>
        <w:spacing w:after="0" w:line="1"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9"/>
          <w:szCs w:val="19"/>
          <w:color w:val="auto"/>
        </w:rPr>
        <w:t xml:space="preserve">series, then outstanding plus (ii) with respect to Class A Common Stock, the number of shares reserved for issuance pursuant to </w:t>
      </w:r>
      <w:r>
        <w:rPr>
          <w:rFonts w:ascii="Times New Roman" w:cs="Times New Roman" w:eastAsia="Times New Roman" w:hAnsi="Times New Roman"/>
          <w:sz w:val="19"/>
          <w:szCs w:val="19"/>
          <w:u w:val="single" w:color="auto"/>
          <w:color w:val="auto"/>
        </w:rPr>
        <w:t>Section V.9</w:t>
      </w:r>
      <w:r>
        <w:rPr>
          <w:rFonts w:ascii="Times New Roman" w:cs="Times New Roman" w:eastAsia="Times New Roman" w:hAnsi="Times New Roman"/>
          <w:sz w:val="19"/>
          <w:szCs w:val="19"/>
          <w:color w:val="auto"/>
        </w:rPr>
        <w:t>) by the affirmative vote of the holders of the Class A Common Stock and Class B Common Stock, voting together as a single class, irrespective of</w:t>
      </w:r>
    </w:p>
    <w:p>
      <w:pPr>
        <w:spacing w:after="0" w:line="219" w:lineRule="auto"/>
        <w:rPr>
          <w:sz w:val="20"/>
          <w:szCs w:val="20"/>
          <w:color w:val="auto"/>
        </w:rPr>
      </w:pPr>
      <w:r>
        <w:rPr>
          <w:rFonts w:ascii="Times New Roman" w:cs="Times New Roman" w:eastAsia="Times New Roman" w:hAnsi="Times New Roman"/>
          <w:sz w:val="19"/>
          <w:szCs w:val="19"/>
          <w:color w:val="auto"/>
        </w:rPr>
        <w:t>any applicable provisions of NRS 78.207(3) and NRS 78.390(2); provided, that the number of authorized shares of Class B Common Stock</w:t>
      </w:r>
    </w:p>
    <w:p>
      <w:pPr>
        <w:spacing w:after="0" w:line="229" w:lineRule="auto"/>
        <w:rPr>
          <w:sz w:val="20"/>
          <w:szCs w:val="20"/>
          <w:color w:val="auto"/>
        </w:rPr>
      </w:pPr>
      <w:r>
        <w:rPr>
          <w:rFonts w:ascii="Times New Roman" w:cs="Times New Roman" w:eastAsia="Times New Roman" w:hAnsi="Times New Roman"/>
          <w:sz w:val="19"/>
          <w:szCs w:val="19"/>
          <w:color w:val="auto"/>
        </w:rPr>
        <w:t>shall not be increased without the affirmative vote of the holders of a majority of the outstanding shares of Class B Common Stock, voting as a separate class.</w:t>
      </w:r>
    </w:p>
    <w:p>
      <w:pPr>
        <w:spacing w:after="0" w:line="158" w:lineRule="exact"/>
        <w:rPr>
          <w:sz w:val="20"/>
          <w:szCs w:val="20"/>
          <w:color w:val="auto"/>
        </w:rPr>
      </w:pPr>
    </w:p>
    <w:p>
      <w:pPr>
        <w:ind w:left="1280"/>
        <w:spacing w:after="0"/>
        <w:tabs>
          <w:tab w:leader="none" w:pos="1880" w:val="left"/>
        </w:tabs>
        <w:rPr>
          <w:sz w:val="20"/>
          <w:szCs w:val="20"/>
          <w:color w:val="auto"/>
        </w:rPr>
      </w:pPr>
      <w:r>
        <w:rPr>
          <w:rFonts w:ascii="Times New Roman" w:cs="Times New Roman" w:eastAsia="Times New Roman" w:hAnsi="Times New Roman"/>
          <w:sz w:val="19"/>
          <w:szCs w:val="19"/>
          <w:color w:val="auto"/>
        </w:rPr>
        <w:t>3.3</w:t>
      </w:r>
      <w:r>
        <w:rPr>
          <w:sz w:val="20"/>
          <w:szCs w:val="20"/>
          <w:color w:val="auto"/>
        </w:rPr>
        <w:tab/>
      </w:r>
      <w:r>
        <w:rPr>
          <w:rFonts w:ascii="Times New Roman" w:cs="Times New Roman" w:eastAsia="Times New Roman" w:hAnsi="Times New Roman"/>
          <w:sz w:val="19"/>
          <w:szCs w:val="19"/>
          <w:u w:val="single" w:color="auto"/>
          <w:color w:val="auto"/>
        </w:rPr>
        <w:t>Election of Directors</w:t>
      </w:r>
      <w:r>
        <w:rPr>
          <w:rFonts w:ascii="Times New Roman" w:cs="Times New Roman" w:eastAsia="Times New Roman" w:hAnsi="Times New Roman"/>
          <w:sz w:val="19"/>
          <w:szCs w:val="19"/>
          <w:color w:val="auto"/>
        </w:rPr>
        <w:t>. Subject to any rights of the holders of any series of Preferred Stock to elect directors under</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specified circumstances, (i) prior to the Final Conversion Date, the holders of Class A Common Stock and Class B Common Stock, voting together as a single class, shall be entitled to elect and remove all directors of the Corporation, (ii) from and after the Final Conversion Date,</w:t>
      </w:r>
    </w:p>
    <w:p>
      <w:pPr>
        <w:spacing w:after="0" w:line="219" w:lineRule="auto"/>
        <w:rPr>
          <w:sz w:val="20"/>
          <w:szCs w:val="20"/>
          <w:color w:val="auto"/>
        </w:rPr>
      </w:pPr>
      <w:r>
        <w:rPr>
          <w:rFonts w:ascii="Times New Roman" w:cs="Times New Roman" w:eastAsia="Times New Roman" w:hAnsi="Times New Roman"/>
          <w:sz w:val="19"/>
          <w:szCs w:val="19"/>
          <w:color w:val="auto"/>
        </w:rPr>
        <w:t>until the Class C Conversion Date, if any, the holders of the Class A Common Stock, voting together as a single class, shall be entitled to elect</w:t>
      </w:r>
    </w:p>
    <w:p>
      <w:pPr>
        <w:spacing w:after="0" w:line="229" w:lineRule="auto"/>
        <w:rPr>
          <w:sz w:val="20"/>
          <w:szCs w:val="20"/>
          <w:color w:val="auto"/>
        </w:rPr>
      </w:pPr>
      <w:r>
        <w:rPr>
          <w:rFonts w:ascii="Times New Roman" w:cs="Times New Roman" w:eastAsia="Times New Roman" w:hAnsi="Times New Roman"/>
          <w:sz w:val="19"/>
          <w:szCs w:val="19"/>
          <w:color w:val="auto"/>
        </w:rPr>
        <w:t>and remove all directors of the Company and (iii) from and after the Class C Conversion Date, if any, the holders of Common Stock, voting together as a single class, shall be entitled to elect and remove all directors of the Company.</w:t>
      </w:r>
    </w:p>
    <w:p>
      <w:pPr>
        <w:spacing w:after="0" w:line="158" w:lineRule="exact"/>
        <w:rPr>
          <w:sz w:val="20"/>
          <w:szCs w:val="20"/>
          <w:color w:val="auto"/>
        </w:rPr>
      </w:pPr>
    </w:p>
    <w:p>
      <w:pPr>
        <w:jc w:val="both"/>
        <w:ind w:firstLine="643"/>
        <w:spacing w:after="0" w:line="229" w:lineRule="auto"/>
        <w:tabs>
          <w:tab w:leader="none" w:pos="1273"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Liquidation Rights</w:t>
      </w:r>
      <w:r>
        <w:rPr>
          <w:rFonts w:ascii="Times New Roman" w:cs="Times New Roman" w:eastAsia="Times New Roman" w:hAnsi="Times New Roman"/>
          <w:sz w:val="19"/>
          <w:szCs w:val="19"/>
          <w:color w:val="auto"/>
        </w:rPr>
        <w:t>. In the event of a Liquidation Event, subject to the rights of any Preferred Stock that may then be outstanding, the assets of the Corporation legally available for distribution to stockholders shall be distributed on an equal priority, pro rata basis to the holders of Common Stock, unless different treatment of the shares of each such class is approved by the affirmative vote of the holders of a majority of the outstanding shares of Class A Common Stock, Class B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7 of 13</w:t>
      </w:r>
    </w:p>
    <w:p>
      <w:pPr>
        <w:sectPr>
          <w:pgSz w:w="11900" w:h="16838" w:orient="portrait"/>
          <w:cols w:equalWidth="0" w:num="1">
            <w:col w:w="11240"/>
          </w:cols>
          <w:pgMar w:left="320" w:top="137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9"/>
          <w:szCs w:val="19"/>
          <w:color w:val="auto"/>
        </w:rPr>
        <w:t>Stock and Class C Common Stock, each voting separately as a class; provided, however, that for the avoidance of doubt, consideration to be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 xml:space="preserve">paid or received by a holder of Common Stock in connection with any Liquidation Event pursuant to any employment, consulting, severance or similar services arrangement shall not be deemed to be a “distribution to stockholders” for the purpose of this </w:t>
      </w:r>
      <w:r>
        <w:rPr>
          <w:rFonts w:ascii="Times New Roman" w:cs="Times New Roman" w:eastAsia="Times New Roman" w:hAnsi="Times New Roman"/>
          <w:sz w:val="19"/>
          <w:szCs w:val="19"/>
          <w:u w:val="single" w:color="auto"/>
          <w:color w:val="auto"/>
        </w:rPr>
        <w:t>Section V.4</w:t>
      </w:r>
      <w:r>
        <w:rPr>
          <w:rFonts w:ascii="Times New Roman" w:cs="Times New Roman" w:eastAsia="Times New Roman" w:hAnsi="Times New Roman"/>
          <w:sz w:val="19"/>
          <w:szCs w:val="19"/>
          <w:color w:val="auto"/>
        </w:rPr>
        <w:t>; provided, further,</w:t>
      </w:r>
    </w:p>
    <w:p>
      <w:pPr>
        <w:spacing w:after="0" w:line="219" w:lineRule="auto"/>
        <w:rPr>
          <w:sz w:val="20"/>
          <w:szCs w:val="20"/>
          <w:color w:val="auto"/>
        </w:rPr>
      </w:pPr>
      <w:r>
        <w:rPr>
          <w:rFonts w:ascii="Times New Roman" w:cs="Times New Roman" w:eastAsia="Times New Roman" w:hAnsi="Times New Roman"/>
          <w:sz w:val="19"/>
          <w:szCs w:val="19"/>
          <w:color w:val="auto"/>
        </w:rPr>
        <w:t>however, that shares of such classes may receive, or have the right to elect to receive, different or disproportionate consideration in connection</w:t>
      </w:r>
    </w:p>
    <w:p>
      <w:pPr>
        <w:spacing w:after="0" w:line="211" w:lineRule="auto"/>
        <w:rPr>
          <w:sz w:val="20"/>
          <w:szCs w:val="20"/>
          <w:color w:val="auto"/>
        </w:rPr>
      </w:pPr>
      <w:r>
        <w:rPr>
          <w:rFonts w:ascii="Times New Roman" w:cs="Times New Roman" w:eastAsia="Times New Roman" w:hAnsi="Times New Roman"/>
          <w:sz w:val="19"/>
          <w:szCs w:val="19"/>
          <w:color w:val="auto"/>
        </w:rPr>
        <w:t>with such consolidation, merger or other transaction if the only difference in the per share consideration to the holders of the Class A Common Stock, Class B Common Stock and Class C Common Stock is that any securities distributed to the holder of a share of Class B Common Stock</w:t>
      </w:r>
    </w:p>
    <w:p>
      <w:pPr>
        <w:spacing w:after="0" w:line="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9"/>
          <w:szCs w:val="19"/>
          <w:color w:val="auto"/>
        </w:rPr>
        <w:t>have ten (10) times the voting power of any securities distributed to the holder of a share of Class A Common Stock and that any securities distributed to the holder of a share of Class C Common Stock have no voting rights or power.</w:t>
      </w:r>
    </w:p>
    <w:p>
      <w:pPr>
        <w:spacing w:after="0" w:line="145" w:lineRule="exact"/>
        <w:rPr>
          <w:sz w:val="20"/>
          <w:szCs w:val="20"/>
          <w:color w:val="auto"/>
        </w:rPr>
      </w:pPr>
    </w:p>
    <w:p>
      <w:pPr>
        <w:ind w:left="1280" w:hanging="637"/>
        <w:spacing w:after="0"/>
        <w:tabs>
          <w:tab w:leader="none" w:pos="12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Conversion of the Class B Common Stock</w:t>
      </w:r>
      <w:r>
        <w:rPr>
          <w:rFonts w:ascii="Times New Roman" w:cs="Times New Roman" w:eastAsia="Times New Roman" w:hAnsi="Times New Roman"/>
          <w:sz w:val="19"/>
          <w:szCs w:val="19"/>
          <w:color w:val="auto"/>
        </w:rPr>
        <w:t>. The Class B Common Stock will be convertible into Class A Common Stock as</w:t>
      </w:r>
    </w:p>
    <w:p>
      <w:pPr>
        <w:spacing w:after="0" w:line="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follows:</w:t>
      </w:r>
    </w:p>
    <w:p>
      <w:pPr>
        <w:spacing w:after="0" w:line="171" w:lineRule="exact"/>
        <w:rPr>
          <w:sz w:val="20"/>
          <w:szCs w:val="20"/>
          <w:color w:val="auto"/>
        </w:rPr>
      </w:pPr>
    </w:p>
    <w:p>
      <w:pPr>
        <w:ind w:firstLine="1273"/>
        <w:spacing w:after="0" w:line="242" w:lineRule="auto"/>
        <w:rPr>
          <w:sz w:val="20"/>
          <w:szCs w:val="20"/>
          <w:color w:val="auto"/>
        </w:rPr>
      </w:pPr>
      <w:r>
        <w:rPr>
          <w:rFonts w:ascii="Times New Roman" w:cs="Times New Roman" w:eastAsia="Times New Roman" w:hAnsi="Times New Roman"/>
          <w:sz w:val="19"/>
          <w:szCs w:val="19"/>
          <w:color w:val="auto"/>
        </w:rPr>
        <w:t>5.1 Each share of Class B Common Stock will automatically convert into one fully paid and nonassessable share of Class A Common Stock on the Final Conversion Date.</w:t>
      </w:r>
    </w:p>
    <w:p>
      <w:pPr>
        <w:spacing w:after="0" w:line="156" w:lineRule="exact"/>
        <w:rPr>
          <w:sz w:val="20"/>
          <w:szCs w:val="20"/>
          <w:color w:val="auto"/>
        </w:rPr>
      </w:pPr>
    </w:p>
    <w:p>
      <w:pPr>
        <w:ind w:firstLine="1273"/>
        <w:spacing w:after="0" w:line="256" w:lineRule="auto"/>
        <w:rPr>
          <w:sz w:val="20"/>
          <w:szCs w:val="20"/>
          <w:color w:val="auto"/>
        </w:rPr>
      </w:pPr>
      <w:r>
        <w:rPr>
          <w:rFonts w:ascii="Times New Roman" w:cs="Times New Roman" w:eastAsia="Times New Roman" w:hAnsi="Times New Roman"/>
          <w:sz w:val="19"/>
          <w:szCs w:val="19"/>
          <w:color w:val="auto"/>
        </w:rPr>
        <w:t>5.2 With respect to any holder of Class B Common Stock, each share of Class B Common Stock held by such holder will automatically be converted into one fully paid and nonassessable share of Class A Common Stock, as follows:</w:t>
      </w:r>
    </w:p>
    <w:p>
      <w:pPr>
        <w:spacing w:after="0" w:line="131" w:lineRule="exact"/>
        <w:rPr>
          <w:sz w:val="20"/>
          <w:szCs w:val="20"/>
          <w:color w:val="auto"/>
        </w:rPr>
      </w:pPr>
    </w:p>
    <w:p>
      <w:pPr>
        <w:jc w:val="both"/>
        <w:ind w:firstLine="1916"/>
        <w:spacing w:after="0" w:line="238" w:lineRule="auto"/>
        <w:tabs>
          <w:tab w:leader="none" w:pos="2537"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affirmative written election of such holder or, if later, at the time or the happening of a future event specified in such written election (which election may be revoked by such holder prior to the date on which the automatic conversion would otherwise occur unless otherwise specified by such holder);</w:t>
      </w:r>
    </w:p>
    <w:p>
      <w:pPr>
        <w:spacing w:after="0" w:line="145" w:lineRule="exact"/>
        <w:rPr>
          <w:rFonts w:ascii="Times New Roman" w:cs="Times New Roman" w:eastAsia="Times New Roman" w:hAnsi="Times New Roman"/>
          <w:sz w:val="19"/>
          <w:szCs w:val="19"/>
          <w:color w:val="auto"/>
        </w:rPr>
      </w:pPr>
    </w:p>
    <w:p>
      <w:pPr>
        <w:ind w:left="2540" w:hanging="624"/>
        <w:spacing w:after="0"/>
        <w:tabs>
          <w:tab w:leader="none" w:pos="254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occurrence of a Transfer of such share of Class B Common Stock, other than a Permitted Transfer; or</w:t>
      </w:r>
    </w:p>
    <w:p>
      <w:pPr>
        <w:spacing w:after="0" w:line="192" w:lineRule="exact"/>
        <w:rPr>
          <w:rFonts w:ascii="Times New Roman" w:cs="Times New Roman" w:eastAsia="Times New Roman" w:hAnsi="Times New Roman"/>
          <w:sz w:val="19"/>
          <w:szCs w:val="19"/>
          <w:color w:val="auto"/>
        </w:rPr>
      </w:pPr>
    </w:p>
    <w:p>
      <w:pPr>
        <w:jc w:val="both"/>
        <w:ind w:firstLine="1916"/>
        <w:spacing w:after="0" w:line="227" w:lineRule="auto"/>
        <w:tabs>
          <w:tab w:leader="none" w:pos="2537"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Class B Common Stock held by a holder who is a natural person, or a Permitted Transferee or Permitted Entity of such natural person, upon the death of such natural person, provided, that solely with respect to each share of Class B Common Stock held of record by a Founder, such Founder’s Permitted Entities or by such Founder’s Permitted Transferees, upon the death or Disability of such Founder;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with respect to the shares of Class B Common Stock held of record by a Founder, such Founder’s Permitted Entities or such Founder’s Permitted Transferees, each share of Class B Common Stock held of record by such Founder, such Founder’s Permitted Entities or such Founder’s Permitted Transferees shall automatically convert into one (1) fully paid and nonassessable share of Class A Common Stock upon that date which is nine (9) months after the date of death or Disability of such Founder or such later date </w:t>
      </w:r>
      <w:r>
        <w:rPr>
          <w:rFonts w:ascii="Times New Roman" w:cs="Times New Roman" w:eastAsia="Times New Roman" w:hAnsi="Times New Roman"/>
          <w:sz w:val="19"/>
          <w:szCs w:val="19"/>
          <w:color w:val="auto"/>
          <w:highlight w:val="white"/>
        </w:rPr>
        <w:t xml:space="preserve">not to exceed a total period of eighteen (18) months after the date of death or Disability of such Founder as may be approved by a majority of the Independent Directors then in office, during which period Voting Control over such Founder’s shares (including shares held of record by </w:t>
      </w:r>
      <w:r>
        <w:rPr>
          <w:rFonts w:ascii="Times New Roman" w:cs="Times New Roman" w:eastAsia="Times New Roman" w:hAnsi="Times New Roman"/>
          <w:sz w:val="19"/>
          <w:szCs w:val="19"/>
          <w:color w:val="auto"/>
        </w:rPr>
        <w:t xml:space="preserve">such Founder’s Permitted Entities and Permitted Transferees) shall be exercised in accordance with any proxy or voting agreement entered into in accordance with </w:t>
      </w:r>
      <w:r>
        <w:rPr>
          <w:rFonts w:ascii="Times New Roman" w:cs="Times New Roman" w:eastAsia="Times New Roman" w:hAnsi="Times New Roman"/>
          <w:sz w:val="19"/>
          <w:szCs w:val="19"/>
          <w:u w:val="single" w:color="auto"/>
          <w:color w:val="auto"/>
        </w:rPr>
        <w:t>Section V.1.18</w:t>
      </w:r>
      <w:r>
        <w:rPr>
          <w:rFonts w:ascii="Times New Roman" w:cs="Times New Roman" w:eastAsia="Times New Roman" w:hAnsi="Times New Roman"/>
          <w:sz w:val="19"/>
          <w:szCs w:val="19"/>
          <w:color w:val="auto"/>
        </w:rPr>
        <w:t xml:space="preserve"> of these Articles or, if no such proxy or voting agreement is in place at the time of such death or Disability, a person (including a person serving as trustee) previously designated by the Founder and approved by the Board may exercise Voting Control over the Founder’s shares (including shares held of record by such Founder’s Permitted Entities and Permitted Transferees) of Class B Common </w:t>
      </w:r>
      <w:r>
        <w:rPr>
          <w:rFonts w:ascii="Times New Roman" w:cs="Times New Roman" w:eastAsia="Times New Roman" w:hAnsi="Times New Roman"/>
          <w:sz w:val="19"/>
          <w:szCs w:val="19"/>
          <w:color w:val="auto"/>
          <w:highlight w:val="white"/>
        </w:rPr>
        <w:t xml:space="preserve">Stock; </w:t>
      </w:r>
      <w:r>
        <w:rPr>
          <w:rFonts w:ascii="Times New Roman" w:cs="Times New Roman" w:eastAsia="Times New Roman" w:hAnsi="Times New Roman"/>
          <w:sz w:val="19"/>
          <w:szCs w:val="19"/>
          <w:i w:val="1"/>
          <w:iCs w:val="1"/>
          <w:u w:val="single" w:color="auto"/>
          <w:color w:val="auto"/>
          <w:highlight w:val="white"/>
        </w:rPr>
        <w:t>provided, further</w:t>
      </w:r>
      <w:r>
        <w:rPr>
          <w:rFonts w:ascii="Times New Roman" w:cs="Times New Roman" w:eastAsia="Times New Roman" w:hAnsi="Times New Roman"/>
          <w:sz w:val="19"/>
          <w:szCs w:val="19"/>
          <w:color w:val="auto"/>
          <w:highlight w:val="white"/>
        </w:rPr>
        <w:t xml:space="preserve">, that, if both Founders die and/or suffer a Disability simultaneously or the second Founder dies or suffers a Disability following the death or Disability of the other Founder, but prior to the conversion pursuant to this </w:t>
      </w:r>
      <w:r>
        <w:rPr>
          <w:rFonts w:ascii="Times New Roman" w:cs="Times New Roman" w:eastAsia="Times New Roman" w:hAnsi="Times New Roman"/>
          <w:sz w:val="19"/>
          <w:szCs w:val="19"/>
          <w:u w:val="single" w:color="auto"/>
          <w:color w:val="auto"/>
          <w:highlight w:val="white"/>
        </w:rPr>
        <w:t>Section V.5.2(c)</w:t>
      </w:r>
      <w:r>
        <w:rPr>
          <w:rFonts w:ascii="Times New Roman" w:cs="Times New Roman" w:eastAsia="Times New Roman" w:hAnsi="Times New Roman"/>
          <w:sz w:val="19"/>
          <w:szCs w:val="19"/>
          <w:color w:val="auto"/>
          <w:highlight w:val="white"/>
        </w:rPr>
        <w:t xml:space="preserve"> </w:t>
      </w:r>
      <w:r>
        <w:rPr>
          <w:rFonts w:ascii="Times New Roman" w:cs="Times New Roman" w:eastAsia="Times New Roman" w:hAnsi="Times New Roman"/>
          <w:sz w:val="19"/>
          <w:szCs w:val="19"/>
          <w:color w:val="auto"/>
        </w:rPr>
        <w:t>of the shares of Class B</w:t>
      </w:r>
      <w:r>
        <w:rPr>
          <w:rFonts w:ascii="Times New Roman" w:cs="Times New Roman" w:eastAsia="Times New Roman" w:hAnsi="Times New Roman"/>
          <w:sz w:val="19"/>
          <w:szCs w:val="19"/>
          <w:color w:val="auto"/>
          <w:highlight w:val="white"/>
        </w:rPr>
        <w:t xml:space="preserve"> Common Stock held of record by such first Founder to die or become Disabled, his Permitted Entities or his Permitted Transferees, a person (including a person serving as trustee) previously designated by the Founders and approved by the Board may exercise Voting Control over the </w:t>
      </w:r>
      <w:r>
        <w:rPr>
          <w:rFonts w:ascii="Times New Roman" w:cs="Times New Roman" w:eastAsia="Times New Roman" w:hAnsi="Times New Roman"/>
          <w:sz w:val="19"/>
          <w:szCs w:val="19"/>
          <w:color w:val="auto"/>
        </w:rPr>
        <w:t xml:space="preserve">Founders’ shares of Class B Common Stock (including shares held of record by such Founder’s Permitted Entities and Permitted Transferees) and, in such instance, each such share of Class B Common Stock shall automatically convert into one (1) fully paid and nonassessable share of </w:t>
      </w:r>
      <w:r>
        <w:rPr>
          <w:rFonts w:ascii="Times New Roman" w:cs="Times New Roman" w:eastAsia="Times New Roman" w:hAnsi="Times New Roman"/>
          <w:sz w:val="19"/>
          <w:szCs w:val="19"/>
          <w:color w:val="auto"/>
          <w:highlight w:val="white"/>
        </w:rPr>
        <w:t>Class A Common Stock (and the Final Conversion Date shall occur) upon that date which is nine (9) months after the date upon which both Founders died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-2120900</wp:posOffset>
            </wp:positionV>
            <wp:extent cx="7134860" cy="387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3873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-1497330</wp:posOffset>
            </wp:positionV>
            <wp:extent cx="7125970" cy="5054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5970" cy="505460"/>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-882650</wp:posOffset>
            </wp:positionV>
            <wp:extent cx="1280160" cy="134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0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-511810</wp:posOffset>
            </wp:positionV>
            <wp:extent cx="7125970" cy="260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5970" cy="260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8 of 13</w:t>
      </w:r>
    </w:p>
    <w:p>
      <w:pPr>
        <w:sectPr>
          <w:pgSz w:w="11900" w:h="16838" w:orient="portrait"/>
          <w:cols w:equalWidth="0" w:num="1">
            <w:col w:w="11240"/>
          </w:cols>
          <w:pgMar w:left="320" w:top="1377" w:right="339" w:bottom="1440" w:gutter="0" w:footer="0" w:header="0"/>
        </w:sectPr>
      </w:pPr>
    </w:p>
    <w:bookmarkStart w:id="11" w:name="page12"/>
    <w:bookmarkEnd w:id="11"/>
    <w:p>
      <w:pPr>
        <w:spacing w:after="0" w:line="256" w:lineRule="auto"/>
        <w:rPr>
          <w:sz w:val="20"/>
          <w:szCs w:val="20"/>
          <w:color w:val="auto"/>
        </w:rPr>
      </w:pPr>
      <w:r>
        <w:rPr>
          <w:rFonts w:ascii="Times New Roman" w:cs="Times New Roman" w:eastAsia="Times New Roman" w:hAnsi="Times New Roman"/>
          <w:sz w:val="19"/>
          <w:szCs w:val="19"/>
          <w:color w:val="auto"/>
        </w:rPr>
        <w:t>suffered a Disability, or such later date not to exceed a total period of eighteen (18) months after the last applicable death or Disability as may be approved by a majority of the Independent Directors then in office.</w:t>
      </w:r>
    </w:p>
    <w:p>
      <w:pPr>
        <w:spacing w:after="0" w:line="131" w:lineRule="exact"/>
        <w:rPr>
          <w:sz w:val="20"/>
          <w:szCs w:val="20"/>
          <w:color w:val="auto"/>
        </w:rPr>
      </w:pPr>
    </w:p>
    <w:p>
      <w:pPr>
        <w:jc w:val="both"/>
        <w:ind w:firstLine="643"/>
        <w:spacing w:after="0" w:line="227" w:lineRule="auto"/>
        <w:tabs>
          <w:tab w:leader="none" w:pos="1273"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Conversion of the Class C Common Stock</w:t>
      </w:r>
      <w:r>
        <w:rPr>
          <w:rFonts w:ascii="Times New Roman" w:cs="Times New Roman" w:eastAsia="Times New Roman" w:hAnsi="Times New Roman"/>
          <w:sz w:val="19"/>
          <w:szCs w:val="19"/>
          <w:color w:val="auto"/>
        </w:rPr>
        <w:t>. Following the conversion or other exchange of all outstanding shares of Class B Common Stock into or for shares of Class A Common Stock, on the date or time (including a time determined by the happening of a future event) specified by the holders of a majority of the outstanding shares of Class A Common Stock, voting as a separate class (the “</w:t>
      </w:r>
      <w:r>
        <w:rPr>
          <w:rFonts w:ascii="Times New Roman" w:cs="Times New Roman" w:eastAsia="Times New Roman" w:hAnsi="Times New Roman"/>
          <w:sz w:val="19"/>
          <w:szCs w:val="19"/>
          <w:b w:val="1"/>
          <w:bCs w:val="1"/>
          <w:i w:val="1"/>
          <w:iCs w:val="1"/>
          <w:color w:val="auto"/>
        </w:rPr>
        <w:t>Class 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Conversion Date</w:t>
      </w:r>
      <w:r>
        <w:rPr>
          <w:rFonts w:ascii="Times New Roman" w:cs="Times New Roman" w:eastAsia="Times New Roman" w:hAnsi="Times New Roman"/>
          <w:sz w:val="19"/>
          <w:szCs w:val="19"/>
          <w:color w:val="auto"/>
        </w:rPr>
        <w:t>”), each outstanding share of Class C Capital Stock shall automatically, without further action by the Corporation or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holders thereof, convert into one (1) fully paid and nonassessable share of Class A Common Stock.</w:t>
      </w:r>
    </w:p>
    <w:p>
      <w:pPr>
        <w:spacing w:after="0" w:line="160" w:lineRule="exact"/>
        <w:rPr>
          <w:rFonts w:ascii="Times New Roman" w:cs="Times New Roman" w:eastAsia="Times New Roman" w:hAnsi="Times New Roman"/>
          <w:sz w:val="19"/>
          <w:szCs w:val="19"/>
          <w:color w:val="auto"/>
        </w:rPr>
      </w:pPr>
    </w:p>
    <w:p>
      <w:pPr>
        <w:jc w:val="both"/>
        <w:ind w:firstLine="643"/>
        <w:spacing w:after="0" w:line="222" w:lineRule="auto"/>
        <w:tabs>
          <w:tab w:leader="none" w:pos="1273"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Procedures</w:t>
      </w:r>
      <w:r>
        <w:rPr>
          <w:rFonts w:ascii="Times New Roman" w:cs="Times New Roman" w:eastAsia="Times New Roman" w:hAnsi="Times New Roman"/>
          <w:sz w:val="19"/>
          <w:szCs w:val="19"/>
          <w:color w:val="auto"/>
        </w:rPr>
        <w:t>. The Corporation may, from time to time, establish such policies and procedures relating to the conversion of the Class B Common Stock to Class A Common Stock, the conversion of Class C Common Stock into Class A Common Stock and the general administration of this multi-class stock structure, including the issuance of stock certificates with respect thereto, as it may deem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Corporation as to whether or not a Transfer has occurred and results in a conversion to Class A Common Stock shall be conclusive and binding.</w:t>
      </w:r>
    </w:p>
    <w:p>
      <w:pPr>
        <w:spacing w:after="0" w:line="150" w:lineRule="exact"/>
        <w:rPr>
          <w:rFonts w:ascii="Times New Roman" w:cs="Times New Roman" w:eastAsia="Times New Roman" w:hAnsi="Times New Roman"/>
          <w:sz w:val="19"/>
          <w:szCs w:val="19"/>
          <w:color w:val="auto"/>
        </w:rPr>
      </w:pPr>
    </w:p>
    <w:p>
      <w:pPr>
        <w:jc w:val="both"/>
        <w:ind w:firstLine="643"/>
        <w:spacing w:after="0" w:line="220" w:lineRule="auto"/>
        <w:tabs>
          <w:tab w:leader="none" w:pos="1273"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Immediate Effect</w:t>
      </w:r>
      <w:r>
        <w:rPr>
          <w:rFonts w:ascii="Times New Roman" w:cs="Times New Roman" w:eastAsia="Times New Roman" w:hAnsi="Times New Roman"/>
          <w:sz w:val="19"/>
          <w:szCs w:val="19"/>
          <w:color w:val="auto"/>
        </w:rPr>
        <w:t xml:space="preserve">. In the event of and upon a conversion of shares of Class B Common Stock to shares of Class A Common Stock pursuant to </w:t>
      </w:r>
      <w:r>
        <w:rPr>
          <w:rFonts w:ascii="Times New Roman" w:cs="Times New Roman" w:eastAsia="Times New Roman" w:hAnsi="Times New Roman"/>
          <w:sz w:val="19"/>
          <w:szCs w:val="19"/>
          <w:u w:val="single" w:color="auto"/>
          <w:color w:val="auto"/>
        </w:rPr>
        <w:t>Section V.5</w:t>
      </w:r>
      <w:r>
        <w:rPr>
          <w:rFonts w:ascii="Times New Roman" w:cs="Times New Roman" w:eastAsia="Times New Roman" w:hAnsi="Times New Roman"/>
          <w:sz w:val="19"/>
          <w:szCs w:val="19"/>
          <w:color w:val="auto"/>
        </w:rPr>
        <w:t xml:space="preserve"> or Class C Common Stock to Class A Common Stock pursuant to </w:t>
      </w:r>
      <w:r>
        <w:rPr>
          <w:rFonts w:ascii="Times New Roman" w:cs="Times New Roman" w:eastAsia="Times New Roman" w:hAnsi="Times New Roman"/>
          <w:sz w:val="19"/>
          <w:szCs w:val="19"/>
          <w:u w:val="single" w:color="auto"/>
          <w:color w:val="auto"/>
        </w:rPr>
        <w:t>Section V.6</w:t>
      </w:r>
      <w:r>
        <w:rPr>
          <w:rFonts w:ascii="Times New Roman" w:cs="Times New Roman" w:eastAsia="Times New Roman" w:hAnsi="Times New Roman"/>
          <w:sz w:val="19"/>
          <w:szCs w:val="19"/>
          <w:color w:val="auto"/>
        </w:rPr>
        <w:t>, as applicable, such conversion(s) shall be deemed to have been made at the time that the Transfer of shares, death or Disability, as applicable, occurred (in the case of a conversion of Class B Common Stock to Class A Common Stock) or immediately upon the Final Conversion Date (in the case of the conversion of Class B Common Stock into Class A Common Stock) or immediately upon the Class C Conversion Date (in the case of the conversion of Class C Common Stock into Class A Common Stock), if any, subject in all cases to any transition periods specifically provided for in these Articles. Upon any conversion of Class B Common Stock or Class C Common Stock to Class A Common Stock in accordance with these Articles, all rights of the holder of shares of Class B Common Stock or Class C Common Stock shall cease and the person or persons in whose names or names the certificate or certificates representing the shares of Class A Common Stock are to be issued shall be treated for all purposes as having become the record holder or holders of such shares of Class A Common Stock.</w:t>
      </w:r>
    </w:p>
    <w:p>
      <w:pPr>
        <w:spacing w:after="0" w:line="159" w:lineRule="exact"/>
        <w:rPr>
          <w:rFonts w:ascii="Times New Roman" w:cs="Times New Roman" w:eastAsia="Times New Roman" w:hAnsi="Times New Roman"/>
          <w:sz w:val="19"/>
          <w:szCs w:val="19"/>
          <w:color w:val="auto"/>
        </w:rPr>
      </w:pPr>
    </w:p>
    <w:p>
      <w:pPr>
        <w:jc w:val="both"/>
        <w:ind w:firstLine="643"/>
        <w:spacing w:after="0"/>
        <w:tabs>
          <w:tab w:leader="none" w:pos="1273"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Reservation of Stock Issuable Upon Conversion</w:t>
      </w:r>
      <w:r>
        <w:rPr>
          <w:rFonts w:ascii="Times New Roman" w:cs="Times New Roman" w:eastAsia="Times New Roman" w:hAnsi="Times New Roman"/>
          <w:sz w:val="19"/>
          <w:szCs w:val="19"/>
          <w:color w:val="auto"/>
        </w:rPr>
        <w:t>. The Corporation will at all times reserve and keep available out of its authorized but unissued shares of Class A Common Stock, solely for the purpose of effecting the conversion of the shares of the Class B Common Stock and the Class C Common Stock, as applicable, such number of its shares of Class A Common Stock as shall from time to time be sufficient to effect the conversion of all outstanding shares of Class B Common Stock and Class C Common Stock, as applicable; and if at any time the number of authorized but unissued shares of Class A Common Stock will not be sufficient to effect the conversion of all then-outstanding shares of Class B Common Stock and Class C Common Stock, as applicable, the Corporation will take such corporate action as may, in the opinion of its counsel, be necessary to increase its authorized but unissued shares of Class A Common Stock to such number of shares as will be sufficient for such purpose.</w:t>
      </w:r>
    </w:p>
    <w:p>
      <w:pPr>
        <w:spacing w:after="0" w:line="234" w:lineRule="exact"/>
        <w:rPr>
          <w:rFonts w:ascii="Times New Roman" w:cs="Times New Roman" w:eastAsia="Times New Roman" w:hAnsi="Times New Roman"/>
          <w:sz w:val="19"/>
          <w:szCs w:val="19"/>
          <w:color w:val="auto"/>
        </w:rPr>
      </w:pPr>
    </w:p>
    <w:p>
      <w:pPr>
        <w:jc w:val="both"/>
        <w:ind w:firstLine="643"/>
        <w:spacing w:after="0" w:line="233" w:lineRule="auto"/>
        <w:tabs>
          <w:tab w:leader="none" w:pos="1264"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Reissuance of Class B Common Stock</w:t>
      </w:r>
      <w:r>
        <w:rPr>
          <w:rFonts w:ascii="Times New Roman" w:cs="Times New Roman" w:eastAsia="Times New Roman" w:hAnsi="Times New Roman"/>
          <w:sz w:val="19"/>
          <w:szCs w:val="19"/>
          <w:color w:val="auto"/>
        </w:rPr>
        <w:t>. No share or shares of Class B Common Stock acquired by the Corporation by reason of redemption, purchase, conversion or otherwise shall be reissued, and all such shares shall be cancelled, retired and eliminated from the shares that the Corporation shall be authorized to issue.</w:t>
      </w:r>
    </w:p>
    <w:p>
      <w:pPr>
        <w:spacing w:after="0" w:line="159" w:lineRule="exact"/>
        <w:rPr>
          <w:rFonts w:ascii="Times New Roman" w:cs="Times New Roman" w:eastAsia="Times New Roman" w:hAnsi="Times New Roman"/>
          <w:sz w:val="19"/>
          <w:szCs w:val="19"/>
          <w:color w:val="auto"/>
        </w:rPr>
      </w:pPr>
    </w:p>
    <w:p>
      <w:pPr>
        <w:jc w:val="both"/>
        <w:ind w:firstLine="643"/>
        <w:spacing w:after="0" w:line="233" w:lineRule="auto"/>
        <w:tabs>
          <w:tab w:leader="none" w:pos="1257"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Preemptive Rights</w:t>
      </w:r>
      <w:r>
        <w:rPr>
          <w:rFonts w:ascii="Times New Roman" w:cs="Times New Roman" w:eastAsia="Times New Roman" w:hAnsi="Times New Roman"/>
          <w:sz w:val="19"/>
          <w:szCs w:val="19"/>
          <w:color w:val="auto"/>
        </w:rPr>
        <w:t>. No stockholder of the Corporation shall have a right to purchase shares of capital stock of the Corporation sold or issued by the Corporation except to the extent that such a right may from time to time be set forth in a written agreement between the Corporation and a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9 of 13</w:t>
      </w:r>
    </w:p>
    <w:p>
      <w:pPr>
        <w:sectPr>
          <w:pgSz w:w="11900" w:h="16838" w:orient="portrait"/>
          <w:cols w:equalWidth="0" w:num="1">
            <w:col w:w="11240"/>
          </w:cols>
          <w:pgMar w:left="320" w:top="1377" w:right="339" w:bottom="1440" w:gutter="0" w:footer="0" w:header="0"/>
        </w:sectPr>
      </w:pPr>
    </w:p>
    <w:bookmarkStart w:id="12" w:name="page13"/>
    <w:bookmarkEnd w:id="12"/>
    <w:p>
      <w:pPr>
        <w:jc w:val="both"/>
        <w:ind w:firstLine="643"/>
        <w:spacing w:after="0" w:line="233" w:lineRule="auto"/>
        <w:tabs>
          <w:tab w:leader="none" w:pos="1264"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Class B Protective Provisions</w:t>
      </w:r>
      <w:r>
        <w:rPr>
          <w:rFonts w:ascii="Times New Roman" w:cs="Times New Roman" w:eastAsia="Times New Roman" w:hAnsi="Times New Roman"/>
          <w:sz w:val="19"/>
          <w:szCs w:val="19"/>
          <w:color w:val="auto"/>
        </w:rPr>
        <w:t>. Prior to the Final Conversion Date, the Corporation shall not, without the prior affirmative vote of the holders of a majority of the outstanding shares of Class B Common Stock, voting as a separate class, in addition to any other vote required by applicable law or these Articles:</w:t>
      </w:r>
    </w:p>
    <w:p>
      <w:pPr>
        <w:spacing w:after="0" w:line="160"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9"/>
          <w:szCs w:val="19"/>
          <w:color w:val="auto"/>
        </w:rPr>
        <w:t>12.1</w:t>
        <w:tab/>
        <w:t>directly or indirectly, whether by amendment, or through merger, recapitalization, consolidation or otherwise, amend or</w:t>
      </w:r>
    </w:p>
    <w:p>
      <w:pPr>
        <w:spacing w:after="0" w:line="3"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9"/>
          <w:szCs w:val="19"/>
          <w:color w:val="auto"/>
        </w:rPr>
        <w:t>repeal, or adopt any provision of these Articles inconsistent with, or otherwise alter, any provision of these Articles that modifies the voting, conversion or other rights, powers, preferences, privileges or restrictions of the Class B Common Stock;</w:t>
      </w:r>
    </w:p>
    <w:p>
      <w:pPr>
        <w:spacing w:after="0" w:line="158" w:lineRule="exact"/>
        <w:rPr>
          <w:sz w:val="20"/>
          <w:szCs w:val="20"/>
          <w:color w:val="auto"/>
        </w:rPr>
      </w:pPr>
    </w:p>
    <w:p>
      <w:pPr>
        <w:ind w:firstLine="1273"/>
        <w:spacing w:after="0" w:line="223" w:lineRule="auto"/>
        <w:rPr>
          <w:sz w:val="20"/>
          <w:szCs w:val="20"/>
          <w:color w:val="auto"/>
        </w:rPr>
      </w:pPr>
      <w:r>
        <w:rPr>
          <w:rFonts w:ascii="Times New Roman" w:cs="Times New Roman" w:eastAsia="Times New Roman" w:hAnsi="Times New Roman"/>
          <w:sz w:val="19"/>
          <w:szCs w:val="19"/>
          <w:color w:val="auto"/>
        </w:rPr>
        <w:t>12.2 reclassify any outstanding shares of Class A Common Stock or Class C Common Stock into shares having rights as to dividends or liquidation that are senior to the Class B Common Stock or, in the case of Class A Common Stock, the right to have more than one</w:t>
      </w:r>
    </w:p>
    <w:p>
      <w:pPr>
        <w:spacing w:after="0" w:line="1" w:lineRule="exact"/>
        <w:rPr>
          <w:sz w:val="20"/>
          <w:szCs w:val="20"/>
          <w:color w:val="auto"/>
        </w:rPr>
      </w:pPr>
    </w:p>
    <w:p>
      <w:pPr>
        <w:ind w:firstLine="6"/>
        <w:spacing w:after="0" w:line="236" w:lineRule="auto"/>
        <w:tabs>
          <w:tab w:leader="none" w:pos="276"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vote for each share thereof and, in the case of Class C Common Stock, the right to have any vote for any share thereof, except as required by law;</w:t>
      </w:r>
    </w:p>
    <w:p>
      <w:pPr>
        <w:spacing w:after="0" w:line="159" w:lineRule="exact"/>
        <w:rPr>
          <w:sz w:val="20"/>
          <w:szCs w:val="20"/>
          <w:color w:val="auto"/>
        </w:rPr>
      </w:pPr>
    </w:p>
    <w:p>
      <w:pPr>
        <w:ind w:firstLine="1273"/>
        <w:spacing w:after="0" w:line="223" w:lineRule="auto"/>
        <w:rPr>
          <w:sz w:val="20"/>
          <w:szCs w:val="20"/>
          <w:color w:val="auto"/>
        </w:rPr>
      </w:pPr>
      <w:r>
        <w:rPr>
          <w:rFonts w:ascii="Times New Roman" w:cs="Times New Roman" w:eastAsia="Times New Roman" w:hAnsi="Times New Roman"/>
          <w:sz w:val="19"/>
          <w:szCs w:val="19"/>
          <w:color w:val="auto"/>
        </w:rPr>
        <w:t>12.3 issue any shares of Class B Common Stock (other than shares of Class B Common Stock originally issued by the Corporation after the IPO Date pursuant to the exercise or conversion of options or warrants or settlement of RSUs that, in each case,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outstanding as of the IPO Date);</w:t>
      </w:r>
    </w:p>
    <w:p>
      <w:pPr>
        <w:spacing w:after="0" w:line="171" w:lineRule="exact"/>
        <w:rPr>
          <w:sz w:val="20"/>
          <w:szCs w:val="20"/>
          <w:color w:val="auto"/>
        </w:rPr>
      </w:pPr>
    </w:p>
    <w:p>
      <w:pPr>
        <w:ind w:firstLine="1273"/>
        <w:spacing w:after="0" w:line="242" w:lineRule="auto"/>
        <w:rPr>
          <w:sz w:val="20"/>
          <w:szCs w:val="20"/>
          <w:color w:val="auto"/>
        </w:rPr>
      </w:pPr>
      <w:r>
        <w:rPr>
          <w:rFonts w:ascii="Times New Roman" w:cs="Times New Roman" w:eastAsia="Times New Roman" w:hAnsi="Times New Roman"/>
          <w:sz w:val="19"/>
          <w:szCs w:val="19"/>
          <w:color w:val="auto"/>
        </w:rPr>
        <w:t>12.4 authorize, or issue any shares of, any class or series of capital stock of the Corporation having the right to more than (1) vote for each share thereof; or</w:t>
      </w:r>
    </w:p>
    <w:p>
      <w:pPr>
        <w:spacing w:after="0" w:line="156" w:lineRule="exact"/>
        <w:rPr>
          <w:sz w:val="20"/>
          <w:szCs w:val="20"/>
          <w:color w:val="auto"/>
        </w:rPr>
      </w:pPr>
    </w:p>
    <w:p>
      <w:pPr>
        <w:ind w:left="1280"/>
        <w:spacing w:after="0"/>
        <w:tabs>
          <w:tab w:leader="none" w:pos="1900" w:val="left"/>
        </w:tabs>
        <w:rPr>
          <w:sz w:val="20"/>
          <w:szCs w:val="20"/>
          <w:color w:val="auto"/>
        </w:rPr>
      </w:pPr>
      <w:r>
        <w:rPr>
          <w:rFonts w:ascii="Times New Roman" w:cs="Times New Roman" w:eastAsia="Times New Roman" w:hAnsi="Times New Roman"/>
          <w:sz w:val="19"/>
          <w:szCs w:val="19"/>
          <w:color w:val="auto"/>
        </w:rPr>
        <w:t>12.5</w:t>
        <w:tab/>
        <w:t>consummate a Liquidation Event.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ARTICLE VI</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197" w:lineRule="exact"/>
        <w:rPr>
          <w:sz w:val="20"/>
          <w:szCs w:val="20"/>
          <w:color w:val="auto"/>
        </w:rPr>
      </w:pPr>
    </w:p>
    <w:p>
      <w:pPr>
        <w:jc w:val="both"/>
        <w:ind w:firstLine="643"/>
        <w:spacing w:after="0" w:line="229" w:lineRule="auto"/>
        <w:tabs>
          <w:tab w:leader="none" w:pos="1264"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Rights of Preferred Stock</w:t>
      </w:r>
      <w:r>
        <w:rPr>
          <w:rFonts w:ascii="Times New Roman" w:cs="Times New Roman" w:eastAsia="Times New Roman" w:hAnsi="Times New Roman"/>
          <w:sz w:val="19"/>
          <w:szCs w:val="19"/>
          <w:color w:val="auto"/>
        </w:rPr>
        <w:t>. The Board is authorized, subject to any limitations prescribed by law, to provide for the issuance of shares of Preferred Stock in series, and by filing a certificate of designation pursuant to NRS 78.1955 (such certificate being hereinafter referred to as a “</w:t>
      </w:r>
      <w:r>
        <w:rPr>
          <w:rFonts w:ascii="Times New Roman" w:cs="Times New Roman" w:eastAsia="Times New Roman" w:hAnsi="Times New Roman"/>
          <w:sz w:val="19"/>
          <w:szCs w:val="19"/>
          <w:b w:val="1"/>
          <w:bCs w:val="1"/>
          <w:i w:val="1"/>
          <w:iCs w:val="1"/>
          <w:color w:val="auto"/>
        </w:rPr>
        <w:t>Preferred Stock Designation</w:t>
      </w:r>
      <w:r>
        <w:rPr>
          <w:rFonts w:ascii="Times New Roman" w:cs="Times New Roman" w:eastAsia="Times New Roman" w:hAnsi="Times New Roman"/>
          <w:sz w:val="19"/>
          <w:szCs w:val="19"/>
          <w:color w:val="auto"/>
        </w:rPr>
        <w:t>”), to establish from time to time the number of shares to be included in each such series, and to fix the designation, powers, preferences, and rights of the shares of each such series and any qualifications, limitations or restrictions thereof.</w:t>
      </w:r>
    </w:p>
    <w:p>
      <w:pPr>
        <w:spacing w:after="0" w:line="147" w:lineRule="exact"/>
        <w:rPr>
          <w:rFonts w:ascii="Times New Roman" w:cs="Times New Roman" w:eastAsia="Times New Roman" w:hAnsi="Times New Roman"/>
          <w:sz w:val="19"/>
          <w:szCs w:val="19"/>
          <w:color w:val="auto"/>
        </w:rPr>
      </w:pPr>
    </w:p>
    <w:p>
      <w:pPr>
        <w:jc w:val="both"/>
        <w:ind w:firstLine="643"/>
        <w:spacing w:after="0" w:line="226" w:lineRule="auto"/>
        <w:tabs>
          <w:tab w:leader="none" w:pos="1264"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Vote to Increase or Decrease Authorized Shares</w:t>
      </w:r>
      <w:r>
        <w:rPr>
          <w:rFonts w:ascii="Times New Roman" w:cs="Times New Roman" w:eastAsia="Times New Roman" w:hAnsi="Times New Roman"/>
          <w:sz w:val="19"/>
          <w:szCs w:val="19"/>
          <w:color w:val="auto"/>
        </w:rPr>
        <w:t>. The number of authorized shares of Preferred Stock may be increased or decreased (but not below the number of shares thereof then outstanding) by the affirmative vote of the holders of the outstanding shares of stock of the Corporation entitled to vote thereon, without a vote of the holders of the Preferred Stock, or of any series thereof, unless a vote of any such holders is required pursuant to the terms of any Preferred Stock Designation, irrespective of any applicable provisions of NRS 78.207(3) and NRS 78.390(2) (and, except as set forth in any Preferred Stock Designation, any right to vote thereon as a separate class pursuant to NRS 78.207(3) and NRS 78.390(2) is hereby specifically denied).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ARTICLE VII</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BOARD OF DIRECTORS</w:t>
      </w:r>
    </w:p>
    <w:p>
      <w:pPr>
        <w:spacing w:after="0" w:line="192" w:lineRule="exact"/>
        <w:rPr>
          <w:sz w:val="20"/>
          <w:szCs w:val="20"/>
          <w:color w:val="auto"/>
        </w:rPr>
      </w:pPr>
    </w:p>
    <w:p>
      <w:pPr>
        <w:jc w:val="both"/>
        <w:ind w:firstLine="643"/>
        <w:spacing w:after="0" w:line="226" w:lineRule="auto"/>
        <w:tabs>
          <w:tab w:leader="none" w:pos="1264"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Board Size</w:t>
      </w:r>
      <w:r>
        <w:rPr>
          <w:rFonts w:ascii="Times New Roman" w:cs="Times New Roman" w:eastAsia="Times New Roman" w:hAnsi="Times New Roman"/>
          <w:sz w:val="19"/>
          <w:szCs w:val="19"/>
          <w:color w:val="auto"/>
        </w:rPr>
        <w:t>. Subject to the rights of the holders of any series of Preferred Stock to elect additional directors under specified circumstances, the number of directors that constitutes the entire Board shall be fixed by, or in the manner provided in, the bylaws of the Corporation (as amended and/or restated from time to time, the “</w:t>
      </w:r>
      <w:r>
        <w:rPr>
          <w:rFonts w:ascii="Times New Roman" w:cs="Times New Roman" w:eastAsia="Times New Roman" w:hAnsi="Times New Roman"/>
          <w:sz w:val="19"/>
          <w:szCs w:val="19"/>
          <w:b w:val="1"/>
          <w:bCs w:val="1"/>
          <w:i w:val="1"/>
          <w:iCs w:val="1"/>
          <w:color w:val="auto"/>
        </w:rPr>
        <w:t>Bylaws</w:t>
      </w:r>
      <w:r>
        <w:rPr>
          <w:rFonts w:ascii="Times New Roman" w:cs="Times New Roman" w:eastAsia="Times New Roman" w:hAnsi="Times New Roman"/>
          <w:sz w:val="19"/>
          <w:szCs w:val="19"/>
          <w:color w:val="auto"/>
        </w:rPr>
        <w:t>”). At each annual meeting of stockholders, directors of the Corporation shall be elected to hold office until the expiration of the term for which they are elected and until their successors have been duly elected and qualified or until their earlier resignation or removal; except that if any such election shall not be so held, such election shall take place at a stockholders’ meeting called and held in accordance with the NRS.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10 of 13</w:t>
      </w:r>
    </w:p>
    <w:p>
      <w:pPr>
        <w:sectPr>
          <w:pgSz w:w="11900" w:h="16838" w:orient="portrait"/>
          <w:cols w:equalWidth="0" w:num="1">
            <w:col w:w="11240"/>
          </w:cols>
          <w:pgMar w:left="320" w:top="1377" w:right="339" w:bottom="1440" w:gutter="0" w:footer="0" w:header="0"/>
        </w:sectPr>
      </w:pPr>
    </w:p>
    <w:bookmarkStart w:id="13" w:name="page14"/>
    <w:bookmarkEnd w:id="13"/>
    <w:p>
      <w:pPr>
        <w:jc w:val="both"/>
        <w:ind w:firstLine="643"/>
        <w:spacing w:after="0" w:line="229" w:lineRule="auto"/>
        <w:tabs>
          <w:tab w:leader="none" w:pos="1264"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Board Structure</w:t>
      </w:r>
      <w:r>
        <w:rPr>
          <w:rFonts w:ascii="Times New Roman" w:cs="Times New Roman" w:eastAsia="Times New Roman" w:hAnsi="Times New Roman"/>
          <w:sz w:val="19"/>
          <w:szCs w:val="19"/>
          <w:color w:val="auto"/>
        </w:rPr>
        <w:t>. From and after the Voting Threshold Date, the directors, other than any who may be elected by the holders of any series of Preferred Stock under specified circumstances, shall be divided into three (3) classes as nearly equal in size as is practicable, hereby designated Class I, Class II and Class III. The Board may assign members of the Board already in office to such classes at the time such classification becomes effective. The term of office of the initial Class I directors shall expire at the first regularly-scheduled annual meeting of the stockholders following the date on which the classified Board becomes effective (the “</w:t>
      </w:r>
      <w:r>
        <w:rPr>
          <w:rFonts w:ascii="Times New Roman" w:cs="Times New Roman" w:eastAsia="Times New Roman" w:hAnsi="Times New Roman"/>
          <w:sz w:val="19"/>
          <w:szCs w:val="19"/>
          <w:b w:val="1"/>
          <w:bCs w:val="1"/>
          <w:i w:val="1"/>
          <w:iCs w:val="1"/>
          <w:color w:val="auto"/>
        </w:rPr>
        <w:t>Classified Board Effective Date</w:t>
      </w:r>
      <w:r>
        <w:rPr>
          <w:rFonts w:ascii="Times New Roman" w:cs="Times New Roman" w:eastAsia="Times New Roman" w:hAnsi="Times New Roman"/>
          <w:sz w:val="19"/>
          <w:szCs w:val="19"/>
          <w:color w:val="auto"/>
        </w:rPr>
        <w:t xml:space="preserve">”), the term of office of the initial Class II directors shall expire at the second annual meeting of the stockholders following the Classified Board Effective Date, and the term of office of the initial Class III directors shall expire at the third annual meeting of the stockholders following the Classified Board Effective Date. At each annual meeting of stockholders, commencing with the first regularly scheduled annual meeting of stockholders following the Classified Board Effective Date, each of the successors elected to replace the directors of a Class whose term shall have expired at such annual meeting shall be elected to hold office for a three year term and until the third annual meeting next succeeding his or her election and until his or her respective successor shall have been duly elected and qualified. Prior to the Classified Board Effective Date, all directors shall be elected at each annual meeting of stockholders to serve until the next annual meeting of stockholders (except, for the avoidance of doubt, as provided in this </w:t>
      </w:r>
      <w:r>
        <w:rPr>
          <w:rFonts w:ascii="Times New Roman" w:cs="Times New Roman" w:eastAsia="Times New Roman" w:hAnsi="Times New Roman"/>
          <w:sz w:val="19"/>
          <w:szCs w:val="19"/>
          <w:u w:val="single" w:color="auto"/>
          <w:color w:val="auto"/>
        </w:rPr>
        <w:t>Section VII.2</w:t>
      </w:r>
      <w:r>
        <w:rPr>
          <w:rFonts w:ascii="Times New Roman" w:cs="Times New Roman" w:eastAsia="Times New Roman" w:hAnsi="Times New Roman"/>
          <w:sz w:val="19"/>
          <w:szCs w:val="19"/>
          <w:color w:val="auto"/>
        </w:rPr>
        <w:t xml:space="preserve"> in the event a Classified Board Effective Date occurs) and until his or her successor shall have been duly elected and qualified. Notwithstanding the foregoing provisions of this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whether before or after the Classified Board Effective Date, each director shall serve until his or her successor is duly elected and qualified or until his or her death, resignation, or removal. From and after the Classified Board Effective Date, if the number of directors is thereafter changed, any newly created directorships or decrease in directorships shall be so apportioned among the classes as to make all classes as nearly equal in number as is practicable. No decrease in the number of directors constituting the Board, whether before or after the Classified Board Effective Date, shall shorten the term of any incumbent director.</w:t>
      </w:r>
    </w:p>
    <w:p>
      <w:pPr>
        <w:spacing w:after="0" w:line="147" w:lineRule="exact"/>
        <w:rPr>
          <w:rFonts w:ascii="Times New Roman" w:cs="Times New Roman" w:eastAsia="Times New Roman" w:hAnsi="Times New Roman"/>
          <w:sz w:val="19"/>
          <w:szCs w:val="19"/>
          <w:color w:val="auto"/>
        </w:rPr>
      </w:pPr>
    </w:p>
    <w:p>
      <w:pPr>
        <w:jc w:val="both"/>
        <w:ind w:firstLine="643"/>
        <w:spacing w:after="0"/>
        <w:tabs>
          <w:tab w:leader="none" w:pos="1264"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Removal; Vacancies</w:t>
      </w:r>
      <w:r>
        <w:rPr>
          <w:rFonts w:ascii="Times New Roman" w:cs="Times New Roman" w:eastAsia="Times New Roman" w:hAnsi="Times New Roman"/>
          <w:sz w:val="19"/>
          <w:szCs w:val="19"/>
          <w:color w:val="auto"/>
        </w:rPr>
        <w:t>. Any director may be removed from office by the stockholders of the Corporation as provided in NRS 78.335. Vacancies occurring on the Board for any reason and newly created directorships resulting from an increase in the authorized number of directors may be filled only by vote of a majority of the remaining members of the Board, although less than a quorum, or by a sole remaining director, at any meeting of the Board, and not by stockholders. A person elected to fill a vacancy or newly created directorship shall hold office until the next election of the class for which such director shall have been chosen and until his or her successor shall be duly elected and qualified.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ARTICLE VIII</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MANAGEMENT OF BUSINESS AND CONDUCT OF AFFAIRS</w:t>
      </w:r>
    </w:p>
    <w:p>
      <w:pPr>
        <w:spacing w:after="0" w:line="205" w:lineRule="exact"/>
        <w:rPr>
          <w:sz w:val="20"/>
          <w:szCs w:val="20"/>
          <w:color w:val="auto"/>
        </w:rPr>
      </w:pPr>
    </w:p>
    <w:p>
      <w:pPr>
        <w:ind w:firstLine="643"/>
        <w:spacing w:after="0" w:line="242" w:lineRule="auto"/>
        <w:tabs>
          <w:tab w:leader="none" w:pos="1264"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56" w:lineRule="exact"/>
        <w:rPr>
          <w:rFonts w:ascii="Times New Roman" w:cs="Times New Roman" w:eastAsia="Times New Roman" w:hAnsi="Times New Roman"/>
          <w:sz w:val="19"/>
          <w:szCs w:val="19"/>
          <w:color w:val="auto"/>
        </w:rPr>
      </w:pPr>
    </w:p>
    <w:p>
      <w:pPr>
        <w:jc w:val="both"/>
        <w:ind w:firstLine="643"/>
        <w:spacing w:after="0" w:line="233" w:lineRule="auto"/>
        <w:tabs>
          <w:tab w:leader="none" w:pos="1264"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Board Power</w:t>
      </w:r>
      <w:r>
        <w:rPr>
          <w:rFonts w:ascii="Times New Roman" w:cs="Times New Roman" w:eastAsia="Times New Roman" w:hAnsi="Times New Roman"/>
          <w:sz w:val="19"/>
          <w:szCs w:val="19"/>
          <w:color w:val="auto"/>
        </w:rPr>
        <w:t>. The business and affairs of the Corporation shall be managed by or under the direction of the Board. In addition to the powers and authority expressly conferred by statute or by these Articles or the Bylaws, the Board is hereby empowered to exercise all such powers and do all such acts and things as may be exercised or done by the Corporation.</w:t>
      </w:r>
    </w:p>
    <w:p>
      <w:pPr>
        <w:spacing w:after="0" w:line="159" w:lineRule="exact"/>
        <w:rPr>
          <w:rFonts w:ascii="Times New Roman" w:cs="Times New Roman" w:eastAsia="Times New Roman" w:hAnsi="Times New Roman"/>
          <w:sz w:val="19"/>
          <w:szCs w:val="19"/>
          <w:color w:val="auto"/>
        </w:rPr>
      </w:pPr>
    </w:p>
    <w:p>
      <w:pPr>
        <w:ind w:left="1280" w:hanging="637"/>
        <w:spacing w:after="0"/>
        <w:tabs>
          <w:tab w:leader="none" w:pos="128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Written Ballot</w:t>
      </w:r>
      <w:r>
        <w:rPr>
          <w:rFonts w:ascii="Times New Roman" w:cs="Times New Roman" w:eastAsia="Times New Roman" w:hAnsi="Times New Roman"/>
          <w:sz w:val="19"/>
          <w:szCs w:val="19"/>
          <w:color w:val="auto"/>
        </w:rPr>
        <w:t>. Elections of directors need not be by written ballot unless otherwise provided in the Bylaws.</w:t>
      </w:r>
    </w:p>
    <w:p>
      <w:pPr>
        <w:spacing w:after="0" w:line="192" w:lineRule="exact"/>
        <w:rPr>
          <w:rFonts w:ascii="Times New Roman" w:cs="Times New Roman" w:eastAsia="Times New Roman" w:hAnsi="Times New Roman"/>
          <w:sz w:val="19"/>
          <w:szCs w:val="19"/>
          <w:color w:val="auto"/>
        </w:rPr>
      </w:pPr>
    </w:p>
    <w:p>
      <w:pPr>
        <w:ind w:firstLine="643"/>
        <w:spacing w:after="0" w:line="242" w:lineRule="auto"/>
        <w:tabs>
          <w:tab w:leader="none" w:pos="1264"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of Bylaws</w:t>
      </w:r>
      <w:r>
        <w:rPr>
          <w:rFonts w:ascii="Times New Roman" w:cs="Times New Roman" w:eastAsia="Times New Roman" w:hAnsi="Times New Roman"/>
          <w:sz w:val="19"/>
          <w:szCs w:val="19"/>
          <w:color w:val="auto"/>
        </w:rPr>
        <w:t>. In furtherance and not in limitation of the powers conferred by the NRS, the Board is expressly authorized to adopt, amend or repeal the Bylaws.</w:t>
      </w:r>
    </w:p>
    <w:p>
      <w:pPr>
        <w:spacing w:after="0" w:line="156" w:lineRule="exact"/>
        <w:rPr>
          <w:rFonts w:ascii="Times New Roman" w:cs="Times New Roman" w:eastAsia="Times New Roman" w:hAnsi="Times New Roman"/>
          <w:sz w:val="19"/>
          <w:szCs w:val="19"/>
          <w:color w:val="auto"/>
        </w:rPr>
      </w:pPr>
    </w:p>
    <w:p>
      <w:pPr>
        <w:jc w:val="both"/>
        <w:ind w:firstLine="643"/>
        <w:spacing w:after="0" w:line="233" w:lineRule="auto"/>
        <w:tabs>
          <w:tab w:leader="none" w:pos="1264"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Special Meetings</w:t>
      </w:r>
      <w:r>
        <w:rPr>
          <w:rFonts w:ascii="Times New Roman" w:cs="Times New Roman" w:eastAsia="Times New Roman" w:hAnsi="Times New Roman"/>
          <w:sz w:val="19"/>
          <w:szCs w:val="19"/>
          <w:color w:val="auto"/>
        </w:rPr>
        <w:t>. Special meetings of the stockholders may be called only by (i) the Board pursuant to a resolution adopted by a majority of the Whole Board; (ii) the chairman of the Board; (iii) the chief executive officer of the Corporation; (iv) the president of the Corporation (in the absence of a chief executive officer); or (v) prior to the Final Conversion Date, the holders of at least thirty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11 of 13</w:t>
      </w:r>
    </w:p>
    <w:p>
      <w:pPr>
        <w:sectPr>
          <w:pgSz w:w="11900" w:h="16838" w:orient="portrait"/>
          <w:cols w:equalWidth="0" w:num="1">
            <w:col w:w="11240"/>
          </w:cols>
          <w:pgMar w:left="320" w:top="1377" w:right="339" w:bottom="1440" w:gutter="0" w:footer="0" w:header="0"/>
        </w:sectPr>
      </w:pPr>
    </w:p>
    <w:bookmarkStart w:id="14" w:name="page15"/>
    <w:bookmarkEnd w:id="14"/>
    <w:p>
      <w:pPr>
        <w:spacing w:after="0" w:line="256" w:lineRule="auto"/>
        <w:rPr>
          <w:sz w:val="20"/>
          <w:szCs w:val="20"/>
          <w:color w:val="auto"/>
        </w:rPr>
      </w:pPr>
      <w:r>
        <w:rPr>
          <w:rFonts w:ascii="Times New Roman" w:cs="Times New Roman" w:eastAsia="Times New Roman" w:hAnsi="Times New Roman"/>
          <w:sz w:val="19"/>
          <w:szCs w:val="19"/>
          <w:color w:val="auto"/>
        </w:rPr>
        <w:t>(30%) of the voting power of the Class A Common Stock and Class B Common Stock, voting together as a single class and acting in compliance with the Bylaws.</w:t>
      </w:r>
    </w:p>
    <w:p>
      <w:pPr>
        <w:spacing w:after="0" w:line="131" w:lineRule="exact"/>
        <w:rPr>
          <w:sz w:val="20"/>
          <w:szCs w:val="20"/>
          <w:color w:val="auto"/>
        </w:rPr>
      </w:pPr>
    </w:p>
    <w:p>
      <w:pPr>
        <w:jc w:val="both"/>
        <w:ind w:firstLine="643"/>
        <w:spacing w:after="0"/>
        <w:tabs>
          <w:tab w:leader="none" w:pos="1264"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Availability of Stockholder Action by Written Consent</w:t>
      </w:r>
      <w:r>
        <w:rPr>
          <w:rFonts w:ascii="Times New Roman" w:cs="Times New Roman" w:eastAsia="Times New Roman" w:hAnsi="Times New Roman"/>
          <w:sz w:val="19"/>
          <w:szCs w:val="19"/>
          <w:color w:val="auto"/>
        </w:rPr>
        <w:t>. Subject to the rights of the holders of any series of Preferred Stock, from and after the Voting Threshold Date, any action required or permitted to be taken by the stockholders of the Corporation must be effected at a duly called annual or special meeting of stockholders of the Corporation and may not be effected by any consent in writing by such stockholders. Subject to the rights of the holders of any series of Preferred Stock, before the Voting Threshold Date, any action required or permitted to be taken by the stockholders of the Corporation may be taken without a meeting only if the action is first recommended or approved by the Board.</w:t>
      </w:r>
    </w:p>
    <w:p>
      <w:pPr>
        <w:spacing w:after="0" w:line="287" w:lineRule="exact"/>
        <w:rPr>
          <w:rFonts w:ascii="Times New Roman" w:cs="Times New Roman" w:eastAsia="Times New Roman" w:hAnsi="Times New Roman"/>
          <w:sz w:val="19"/>
          <w:szCs w:val="19"/>
          <w:color w:val="auto"/>
        </w:rPr>
      </w:pPr>
    </w:p>
    <w:p>
      <w:pPr>
        <w:ind w:left="1280" w:hanging="637"/>
        <w:spacing w:after="0"/>
        <w:tabs>
          <w:tab w:leader="none" w:pos="128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Cumulative Voting</w:t>
      </w:r>
      <w:r>
        <w:rPr>
          <w:rFonts w:ascii="Times New Roman" w:cs="Times New Roman" w:eastAsia="Times New Roman" w:hAnsi="Times New Roman"/>
          <w:sz w:val="19"/>
          <w:szCs w:val="19"/>
          <w:color w:val="auto"/>
        </w:rPr>
        <w:t>. No stockholder will be permitted to cumulate votes at any election of directors.</w:t>
      </w:r>
    </w:p>
    <w:p>
      <w:pPr>
        <w:spacing w:after="0" w:line="192" w:lineRule="exact"/>
        <w:rPr>
          <w:rFonts w:ascii="Times New Roman" w:cs="Times New Roman" w:eastAsia="Times New Roman" w:hAnsi="Times New Roman"/>
          <w:sz w:val="19"/>
          <w:szCs w:val="19"/>
          <w:color w:val="auto"/>
        </w:rPr>
      </w:pPr>
    </w:p>
    <w:p>
      <w:pPr>
        <w:jc w:val="both"/>
        <w:ind w:firstLine="643"/>
        <w:spacing w:after="0" w:line="233" w:lineRule="auto"/>
        <w:tabs>
          <w:tab w:leader="none" w:pos="1264"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Reliance on the Controlled Company Exemption</w:t>
      </w:r>
      <w:r>
        <w:rPr>
          <w:rFonts w:ascii="Times New Roman" w:cs="Times New Roman" w:eastAsia="Times New Roman" w:hAnsi="Times New Roman"/>
          <w:sz w:val="19"/>
          <w:szCs w:val="19"/>
          <w:color w:val="auto"/>
        </w:rPr>
        <w:t>. At any time during which shares of capital stock of the Corporation are listed for trading on the New York Stock Exchange, NASDAQ Global Select Market or NASDAQ Global Market or any successor markets or exchanges, the Corporation shall not rely upon the Controlled Company Exemption.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ARTICLE IX</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LIMITATION OF LIABILITY</w:t>
      </w:r>
    </w:p>
    <w:p>
      <w:pPr>
        <w:spacing w:after="0" w:line="211" w:lineRule="exact"/>
        <w:rPr>
          <w:sz w:val="20"/>
          <w:szCs w:val="20"/>
          <w:color w:val="auto"/>
        </w:rPr>
      </w:pPr>
    </w:p>
    <w:p>
      <w:pPr>
        <w:jc w:val="both"/>
        <w:ind w:firstLine="637"/>
        <w:spacing w:after="0" w:line="264" w:lineRule="auto"/>
        <w:rPr>
          <w:sz w:val="20"/>
          <w:szCs w:val="20"/>
          <w:color w:val="auto"/>
        </w:rPr>
      </w:pPr>
      <w:r>
        <w:rPr>
          <w:rFonts w:ascii="Times New Roman" w:cs="Times New Roman" w:eastAsia="Times New Roman" w:hAnsi="Times New Roman"/>
          <w:sz w:val="19"/>
          <w:szCs w:val="19"/>
          <w:color w:val="auto"/>
        </w:rPr>
        <w:t xml:space="preserve">The liability of directors and officers of the Corporation is hereby eliminated or limited to the fullest extent permitted by the NRS. Without limiting the effect of the preceding sentence, if the NRS is amended to further eliminate or limit or authorize corporate action to further eliminate or limit the liability of directors or officers, the liability of directors and officers of the Corporation shall be eliminated or limited to the fullest extent permitted by the NRS, as so amended. Neither any amendment nor repeal of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nor the adoption of any provision of these Articles inconsistent with this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shall eliminate, reduce or otherwise adversely affect any limitation on the personal liability of a director or officer of the Corporation existing at the time of such amendment, repeal or adoption of such an inconsistent provision.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ARTICLE X</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SEVERABILITY AND AMENDMENT</w:t>
      </w:r>
    </w:p>
    <w:p>
      <w:pPr>
        <w:spacing w:after="0" w:line="197" w:lineRule="exact"/>
        <w:rPr>
          <w:sz w:val="20"/>
          <w:szCs w:val="20"/>
          <w:color w:val="auto"/>
        </w:rPr>
      </w:pPr>
    </w:p>
    <w:p>
      <w:pPr>
        <w:jc w:val="both"/>
        <w:ind w:firstLine="643"/>
        <w:spacing w:after="0" w:line="224" w:lineRule="auto"/>
        <w:tabs>
          <w:tab w:leader="none" w:pos="1264"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provision of these Articles becomes or is declared on any ground by a court of competent jurisdiction to be illegal, unenforceable or void, portions of such provision, or such provision in its entirety, to the extent necessary, shall be severed from these Articles, and the court will replace such illegal, void or unenforceable provision of these Articles with a valid and enforceable provision that most accurately reflects the Corporation’s intent, in order to achieve, to the maximum extent possible, the same economic, business and other purposes of the illegal, void or unenforceable provision. The balance of these Articles shall be enforceable in accordance with its terms.</w:t>
      </w:r>
    </w:p>
    <w:p>
      <w:pPr>
        <w:spacing w:after="0" w:line="161" w:lineRule="exact"/>
        <w:rPr>
          <w:rFonts w:ascii="Times New Roman" w:cs="Times New Roman" w:eastAsia="Times New Roman" w:hAnsi="Times New Roman"/>
          <w:sz w:val="19"/>
          <w:szCs w:val="19"/>
          <w:color w:val="auto"/>
        </w:rPr>
      </w:pPr>
    </w:p>
    <w:p>
      <w:pPr>
        <w:jc w:val="both"/>
        <w:ind w:firstLine="643"/>
        <w:spacing w:after="0" w:line="220" w:lineRule="auto"/>
        <w:tabs>
          <w:tab w:leader="none" w:pos="1264"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provided in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above, the Corporation reserves the right to amend, alter, change or repeal any provision contained in these Articles, in the manner now or hereafter prescribed by statute, and all rights conferred upon stockholders herein are granted subject to this reservation; provided, however, that, notwithstanding any other provision of these Articles or any provision of law that might otherwise permit a lesser vote, but in addition to any vote of the holders of any class or series of the stock of this Corporation required by law or by these Articles, (i) prior to the Final Conversion Date, (a) the affirmative vote of the holders of at least two-thirds of the voting power of the outstanding shares of stock of the Corporation entitled to vote generally in the election of directors, voting together as a single class, shall be required to amend, alter, change or repeal any provision contained in these Articles or adopt any new provision of these Articles and (b) the affirmative vote of a majority of the outstanding shares of Class A Common Stock and the affirmative vote of a majority of the outstanding shares of Class B Common Stock, each voting separately as a class, shall be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12 of 13</w:t>
      </w:r>
    </w:p>
    <w:p>
      <w:pPr>
        <w:sectPr>
          <w:pgSz w:w="11900" w:h="16838" w:orient="portrait"/>
          <w:cols w:equalWidth="0" w:num="1">
            <w:col w:w="11240"/>
          </w:cols>
          <w:pgMar w:left="320" w:top="137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9"/>
          <w:szCs w:val="19"/>
          <w:color w:val="auto"/>
        </w:rPr>
        <w:t xml:space="preserve">amend or repeal, or adopt any provision of these Articles inconsistent with,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or this clause (i)(b) of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xml:space="preserve"> of these Articles (except</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9"/>
          <w:szCs w:val="19"/>
          <w:color w:val="auto"/>
        </w:rPr>
        <w:t>in either case by virtue of a filing of a Preferred Stock Designation, but subject to any vote required by law or by other provisions of these Articles with respect to such Preferred Stock Designation), and (ii) from and after the Final Conversion Date, the affirmative vote of the holders</w:t>
      </w:r>
    </w:p>
    <w:p>
      <w:pPr>
        <w:spacing w:after="0" w:line="219" w:lineRule="auto"/>
        <w:rPr>
          <w:sz w:val="20"/>
          <w:szCs w:val="20"/>
          <w:color w:val="auto"/>
        </w:rPr>
      </w:pPr>
      <w:r>
        <w:rPr>
          <w:rFonts w:ascii="Times New Roman" w:cs="Times New Roman" w:eastAsia="Times New Roman" w:hAnsi="Times New Roman"/>
          <w:sz w:val="19"/>
          <w:szCs w:val="19"/>
          <w:color w:val="auto"/>
        </w:rPr>
        <w:t>of at least two-thirds of the voting power of the outstanding shares of stock of the Corporation entitled to vote generally in the election of</w:t>
      </w:r>
    </w:p>
    <w:p>
      <w:pPr>
        <w:jc w:val="both"/>
        <w:spacing w:after="0" w:line="229" w:lineRule="auto"/>
        <w:rPr>
          <w:sz w:val="20"/>
          <w:szCs w:val="20"/>
          <w:color w:val="auto"/>
        </w:rPr>
      </w:pPr>
      <w:r>
        <w:rPr>
          <w:rFonts w:ascii="Times New Roman" w:cs="Times New Roman" w:eastAsia="Times New Roman" w:hAnsi="Times New Roman"/>
          <w:sz w:val="19"/>
          <w:szCs w:val="19"/>
          <w:color w:val="auto"/>
        </w:rPr>
        <w:t xml:space="preserve">directors, voting together as a single class, shall be required to amend or repeal, or adopt any provision of these Articles inconsistent with,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or this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ARTICLE XI</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LIMITED WAIVER OF JURY TRIAL</w:t>
      </w:r>
    </w:p>
    <w:p>
      <w:pPr>
        <w:spacing w:after="0" w:line="205" w:lineRule="exact"/>
        <w:rPr>
          <w:sz w:val="20"/>
          <w:szCs w:val="20"/>
          <w:color w:val="auto"/>
        </w:rPr>
      </w:pPr>
    </w:p>
    <w:p>
      <w:pPr>
        <w:jc w:val="both"/>
        <w:ind w:firstLine="637"/>
        <w:spacing w:after="0" w:line="274" w:lineRule="auto"/>
        <w:rPr>
          <w:sz w:val="20"/>
          <w:szCs w:val="20"/>
          <w:color w:val="auto"/>
        </w:rPr>
      </w:pPr>
      <w:r>
        <w:rPr>
          <w:rFonts w:ascii="Times New Roman" w:cs="Times New Roman" w:eastAsia="Times New Roman" w:hAnsi="Times New Roman"/>
          <w:sz w:val="19"/>
          <w:szCs w:val="19"/>
          <w:color w:val="auto"/>
        </w:rPr>
        <w:t xml:space="preserve">To the fullest extent not inconsistent with any applicable U.S. federal laws, any and all “internal actions” (as defined in NRS 78.046) must be tried in a court of competent jurisdiction before the presiding judge as the trier of fact and not before a jury. This </w:t>
      </w:r>
      <w:r>
        <w:rPr>
          <w:rFonts w:ascii="Times New Roman" w:cs="Times New Roman" w:eastAsia="Times New Roman" w:hAnsi="Times New Roman"/>
          <w:sz w:val="19"/>
          <w:szCs w:val="19"/>
          <w:u w:val="single" w:color="auto"/>
          <w:color w:val="auto"/>
        </w:rPr>
        <w:t>Article XI</w:t>
      </w:r>
      <w:r>
        <w:rPr>
          <w:rFonts w:ascii="Times New Roman" w:cs="Times New Roman" w:eastAsia="Times New Roman" w:hAnsi="Times New Roman"/>
          <w:sz w:val="19"/>
          <w:szCs w:val="19"/>
          <w:color w:val="auto"/>
        </w:rPr>
        <w:t xml:space="preserve"> shall conclusively operate as a waiver of the right to trial by jury by each party to any such internal action.</w:t>
      </w:r>
    </w:p>
    <w:p>
      <w:pPr>
        <w:spacing w:after="0" w:line="167" w:lineRule="exact"/>
        <w:rPr>
          <w:sz w:val="20"/>
          <w:szCs w:val="20"/>
          <w:color w:val="auto"/>
        </w:rPr>
      </w:pPr>
    </w:p>
    <w:p>
      <w:pPr>
        <w:jc w:val="center"/>
        <w:ind w:right="-19"/>
        <w:spacing w:after="0"/>
        <w:tabs>
          <w:tab w:leader="none" w:pos="160" w:val="left"/>
          <w:tab w:leader="none" w:pos="180" w:val="left"/>
          <w:tab w:leader="none" w:pos="180" w:val="left"/>
        </w:tabs>
        <w:rPr>
          <w:sz w:val="20"/>
          <w:szCs w:val="20"/>
          <w:color w:val="auto"/>
        </w:rPr>
      </w:pPr>
      <w:r>
        <w:rPr>
          <w:rFonts w:ascii="Times New Roman" w:cs="Times New Roman" w:eastAsia="Times New Roman" w:hAnsi="Times New Roman"/>
          <w:sz w:val="19"/>
          <w:szCs w:val="19"/>
          <w:color w:val="auto"/>
        </w:rPr>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13 of 13</w:t>
      </w:r>
    </w:p>
    <w:sectPr>
      <w:pgSz w:w="11900" w:h="16838" w:orient="portrait"/>
      <w:cols w:equalWidth="0" w:num="1">
        <w:col w:w="11240"/>
      </w:cols>
      <w:pgMar w:left="320" w:top="13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4"/>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lowerLetter"/>
      <w:start w:val="2"/>
    </w:lvl>
  </w:abstractNum>
  <w:abstractNum w:abstractNumId="5">
    <w:nsid w:val="7FDCC233"/>
    <w:multiLevelType w:val="hybridMultilevel"/>
    <w:lvl w:ilvl="0">
      <w:lvlJc w:val="left"/>
      <w:lvlText w:val="(%1)"/>
      <w:numFmt w:val="lowerLetter"/>
      <w:start w:val="1"/>
    </w:lvl>
    <w:lvl w:ilvl="1">
      <w:lvlJc w:val="left"/>
      <w:lvlText w:val="(%2)"/>
      <w:numFmt w:val="lowerRoman"/>
      <w:start w:val="1"/>
    </w:lvl>
  </w:abstractNum>
  <w:abstractNum w:abstractNumId="6">
    <w:nsid w:val="1BEFD79F"/>
    <w:multiLevelType w:val="hybridMultilevel"/>
    <w:lvl w:ilvl="0">
      <w:lvlJc w:val="left"/>
      <w:lvlText w:val="(%1)"/>
      <w:numFmt w:val="lowerRoman"/>
      <w:start w:val="4"/>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1)"/>
      <w:numFmt w:val="lowerLetter"/>
      <w:start w:val="8"/>
    </w:lvl>
  </w:abstractNum>
  <w:abstractNum w:abstractNumId="9">
    <w:nsid w:val="4E6AFB66"/>
    <w:multiLevelType w:val="hybridMultilevel"/>
    <w:lvl w:ilvl="0">
      <w:lvlJc w:val="left"/>
      <w:lvlText w:val="%1."/>
      <w:numFmt w:val="decimal"/>
      <w:start w:val="2"/>
    </w:lvl>
  </w:abstractNum>
  <w:abstractNum w:abstractNumId="10">
    <w:nsid w:val="25E45D32"/>
    <w:multiLevelType w:val="hybridMultilevel"/>
    <w:lvl w:ilvl="0">
      <w:lvlJc w:val="left"/>
      <w:lvlText w:val="%1."/>
      <w:numFmt w:val="decimal"/>
      <w:start w:val="3"/>
    </w:lvl>
    <w:lvl w:ilvl="1">
      <w:lvlJc w:val="left"/>
      <w:lvlText w:val="(%2)"/>
      <w:numFmt w:val="lowerLetter"/>
      <w:start w:val="1"/>
    </w:lvl>
  </w:abstractNum>
  <w:abstractNum w:abstractNumId="11">
    <w:nsid w:val="519B500D"/>
    <w:multiLevelType w:val="hybridMultilevel"/>
    <w:lvl w:ilvl="0">
      <w:lvlJc w:val="left"/>
      <w:lvlText w:val="%1."/>
      <w:numFmt w:val="decimal"/>
      <w:start w:val="4"/>
    </w:lvl>
  </w:abstractNum>
  <w:abstractNum w:abstractNumId="12">
    <w:nsid w:val="431BD7B7"/>
    <w:multiLevelType w:val="hybridMultilevel"/>
    <w:lvl w:ilvl="0">
      <w:lvlJc w:val="left"/>
      <w:lvlText w:val="%1."/>
      <w:numFmt w:val="decimal"/>
      <w:start w:val="5"/>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decimal"/>
      <w:start w:val="6"/>
    </w:lvl>
  </w:abstractNum>
  <w:abstractNum w:abstractNumId="15">
    <w:nsid w:val="257130A3"/>
    <w:multiLevelType w:val="hybridMultilevel"/>
    <w:lvl w:ilvl="0">
      <w:lvlJc w:val="left"/>
      <w:lvlText w:val="%1."/>
      <w:numFmt w:val="decimal"/>
      <w:start w:val="12"/>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3"/>
    </w:lvl>
  </w:abstractNum>
  <w:abstractNum w:abstractNumId="18">
    <w:nsid w:val="628C895D"/>
    <w:multiLevelType w:val="hybridMultilevel"/>
    <w:lvl w:ilvl="0">
      <w:lvlJc w:val="left"/>
      <w:lvlText w:val="%1."/>
      <w:numFmt w:val="decimal"/>
      <w:start w:val="15"/>
    </w:lvl>
  </w:abstractNum>
  <w:abstractNum w:abstractNumId="19">
    <w:nsid w:val="333AB105"/>
    <w:multiLevelType w:val="hybridMultilevel"/>
    <w:lvl w:ilvl="0">
      <w:lvlJc w:val="left"/>
      <w:lvlText w:val="%1."/>
      <w:numFmt w:val="decimal"/>
      <w:start w:val="16"/>
    </w:lvl>
  </w:abstractNum>
  <w:abstractNum w:abstractNumId="20">
    <w:nsid w:val="721DA317"/>
    <w:multiLevelType w:val="hybridMultilevel"/>
    <w:lvl w:ilvl="0">
      <w:lvlJc w:val="left"/>
      <w:lvlText w:val="%1."/>
      <w:numFmt w:val="decimal"/>
      <w:start w:val="18"/>
    </w:lvl>
  </w:abstractNum>
  <w:abstractNum w:abstractNumId="21">
    <w:nsid w:val="2443A858"/>
    <w:multiLevelType w:val="hybridMultilevel"/>
    <w:lvl w:ilvl="0">
      <w:lvlJc w:val="left"/>
      <w:lvlText w:val="%1."/>
      <w:numFmt w:val="decimal"/>
      <w:start w:val="23"/>
    </w:lvl>
  </w:abstractNum>
  <w:abstractNum w:abstractNumId="22">
    <w:nsid w:val="2D1D5AE9"/>
    <w:multiLevelType w:val="hybridMultilevel"/>
    <w:lvl w:ilvl="0">
      <w:lvlJc w:val="left"/>
      <w:lvlText w:val="%1."/>
      <w:numFmt w:val="decimal"/>
      <w:start w:val="2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2026-05-26T15:17:34Z</dcterms:created>
  <dcterms:modified xsi:type="dcterms:W3CDTF">2026-05-26T15:17:34Z</dcterms:modified>
</cp:coreProperties>
</file>