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60" w:right="1440"/>
        <w:spacing w:after="0" w:line="272" w:lineRule="auto"/>
        <w:rPr>
          <w:sz w:val="20"/>
          <w:szCs w:val="20"/>
          <w:color w:val="auto"/>
        </w:rPr>
      </w:pPr>
      <w:r>
        <w:rPr>
          <w:rFonts w:ascii="Arial" w:cs="Arial" w:eastAsia="Arial" w:hAnsi="Arial"/>
          <w:sz w:val="18"/>
          <w:szCs w:val="18"/>
          <w:color w:val="auto"/>
        </w:rPr>
        <w:t>INFORMATION TO BE INCLUDED IN STATEMENTS FILED PURSUANT TO RULES 13d-1 (b), (c) AND (d) AND AMENDMENTS THERETO FILED PURSUANT TO 13d-2 (b) (Amendment No. 1)*</w:t>
      </w:r>
    </w:p>
    <w:p>
      <w:pPr>
        <w:spacing w:after="0" w:line="393"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Class A 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740"/>
              <w:spacing w:after="0"/>
              <w:rPr>
                <w:sz w:val="20"/>
                <w:szCs w:val="20"/>
                <w:color w:val="auto"/>
              </w:rPr>
            </w:pPr>
            <w:r>
              <w:rPr>
                <w:rFonts w:ascii="Arial" w:cs="Arial" w:eastAsia="Arial" w:hAnsi="Arial"/>
                <w:sz w:val="18"/>
                <w:szCs w:val="18"/>
                <w:color w:val="auto"/>
              </w:rPr>
              <w:t>Accel X L.P.</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8"/>
        <w:spacing w:after="0" w:line="34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253,940,063 shares of Class A Common Stock outstanding, as of November 4, 2019, as reported by the Issuer in its Quarterly Report on Form 10-Q for the quarter ended September 30, 2019, filed with the Securities and Exchange Commission on November 8, 2019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780" w:type="dxa"/>
            <w:vAlign w:val="bottom"/>
            <w:gridSpan w:val="5"/>
          </w:tcPr>
          <w:p>
            <w:pPr>
              <w:ind w:left="740"/>
              <w:spacing w:after="0"/>
              <w:rPr>
                <w:sz w:val="20"/>
                <w:szCs w:val="20"/>
                <w:color w:val="auto"/>
              </w:rPr>
            </w:pPr>
            <w:r>
              <w:rPr>
                <w:rFonts w:ascii="Arial" w:cs="Arial" w:eastAsia="Arial" w:hAnsi="Arial"/>
                <w:sz w:val="18"/>
                <w:szCs w:val="18"/>
                <w:color w:val="auto"/>
              </w:rPr>
              <w:t>Accel X Strategic Partners L.P.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Based on 253,940,063 shares of Class A Common Stock outstanding, as of November 4, 2019, as reported by the Issuer in its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00" w:type="dxa"/>
            <w:vAlign w:val="bottom"/>
            <w:tcBorders>
              <w:top w:val="single" w:sz="8" w:color="auto"/>
            </w:tcBorders>
          </w:tcPr>
          <w:p>
            <w:pPr>
              <w:spacing w:after="0"/>
              <w:rPr>
                <w:sz w:val="24"/>
                <w:szCs w:val="24"/>
                <w:color w:val="auto"/>
              </w:rPr>
            </w:pPr>
          </w:p>
        </w:tc>
        <w:tc>
          <w:tcPr>
            <w:tcW w:w="27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7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740"/>
              <w:spacing w:after="0"/>
              <w:rPr>
                <w:sz w:val="20"/>
                <w:szCs w:val="20"/>
                <w:color w:val="auto"/>
              </w:rPr>
            </w:pPr>
            <w:r>
              <w:rPr>
                <w:rFonts w:ascii="Arial" w:cs="Arial" w:eastAsia="Arial" w:hAnsi="Arial"/>
                <w:sz w:val="18"/>
                <w:szCs w:val="18"/>
                <w:color w:val="auto"/>
              </w:rPr>
              <w:t>Accel X Associates L.L.C.</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3"/>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40" w:type="dxa"/>
            <w:vAlign w:val="bottom"/>
            <w:tcBorders>
              <w:right w:val="single" w:sz="8" w:color="auto"/>
            </w:tcBorders>
            <w:vMerge w:val="restart"/>
          </w:tcPr>
          <w:p>
            <w:pPr>
              <w:ind w:left="1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7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3"/>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3"/>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88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42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gridSpan w:val="2"/>
            <w:vMerge w:val="continue"/>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tcBorders>
            <w:gridSpan w:val="3"/>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88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tcBorders>
            <w:gridSpan w:val="3"/>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88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tcBorders>
            <w:gridSpan w:val="3"/>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88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tcBorders>
            <w:gridSpan w:val="3"/>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40" w:type="dxa"/>
            <w:vAlign w:val="bottom"/>
            <w:tcBorders>
              <w:bottom w:val="single" w:sz="8" w:color="auto"/>
            </w:tcBorders>
            <w:gridSpan w:val="5"/>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40" w:type="dxa"/>
            <w:vAlign w:val="bottom"/>
            <w:tcBorders>
              <w:right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40" w:type="dxa"/>
            <w:vAlign w:val="bottom"/>
            <w:tcBorders>
              <w:bottom w:val="single" w:sz="8" w:color="auto"/>
            </w:tcBorders>
            <w:gridSpan w:val="5"/>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Based on 253,940,063 shares of Class A Common Stock outstanding, as of November 4, 2019, as reported by the Issuer in its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740"/>
              <w:spacing w:after="0"/>
              <w:rPr>
                <w:sz w:val="20"/>
                <w:szCs w:val="20"/>
                <w:color w:val="auto"/>
              </w:rPr>
            </w:pPr>
            <w:r>
              <w:rPr>
                <w:rFonts w:ascii="Arial" w:cs="Arial" w:eastAsia="Arial" w:hAnsi="Arial"/>
                <w:sz w:val="18"/>
                <w:szCs w:val="18"/>
                <w:color w:val="auto"/>
                <w:w w:val="94"/>
              </w:rPr>
              <w:t>Accel Investors 2008 L.L.C.</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42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gridSpan w:val="2"/>
            <w:vMerge w:val="continue"/>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Based on 253,940,063 shares of Class A Common Stock outstanding, as of November 4, 2019, as reported by the Issuer in its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740"/>
              <w:spacing w:after="0"/>
              <w:rPr>
                <w:sz w:val="20"/>
                <w:szCs w:val="20"/>
                <w:color w:val="auto"/>
              </w:rPr>
            </w:pPr>
            <w:r>
              <w:rPr>
                <w:rFonts w:ascii="Arial" w:cs="Arial" w:eastAsia="Arial" w:hAnsi="Arial"/>
                <w:sz w:val="18"/>
                <w:szCs w:val="18"/>
                <w:color w:val="auto"/>
                <w:w w:val="94"/>
              </w:rPr>
              <w:t>Accel Investors 2010 L.L.C.</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Based on 253,940,063 shares of Class A Common Stock outstanding, as of November 4, 2019, as reported by the Issuer in its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740"/>
              <w:spacing w:after="0"/>
              <w:rPr>
                <w:sz w:val="20"/>
                <w:szCs w:val="20"/>
                <w:color w:val="auto"/>
              </w:rPr>
            </w:pPr>
            <w:r>
              <w:rPr>
                <w:rFonts w:ascii="Arial" w:cs="Arial" w:eastAsia="Arial" w:hAnsi="Arial"/>
                <w:sz w:val="18"/>
                <w:szCs w:val="18"/>
                <w:color w:val="auto"/>
              </w:rPr>
              <w:t>Accel XI L.P. (“A11”)</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98,854 shares issuable upon conversion of Class B Common Stock, all of which are directly owned by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5"/>
              </w:rPr>
              <w:t>A11. Accel XI Associates L.L.C. (“A11A”), the general partner of A11, may be deemed to have sole</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power to vote these shares.</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98,854 shares issuable upon conversion of Class B Common Stock, all of which are directly owned by</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1"/>
              </w:rPr>
              <w:t>A11. A11A, the general partner of A11, may be deemed to have sole power to dispose of these shares.</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98,854</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8"/>
        <w:spacing w:after="0" w:line="264"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254,038,917 shares of Class A Common Stock, calculated as follows (i) 253,940,063 shares of Class A Common Stock outstanding, as of November 4, 2019, as reported by the Issuer in its Form 10-Q plus (ii) 98,854 shares of Class A Common Stock issuable upon conversion of shares of Class B Common Stock held by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780" w:type="dxa"/>
            <w:vAlign w:val="bottom"/>
            <w:gridSpan w:val="5"/>
          </w:tcPr>
          <w:p>
            <w:pPr>
              <w:ind w:left="740"/>
              <w:spacing w:after="0"/>
              <w:rPr>
                <w:sz w:val="20"/>
                <w:szCs w:val="20"/>
                <w:color w:val="auto"/>
              </w:rPr>
            </w:pPr>
            <w:r>
              <w:rPr>
                <w:rFonts w:ascii="Arial" w:cs="Arial" w:eastAsia="Arial" w:hAnsi="Arial"/>
                <w:sz w:val="18"/>
                <w:szCs w:val="18"/>
                <w:color w:val="auto"/>
              </w:rPr>
              <w:t>Accel XI Strategic Partners L.P. (“A11SP”)</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7,425 shares issuable upon conversion of Class B Common Stock, all of which are directly owned by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1"/>
              </w:rPr>
              <w:t>A11SP. A11A, the general partner of A11SP, may be deemed to have sole power to vote these shares.</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7,425 shares issuable upon conversion of Class B Common Stock, all of which are directly owned by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A11SP. A11A, the general partner of A11SP, may be deemed to have sole power to dispose of these</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shares.</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8"/>
        <w:spacing w:after="0" w:line="26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253,947,488 shares of Class A Common Stock, calculated as follows (i) 253,940,063 shares of Class A Common Stock outstanding, as of November 4, 2019, as reported by the Issuer in its Form 10-Q plus (ii) 7,425 shares of Class A Common Stock issuable upon conversion of shares of Class B Common Stock held by A11SP.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90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84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w:t>
            </w: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740"/>
              <w:spacing w:after="0"/>
              <w:rPr>
                <w:sz w:val="20"/>
                <w:szCs w:val="20"/>
                <w:color w:val="auto"/>
              </w:rPr>
            </w:pPr>
            <w:r>
              <w:rPr>
                <w:rFonts w:ascii="Arial" w:cs="Arial" w:eastAsia="Arial" w:hAnsi="Arial"/>
                <w:sz w:val="18"/>
                <w:szCs w:val="18"/>
                <w:color w:val="auto"/>
                <w:w w:val="98"/>
              </w:rPr>
              <w:t>Accel XI Associates L.L.C.</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80" w:type="dxa"/>
            <w:vAlign w:val="bottom"/>
            <w:tcBorders>
              <w:bottom w:val="single" w:sz="8" w:color="auto"/>
            </w:tcBorders>
            <w:gridSpan w:val="3"/>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8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tcBorders>
              <w:right w:val="single" w:sz="8" w:color="auto"/>
            </w:tcBorders>
            <w:vMerge w:val="restart"/>
          </w:tcPr>
          <w:p>
            <w:pPr>
              <w:ind w:left="1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80" w:type="dxa"/>
            <w:vAlign w:val="bottom"/>
            <w:tcBorders>
              <w:bottom w:val="single" w:sz="8" w:color="auto"/>
            </w:tcBorders>
            <w:gridSpan w:val="3"/>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8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80" w:type="dxa"/>
            <w:vAlign w:val="bottom"/>
            <w:tcBorders>
              <w:bottom w:val="single" w:sz="8" w:color="auto"/>
            </w:tcBorders>
            <w:gridSpan w:val="3"/>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106,279 shares issuable upon conversion of Class B Common Stock, of which 98,854 are directly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owned by A11 and 7,425 are directly owned by A11SP. A11A, the general partner of A11 and A11SP,</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may be deemed to have sole power to vote these shares.</w:t>
            </w: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tcBorders>
            <w:gridSpan w:val="3"/>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2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tcBorders>
            <w:gridSpan w:val="3"/>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106,279 shares issuable upon conversion of Class B Common Stock, of which 98,854 are directly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owned by A11 and 7,425 are directly owned by A11SP. A11A, the general partner of A11 and A11SP,</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w w:val="96"/>
              </w:rPr>
              <w:t>may be deemed to have sole power to dispose of these shares.</w:t>
            </w:r>
          </w:p>
        </w:tc>
        <w:tc>
          <w:tcPr>
            <w:tcW w:w="2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tcBorders>
            <w:gridSpan w:val="3"/>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2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tcBorders>
            <w:gridSpan w:val="3"/>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8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64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106,279</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gridSpan w:val="5"/>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8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640" w:type="dxa"/>
            <w:vAlign w:val="bottom"/>
            <w:tcBorders>
              <w:right w:val="single" w:sz="8" w:color="auto"/>
            </w:tcBorders>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840" w:type="dxa"/>
            <w:vAlign w:val="bottom"/>
            <w:tcBorders>
              <w:bottom w:val="single" w:sz="8" w:color="auto"/>
            </w:tcBorders>
            <w:gridSpan w:val="5"/>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8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64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64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8"/>
        <w:spacing w:after="0" w:line="259"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254,046,342 shares of Class A Common Stock, calculated as follows (i) 253,940,063 shares of Class A Common Stock outstanding, as of November 4, 2019, as reported by the Issuer in its Form 10-Q plus (ii) 98,854 shares of Class A Common Stock issuable upon conversion of shares of Class B Common Stock held by A11 plus (iii) 7,425 shares of Class A Common Stock issuable upon conversion of shares of Class B Common Stock held by A11SP.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780" w:type="dxa"/>
            <w:vAlign w:val="bottom"/>
            <w:gridSpan w:val="5"/>
          </w:tcPr>
          <w:p>
            <w:pPr>
              <w:jc w:val="center"/>
              <w:ind w:right="3560"/>
              <w:spacing w:after="0"/>
              <w:rPr>
                <w:sz w:val="20"/>
                <w:szCs w:val="20"/>
                <w:color w:val="auto"/>
              </w:rPr>
            </w:pPr>
            <w:r>
              <w:rPr>
                <w:rFonts w:ascii="Arial" w:cs="Arial" w:eastAsia="Arial" w:hAnsi="Arial"/>
                <w:sz w:val="18"/>
                <w:szCs w:val="18"/>
                <w:color w:val="auto"/>
                <w:w w:val="95"/>
              </w:rPr>
              <w:t>Accel Investors 2013 L.L.C. (“AI13”)</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10,497 shares issuable upon conversion of Class B Common Stock, all of which are directly owned by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AI13.</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10,497 shares issuable upon conversion of Class B Common Stock, all of which are directly owned by</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AI13.</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10,497</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8"/>
        <w:spacing w:after="0" w:line="264"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253,950,560 shares of Class A Common Stock, calculated as follows (i) 253,940,063 shares of Class A Common Stock outstanding, as of November 4, 2019, as reported by the Issuer in its Form 10-Q plus (ii) 10,497 shares of Class A Common Stock issuable upon conversion of shares of Class B Common Stock held by AI13.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780" w:type="dxa"/>
            <w:vAlign w:val="bottom"/>
            <w:gridSpan w:val="5"/>
          </w:tcPr>
          <w:p>
            <w:pPr>
              <w:ind w:left="740"/>
              <w:spacing w:after="0"/>
              <w:rPr>
                <w:sz w:val="20"/>
                <w:szCs w:val="20"/>
                <w:color w:val="auto"/>
              </w:rPr>
            </w:pPr>
            <w:r>
              <w:rPr>
                <w:rFonts w:ascii="Arial" w:cs="Arial" w:eastAsia="Arial" w:hAnsi="Arial"/>
                <w:sz w:val="18"/>
                <w:szCs w:val="18"/>
                <w:color w:val="auto"/>
              </w:rPr>
              <w:t>Accel Leaders Fund L.P. (“ALF”)</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95,440 shares issuable upon conversion of Class B Common Stock, all of which are directly owned by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ALF. Accel Leaders Fund Associates L.L.C. (“ALFA”), the general partner of ALF, may be deemed to</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have sole power to vote these shares.</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95,440 shares issuable upon conversion of Class B Common Stock, all of which are directly owned by</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1"/>
              </w:rPr>
              <w:t>ALF. ALFA, the general partner of ALF, may be deemed to have sole power to dispose of these shares.</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95,440</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8"/>
        <w:spacing w:after="0" w:line="26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254,035,503 shares of Class A Common Stock, calculated as follows (i) 253,940,063 shares of Class A Common Stock outstanding, as of November 4, 2019, as reported by the Issuer in its Form 10-Q plus (ii) 95,440 shares of Class A Common Stock issuable upon conversion of Class B Common Stock held by 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780" w:type="dxa"/>
            <w:vAlign w:val="bottom"/>
            <w:gridSpan w:val="5"/>
          </w:tcPr>
          <w:p>
            <w:pPr>
              <w:ind w:left="740"/>
              <w:spacing w:after="0"/>
              <w:rPr>
                <w:sz w:val="20"/>
                <w:szCs w:val="20"/>
                <w:color w:val="auto"/>
              </w:rPr>
            </w:pPr>
            <w:r>
              <w:rPr>
                <w:rFonts w:ascii="Arial" w:cs="Arial" w:eastAsia="Arial" w:hAnsi="Arial"/>
                <w:sz w:val="18"/>
                <w:szCs w:val="18"/>
                <w:color w:val="auto"/>
              </w:rPr>
              <w:t>Accel Leaders Fund Associates L.L.C.</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95,440 shares issuable upon conversion of Class B Common Stock, all of which are directly owned by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ALF. ALFA, the general partner of ALF, may be deemed to have sole power to vote these shares.</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95,440 shares issuable upon conversion of Class B Common Stock, all of which are directly owned by</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1"/>
              </w:rPr>
              <w:t>ALF. ALFA, the general partner of ALF, may be deemed to have sole power to dispose of these shares.</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95,440</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8"/>
        <w:spacing w:after="0" w:line="26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254,035,503 shares of Class A Common Stock, calculated as follows (i) 253,940,063 shares of Class A Common Stock outstanding, as of November 4, 2019, as reported by the Issuer in its Form 10-Q plus (ii) 95,440 shares of Class A Common Stock issuable upon conversion of Class B Common Stock held by 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84"/>
        </w:trPr>
        <w:tc>
          <w:tcPr>
            <w:tcW w:w="3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13 G</w:t>
            </w:r>
          </w:p>
        </w:tc>
        <w:tc>
          <w:tcPr>
            <w:tcW w:w="184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780" w:type="dxa"/>
            <w:vAlign w:val="bottom"/>
            <w:gridSpan w:val="5"/>
          </w:tcPr>
          <w:p>
            <w:pPr>
              <w:ind w:left="740"/>
              <w:spacing w:after="0"/>
              <w:rPr>
                <w:sz w:val="20"/>
                <w:szCs w:val="20"/>
                <w:color w:val="auto"/>
              </w:rPr>
            </w:pPr>
            <w:r>
              <w:rPr>
                <w:rFonts w:ascii="Arial" w:cs="Arial" w:eastAsia="Arial" w:hAnsi="Arial"/>
                <w:sz w:val="18"/>
                <w:szCs w:val="18"/>
                <w:color w:val="auto"/>
              </w:rPr>
              <w:t>Accel Leaders Fund Investors 2016 L.L.C. (“ALFI16”)</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right w:val="single" w:sz="8" w:color="auto"/>
            </w:tcBorders>
            <w:vMerge w:val="restart"/>
          </w:tcPr>
          <w:p>
            <w:pPr>
              <w:ind w:left="1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4,560 shares issuable upon conversion of Class B Common Stock, all of which are directly owned by</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ALFI16.</w:t>
            </w: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4,560 shares issuable upon conversion of Class B Common Stock, all of which are directly owned by</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ALFI16.</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8</w:t>
            </w: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2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92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2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920" w:type="dxa"/>
            <w:vAlign w:val="bottom"/>
            <w:tcBorders>
              <w:bottom w:val="single" w:sz="8" w:color="auto"/>
            </w:tcBorders>
            <w:gridSpan w:val="3"/>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780" w:type="dxa"/>
            <w:vAlign w:val="bottom"/>
            <w:tcBorders>
              <w:bottom w:val="single" w:sz="8" w:color="auto"/>
            </w:tcBorders>
            <w:gridSpan w:val="5"/>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00" w:type="dxa"/>
            <w:vAlign w:val="bottom"/>
            <w:tcBorders>
              <w:right w:val="single" w:sz="8" w:color="auto"/>
            </w:tcBorders>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780" w:type="dxa"/>
            <w:vAlign w:val="bottom"/>
            <w:tcBorders>
              <w:bottom w:val="single" w:sz="8" w:color="auto"/>
            </w:tcBorders>
            <w:gridSpan w:val="5"/>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253,944,623 shares of Class A Common Stock, calculated as follows (i) 253,940,063 shares of Class A Common Stock outstanding, as of November 4, 2019, as reported by the Issuer in its Form 10-Q plus (ii) 4,560 shares of Class A Common Stock issuable upon conversion of shares of Class B Common Stock held by ALFI16.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0"/>
        </w:trPr>
        <w:tc>
          <w:tcPr>
            <w:tcW w:w="49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960" w:type="dxa"/>
            <w:vAlign w:val="bottom"/>
          </w:tcPr>
          <w:p>
            <w:pPr>
              <w:ind w:left="600"/>
              <w:spacing w:after="0"/>
              <w:rPr>
                <w:sz w:val="20"/>
                <w:szCs w:val="20"/>
                <w:color w:val="auto"/>
              </w:rPr>
            </w:pPr>
            <w:r>
              <w:rPr>
                <w:rFonts w:ascii="Arial" w:cs="Arial" w:eastAsia="Arial" w:hAnsi="Arial"/>
                <w:sz w:val="18"/>
                <w:szCs w:val="18"/>
                <w:color w:val="auto"/>
                <w:w w:val="86"/>
              </w:rPr>
              <w:t>13 G</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4291330</wp:posOffset>
            </wp:positionH>
            <wp:positionV relativeFrom="page">
              <wp:posOffset>586105</wp:posOffset>
            </wp:positionV>
            <wp:extent cx="311277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154305"/>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8"/>
          <w:szCs w:val="18"/>
          <w:color w:val="auto"/>
        </w:rPr>
        <w:t>This Amendment No. 1 (“Amendment No. 1”) amends and supplements the Schedule 13G initially filed with the United States Securities and Exchange Commission on February 13, 2019 (the “Original Schedule 13G”) by the Reporting Persons. The “Reporting Persons” are collectively, Accel X L.P. (“A10”), Accel X Strategic Partners L.P. (“A10SP”), Accel X Associates L.L.C. (“A10A”), Accel Investors 2008 L.L.C. (“AI08”), Accel Investors 2010 L.L.C. (“AI10”), Accel XI L.P. (“A11”), Accel XI Strategic Partners L.P. (“A11SP”), Accel XI Associates L.L.C. (“A11A”), Accel Investors 2013 L.L.C. (“AI13”), Accel Leaders Fund L.P. (“ALF”), Accel Leaders Fund Associates L.L.C. (“ALFA”), and Accel Leaders Fund Investors 2016 L.L.C. (“ALFI16”).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No. 1 have the meanings ascribed to them in the Original Schedule 13G.</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u w:val="single" w:color="auto"/>
          <w:color w:val="auto"/>
        </w:rPr>
        <w:t>OWNERSHIP</w:t>
      </w:r>
    </w:p>
    <w:p>
      <w:pPr>
        <w:spacing w:after="0" w:line="225"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The following information with respect to the ownership of the Class A Common Stock of the issuer by the persons filing this Statement is provided as of December 31, 2019.</w:t>
      </w:r>
    </w:p>
    <w:p>
      <w:pPr>
        <w:spacing w:after="0" w:line="170" w:lineRule="exact"/>
        <w:rPr>
          <w:sz w:val="20"/>
          <w:szCs w:val="20"/>
          <w:color w:val="auto"/>
        </w:rPr>
      </w:pPr>
    </w:p>
    <w:p>
      <w:pPr>
        <w:ind w:left="2600" w:hanging="647"/>
        <w:spacing w:after="0"/>
        <w:tabs>
          <w:tab w:leader="none" w:pos="2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740" w:hanging="651"/>
        <w:spacing w:after="0" w:line="563" w:lineRule="auto"/>
        <w:tabs>
          <w:tab w:leader="none" w:pos="390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spacing w:after="0" w:line="1" w:lineRule="exact"/>
        <w:rPr>
          <w:rFonts w:ascii="Arial" w:cs="Arial" w:eastAsia="Arial" w:hAnsi="Arial"/>
          <w:sz w:val="16"/>
          <w:szCs w:val="16"/>
          <w:color w:val="auto"/>
        </w:rPr>
      </w:pPr>
    </w:p>
    <w:p>
      <w:pPr>
        <w:ind w:left="3900" w:right="3580" w:hanging="651"/>
        <w:spacing w:after="0" w:line="563" w:lineRule="auto"/>
        <w:tabs>
          <w:tab w:leader="none" w:pos="390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Shared power to dispose or to direct the disposition of</w:t>
      </w:r>
      <w:r>
        <w:rPr>
          <w:rFonts w:ascii="Arial" w:cs="Arial" w:eastAsia="Arial" w:hAnsi="Arial"/>
          <w:sz w:val="16"/>
          <w:szCs w:val="16"/>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0"/>
        </w:trPr>
        <w:tc>
          <w:tcPr>
            <w:tcW w:w="49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960" w:type="dxa"/>
            <w:vAlign w:val="bottom"/>
          </w:tcPr>
          <w:p>
            <w:pPr>
              <w:ind w:left="600"/>
              <w:spacing w:after="0"/>
              <w:rPr>
                <w:sz w:val="20"/>
                <w:szCs w:val="20"/>
                <w:color w:val="auto"/>
              </w:rPr>
            </w:pPr>
            <w:r>
              <w:rPr>
                <w:rFonts w:ascii="Arial" w:cs="Arial" w:eastAsia="Arial" w:hAnsi="Arial"/>
                <w:sz w:val="18"/>
                <w:szCs w:val="18"/>
                <w:color w:val="auto"/>
                <w:w w:val="86"/>
              </w:rPr>
              <w:t>13 G</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4291330</wp:posOffset>
            </wp:positionH>
            <wp:positionV relativeFrom="page">
              <wp:posOffset>226060</wp:posOffset>
            </wp:positionV>
            <wp:extent cx="311277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2770" cy="154305"/>
                    </a:xfrm>
                    <a:prstGeom prst="rect">
                      <a:avLst/>
                    </a:prstGeom>
                    <a:noFill/>
                  </pic:spPr>
                </pic:pic>
              </a:graphicData>
            </a:graphic>
          </wp:anchor>
        </w:drawing>
      </w: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spacing w:after="0" w:line="279" w:lineRule="auto"/>
        <w:rPr>
          <w:sz w:val="20"/>
          <w:szCs w:val="20"/>
          <w:color w:val="auto"/>
        </w:rPr>
      </w:pPr>
      <w:r>
        <w:rPr>
          <w:rFonts w:ascii="Arial" w:cs="Arial" w:eastAsia="Arial" w:hAnsi="Arial"/>
          <w:sz w:val="17"/>
          <w:szCs w:val="17"/>
          <w:color w:val="auto"/>
        </w:rPr>
        <w:t>Under certain circumstances set forth in the limited partnership agreements of A10, A10SP, A11, A11SP and ALF, and the limited liability company agreements of A10A, AI08, AI10, A11A, AI13, ALFA and ALFI16, the general partner and limited partners or members, as the case may be, of each of such entities may be deemed to have the right to receive dividends from, or the proceeds from, the sale of shares of the issuer owned by each such entity of which they are a partner or member, as the case may be.</w:t>
      </w:r>
    </w:p>
    <w:p>
      <w:pPr>
        <w:spacing w:after="0" w:line="171" w:lineRule="exact"/>
        <w:rPr>
          <w:sz w:val="20"/>
          <w:szCs w:val="20"/>
          <w:color w:val="auto"/>
        </w:rPr>
      </w:pPr>
    </w:p>
    <w:p>
      <w:pPr>
        <w:ind w:left="1300" w:right="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36"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0"/>
        </w:trPr>
        <w:tc>
          <w:tcPr>
            <w:tcW w:w="49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960" w:type="dxa"/>
            <w:vAlign w:val="bottom"/>
          </w:tcPr>
          <w:p>
            <w:pPr>
              <w:ind w:left="600"/>
              <w:spacing w:after="0"/>
              <w:rPr>
                <w:sz w:val="20"/>
                <w:szCs w:val="20"/>
                <w:color w:val="auto"/>
              </w:rPr>
            </w:pPr>
            <w:r>
              <w:rPr>
                <w:rFonts w:ascii="Arial" w:cs="Arial" w:eastAsia="Arial" w:hAnsi="Arial"/>
                <w:sz w:val="18"/>
                <w:szCs w:val="18"/>
                <w:color w:val="auto"/>
                <w:w w:val="86"/>
              </w:rPr>
              <w:t>13 G</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4291330</wp:posOffset>
            </wp:positionH>
            <wp:positionV relativeFrom="page">
              <wp:posOffset>226060</wp:posOffset>
            </wp:positionV>
            <wp:extent cx="311277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2770" cy="15430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ectPr>
          <w:pgSz w:w="11900" w:h="16838" w:orient="portrait"/>
          <w:cols w:equalWidth="0" w:num="1">
            <w:col w:w="10760"/>
          </w:cols>
          <w:pgMar w:left="240" w:top="336" w:right="8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Entities: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Accel 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Accel X Strategic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2008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2010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Strategic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2013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Accel Leaders Fund Investors 2016 L.L.C.*</w:t>
      </w:r>
    </w:p>
    <w:p>
      <w:pPr>
        <w:spacing w:after="0" w:line="200" w:lineRule="exact"/>
        <w:rPr>
          <w:sz w:val="20"/>
          <w:szCs w:val="20"/>
          <w:color w:val="auto"/>
        </w:rPr>
      </w:pPr>
    </w:p>
    <w:p>
      <w:pPr>
        <w:sectPr>
          <w:pgSz w:w="11900" w:h="16838" w:orient="portrait"/>
          <w:cols w:equalWidth="0" w:num="2">
            <w:col w:w="600" w:space="560"/>
            <w:col w:w="9600"/>
          </w:cols>
          <w:pgMar w:left="240" w:top="336" w:right="899" w:bottom="1440" w:gutter="0" w:footer="0" w:header="0"/>
          <w:type w:val="continuous"/>
        </w:sectPr>
      </w:pPr>
    </w:p>
    <w:p>
      <w:pPr>
        <w:spacing w:after="0" w:line="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Tracy L. Sedlock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Tracy L. Sedlock,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-123190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above-listed entities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Signed pursuant to a Power of Attorney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60"/>
      </w:cols>
      <w:pgMar w:left="240" w:top="336" w:right="8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2020-02-12T15:34:46Z</dcterms:created>
  <dcterms:modified xsi:type="dcterms:W3CDTF">2020-02-12T15:34:46Z</dcterms:modified>
</cp:coreProperties>
</file>