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167640</wp:posOffset>
            </wp:positionV>
            <wp:extent cx="1775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10-Q/A</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Amendment No. 1</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-130175</wp:posOffset>
            </wp:positionV>
            <wp:extent cx="1775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 w:lineRule="exact"/>
        <w:rPr>
          <w:sz w:val="24"/>
          <w:szCs w:val="24"/>
          <w:color w:val="auto"/>
        </w:rPr>
      </w:pPr>
    </w:p>
    <w:p>
      <w:pPr>
        <w:ind w:left="4020" w:right="2080" w:hanging="4016"/>
        <w:spacing w:after="0" w:line="261" w:lineRule="auto"/>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QUARTERLY REPORT PURSUANT TO SECTION 13 OR 15(d) OF THE SECURITIES EXCHANGE ACT OF 1934</w:t>
      </w:r>
      <w:r>
        <w:rPr>
          <w:rFonts w:ascii="Arial" w:cs="Arial" w:eastAsia="Arial" w:hAnsi="Arial"/>
          <w:sz w:val="18"/>
          <w:szCs w:val="18"/>
          <w:color w:val="auto"/>
        </w:rPr>
        <w:t xml:space="preserve"> For the quarterly period ended March 31, 2019</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760" w:right="2000" w:hanging="3752"/>
        <w:spacing w:after="0" w:line="266" w:lineRule="auto"/>
        <w:tabs>
          <w:tab w:leader="none" w:pos="21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317500</wp:posOffset>
            </wp:positionV>
            <wp:extent cx="3009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Dropbox, Inc.</w:t>
      </w: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167640</wp:posOffset>
            </wp:positionV>
            <wp:extent cx="3009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0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26-0138832</w:t>
      </w:r>
    </w:p>
    <w:p>
      <w:pPr>
        <w:spacing w:after="0" w:line="200" w:lineRule="exact"/>
        <w:rPr>
          <w:sz w:val="24"/>
          <w:szCs w:val="24"/>
          <w:color w:val="auto"/>
        </w:rPr>
      </w:pPr>
    </w:p>
    <w:p>
      <w:pPr>
        <w:sectPr>
          <w:pgSz w:w="11900" w:h="16838" w:orient="portrait"/>
          <w:cols w:equalWidth="0" w:num="2">
            <w:col w:w="8700" w:space="720"/>
            <w:col w:w="1960"/>
          </w:cols>
          <w:pgMar w:left="240" w:top="688" w:right="279" w:bottom="1440" w:gutter="0" w:footer="0" w:header="0"/>
          <w:type w:val="continuous"/>
        </w:sectPr>
      </w:pP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-127635</wp:posOffset>
            </wp:positionV>
            <wp:extent cx="3009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333 Brannan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California 94107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2123440</wp:posOffset>
            </wp:positionH>
            <wp:positionV relativeFrom="paragraph">
              <wp:posOffset>168910</wp:posOffset>
            </wp:positionV>
            <wp:extent cx="3009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4"/>
          <w:szCs w:val="14"/>
          <w:color w:val="auto"/>
        </w:rPr>
        <w:t>☐</w:t>
      </w:r>
    </w:p>
    <w:p>
      <w:pPr>
        <w:spacing w:after="0" w:line="127" w:lineRule="exact"/>
        <w:rPr>
          <w:sz w:val="24"/>
          <w:szCs w:val="24"/>
          <w:color w:val="auto"/>
        </w:rPr>
      </w:pPr>
    </w:p>
    <w:p>
      <w:pPr>
        <w:ind w:right="24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4"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80" w:type="dxa"/>
            <w:vAlign w:val="bottom"/>
          </w:tcPr>
          <w:p>
            <w:pPr>
              <w:jc w:val="right"/>
              <w:ind w:right="128"/>
              <w:spacing w:after="0" w:line="141" w:lineRule="exact"/>
              <w:rPr>
                <w:sz w:val="20"/>
                <w:szCs w:val="20"/>
                <w:color w:val="auto"/>
              </w:rPr>
            </w:pPr>
            <w:r>
              <w:rPr>
                <w:rFonts w:ascii="MS PGothic" w:cs="MS PGothic" w:eastAsia="MS PGothic" w:hAnsi="MS PGothic"/>
                <w:sz w:val="14"/>
                <w:szCs w:val="14"/>
                <w:color w:val="auto"/>
              </w:rPr>
              <w:t>☐</w:t>
            </w:r>
          </w:p>
        </w:tc>
        <w:tc>
          <w:tcPr>
            <w:tcW w:w="374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92"/>
        </w:trPr>
        <w:tc>
          <w:tcPr>
            <w:tcW w:w="3240" w:type="dxa"/>
            <w:vAlign w:val="bottom"/>
          </w:tcPr>
          <w:p>
            <w:pPr>
              <w:spacing w:after="0"/>
              <w:rPr>
                <w:sz w:val="20"/>
                <w:szCs w:val="20"/>
                <w:color w:val="auto"/>
              </w:rPr>
            </w:pPr>
            <w:r>
              <w:rPr>
                <w:rFonts w:ascii="Arial" w:cs="Arial" w:eastAsia="Arial" w:hAnsi="Arial"/>
                <w:sz w:val="14"/>
                <w:szCs w:val="14"/>
                <w:color w:val="auto"/>
              </w:rPr>
              <w:t>Non-accelerated filer</w:t>
            </w:r>
          </w:p>
        </w:tc>
        <w:tc>
          <w:tcPr>
            <w:tcW w:w="2280" w:type="dxa"/>
            <w:vAlign w:val="bottom"/>
          </w:tcPr>
          <w:p>
            <w:pPr>
              <w:jc w:val="right"/>
              <w:ind w:right="128"/>
              <w:spacing w:after="0"/>
              <w:rPr>
                <w:sz w:val="20"/>
                <w:szCs w:val="20"/>
                <w:color w:val="auto"/>
              </w:rPr>
            </w:pPr>
            <w:r>
              <w:rPr>
                <w:rFonts w:ascii="Arial" w:cs="Arial" w:eastAsia="Arial" w:hAnsi="Arial"/>
                <w:sz w:val="14"/>
                <w:szCs w:val="14"/>
                <w:color w:val="auto"/>
              </w:rPr>
              <w:t>x</w:t>
            </w:r>
          </w:p>
        </w:tc>
        <w:tc>
          <w:tcPr>
            <w:tcW w:w="374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32"/>
        </w:trPr>
        <w:tc>
          <w:tcPr>
            <w:tcW w:w="3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74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2080" w:type="dxa"/>
            <w:vAlign w:val="bottom"/>
          </w:tcPr>
          <w:p>
            <w:pPr>
              <w:ind w:left="19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7"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380"/>
          </w:cols>
          <w:pgMar w:left="240" w:top="688" w:right="279" w:bottom="1440" w:gutter="0" w:footer="0" w:header="0"/>
          <w:type w:val="continuous"/>
        </w:sectPr>
      </w:pPr>
    </w:p>
    <w:bookmarkStart w:id="1" w:name="page2"/>
    <w:bookmarkEnd w:id="1"/>
    <w:tbl>
      <w:tblPr>
        <w:tblLayout w:type="fixed"/>
        <w:tblInd w:w="9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680" w:type="dxa"/>
            <w:vAlign w:val="bottom"/>
            <w:gridSpan w:val="2"/>
          </w:tcPr>
          <w:p>
            <w:pPr>
              <w:jc w:val="right"/>
              <w:ind w:right="1528"/>
              <w:spacing w:after="0"/>
              <w:rPr>
                <w:sz w:val="20"/>
                <w:szCs w:val="20"/>
                <w:color w:val="auto"/>
              </w:rPr>
            </w:pPr>
            <w:r>
              <w:rPr>
                <w:rFonts w:ascii="Arial" w:cs="Arial" w:eastAsia="Arial" w:hAnsi="Arial"/>
                <w:sz w:val="14"/>
                <w:szCs w:val="14"/>
                <w:b w:val="1"/>
                <w:bCs w:val="1"/>
                <w:color w:val="auto"/>
                <w:w w:val="87"/>
              </w:rPr>
              <w:t>Title of each class</w:t>
            </w:r>
          </w:p>
        </w:tc>
        <w:tc>
          <w:tcPr>
            <w:tcW w:w="17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4"/>
              </w:rPr>
              <w:t>Trading Symbol(s)</w:t>
            </w:r>
          </w:p>
        </w:tc>
        <w:tc>
          <w:tcPr>
            <w:tcW w:w="1560" w:type="dxa"/>
            <w:vAlign w:val="bottom"/>
          </w:tcPr>
          <w:p>
            <w:pPr>
              <w:spacing w:after="0"/>
              <w:rPr>
                <w:sz w:val="14"/>
                <w:szCs w:val="1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23"/>
        </w:trPr>
        <w:tc>
          <w:tcPr>
            <w:tcW w:w="1020" w:type="dxa"/>
            <w:vAlign w:val="bottom"/>
          </w:tcPr>
          <w:p>
            <w:pPr>
              <w:spacing w:after="0" w:line="123" w:lineRule="exact"/>
              <w:rPr>
                <w:sz w:val="20"/>
                <w:szCs w:val="20"/>
                <w:color w:val="auto"/>
              </w:rPr>
            </w:pPr>
            <w:r>
              <w:rPr>
                <w:rFonts w:ascii="Arial" w:cs="Arial" w:eastAsia="Arial" w:hAnsi="Arial"/>
                <w:sz w:val="14"/>
                <w:szCs w:val="14"/>
                <w:color w:val="auto"/>
                <w:w w:val="91"/>
              </w:rPr>
              <w:t>Class A Common</w:t>
            </w:r>
          </w:p>
        </w:tc>
        <w:tc>
          <w:tcPr>
            <w:tcW w:w="10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Stock, par value $</w:t>
            </w:r>
          </w:p>
        </w:tc>
        <w:tc>
          <w:tcPr>
            <w:tcW w:w="1600" w:type="dxa"/>
            <w:vAlign w:val="bottom"/>
          </w:tcPr>
          <w:p>
            <w:pPr>
              <w:spacing w:after="0" w:line="123" w:lineRule="exact"/>
              <w:rPr>
                <w:sz w:val="20"/>
                <w:szCs w:val="20"/>
                <w:color w:val="auto"/>
              </w:rPr>
            </w:pPr>
            <w:r>
              <w:rPr>
                <w:rFonts w:ascii="Arial" w:cs="Arial" w:eastAsia="Arial" w:hAnsi="Arial"/>
                <w:sz w:val="14"/>
                <w:szCs w:val="14"/>
                <w:color w:val="auto"/>
              </w:rPr>
              <w:t>0.00001 per share</w:t>
            </w:r>
          </w:p>
        </w:tc>
        <w:tc>
          <w:tcPr>
            <w:tcW w:w="580" w:type="dxa"/>
            <w:vAlign w:val="bottom"/>
          </w:tcPr>
          <w:p>
            <w:pPr>
              <w:spacing w:after="0"/>
              <w:rPr>
                <w:sz w:val="10"/>
                <w:szCs w:val="10"/>
                <w:color w:val="auto"/>
              </w:rPr>
            </w:pPr>
          </w:p>
        </w:tc>
        <w:tc>
          <w:tcPr>
            <w:tcW w:w="11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DBX</w:t>
            </w:r>
          </w:p>
        </w:tc>
        <w:tc>
          <w:tcPr>
            <w:tcW w:w="1560" w:type="dxa"/>
            <w:vAlign w:val="bottom"/>
          </w:tcPr>
          <w:p>
            <w:pPr>
              <w:spacing w:after="0"/>
              <w:rPr>
                <w:sz w:val="10"/>
                <w:szCs w:val="10"/>
                <w:color w:val="auto"/>
              </w:rPr>
            </w:pPr>
          </w:p>
        </w:tc>
        <w:tc>
          <w:tcPr>
            <w:tcW w:w="23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The NASDAQ Stock Market LLC</w:t>
            </w:r>
          </w:p>
        </w:tc>
        <w:tc>
          <w:tcPr>
            <w:tcW w:w="20" w:type="dxa"/>
            <w:vAlign w:val="bottom"/>
          </w:tcPr>
          <w:p>
            <w:pPr>
              <w:spacing w:after="0"/>
              <w:rPr>
                <w:sz w:val="10"/>
                <w:szCs w:val="10"/>
                <w:color w:val="auto"/>
              </w:rPr>
            </w:pPr>
          </w:p>
        </w:tc>
      </w:tr>
      <w:tr>
        <w:trPr>
          <w:trHeight w:val="182"/>
        </w:trPr>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(Nasdaq Global Select Market)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466090</wp:posOffset>
            </wp:positionV>
            <wp:extent cx="630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23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As of May 6, 2019, there were 227,146,748 shares of the registrants’ Class A common stock outstanding (which excludes 14,733,333 shares of Class A common stock subject to restricted stock awards that were granted pursuant to the Co-Founder Grants, and vest upon the satisfaction of a service condition and achievement of certain stock price goals), 184,032,102 shares of the registrant’s Class B common stock outstanding, and no shares of the registrant’s Class C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34"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This Amendment No. 1 to the Quarterly Report on Form 10-Q of Dropbox, Inc. for the quarter ended March 31, 2019, originally filed on May 10, 2019 (the "Original Form 10-Q"), is being filed solely to correct an administrative error in the number of Class B common shares outstanding as of May 6, 2019 shown on the cover page. The correct number of Class B common shares outstanding as of such date is 184,032,102.</w:t>
      </w:r>
    </w:p>
    <w:p>
      <w:pPr>
        <w:spacing w:after="0" w:line="156"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This Amendment No. 1 speaks as of the original filing date of the Form 10-Q, does not reflect events that may have occurred subsequent to the original filing date, and does not modify or update in any way disclosures made in the Original Form 10-Q. No other changes have been made to the Original Form 10-Q.</w:t>
      </w:r>
    </w:p>
    <w:p>
      <w:pPr>
        <w:sectPr>
          <w:pgSz w:w="11900" w:h="16838" w:orient="portrait"/>
          <w:cols w:equalWidth="0" w:num="1">
            <w:col w:w="11420"/>
          </w:cols>
          <w:pgMar w:left="240" w:top="870" w:right="2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6"/>
          <w:szCs w:val="16"/>
          <w:color w:val="auto"/>
        </w:rPr>
        <w:t>As required by Rule 12b-15 of the Securities Exchange Act of 1934, as amended, this Amendment contains new certifications by the Company’s principal executive officer and principal financial officer, which are being filed as exhibits to the Amendment. Because the Amendment includes no financial statements, the Company is not including certifications pursuant to Section 906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5240" w:type="dxa"/>
            <w:vAlign w:val="bottom"/>
            <w:gridSpan w:val="4"/>
            <w:vMerge w:val="restart"/>
          </w:tcPr>
          <w:p>
            <w:pPr>
              <w:ind w:left="2240"/>
              <w:spacing w:after="0"/>
              <w:rPr>
                <w:sz w:val="20"/>
                <w:szCs w:val="20"/>
                <w:color w:val="auto"/>
              </w:rPr>
            </w:pPr>
            <w:r>
              <w:rPr>
                <w:rFonts w:ascii="Arial" w:cs="Arial" w:eastAsia="Arial" w:hAnsi="Arial"/>
                <w:sz w:val="14"/>
                <w:szCs w:val="14"/>
                <w:b w:val="1"/>
                <w:bCs w:val="1"/>
                <w:color w:val="auto"/>
              </w:rPr>
              <w:t>Description</w:t>
            </w:r>
          </w:p>
        </w:tc>
        <w:tc>
          <w:tcPr>
            <w:tcW w:w="8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4"/>
              </w:rPr>
              <w:t>Filed with SEC</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240" w:type="dxa"/>
            <w:vAlign w:val="bottom"/>
            <w:gridSpan w:val="4"/>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color w:val="auto"/>
              </w:rPr>
              <w:t>31.1</w:t>
            </w:r>
          </w:p>
        </w:tc>
        <w:tc>
          <w:tcPr>
            <w:tcW w:w="5240" w:type="dxa"/>
            <w:vAlign w:val="bottom"/>
            <w:gridSpan w:val="4"/>
          </w:tcPr>
          <w:p>
            <w:pPr>
              <w:spacing w:after="0"/>
              <w:rPr>
                <w:rFonts w:ascii="Arial" w:cs="Arial" w:eastAsia="Arial" w:hAnsi="Arial"/>
                <w:sz w:val="14"/>
                <w:szCs w:val="14"/>
                <w:color w:val="0000FF"/>
                <w:w w:val="99"/>
              </w:rPr>
            </w:pPr>
            <w:hyperlink w:anchor="page5">
              <w:r>
                <w:rPr>
                  <w:rFonts w:ascii="Arial" w:cs="Arial" w:eastAsia="Arial" w:hAnsi="Arial"/>
                  <w:sz w:val="14"/>
                  <w:szCs w:val="14"/>
                  <w:color w:val="0000FF"/>
                  <w:w w:val="99"/>
                </w:rPr>
                <w:t>Certification of Principal Executive Officer pursuant to Exchange Act Rules 13a-14(a)</w:t>
              </w:r>
            </w:hyperlink>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9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2"/>
              </w:rPr>
            </w:pPr>
            <w:hyperlink w:anchor="page5">
              <w:r>
                <w:rPr>
                  <w:rFonts w:ascii="Arial" w:cs="Arial" w:eastAsia="Arial" w:hAnsi="Arial"/>
                  <w:sz w:val="14"/>
                  <w:szCs w:val="14"/>
                  <w:color w:val="0000FF"/>
                  <w:w w:val="92"/>
                </w:rPr>
                <w:t>and 15d-14(a), as adopted pursuant to Section 302 of the Sarbanes-Oxley Act of 2002.</w:t>
              </w:r>
            </w:hyperlink>
          </w:p>
        </w:tc>
        <w:tc>
          <w:tcPr>
            <w:tcW w:w="2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0"/>
                <w:szCs w:val="20"/>
                <w:color w:val="auto"/>
              </w:rPr>
            </w:pPr>
            <w:r>
              <w:rPr>
                <w:rFonts w:ascii="Arial" w:cs="Arial" w:eastAsia="Arial" w:hAnsi="Arial"/>
                <w:sz w:val="14"/>
                <w:szCs w:val="14"/>
                <w:color w:val="auto"/>
              </w:rPr>
              <w:t>31.2</w:t>
            </w:r>
          </w:p>
        </w:tc>
        <w:tc>
          <w:tcPr>
            <w:tcW w:w="5240" w:type="dxa"/>
            <w:vAlign w:val="bottom"/>
            <w:gridSpan w:val="4"/>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Certification of Principal Financial Officer pursuant to Exchange Act Rules 13a-14(a)</w:t>
              </w:r>
            </w:hyperlink>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494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1"/>
              </w:rPr>
            </w:pPr>
            <w:hyperlink w:anchor="page6">
              <w:r>
                <w:rPr>
                  <w:rFonts w:ascii="Arial" w:cs="Arial" w:eastAsia="Arial" w:hAnsi="Arial"/>
                  <w:sz w:val="14"/>
                  <w:szCs w:val="14"/>
                  <w:color w:val="0000FF"/>
                  <w:w w:val="91"/>
                </w:rPr>
                <w:t>and 15d-14(a), as adopted pursuant to Section 302 of the Sarbanes-Oxley Act of 2002.</w:t>
              </w:r>
            </w:hyperlink>
          </w:p>
        </w:tc>
        <w:tc>
          <w:tcPr>
            <w:tcW w:w="4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589" w:right="47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DROPBOX, INC.</w:t>
      </w:r>
    </w:p>
    <w:p>
      <w:pPr>
        <w:spacing w:after="0" w:line="391" w:lineRule="exact"/>
        <w:rPr>
          <w:sz w:val="20"/>
          <w:szCs w:val="20"/>
          <w:color w:val="auto"/>
        </w:rPr>
      </w:pPr>
    </w:p>
    <w:p>
      <w:pPr>
        <w:ind w:left="40"/>
        <w:spacing w:after="0"/>
        <w:tabs>
          <w:tab w:leader="none" w:pos="700" w:val="left"/>
          <w:tab w:leader="none" w:pos="2780" w:val="left"/>
          <w:tab w:leader="none" w:pos="3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Ajay V.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48539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Ajay V. Vashee</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0940"/>
          </w:cols>
          <w:pgMar w:left="240" w:top="580"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W. Houston, certify that:</w:t>
      </w:r>
    </w:p>
    <w:p>
      <w:pPr>
        <w:spacing w:after="0" w:line="22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2019</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rPr>
              <w:t>/s/ Andrew W. Houston</w:t>
            </w:r>
          </w:p>
        </w:tc>
      </w:tr>
      <w:tr>
        <w:trPr>
          <w:trHeight w:val="27"/>
        </w:trPr>
        <w:tc>
          <w:tcPr>
            <w:tcW w:w="6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40"/>
              <w:spacing w:after="0"/>
              <w:rPr>
                <w:sz w:val="20"/>
                <w:szCs w:val="20"/>
                <w:color w:val="auto"/>
              </w:rPr>
            </w:pPr>
            <w:r>
              <w:rPr>
                <w:rFonts w:ascii="Arial" w:cs="Arial" w:eastAsia="Arial" w:hAnsi="Arial"/>
                <w:sz w:val="18"/>
                <w:szCs w:val="18"/>
                <w:color w:val="auto"/>
              </w:rPr>
              <w:t>Andrew W. Houston</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68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Ajay V. Vashee, certify that:</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May 20, 2019</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rPr>
              <w:t>/s/ Ajay V. Vashee</w:t>
            </w:r>
          </w:p>
        </w:tc>
      </w:tr>
      <w:tr>
        <w:trPr>
          <w:trHeight w:val="27"/>
        </w:trPr>
        <w:tc>
          <w:tcPr>
            <w:tcW w:w="6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40"/>
              <w:spacing w:after="0"/>
              <w:rPr>
                <w:sz w:val="20"/>
                <w:szCs w:val="20"/>
                <w:color w:val="auto"/>
              </w:rPr>
            </w:pPr>
            <w:r>
              <w:rPr>
                <w:rFonts w:ascii="Arial" w:cs="Arial" w:eastAsia="Arial" w:hAnsi="Arial"/>
                <w:sz w:val="18"/>
                <w:szCs w:val="18"/>
                <w:color w:val="auto"/>
              </w:rPr>
              <w:t>Ajay V. Vashee</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68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2019-12-28T11:44:36Z</dcterms:created>
  <dcterms:modified xsi:type="dcterms:W3CDTF">2019-12-28T11:44:36Z</dcterms:modified>
</cp:coreProperties>
</file>