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80"/>
        <w:spacing w:after="0"/>
        <w:rPr>
          <w:sz w:val="20"/>
          <w:szCs w:val="20"/>
          <w:color w:val="auto"/>
        </w:rPr>
      </w:pPr>
      <w:r>
        <w:rPr>
          <w:rFonts w:ascii="Arial" w:cs="Arial" w:eastAsia="Arial" w:hAnsi="Arial"/>
          <w:sz w:val="32"/>
          <w:szCs w:val="32"/>
          <w:b w:val="1"/>
          <w:bCs w:val="1"/>
          <w:color w:val="auto"/>
        </w:rPr>
        <w:t>UNITED STATES</w:t>
      </w:r>
    </w:p>
    <w:p>
      <w:pPr>
        <w:spacing w:after="0" w:line="40" w:lineRule="exact"/>
        <w:rPr>
          <w:sz w:val="24"/>
          <w:szCs w:val="24"/>
          <w:color w:val="auto"/>
        </w:rPr>
      </w:pPr>
    </w:p>
    <w:p>
      <w:pPr>
        <w:jc w:val="center"/>
        <w:ind w:right="80"/>
        <w:spacing w:after="0"/>
        <w:rPr>
          <w:sz w:val="20"/>
          <w:szCs w:val="20"/>
          <w:color w:val="auto"/>
        </w:rPr>
      </w:pPr>
      <w:r>
        <w:rPr>
          <w:rFonts w:ascii="Arial" w:cs="Arial" w:eastAsia="Arial" w:hAnsi="Arial"/>
          <w:sz w:val="32"/>
          <w:szCs w:val="32"/>
          <w:b w:val="1"/>
          <w:bCs w:val="1"/>
          <w:color w:val="auto"/>
        </w:rPr>
        <w:t>SECURITIES AND EXCHANGE COMMISSION</w:t>
      </w:r>
    </w:p>
    <w:p>
      <w:pPr>
        <w:spacing w:after="0" w:line="6" w:lineRule="exact"/>
        <w:rPr>
          <w:sz w:val="24"/>
          <w:szCs w:val="24"/>
          <w:color w:val="auto"/>
        </w:rPr>
      </w:pPr>
    </w:p>
    <w:p>
      <w:pPr>
        <w:jc w:val="center"/>
        <w:ind w:right="80"/>
        <w:spacing w:after="0"/>
        <w:rPr>
          <w:sz w:val="20"/>
          <w:szCs w:val="20"/>
          <w:color w:val="auto"/>
        </w:rPr>
      </w:pPr>
      <w:r>
        <w:rPr>
          <w:rFonts w:ascii="Arial" w:cs="Arial" w:eastAsia="Arial" w:hAnsi="Arial"/>
          <w:sz w:val="21"/>
          <w:szCs w:val="21"/>
          <w:b w:val="1"/>
          <w:bCs w:val="1"/>
          <w:color w:val="auto"/>
        </w:rPr>
        <w:t>Washington, D.C. 20549</w:t>
      </w:r>
    </w:p>
    <w:p>
      <w:pPr>
        <w:spacing w:after="0" w:line="217" w:lineRule="exact"/>
        <w:rPr>
          <w:sz w:val="24"/>
          <w:szCs w:val="24"/>
          <w:color w:val="auto"/>
        </w:rPr>
      </w:pPr>
    </w:p>
    <w:p>
      <w:pPr>
        <w:jc w:val="center"/>
        <w:ind w:right="80"/>
        <w:spacing w:after="0"/>
        <w:rPr>
          <w:sz w:val="20"/>
          <w:szCs w:val="20"/>
          <w:color w:val="auto"/>
        </w:rPr>
      </w:pPr>
      <w:r>
        <w:rPr>
          <w:rFonts w:ascii="Arial" w:cs="Arial" w:eastAsia="Arial" w:hAnsi="Arial"/>
          <w:sz w:val="35"/>
          <w:szCs w:val="35"/>
          <w:b w:val="1"/>
          <w:bCs w:val="1"/>
          <w:color w:val="auto"/>
        </w:rPr>
        <w:t>Form 8-K</w:t>
      </w:r>
    </w:p>
    <w:p>
      <w:pPr>
        <w:spacing w:after="0" w:line="271" w:lineRule="exact"/>
        <w:rPr>
          <w:sz w:val="24"/>
          <w:szCs w:val="24"/>
          <w:color w:val="auto"/>
        </w:rPr>
      </w:pPr>
    </w:p>
    <w:p>
      <w:pPr>
        <w:jc w:val="center"/>
        <w:ind w:right="80"/>
        <w:spacing w:after="0"/>
        <w:rPr>
          <w:sz w:val="20"/>
          <w:szCs w:val="20"/>
          <w:color w:val="auto"/>
        </w:rPr>
      </w:pPr>
      <w:r>
        <w:rPr>
          <w:rFonts w:ascii="Arial" w:cs="Arial" w:eastAsia="Arial" w:hAnsi="Arial"/>
          <w:sz w:val="21"/>
          <w:szCs w:val="21"/>
          <w:b w:val="1"/>
          <w:bCs w:val="1"/>
          <w:color w:val="auto"/>
        </w:rPr>
        <w:t>CURRENT REPORT</w:t>
      </w:r>
    </w:p>
    <w:p>
      <w:pPr>
        <w:spacing w:after="0" w:line="35" w:lineRule="exact"/>
        <w:rPr>
          <w:sz w:val="24"/>
          <w:szCs w:val="24"/>
          <w:color w:val="auto"/>
        </w:rPr>
      </w:pPr>
    </w:p>
    <w:p>
      <w:pPr>
        <w:jc w:val="center"/>
        <w:ind w:right="80"/>
        <w:spacing w:after="0"/>
        <w:rPr>
          <w:sz w:val="20"/>
          <w:szCs w:val="20"/>
          <w:color w:val="auto"/>
        </w:rPr>
      </w:pPr>
      <w:r>
        <w:rPr>
          <w:rFonts w:ascii="Arial" w:cs="Arial" w:eastAsia="Arial" w:hAnsi="Arial"/>
          <w:sz w:val="21"/>
          <w:szCs w:val="21"/>
          <w:b w:val="1"/>
          <w:bCs w:val="1"/>
          <w:color w:val="auto"/>
        </w:rPr>
        <w:t>Pursuant to Section 13 or 15(d)</w:t>
      </w:r>
    </w:p>
    <w:p>
      <w:pPr>
        <w:spacing w:after="0" w:line="11" w:lineRule="exact"/>
        <w:rPr>
          <w:sz w:val="24"/>
          <w:szCs w:val="24"/>
          <w:color w:val="auto"/>
        </w:rPr>
      </w:pPr>
    </w:p>
    <w:p>
      <w:pPr>
        <w:jc w:val="center"/>
        <w:ind w:right="80"/>
        <w:spacing w:after="0"/>
        <w:rPr>
          <w:sz w:val="20"/>
          <w:szCs w:val="20"/>
          <w:color w:val="auto"/>
        </w:rPr>
      </w:pPr>
      <w:r>
        <w:rPr>
          <w:rFonts w:ascii="Arial" w:cs="Arial" w:eastAsia="Arial" w:hAnsi="Arial"/>
          <w:sz w:val="21"/>
          <w:szCs w:val="21"/>
          <w:b w:val="1"/>
          <w:bCs w:val="1"/>
          <w:color w:val="auto"/>
        </w:rPr>
        <w:t>of the Securities Exchange Act of 1934</w:t>
      </w:r>
    </w:p>
    <w:p>
      <w:pPr>
        <w:spacing w:after="0" w:line="226" w:lineRule="exact"/>
        <w:rPr>
          <w:sz w:val="24"/>
          <w:szCs w:val="24"/>
          <w:color w:val="auto"/>
        </w:rPr>
      </w:pPr>
    </w:p>
    <w:p>
      <w:pPr>
        <w:jc w:val="center"/>
        <w:ind w:right="80"/>
        <w:spacing w:after="0"/>
        <w:rPr>
          <w:sz w:val="20"/>
          <w:szCs w:val="20"/>
          <w:color w:val="auto"/>
        </w:rPr>
      </w:pPr>
      <w:r>
        <w:rPr>
          <w:rFonts w:ascii="Arial" w:cs="Arial" w:eastAsia="Arial" w:hAnsi="Arial"/>
          <w:sz w:val="21"/>
          <w:szCs w:val="21"/>
          <w:b w:val="1"/>
          <w:bCs w:val="1"/>
          <w:color w:val="auto"/>
        </w:rPr>
        <w:t>August 5, 2021</w:t>
      </w:r>
    </w:p>
    <w:p>
      <w:pPr>
        <w:spacing w:after="0" w:line="35" w:lineRule="exact"/>
        <w:rPr>
          <w:sz w:val="24"/>
          <w:szCs w:val="24"/>
          <w:color w:val="auto"/>
        </w:rPr>
      </w:pPr>
    </w:p>
    <w:p>
      <w:pPr>
        <w:jc w:val="center"/>
        <w:ind w:right="80"/>
        <w:spacing w:after="0"/>
        <w:rPr>
          <w:sz w:val="20"/>
          <w:szCs w:val="20"/>
          <w:color w:val="auto"/>
        </w:rPr>
      </w:pPr>
      <w:r>
        <w:rPr>
          <w:rFonts w:ascii="Arial" w:cs="Arial" w:eastAsia="Arial" w:hAnsi="Arial"/>
          <w:sz w:val="21"/>
          <w:szCs w:val="21"/>
          <w:b w:val="1"/>
          <w:bCs w:val="1"/>
          <w:color w:val="auto"/>
        </w:rPr>
        <w:t>Date of Report (date of earliest event reported)</w:t>
      </w:r>
    </w:p>
    <w:p>
      <w:pPr>
        <w:spacing w:after="0" w:line="217" w:lineRule="exact"/>
        <w:rPr>
          <w:sz w:val="24"/>
          <w:szCs w:val="24"/>
          <w:color w:val="auto"/>
        </w:rPr>
      </w:pPr>
    </w:p>
    <w:p>
      <w:pPr>
        <w:jc w:val="center"/>
        <w:ind w:right="80"/>
        <w:spacing w:after="0"/>
        <w:rPr>
          <w:sz w:val="20"/>
          <w:szCs w:val="20"/>
          <w:color w:val="auto"/>
        </w:rPr>
      </w:pPr>
      <w:r>
        <w:rPr>
          <w:rFonts w:ascii="Arial" w:cs="Arial" w:eastAsia="Arial" w:hAnsi="Arial"/>
          <w:sz w:val="35"/>
          <w:szCs w:val="35"/>
          <w:b w:val="1"/>
          <w:bCs w:val="1"/>
          <w:color w:val="auto"/>
        </w:rPr>
        <w:t>DROPBOX, INC.</w:t>
      </w:r>
    </w:p>
    <w:p>
      <w:pPr>
        <w:spacing w:after="0" w:line="48" w:lineRule="exact"/>
        <w:rPr>
          <w:sz w:val="24"/>
          <w:szCs w:val="24"/>
          <w:color w:val="auto"/>
        </w:rPr>
      </w:pPr>
    </w:p>
    <w:p>
      <w:pPr>
        <w:jc w:val="center"/>
        <w:ind w:right="80"/>
        <w:spacing w:after="0"/>
        <w:rPr>
          <w:sz w:val="20"/>
          <w:szCs w:val="20"/>
          <w:color w:val="auto"/>
        </w:rPr>
      </w:pPr>
      <w:r>
        <w:rPr>
          <w:rFonts w:ascii="Arial" w:cs="Arial" w:eastAsia="Arial" w:hAnsi="Arial"/>
          <w:sz w:val="18"/>
          <w:szCs w:val="18"/>
          <w:b w:val="1"/>
          <w:bCs w:val="1"/>
          <w:color w:val="auto"/>
        </w:rPr>
        <w:t>(Exact name of Registrant as specified in its charter)</w:t>
      </w:r>
    </w:p>
    <w:p>
      <w:pPr>
        <w:sectPr>
          <w:pgSz w:w="11900" w:h="16838" w:orient="portrait"/>
          <w:cols w:equalWidth="0" w:num="1">
            <w:col w:w="11340"/>
          </w:cols>
          <w:pgMar w:left="320" w:top="975" w:right="239" w:bottom="1440" w:gutter="0" w:footer="0" w:header="0"/>
        </w:sectPr>
      </w:pPr>
    </w:p>
    <w:p>
      <w:pPr>
        <w:spacing w:after="0" w:line="25" w:lineRule="exact"/>
        <w:rPr>
          <w:sz w:val="24"/>
          <w:szCs w:val="24"/>
          <w:color w:val="auto"/>
        </w:rPr>
      </w:pPr>
    </w:p>
    <w:p>
      <w:pPr>
        <w:jc w:val="center"/>
        <w:ind w:left="800"/>
        <w:spacing w:after="0"/>
        <w:rPr>
          <w:sz w:val="20"/>
          <w:szCs w:val="20"/>
          <w:color w:val="auto"/>
        </w:rPr>
      </w:pPr>
      <w:r>
        <w:rPr>
          <w:rFonts w:ascii="Arial" w:cs="Arial" w:eastAsia="Arial" w:hAnsi="Arial"/>
          <w:sz w:val="18"/>
          <w:szCs w:val="18"/>
          <w:b w:val="1"/>
          <w:bCs w:val="1"/>
          <w:color w:val="auto"/>
        </w:rPr>
        <w:t>Delaware</w:t>
      </w:r>
    </w:p>
    <w:p>
      <w:pPr>
        <w:spacing w:after="0" w:line="23" w:lineRule="exact"/>
        <w:rPr>
          <w:sz w:val="24"/>
          <w:szCs w:val="24"/>
          <w:color w:val="auto"/>
        </w:rPr>
      </w:pPr>
    </w:p>
    <w:p>
      <w:pPr>
        <w:jc w:val="center"/>
        <w:ind w:left="800"/>
        <w:spacing w:after="0"/>
        <w:rPr>
          <w:sz w:val="20"/>
          <w:szCs w:val="20"/>
          <w:color w:val="auto"/>
        </w:rPr>
      </w:pPr>
      <w:r>
        <w:rPr>
          <w:rFonts w:ascii="Arial" w:cs="Arial" w:eastAsia="Arial" w:hAnsi="Arial"/>
          <w:sz w:val="15"/>
          <w:szCs w:val="15"/>
          <w:b w:val="1"/>
          <w:bCs w:val="1"/>
          <w:color w:val="auto"/>
        </w:rPr>
        <w:t>(State or other jurisdiction of</w:t>
      </w:r>
    </w:p>
    <w:p>
      <w:pPr>
        <w:spacing w:after="0" w:line="20" w:lineRule="exact"/>
        <w:rPr>
          <w:sz w:val="24"/>
          <w:szCs w:val="24"/>
          <w:color w:val="auto"/>
        </w:rPr>
      </w:pPr>
      <w:r>
        <w:rPr>
          <w:sz w:val="24"/>
          <w:szCs w:val="24"/>
          <w:color w:val="auto"/>
        </w:rPr>
        <w:br w:type="column"/>
      </w:r>
    </w:p>
    <w:p>
      <w:pPr>
        <w:spacing w:after="0" w:line="5" w:lineRule="exact"/>
        <w:rPr>
          <w:sz w:val="24"/>
          <w:szCs w:val="24"/>
          <w:color w:val="auto"/>
        </w:rPr>
      </w:pPr>
    </w:p>
    <w:p>
      <w:pPr>
        <w:jc w:val="center"/>
        <w:ind w:right="140"/>
        <w:spacing w:after="0"/>
        <w:rPr>
          <w:sz w:val="20"/>
          <w:szCs w:val="20"/>
          <w:color w:val="auto"/>
        </w:rPr>
      </w:pPr>
      <w:r>
        <w:rPr>
          <w:rFonts w:ascii="Arial" w:cs="Arial" w:eastAsia="Arial" w:hAnsi="Arial"/>
          <w:sz w:val="18"/>
          <w:szCs w:val="18"/>
          <w:b w:val="1"/>
          <w:bCs w:val="1"/>
          <w:color w:val="auto"/>
        </w:rPr>
        <w:t>001-38434</w:t>
      </w:r>
    </w:p>
    <w:p>
      <w:pPr>
        <w:spacing w:after="0" w:line="23" w:lineRule="exact"/>
        <w:rPr>
          <w:sz w:val="24"/>
          <w:szCs w:val="24"/>
          <w:color w:val="auto"/>
        </w:rPr>
      </w:pPr>
    </w:p>
    <w:p>
      <w:pPr>
        <w:jc w:val="center"/>
        <w:ind w:right="140"/>
        <w:spacing w:after="0"/>
        <w:rPr>
          <w:sz w:val="20"/>
          <w:szCs w:val="20"/>
          <w:color w:val="auto"/>
        </w:rPr>
      </w:pPr>
      <w:r>
        <w:rPr>
          <w:rFonts w:ascii="Arial" w:cs="Arial" w:eastAsia="Arial" w:hAnsi="Arial"/>
          <w:sz w:val="15"/>
          <w:szCs w:val="15"/>
          <w:b w:val="1"/>
          <w:bCs w:val="1"/>
          <w:color w:val="auto"/>
        </w:rPr>
        <w:t>(Commission File Number)</w:t>
      </w:r>
    </w:p>
    <w:p>
      <w:pPr>
        <w:spacing w:after="0" w:line="20" w:lineRule="exact"/>
        <w:rPr>
          <w:sz w:val="24"/>
          <w:szCs w:val="24"/>
          <w:color w:val="auto"/>
        </w:rPr>
      </w:pPr>
      <w:r>
        <w:rPr>
          <w:sz w:val="24"/>
          <w:szCs w:val="24"/>
          <w:color w:val="auto"/>
        </w:rPr>
        <w:br w:type="column"/>
      </w:r>
    </w:p>
    <w:p>
      <w:pPr>
        <w:spacing w:after="0" w:line="5" w:lineRule="exact"/>
        <w:rPr>
          <w:sz w:val="24"/>
          <w:szCs w:val="24"/>
          <w:color w:val="auto"/>
        </w:rPr>
      </w:pPr>
    </w:p>
    <w:p>
      <w:pPr>
        <w:jc w:val="center"/>
        <w:ind w:right="1040"/>
        <w:spacing w:after="0"/>
        <w:rPr>
          <w:sz w:val="20"/>
          <w:szCs w:val="20"/>
          <w:color w:val="auto"/>
        </w:rPr>
      </w:pPr>
      <w:r>
        <w:rPr>
          <w:rFonts w:ascii="Arial" w:cs="Arial" w:eastAsia="Arial" w:hAnsi="Arial"/>
          <w:sz w:val="18"/>
          <w:szCs w:val="18"/>
          <w:b w:val="1"/>
          <w:bCs w:val="1"/>
          <w:color w:val="auto"/>
        </w:rPr>
        <w:t>26-0138832</w:t>
      </w:r>
    </w:p>
    <w:p>
      <w:pPr>
        <w:spacing w:after="0" w:line="23" w:lineRule="exact"/>
        <w:rPr>
          <w:sz w:val="24"/>
          <w:szCs w:val="24"/>
          <w:color w:val="auto"/>
        </w:rPr>
      </w:pPr>
    </w:p>
    <w:p>
      <w:pPr>
        <w:jc w:val="center"/>
        <w:ind w:right="1040"/>
        <w:spacing w:after="0"/>
        <w:rPr>
          <w:sz w:val="20"/>
          <w:szCs w:val="20"/>
          <w:color w:val="auto"/>
        </w:rPr>
      </w:pPr>
      <w:r>
        <w:rPr>
          <w:rFonts w:ascii="Arial" w:cs="Arial" w:eastAsia="Arial" w:hAnsi="Arial"/>
          <w:sz w:val="15"/>
          <w:szCs w:val="15"/>
          <w:b w:val="1"/>
          <w:bCs w:val="1"/>
          <w:color w:val="auto"/>
        </w:rPr>
        <w:t>(I. R. S. Employer Identification No.)</w:t>
      </w:r>
    </w:p>
    <w:p>
      <w:pPr>
        <w:spacing w:after="0" w:line="53" w:lineRule="exact"/>
        <w:rPr>
          <w:sz w:val="24"/>
          <w:szCs w:val="24"/>
          <w:color w:val="auto"/>
        </w:rPr>
      </w:pPr>
    </w:p>
    <w:p>
      <w:pPr>
        <w:sectPr>
          <w:pgSz w:w="11900" w:h="16838" w:orient="portrait"/>
          <w:cols w:equalWidth="0" w:num="3">
            <w:col w:w="3860" w:space="720"/>
            <w:col w:w="2200" w:space="720"/>
            <w:col w:w="3840"/>
          </w:cols>
          <w:pgMar w:left="320" w:top="975" w:right="239" w:bottom="1440" w:gutter="0" w:footer="0" w:header="0"/>
          <w:type w:val="continuous"/>
        </w:sectPr>
      </w:pPr>
    </w:p>
    <w:p>
      <w:pPr>
        <w:ind w:left="1780"/>
        <w:spacing w:after="0"/>
        <w:rPr>
          <w:sz w:val="20"/>
          <w:szCs w:val="20"/>
          <w:color w:val="auto"/>
        </w:rPr>
      </w:pPr>
      <w:r>
        <w:rPr>
          <w:rFonts w:ascii="Arial" w:cs="Arial" w:eastAsia="Arial" w:hAnsi="Arial"/>
          <w:sz w:val="15"/>
          <w:szCs w:val="15"/>
          <w:b w:val="1"/>
          <w:bCs w:val="1"/>
          <w:color w:val="auto"/>
        </w:rPr>
        <w:t>incorporation)</w:t>
      </w:r>
    </w:p>
    <w:p>
      <w:pPr>
        <w:sectPr>
          <w:pgSz w:w="11900" w:h="16838" w:orient="portrait"/>
          <w:cols w:equalWidth="0" w:num="1">
            <w:col w:w="11340"/>
          </w:cols>
          <w:pgMar w:left="320" w:top="975" w:right="239" w:bottom="1440" w:gutter="0" w:footer="0" w:header="0"/>
          <w:type w:val="continuous"/>
        </w:sectPr>
      </w:pPr>
    </w:p>
    <w:p>
      <w:pPr>
        <w:spacing w:after="0" w:line="315" w:lineRule="exact"/>
        <w:rPr>
          <w:sz w:val="24"/>
          <w:szCs w:val="24"/>
          <w:color w:val="auto"/>
        </w:rPr>
      </w:pPr>
    </w:p>
    <w:p>
      <w:pPr>
        <w:jc w:val="center"/>
        <w:ind w:right="100"/>
        <w:spacing w:after="0"/>
        <w:rPr>
          <w:sz w:val="20"/>
          <w:szCs w:val="20"/>
          <w:color w:val="auto"/>
        </w:rPr>
      </w:pPr>
      <w:r>
        <w:rPr>
          <w:rFonts w:ascii="Arial" w:cs="Arial" w:eastAsia="Arial" w:hAnsi="Arial"/>
          <w:sz w:val="18"/>
          <w:szCs w:val="18"/>
          <w:b w:val="1"/>
          <w:bCs w:val="1"/>
          <w:color w:val="auto"/>
        </w:rPr>
        <w:t>1800 Owens St.</w:t>
      </w:r>
    </w:p>
    <w:p>
      <w:pPr>
        <w:spacing w:after="0" w:line="23" w:lineRule="exact"/>
        <w:rPr>
          <w:sz w:val="24"/>
          <w:szCs w:val="24"/>
          <w:color w:val="auto"/>
        </w:rPr>
      </w:pPr>
    </w:p>
    <w:p>
      <w:pPr>
        <w:jc w:val="center"/>
        <w:ind w:right="100"/>
        <w:spacing w:after="0"/>
        <w:rPr>
          <w:sz w:val="20"/>
          <w:szCs w:val="20"/>
          <w:color w:val="auto"/>
        </w:rPr>
      </w:pPr>
      <w:r>
        <w:rPr>
          <w:rFonts w:ascii="Arial" w:cs="Arial" w:eastAsia="Arial" w:hAnsi="Arial"/>
          <w:sz w:val="18"/>
          <w:szCs w:val="18"/>
          <w:b w:val="1"/>
          <w:bCs w:val="1"/>
          <w:color w:val="auto"/>
        </w:rPr>
        <w:t>San Francisco, California 94158</w:t>
      </w:r>
    </w:p>
    <w:p>
      <w:pPr>
        <w:spacing w:after="0" w:line="6" w:lineRule="exact"/>
        <w:rPr>
          <w:sz w:val="24"/>
          <w:szCs w:val="24"/>
          <w:color w:val="auto"/>
        </w:rPr>
      </w:pPr>
    </w:p>
    <w:p>
      <w:pPr>
        <w:jc w:val="center"/>
        <w:ind w:right="100"/>
        <w:spacing w:after="0"/>
        <w:rPr>
          <w:sz w:val="20"/>
          <w:szCs w:val="20"/>
          <w:color w:val="auto"/>
        </w:rPr>
      </w:pPr>
      <w:r>
        <w:rPr>
          <w:rFonts w:ascii="Arial" w:cs="Arial" w:eastAsia="Arial" w:hAnsi="Arial"/>
          <w:sz w:val="18"/>
          <w:szCs w:val="18"/>
          <w:b w:val="1"/>
          <w:bCs w:val="1"/>
          <w:color w:val="auto"/>
        </w:rPr>
        <w:t>(Address of principal executive offices)</w:t>
      </w:r>
    </w:p>
    <w:p>
      <w:pPr>
        <w:spacing w:after="0" w:line="6" w:lineRule="exact"/>
        <w:rPr>
          <w:sz w:val="24"/>
          <w:szCs w:val="24"/>
          <w:color w:val="auto"/>
        </w:rPr>
      </w:pPr>
    </w:p>
    <w:p>
      <w:pPr>
        <w:jc w:val="center"/>
        <w:ind w:right="100"/>
        <w:spacing w:after="0"/>
        <w:rPr>
          <w:sz w:val="20"/>
          <w:szCs w:val="20"/>
          <w:color w:val="auto"/>
        </w:rPr>
      </w:pPr>
      <w:r>
        <w:rPr>
          <w:rFonts w:ascii="Arial" w:cs="Arial" w:eastAsia="Arial" w:hAnsi="Arial"/>
          <w:sz w:val="18"/>
          <w:szCs w:val="18"/>
          <w:b w:val="1"/>
          <w:bCs w:val="1"/>
          <w:color w:val="auto"/>
        </w:rPr>
        <w:t>(415) 857-6800</w:t>
      </w:r>
    </w:p>
    <w:p>
      <w:pPr>
        <w:spacing w:after="0" w:line="6" w:lineRule="exact"/>
        <w:rPr>
          <w:sz w:val="24"/>
          <w:szCs w:val="24"/>
          <w:color w:val="auto"/>
        </w:rPr>
      </w:pPr>
    </w:p>
    <w:p>
      <w:pPr>
        <w:jc w:val="center"/>
        <w:ind w:right="100"/>
        <w:spacing w:after="0"/>
        <w:rPr>
          <w:sz w:val="20"/>
          <w:szCs w:val="20"/>
          <w:color w:val="auto"/>
        </w:rPr>
      </w:pPr>
      <w:r>
        <w:rPr>
          <w:rFonts w:ascii="Arial" w:cs="Arial" w:eastAsia="Arial" w:hAnsi="Arial"/>
          <w:sz w:val="18"/>
          <w:szCs w:val="18"/>
          <w:b w:val="1"/>
          <w:bCs w:val="1"/>
          <w:color w:val="auto"/>
        </w:rPr>
        <w:t>(Registrant’s telephone number, including area code)</w:t>
      </w:r>
    </w:p>
    <w:p>
      <w:pPr>
        <w:spacing w:after="0" w:line="6" w:lineRule="exact"/>
        <w:rPr>
          <w:sz w:val="24"/>
          <w:szCs w:val="24"/>
          <w:color w:val="auto"/>
        </w:rPr>
      </w:pPr>
    </w:p>
    <w:p>
      <w:pPr>
        <w:jc w:val="center"/>
        <w:ind w:right="100"/>
        <w:spacing w:after="0"/>
        <w:rPr>
          <w:sz w:val="20"/>
          <w:szCs w:val="20"/>
          <w:color w:val="auto"/>
        </w:rPr>
      </w:pPr>
      <w:r>
        <w:rPr>
          <w:rFonts w:ascii="Arial" w:cs="Arial" w:eastAsia="Arial" w:hAnsi="Arial"/>
          <w:sz w:val="18"/>
          <w:szCs w:val="18"/>
          <w:b w:val="1"/>
          <w:bCs w:val="1"/>
          <w:color w:val="auto"/>
        </w:rPr>
        <w:t>N/A</w:t>
      </w:r>
    </w:p>
    <w:p>
      <w:pPr>
        <w:spacing w:after="0" w:line="6" w:lineRule="exact"/>
        <w:rPr>
          <w:sz w:val="24"/>
          <w:szCs w:val="24"/>
          <w:color w:val="auto"/>
        </w:rPr>
      </w:pPr>
    </w:p>
    <w:p>
      <w:pPr>
        <w:jc w:val="center"/>
        <w:ind w:right="100"/>
        <w:spacing w:after="0"/>
        <w:rPr>
          <w:sz w:val="20"/>
          <w:szCs w:val="20"/>
          <w:color w:val="auto"/>
        </w:rPr>
      </w:pPr>
      <w:r>
        <w:rPr>
          <w:rFonts w:ascii="Arial" w:cs="Arial" w:eastAsia="Arial" w:hAnsi="Arial"/>
          <w:sz w:val="18"/>
          <w:szCs w:val="18"/>
          <w:b w:val="1"/>
          <w:bCs w:val="1"/>
          <w:color w:val="auto"/>
        </w:rPr>
        <w:t>(Former name or former address, if changed since last report)</w:t>
      </w:r>
    </w:p>
    <w:p>
      <w:pPr>
        <w:spacing w:after="0" w:line="200" w:lineRule="exact"/>
        <w:rPr>
          <w:sz w:val="24"/>
          <w:szCs w:val="24"/>
          <w:color w:val="auto"/>
        </w:rPr>
      </w:pPr>
    </w:p>
    <w:p>
      <w:pPr>
        <w:spacing w:after="0" w:line="272" w:lineRule="exact"/>
        <w:rPr>
          <w:sz w:val="24"/>
          <w:szCs w:val="24"/>
          <w:color w:val="auto"/>
        </w:rPr>
      </w:pPr>
    </w:p>
    <w:p>
      <w:pPr>
        <w:ind w:right="220"/>
        <w:spacing w:after="0" w:line="265"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247" w:lineRule="exact"/>
        <w:rPr>
          <w:sz w:val="24"/>
          <w:szCs w:val="24"/>
          <w:color w:val="auto"/>
        </w:rPr>
      </w:pPr>
    </w:p>
    <w:p>
      <w:pPr>
        <w:ind w:left="380" w:hanging="374"/>
        <w:spacing w:after="0"/>
        <w:tabs>
          <w:tab w:leader="none" w:pos="380" w:val="left"/>
        </w:tabs>
        <w:numPr>
          <w:ilvl w:val="0"/>
          <w:numId w:val="1"/>
        </w:numPr>
        <w:rPr>
          <w:rFonts w:ascii="MS PGothic" w:cs="MS PGothic" w:eastAsia="MS PGothic" w:hAnsi="MS PGothic"/>
          <w:sz w:val="21"/>
          <w:szCs w:val="21"/>
          <w:color w:val="auto"/>
        </w:rPr>
      </w:pPr>
      <w:r>
        <w:rPr>
          <w:rFonts w:ascii="Arial" w:cs="Arial" w:eastAsia="Arial" w:hAnsi="Arial"/>
          <w:sz w:val="18"/>
          <w:szCs w:val="18"/>
          <w:color w:val="auto"/>
        </w:rPr>
        <w:t>Written communications pursuant to Rule 425 under the Securities Act (17 CFR 230.425)</w:t>
      </w:r>
    </w:p>
    <w:p>
      <w:pPr>
        <w:spacing w:after="0" w:line="272" w:lineRule="exact"/>
        <w:rPr>
          <w:rFonts w:ascii="MS PGothic" w:cs="MS PGothic" w:eastAsia="MS PGothic" w:hAnsi="MS PGothic"/>
          <w:sz w:val="21"/>
          <w:szCs w:val="21"/>
          <w:color w:val="auto"/>
        </w:rPr>
      </w:pPr>
    </w:p>
    <w:p>
      <w:pPr>
        <w:ind w:left="380" w:hanging="374"/>
        <w:spacing w:after="0"/>
        <w:tabs>
          <w:tab w:leader="none" w:pos="380" w:val="left"/>
        </w:tabs>
        <w:numPr>
          <w:ilvl w:val="0"/>
          <w:numId w:val="1"/>
        </w:numPr>
        <w:rPr>
          <w:rFonts w:ascii="MS PGothic" w:cs="MS PGothic" w:eastAsia="MS PGothic" w:hAnsi="MS PGothic"/>
          <w:sz w:val="21"/>
          <w:szCs w:val="21"/>
          <w:color w:val="auto"/>
        </w:rPr>
      </w:pPr>
      <w:r>
        <w:rPr>
          <w:rFonts w:ascii="Arial" w:cs="Arial" w:eastAsia="Arial" w:hAnsi="Arial"/>
          <w:sz w:val="18"/>
          <w:szCs w:val="18"/>
          <w:color w:val="auto"/>
        </w:rPr>
        <w:t>Soliciting material pursuant to Rule 14a-12 under the Exchange Act (17 CFR 240.14a-12)</w:t>
      </w:r>
    </w:p>
    <w:p>
      <w:pPr>
        <w:spacing w:after="0" w:line="272" w:lineRule="exact"/>
        <w:rPr>
          <w:rFonts w:ascii="MS PGothic" w:cs="MS PGothic" w:eastAsia="MS PGothic" w:hAnsi="MS PGothic"/>
          <w:sz w:val="21"/>
          <w:szCs w:val="21"/>
          <w:color w:val="auto"/>
        </w:rPr>
      </w:pPr>
    </w:p>
    <w:p>
      <w:pPr>
        <w:ind w:left="380" w:hanging="374"/>
        <w:spacing w:after="0"/>
        <w:tabs>
          <w:tab w:leader="none" w:pos="380" w:val="left"/>
        </w:tabs>
        <w:numPr>
          <w:ilvl w:val="0"/>
          <w:numId w:val="1"/>
        </w:numPr>
        <w:rPr>
          <w:rFonts w:ascii="MS PGothic" w:cs="MS PGothic" w:eastAsia="MS PGothic" w:hAnsi="MS PGothic"/>
          <w:sz w:val="21"/>
          <w:szCs w:val="21"/>
          <w:color w:val="auto"/>
        </w:rPr>
      </w:pPr>
      <w:r>
        <w:rPr>
          <w:rFonts w:ascii="Arial" w:cs="Arial" w:eastAsia="Arial" w:hAnsi="Arial"/>
          <w:sz w:val="18"/>
          <w:szCs w:val="18"/>
          <w:color w:val="auto"/>
        </w:rPr>
        <w:t>Pre-commencement communications pursuant to Rule 14d-2(b) under the Exchange Act (17 CFR 240.14d-2(b))</w:t>
      </w:r>
    </w:p>
    <w:p>
      <w:pPr>
        <w:spacing w:after="0" w:line="272" w:lineRule="exact"/>
        <w:rPr>
          <w:rFonts w:ascii="MS PGothic" w:cs="MS PGothic" w:eastAsia="MS PGothic" w:hAnsi="MS PGothic"/>
          <w:sz w:val="21"/>
          <w:szCs w:val="21"/>
          <w:color w:val="auto"/>
        </w:rPr>
      </w:pPr>
    </w:p>
    <w:p>
      <w:pPr>
        <w:ind w:left="380" w:hanging="374"/>
        <w:spacing w:after="0"/>
        <w:tabs>
          <w:tab w:leader="none" w:pos="380" w:val="left"/>
        </w:tabs>
        <w:numPr>
          <w:ilvl w:val="0"/>
          <w:numId w:val="1"/>
        </w:numPr>
        <w:rPr>
          <w:rFonts w:ascii="MS PGothic" w:cs="MS PGothic" w:eastAsia="MS PGothic" w:hAnsi="MS PGothic"/>
          <w:sz w:val="21"/>
          <w:szCs w:val="21"/>
          <w:color w:val="auto"/>
        </w:rPr>
      </w:pPr>
      <w:r>
        <w:rPr>
          <w:rFonts w:ascii="Arial" w:cs="Arial" w:eastAsia="Arial" w:hAnsi="Arial"/>
          <w:sz w:val="18"/>
          <w:szCs w:val="18"/>
          <w:color w:val="auto"/>
        </w:rPr>
        <w:t>Pre-commencement communications pursuant to Rule 13e-4(c) under the Exchange Act (17 CFR 240.13e-4(c))</w:t>
      </w:r>
    </w:p>
    <w:p>
      <w:pPr>
        <w:spacing w:after="0" w:line="233" w:lineRule="exact"/>
        <w:rPr>
          <w:sz w:val="24"/>
          <w:szCs w:val="24"/>
          <w:color w:val="auto"/>
        </w:rPr>
      </w:pPr>
    </w:p>
    <w:p>
      <w:pPr>
        <w:spacing w:after="0"/>
        <w:rPr>
          <w:sz w:val="20"/>
          <w:szCs w:val="20"/>
          <w:color w:val="auto"/>
        </w:rPr>
      </w:pPr>
      <w:r>
        <w:rPr>
          <w:rFonts w:ascii="Arial" w:cs="Arial" w:eastAsia="Arial" w:hAnsi="Arial"/>
          <w:sz w:val="18"/>
          <w:szCs w:val="18"/>
          <w:color w:val="auto"/>
        </w:rPr>
        <w:t>Securities registered pursuant to Section 12(b) of the 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408940</wp:posOffset>
            </wp:positionH>
            <wp:positionV relativeFrom="paragraph">
              <wp:posOffset>78740</wp:posOffset>
            </wp:positionV>
            <wp:extent cx="626618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266180" cy="8255"/>
                    </a:xfrm>
                    <a:prstGeom prst="rect">
                      <a:avLst/>
                    </a:prstGeom>
                    <a:noFill/>
                  </pic:spPr>
                </pic:pic>
              </a:graphicData>
            </a:graphic>
          </wp:anchor>
        </w:drawing>
      </w:r>
    </w:p>
    <w:p>
      <w:pPr>
        <w:spacing w:after="0" w:line="142" w:lineRule="exact"/>
        <w:rPr>
          <w:sz w:val="24"/>
          <w:szCs w:val="24"/>
          <w:color w:val="auto"/>
        </w:rPr>
      </w:pPr>
    </w:p>
    <w:tbl>
      <w:tblPr>
        <w:tblLayout w:type="fixed"/>
        <w:tblInd w:w="760" w:type="dxa"/>
        <w:tblCellMar>
          <w:top w:w="0" w:type="dxa"/>
          <w:left w:w="0" w:type="dxa"/>
          <w:bottom w:w="0" w:type="dxa"/>
          <w:right w:w="0" w:type="dxa"/>
        </w:tblCellMar>
      </w:tblPr>
      <w:tr>
        <w:trPr>
          <w:trHeight w:val="161"/>
        </w:trPr>
        <w:tc>
          <w:tcPr>
            <w:tcW w:w="1000" w:type="dxa"/>
            <w:vAlign w:val="bottom"/>
          </w:tcPr>
          <w:p>
            <w:pPr>
              <w:spacing w:after="0"/>
              <w:rPr>
                <w:sz w:val="14"/>
                <w:szCs w:val="14"/>
                <w:color w:val="auto"/>
              </w:rPr>
            </w:pPr>
          </w:p>
        </w:tc>
        <w:tc>
          <w:tcPr>
            <w:tcW w:w="3260" w:type="dxa"/>
            <w:vAlign w:val="bottom"/>
            <w:gridSpan w:val="2"/>
          </w:tcPr>
          <w:p>
            <w:pPr>
              <w:jc w:val="center"/>
              <w:ind w:right="2200"/>
              <w:spacing w:after="0"/>
              <w:rPr>
                <w:sz w:val="20"/>
                <w:szCs w:val="20"/>
                <w:color w:val="auto"/>
              </w:rPr>
            </w:pPr>
            <w:r>
              <w:rPr>
                <w:rFonts w:ascii="Arial" w:cs="Arial" w:eastAsia="Arial" w:hAnsi="Arial"/>
                <w:sz w:val="14"/>
                <w:szCs w:val="14"/>
                <w:b w:val="1"/>
                <w:bCs w:val="1"/>
                <w:color w:val="auto"/>
                <w:w w:val="87"/>
              </w:rPr>
              <w:t>Title of each class</w:t>
            </w:r>
          </w:p>
        </w:tc>
        <w:tc>
          <w:tcPr>
            <w:tcW w:w="2680" w:type="dxa"/>
            <w:vAlign w:val="bottom"/>
            <w:gridSpan w:val="2"/>
          </w:tcPr>
          <w:p>
            <w:pPr>
              <w:jc w:val="center"/>
              <w:ind w:right="1560"/>
              <w:spacing w:after="0"/>
              <w:rPr>
                <w:sz w:val="20"/>
                <w:szCs w:val="20"/>
                <w:color w:val="auto"/>
              </w:rPr>
            </w:pPr>
            <w:r>
              <w:rPr>
                <w:rFonts w:ascii="Arial" w:cs="Arial" w:eastAsia="Arial" w:hAnsi="Arial"/>
                <w:sz w:val="14"/>
                <w:szCs w:val="14"/>
                <w:b w:val="1"/>
                <w:bCs w:val="1"/>
                <w:color w:val="auto"/>
                <w:w w:val="91"/>
              </w:rPr>
              <w:t>Trading Symbol(s)</w:t>
            </w:r>
          </w:p>
        </w:tc>
        <w:tc>
          <w:tcPr>
            <w:tcW w:w="2320" w:type="dxa"/>
            <w:vAlign w:val="bottom"/>
          </w:tcPr>
          <w:p>
            <w:pPr>
              <w:jc w:val="center"/>
              <w:spacing w:after="0"/>
              <w:rPr>
                <w:sz w:val="20"/>
                <w:szCs w:val="20"/>
                <w:color w:val="auto"/>
              </w:rPr>
            </w:pPr>
            <w:r>
              <w:rPr>
                <w:rFonts w:ascii="Arial" w:cs="Arial" w:eastAsia="Arial" w:hAnsi="Arial"/>
                <w:sz w:val="14"/>
                <w:szCs w:val="14"/>
                <w:b w:val="1"/>
                <w:bCs w:val="1"/>
                <w:color w:val="auto"/>
                <w:w w:val="89"/>
              </w:rPr>
              <w:t>Name of exchange on which registered</w:t>
            </w:r>
          </w:p>
        </w:tc>
      </w:tr>
      <w:tr>
        <w:trPr>
          <w:trHeight w:val="20"/>
        </w:trPr>
        <w:tc>
          <w:tcPr>
            <w:tcW w:w="1000" w:type="dxa"/>
            <w:vAlign w:val="bottom"/>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2320" w:type="dxa"/>
            <w:vAlign w:val="bottom"/>
            <w:shd w:val="clear" w:color="auto" w:fill="000000"/>
          </w:tcPr>
          <w:p>
            <w:pPr>
              <w:spacing w:after="0" w:line="20" w:lineRule="exact"/>
              <w:rPr>
                <w:sz w:val="1"/>
                <w:szCs w:val="1"/>
                <w:color w:val="auto"/>
              </w:rPr>
            </w:pPr>
          </w:p>
        </w:tc>
      </w:tr>
      <w:tr>
        <w:trPr>
          <w:trHeight w:val="195"/>
        </w:trPr>
        <w:tc>
          <w:tcPr>
            <w:tcW w:w="4260" w:type="dxa"/>
            <w:vAlign w:val="bottom"/>
            <w:gridSpan w:val="3"/>
          </w:tcPr>
          <w:p>
            <w:pPr>
              <w:jc w:val="center"/>
              <w:ind w:right="1200"/>
              <w:spacing w:after="0"/>
              <w:rPr>
                <w:sz w:val="20"/>
                <w:szCs w:val="20"/>
                <w:color w:val="auto"/>
              </w:rPr>
            </w:pPr>
            <w:r>
              <w:rPr>
                <w:rFonts w:ascii="Arial" w:cs="Arial" w:eastAsia="Arial" w:hAnsi="Arial"/>
                <w:sz w:val="14"/>
                <w:szCs w:val="14"/>
                <w:color w:val="auto"/>
                <w:w w:val="90"/>
              </w:rPr>
              <w:t>Class A Common Stock, par value $0.00001 per share</w:t>
            </w:r>
          </w:p>
        </w:tc>
        <w:tc>
          <w:tcPr>
            <w:tcW w:w="2680" w:type="dxa"/>
            <w:vAlign w:val="bottom"/>
            <w:gridSpan w:val="2"/>
          </w:tcPr>
          <w:p>
            <w:pPr>
              <w:jc w:val="center"/>
              <w:ind w:right="1580"/>
              <w:spacing w:after="0"/>
              <w:rPr>
                <w:sz w:val="20"/>
                <w:szCs w:val="20"/>
                <w:color w:val="auto"/>
              </w:rPr>
            </w:pPr>
            <w:r>
              <w:rPr>
                <w:rFonts w:ascii="Arial" w:cs="Arial" w:eastAsia="Arial" w:hAnsi="Arial"/>
                <w:sz w:val="14"/>
                <w:szCs w:val="14"/>
                <w:color w:val="auto"/>
              </w:rPr>
              <w:t>DBX</w:t>
            </w:r>
          </w:p>
        </w:tc>
        <w:tc>
          <w:tcPr>
            <w:tcW w:w="2320" w:type="dxa"/>
            <w:vAlign w:val="bottom"/>
          </w:tcPr>
          <w:p>
            <w:pPr>
              <w:jc w:val="center"/>
              <w:spacing w:after="0"/>
              <w:rPr>
                <w:sz w:val="20"/>
                <w:szCs w:val="20"/>
                <w:color w:val="auto"/>
              </w:rPr>
            </w:pPr>
            <w:r>
              <w:rPr>
                <w:rFonts w:ascii="Arial" w:cs="Arial" w:eastAsia="Arial" w:hAnsi="Arial"/>
                <w:sz w:val="14"/>
                <w:szCs w:val="14"/>
                <w:color w:val="auto"/>
                <w:w w:val="96"/>
              </w:rPr>
              <w:t>The NASDAQ Stock Market LLC</w:t>
            </w:r>
          </w:p>
        </w:tc>
      </w:tr>
      <w:tr>
        <w:trPr>
          <w:trHeight w:val="186"/>
        </w:trPr>
        <w:tc>
          <w:tcPr>
            <w:tcW w:w="10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22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2320" w:type="dxa"/>
            <w:vAlign w:val="bottom"/>
          </w:tcPr>
          <w:p>
            <w:pPr>
              <w:jc w:val="center"/>
              <w:spacing w:after="0"/>
              <w:rPr>
                <w:sz w:val="20"/>
                <w:szCs w:val="20"/>
                <w:color w:val="auto"/>
              </w:rPr>
            </w:pPr>
            <w:r>
              <w:rPr>
                <w:rFonts w:ascii="Arial" w:cs="Arial" w:eastAsia="Arial" w:hAnsi="Arial"/>
                <w:sz w:val="14"/>
                <w:szCs w:val="14"/>
                <w:color w:val="auto"/>
                <w:w w:val="91"/>
              </w:rPr>
              <w:t>(Nasdaq Global Select Market)</w:t>
            </w:r>
          </w:p>
        </w:tc>
      </w:tr>
    </w:tbl>
    <w:p>
      <w:pPr>
        <w:spacing w:after="0" w:line="384" w:lineRule="exact"/>
        <w:rPr>
          <w:sz w:val="24"/>
          <w:szCs w:val="24"/>
          <w:color w:val="auto"/>
        </w:rPr>
      </w:pPr>
    </w:p>
    <w:p>
      <w:pPr>
        <w:spacing w:after="0" w:line="265"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71" w:lineRule="exact"/>
        <w:rPr>
          <w:sz w:val="24"/>
          <w:szCs w:val="24"/>
          <w:color w:val="auto"/>
        </w:rPr>
      </w:pPr>
    </w:p>
    <w:p>
      <w:pPr>
        <w:spacing w:after="0" w:line="242"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21"/>
          <w:szCs w:val="21"/>
          <w:color w:val="auto"/>
        </w:rPr>
        <w:t>☐</w:t>
      </w:r>
    </w:p>
    <w:p>
      <w:pPr>
        <w:spacing w:after="0" w:line="286" w:lineRule="exact"/>
        <w:rPr>
          <w:sz w:val="24"/>
          <w:szCs w:val="24"/>
          <w:color w:val="auto"/>
        </w:rPr>
      </w:pPr>
    </w:p>
    <w:p>
      <w:pPr>
        <w:ind w:right="260"/>
        <w:spacing w:after="0" w:line="255"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21"/>
          <w:szCs w:val="21"/>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-8255</wp:posOffset>
            </wp:positionH>
            <wp:positionV relativeFrom="paragraph">
              <wp:posOffset>667385</wp:posOffset>
            </wp:positionV>
            <wp:extent cx="716026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340"/>
          </w:cols>
          <w:pgMar w:left="320" w:top="975" w:right="23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2.02 – Results of Operations and Financial Condition</w:t>
      </w:r>
    </w:p>
    <w:p>
      <w:pPr>
        <w:spacing w:after="0" w:line="251" w:lineRule="exact"/>
        <w:rPr>
          <w:sz w:val="20"/>
          <w:szCs w:val="20"/>
          <w:color w:val="auto"/>
        </w:rPr>
      </w:pPr>
    </w:p>
    <w:p>
      <w:pPr>
        <w:jc w:val="both"/>
        <w:ind w:right="260"/>
        <w:spacing w:after="0" w:line="256" w:lineRule="auto"/>
        <w:rPr>
          <w:sz w:val="20"/>
          <w:szCs w:val="20"/>
          <w:color w:val="auto"/>
        </w:rPr>
      </w:pPr>
      <w:r>
        <w:rPr>
          <w:rFonts w:ascii="Arial" w:cs="Arial" w:eastAsia="Arial" w:hAnsi="Arial"/>
          <w:sz w:val="18"/>
          <w:szCs w:val="18"/>
          <w:color w:val="auto"/>
        </w:rPr>
        <w:t>On August 5, 2021, Dropbox, Inc. (“Dropbox” or the "Company") issued a press release and will hold a conference call announcing its financial results for the quarter ended June 30, 2021. A copy of the press release is attached as Exhibit 99.1 to this current report on Form 8-K and is incorporated by reference herein.</w:t>
      </w:r>
    </w:p>
    <w:p>
      <w:pPr>
        <w:spacing w:after="0" w:line="200" w:lineRule="exact"/>
        <w:rPr>
          <w:sz w:val="20"/>
          <w:szCs w:val="20"/>
          <w:color w:val="auto"/>
        </w:rPr>
      </w:pP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7.01 – Regulation FD Disclosure</w:t>
      </w:r>
    </w:p>
    <w:p>
      <w:pPr>
        <w:spacing w:after="0" w:line="251" w:lineRule="exact"/>
        <w:rPr>
          <w:sz w:val="20"/>
          <w:szCs w:val="20"/>
          <w:color w:val="auto"/>
        </w:rPr>
      </w:pPr>
    </w:p>
    <w:p>
      <w:pPr>
        <w:ind w:right="60"/>
        <w:spacing w:after="0" w:line="366" w:lineRule="auto"/>
        <w:rPr>
          <w:sz w:val="20"/>
          <w:szCs w:val="20"/>
          <w:color w:val="auto"/>
        </w:rPr>
      </w:pPr>
      <w:r>
        <w:rPr>
          <w:rFonts w:ascii="Arial" w:cs="Arial" w:eastAsia="Arial" w:hAnsi="Arial"/>
          <w:sz w:val="15"/>
          <w:szCs w:val="15"/>
          <w:color w:val="auto"/>
        </w:rPr>
        <w:t>On August 5, 2021, Dropbox posted supplemental investor materials on its investors.dropbox.com website. Dropbox intends to use its investors.dropbox.com website as a means of disclosing material non-public information and for complying with its disclosure obligations under Regulation FD.</w:t>
      </w:r>
    </w:p>
    <w:p>
      <w:pPr>
        <w:spacing w:after="0" w:line="138" w:lineRule="exact"/>
        <w:rPr>
          <w:sz w:val="20"/>
          <w:szCs w:val="20"/>
          <w:color w:val="auto"/>
        </w:rPr>
      </w:pPr>
    </w:p>
    <w:p>
      <w:pPr>
        <w:ind w:right="240"/>
        <w:spacing w:after="0" w:line="331" w:lineRule="auto"/>
        <w:rPr>
          <w:sz w:val="20"/>
          <w:szCs w:val="20"/>
          <w:color w:val="auto"/>
        </w:rPr>
      </w:pPr>
      <w:r>
        <w:rPr>
          <w:rFonts w:ascii="Arial" w:cs="Arial" w:eastAsia="Arial" w:hAnsi="Arial"/>
          <w:sz w:val="15"/>
          <w:szCs w:val="15"/>
          <w:color w:val="auto"/>
        </w:rPr>
        <w:t>The information in this current report on Form 8-K and the exhibits attached hereto shall not be deemed “filed” for purposes of Section 18 of the Securities Exchange Act of 1934, as amended (the “Exchange Act”) or otherwise subject to the liabilities of that section, nor shall it be deemed incorporated by reference in any filing under the Securities Act of 1933, as amended, or the Exchange Act, regardless of any general incorporation language in such filing.</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 Financial Statements and Exhibits</w:t>
      </w:r>
    </w:p>
    <w:p>
      <w:pPr>
        <w:spacing w:after="0" w:line="370" w:lineRule="exact"/>
        <w:rPr>
          <w:sz w:val="20"/>
          <w:szCs w:val="20"/>
          <w:color w:val="auto"/>
        </w:rPr>
      </w:pPr>
    </w:p>
    <w:tbl>
      <w:tblPr>
        <w:tblLayout w:type="fixed"/>
        <w:tblInd w:w="0" w:type="dxa"/>
        <w:tblCellMar>
          <w:top w:w="0" w:type="dxa"/>
          <w:left w:w="0" w:type="dxa"/>
          <w:bottom w:w="0" w:type="dxa"/>
          <w:right w:w="0" w:type="dxa"/>
        </w:tblCellMar>
      </w:tblPr>
      <w:tr>
        <w:trPr>
          <w:trHeight w:val="224"/>
        </w:trPr>
        <w:tc>
          <w:tcPr>
            <w:tcW w:w="1340" w:type="dxa"/>
            <w:vAlign w:val="bottom"/>
            <w:gridSpan w:val="3"/>
          </w:tcPr>
          <w:p>
            <w:pPr>
              <w:spacing w:after="0"/>
              <w:rPr>
                <w:sz w:val="20"/>
                <w:szCs w:val="20"/>
                <w:color w:val="auto"/>
              </w:rPr>
            </w:pPr>
            <w:r>
              <w:rPr>
                <w:rFonts w:ascii="Arial" w:cs="Arial" w:eastAsia="Arial" w:hAnsi="Arial"/>
                <w:sz w:val="18"/>
                <w:szCs w:val="18"/>
                <w:color w:val="auto"/>
              </w:rPr>
              <w:t>(d) Exhibits:</w:t>
            </w:r>
          </w:p>
        </w:tc>
        <w:tc>
          <w:tcPr>
            <w:tcW w:w="20" w:type="dxa"/>
            <w:vAlign w:val="bottom"/>
          </w:tcPr>
          <w:p>
            <w:pPr>
              <w:spacing w:after="0"/>
              <w:rPr>
                <w:sz w:val="19"/>
                <w:szCs w:val="19"/>
                <w:color w:val="auto"/>
              </w:rPr>
            </w:pPr>
          </w:p>
        </w:tc>
        <w:tc>
          <w:tcPr>
            <w:tcW w:w="7340" w:type="dxa"/>
            <w:vAlign w:val="bottom"/>
          </w:tcPr>
          <w:p>
            <w:pPr>
              <w:spacing w:after="0"/>
              <w:rPr>
                <w:sz w:val="19"/>
                <w:szCs w:val="19"/>
                <w:color w:val="auto"/>
              </w:rPr>
            </w:pPr>
          </w:p>
        </w:tc>
        <w:tc>
          <w:tcPr>
            <w:tcW w:w="252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386"/>
        </w:trPr>
        <w:tc>
          <w:tcPr>
            <w:tcW w:w="20" w:type="dxa"/>
            <w:vAlign w:val="bottom"/>
          </w:tcPr>
          <w:p>
            <w:pPr>
              <w:spacing w:after="0"/>
              <w:rPr>
                <w:sz w:val="24"/>
                <w:szCs w:val="24"/>
                <w:color w:val="auto"/>
              </w:rPr>
            </w:pPr>
          </w:p>
        </w:tc>
        <w:tc>
          <w:tcPr>
            <w:tcW w:w="10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Exhibit No.</w:t>
            </w:r>
          </w:p>
        </w:tc>
        <w:tc>
          <w:tcPr>
            <w:tcW w:w="240" w:type="dxa"/>
            <w:vAlign w:val="bottom"/>
          </w:tcPr>
          <w:p>
            <w:pPr>
              <w:spacing w:after="0"/>
              <w:rPr>
                <w:sz w:val="24"/>
                <w:szCs w:val="24"/>
                <w:color w:val="auto"/>
              </w:rPr>
            </w:pPr>
          </w:p>
        </w:tc>
        <w:tc>
          <w:tcPr>
            <w:tcW w:w="9880" w:type="dxa"/>
            <w:vAlign w:val="bottom"/>
            <w:tcBorders>
              <w:bottom w:val="single" w:sz="8" w:color="auto"/>
            </w:tcBorders>
            <w:gridSpan w:val="3"/>
          </w:tcPr>
          <w:p>
            <w:pPr>
              <w:ind w:left="20"/>
              <w:spacing w:after="0"/>
              <w:rPr>
                <w:sz w:val="20"/>
                <w:szCs w:val="20"/>
                <w:color w:val="auto"/>
              </w:rPr>
            </w:pPr>
            <w:r>
              <w:rPr>
                <w:rFonts w:ascii="Arial" w:cs="Arial" w:eastAsia="Arial" w:hAnsi="Arial"/>
                <w:sz w:val="18"/>
                <w:szCs w:val="18"/>
                <w:b w:val="1"/>
                <w:bCs w:val="1"/>
                <w:color w:val="auto"/>
              </w:rPr>
              <w:t>Exhibit Description</w:t>
            </w:r>
          </w:p>
        </w:tc>
        <w:tc>
          <w:tcPr>
            <w:tcW w:w="20" w:type="dxa"/>
            <w:vAlign w:val="bottom"/>
          </w:tcPr>
          <w:p>
            <w:pPr>
              <w:spacing w:after="0"/>
              <w:rPr>
                <w:sz w:val="24"/>
                <w:szCs w:val="24"/>
                <w:color w:val="auto"/>
              </w:rPr>
            </w:pPr>
          </w:p>
        </w:tc>
      </w:tr>
      <w:tr>
        <w:trPr>
          <w:trHeight w:val="180"/>
        </w:trPr>
        <w:tc>
          <w:tcPr>
            <w:tcW w:w="1100" w:type="dxa"/>
            <w:vAlign w:val="bottom"/>
            <w:gridSpan w:val="2"/>
          </w:tcPr>
          <w:p>
            <w:pPr>
              <w:jc w:val="right"/>
              <w:ind w:right="291"/>
              <w:spacing w:after="0" w:line="180" w:lineRule="exact"/>
              <w:rPr>
                <w:sz w:val="20"/>
                <w:szCs w:val="20"/>
                <w:color w:val="auto"/>
              </w:rPr>
            </w:pPr>
            <w:r>
              <w:rPr>
                <w:rFonts w:ascii="Arial" w:cs="Arial" w:eastAsia="Arial" w:hAnsi="Arial"/>
                <w:sz w:val="18"/>
                <w:szCs w:val="18"/>
                <w:color w:val="auto"/>
              </w:rPr>
              <w:t>99.1</w:t>
            </w:r>
          </w:p>
        </w:tc>
        <w:tc>
          <w:tcPr>
            <w:tcW w:w="240" w:type="dxa"/>
            <w:vAlign w:val="bottom"/>
          </w:tcPr>
          <w:p>
            <w:pPr>
              <w:spacing w:after="0"/>
              <w:rPr>
                <w:sz w:val="15"/>
                <w:szCs w:val="15"/>
                <w:color w:val="auto"/>
              </w:rPr>
            </w:pPr>
          </w:p>
        </w:tc>
        <w:tc>
          <w:tcPr>
            <w:tcW w:w="9900" w:type="dxa"/>
            <w:vAlign w:val="bottom"/>
            <w:gridSpan w:val="4"/>
          </w:tcPr>
          <w:p>
            <w:pPr>
              <w:ind w:left="20"/>
              <w:spacing w:after="0" w:line="180" w:lineRule="exact"/>
              <w:rPr>
                <w:rFonts w:ascii="Arial" w:cs="Arial" w:eastAsia="Arial" w:hAnsi="Arial"/>
                <w:sz w:val="18"/>
                <w:szCs w:val="18"/>
                <w:color w:val="0000FF"/>
              </w:rPr>
            </w:pPr>
            <w:hyperlink w:anchor="page4">
              <w:r>
                <w:rPr>
                  <w:rFonts w:ascii="Arial" w:cs="Arial" w:eastAsia="Arial" w:hAnsi="Arial"/>
                  <w:sz w:val="18"/>
                  <w:szCs w:val="18"/>
                  <w:color w:val="0000FF"/>
                </w:rPr>
                <w:t xml:space="preserve">Press Release </w:t>
              </w:r>
            </w:hyperlink>
            <w:r>
              <w:rPr>
                <w:rFonts w:ascii="Arial" w:cs="Arial" w:eastAsia="Arial" w:hAnsi="Arial"/>
                <w:sz w:val="18"/>
                <w:szCs w:val="18"/>
                <w:color w:val="0000FF"/>
              </w:rPr>
              <w:t xml:space="preserve">entitled </w:t>
            </w:r>
            <w:hyperlink w:anchor="page4">
              <w:r>
                <w:rPr>
                  <w:rFonts w:ascii="Arial" w:cs="Arial" w:eastAsia="Arial" w:hAnsi="Arial"/>
                  <w:sz w:val="18"/>
                  <w:szCs w:val="18"/>
                  <w:color w:val="0000FF"/>
                </w:rPr>
                <w:t>"Dropbox Announces Second Quarter Fiscal 2021 Results" dated August 5, 2021</w:t>
              </w:r>
            </w:hyperlink>
          </w:p>
        </w:tc>
      </w:tr>
      <w:tr>
        <w:trPr>
          <w:trHeight w:val="1208"/>
        </w:trPr>
        <w:tc>
          <w:tcPr>
            <w:tcW w:w="20" w:type="dxa"/>
            <w:vAlign w:val="bottom"/>
            <w:tcBorders>
              <w:bottom w:val="single" w:sz="8" w:color="9A9A9A"/>
            </w:tcBorders>
          </w:tcPr>
          <w:p>
            <w:pPr>
              <w:spacing w:after="0"/>
              <w:rPr>
                <w:sz w:val="24"/>
                <w:szCs w:val="24"/>
                <w:color w:val="auto"/>
              </w:rPr>
            </w:pPr>
          </w:p>
        </w:tc>
        <w:tc>
          <w:tcPr>
            <w:tcW w:w="108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7340" w:type="dxa"/>
            <w:vAlign w:val="bottom"/>
            <w:tcBorders>
              <w:top w:val="single" w:sz="8" w:color="0000FF"/>
              <w:bottom w:val="single" w:sz="8" w:color="9A9A9A"/>
            </w:tcBorders>
          </w:tcPr>
          <w:p>
            <w:pPr>
              <w:spacing w:after="0"/>
              <w:rPr>
                <w:sz w:val="24"/>
                <w:szCs w:val="24"/>
                <w:color w:val="auto"/>
              </w:rPr>
            </w:pPr>
          </w:p>
        </w:tc>
        <w:tc>
          <w:tcPr>
            <w:tcW w:w="25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7117080</wp:posOffset>
            </wp:positionH>
            <wp:positionV relativeFrom="paragraph">
              <wp:posOffset>-29210</wp:posOffset>
            </wp:positionV>
            <wp:extent cx="33655"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-8255</wp:posOffset>
            </wp:positionH>
            <wp:positionV relativeFrom="paragraph">
              <wp:posOffset>-29210</wp:posOffset>
            </wp:positionV>
            <wp:extent cx="33655"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878" w:right="339" w:bottom="1440" w:gutter="0" w:footer="0" w:header="0"/>
        </w:sectPr>
      </w:pPr>
    </w:p>
    <w:bookmarkStart w:id="2" w:name="page3"/>
    <w:bookmarkEnd w:id="2"/>
    <w:p>
      <w:pPr>
        <w:jc w:val="center"/>
        <w:ind w:right="-159"/>
        <w:spacing w:after="0"/>
        <w:rPr>
          <w:sz w:val="20"/>
          <w:szCs w:val="20"/>
          <w:color w:val="auto"/>
        </w:rPr>
      </w:pPr>
      <w:r>
        <w:rPr>
          <w:rFonts w:ascii="Arial" w:cs="Arial" w:eastAsia="Arial" w:hAnsi="Arial"/>
          <w:sz w:val="18"/>
          <w:szCs w:val="18"/>
          <w:b w:val="1"/>
          <w:bCs w:val="1"/>
          <w:color w:val="auto"/>
        </w:rPr>
        <w:t>SIGNATURES</w:t>
      </w:r>
    </w:p>
    <w:p>
      <w:pPr>
        <w:spacing w:after="0" w:line="251" w:lineRule="exact"/>
        <w:rPr>
          <w:sz w:val="20"/>
          <w:szCs w:val="20"/>
          <w:color w:val="auto"/>
        </w:rPr>
      </w:pPr>
    </w:p>
    <w:p>
      <w:pPr>
        <w:spacing w:after="0" w:line="265" w:lineRule="auto"/>
        <w:rPr>
          <w:sz w:val="20"/>
          <w:szCs w:val="20"/>
          <w:color w:val="auto"/>
        </w:rPr>
      </w:pPr>
      <w:r>
        <w:rPr>
          <w:rFonts w:ascii="Arial" w:cs="Arial" w:eastAsia="Arial" w:hAnsi="Arial"/>
          <w:sz w:val="18"/>
          <w:szCs w:val="18"/>
          <w:color w:val="auto"/>
        </w:rPr>
        <w:t>Pursuant to the requirements of the Securities Exchange Act of 1934, as amended, the Registrant has duly caused this report to be signed on its behalf by the undersigned hereunto duly authorized.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color w:val="auto"/>
        </w:rPr>
        <w:t>Dated: August 5, 2021</w:t>
      </w:r>
    </w:p>
    <w:p>
      <w:pPr>
        <w:spacing w:after="0" w:line="345" w:lineRule="exact"/>
        <w:rPr>
          <w:sz w:val="20"/>
          <w:szCs w:val="20"/>
          <w:color w:val="auto"/>
        </w:rPr>
      </w:pPr>
    </w:p>
    <w:p>
      <w:pPr>
        <w:ind w:left="3460"/>
        <w:spacing w:after="0"/>
        <w:rPr>
          <w:sz w:val="20"/>
          <w:szCs w:val="20"/>
          <w:color w:val="auto"/>
        </w:rPr>
      </w:pPr>
      <w:r>
        <w:rPr>
          <w:rFonts w:ascii="Arial" w:cs="Arial" w:eastAsia="Arial" w:hAnsi="Arial"/>
          <w:sz w:val="18"/>
          <w:szCs w:val="18"/>
          <w:b w:val="1"/>
          <w:bCs w:val="1"/>
          <w:color w:val="auto"/>
        </w:rPr>
        <w:t>Dropbox, Inc.</w:t>
      </w:r>
    </w:p>
    <w:p>
      <w:pPr>
        <w:spacing w:after="0" w:line="25" w:lineRule="exact"/>
        <w:rPr>
          <w:sz w:val="20"/>
          <w:szCs w:val="20"/>
          <w:color w:val="auto"/>
        </w:rPr>
      </w:pPr>
    </w:p>
    <w:p>
      <w:pPr>
        <w:ind w:left="3460"/>
        <w:spacing w:after="0"/>
        <w:rPr>
          <w:sz w:val="20"/>
          <w:szCs w:val="20"/>
          <w:color w:val="auto"/>
        </w:rPr>
      </w:pPr>
      <w:r>
        <w:rPr>
          <w:rFonts w:ascii="Arial" w:cs="Arial" w:eastAsia="Arial" w:hAnsi="Arial"/>
          <w:sz w:val="18"/>
          <w:szCs w:val="18"/>
          <w:color w:val="auto"/>
        </w:rPr>
        <w:t>/s/ Timothy J. Regan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2179955</wp:posOffset>
            </wp:positionH>
            <wp:positionV relativeFrom="paragraph">
              <wp:posOffset>11430</wp:posOffset>
            </wp:positionV>
            <wp:extent cx="278320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783205" cy="8255"/>
                    </a:xfrm>
                    <a:prstGeom prst="rect">
                      <a:avLst/>
                    </a:prstGeom>
                    <a:noFill/>
                  </pic:spPr>
                </pic:pic>
              </a:graphicData>
            </a:graphic>
          </wp:anchor>
        </w:drawing>
      </w:r>
    </w:p>
    <w:p>
      <w:pPr>
        <w:spacing w:after="0" w:line="12" w:lineRule="exact"/>
        <w:rPr>
          <w:sz w:val="20"/>
          <w:szCs w:val="20"/>
          <w:color w:val="auto"/>
        </w:rPr>
      </w:pPr>
    </w:p>
    <w:p>
      <w:pPr>
        <w:ind w:left="3460"/>
        <w:spacing w:after="0"/>
        <w:rPr>
          <w:sz w:val="20"/>
          <w:szCs w:val="20"/>
          <w:color w:val="auto"/>
        </w:rPr>
      </w:pPr>
      <w:r>
        <w:rPr>
          <w:rFonts w:ascii="Arial" w:cs="Arial" w:eastAsia="Arial" w:hAnsi="Arial"/>
          <w:sz w:val="18"/>
          <w:szCs w:val="18"/>
          <w:color w:val="auto"/>
        </w:rPr>
        <w:t>Timothy J. Regan</w:t>
      </w:r>
    </w:p>
    <w:p>
      <w:pPr>
        <w:spacing w:after="0" w:line="19" w:lineRule="exact"/>
        <w:rPr>
          <w:sz w:val="20"/>
          <w:szCs w:val="20"/>
          <w:color w:val="auto"/>
        </w:rPr>
      </w:pPr>
    </w:p>
    <w:p>
      <w:pPr>
        <w:ind w:left="3460"/>
        <w:spacing w:after="0"/>
        <w:rPr>
          <w:sz w:val="20"/>
          <w:szCs w:val="20"/>
          <w:color w:val="auto"/>
        </w:rPr>
      </w:pPr>
      <w:r>
        <w:rPr>
          <w:rFonts w:ascii="Arial" w:cs="Arial" w:eastAsia="Arial" w:hAnsi="Arial"/>
          <w:sz w:val="18"/>
          <w:szCs w:val="18"/>
          <w:color w:val="auto"/>
        </w:rPr>
        <w:t>Chief Financial Officer</w:t>
      </w:r>
    </w:p>
    <w:p>
      <w:pPr>
        <w:sectPr>
          <w:pgSz w:w="11900" w:h="16838" w:orient="portrait"/>
          <w:cols w:equalWidth="0" w:num="1">
            <w:col w:w="11100"/>
          </w:cols>
          <w:pgMar w:left="320" w:top="878" w:right="479" w:bottom="1440" w:gutter="0" w:footer="0" w:header="0"/>
        </w:sectPr>
      </w:pPr>
    </w:p>
    <w:bookmarkStart w:id="3" w:name="page4"/>
    <w:bookmarkEnd w:id="3"/>
    <w:p>
      <w:pPr>
        <w:ind w:left="3800"/>
        <w:spacing w:after="0"/>
        <w:rPr>
          <w:sz w:val="20"/>
          <w:szCs w:val="20"/>
          <w:color w:val="auto"/>
        </w:rPr>
      </w:pPr>
      <w:r>
        <w:rPr>
          <w:rFonts w:ascii="Arial" w:cs="Arial" w:eastAsia="Arial" w:hAnsi="Arial"/>
          <w:sz w:val="18"/>
          <w:szCs w:val="18"/>
          <w:b w:val="1"/>
          <w:bCs w:val="1"/>
          <w:color w:val="auto"/>
        </w:rPr>
        <w:t>Dropbox Announces Second Quarter Fiscal 2021 Results</w:t>
      </w:r>
    </w:p>
    <w:p>
      <w:pPr>
        <w:spacing w:after="0" w:line="251" w:lineRule="exact"/>
        <w:rPr>
          <w:sz w:val="20"/>
          <w:szCs w:val="20"/>
          <w:color w:val="auto"/>
        </w:rPr>
      </w:pPr>
    </w:p>
    <w:p>
      <w:pPr>
        <w:jc w:val="center"/>
        <w:spacing w:after="0" w:line="256" w:lineRule="auto"/>
        <w:rPr>
          <w:sz w:val="20"/>
          <w:szCs w:val="20"/>
          <w:color w:val="auto"/>
        </w:rPr>
      </w:pPr>
      <w:r>
        <w:rPr>
          <w:rFonts w:ascii="Arial" w:cs="Arial" w:eastAsia="Arial" w:hAnsi="Arial"/>
          <w:sz w:val="18"/>
          <w:szCs w:val="18"/>
          <w:color w:val="auto"/>
        </w:rPr>
        <w:t>Second Quarter Revenue of $530.6 Million, Up 13.5% Year-over-year GAAP and Non-GAAP Operating Income of $84.4 Million and $169.4 Million, Up 558.4% and 76.1% Year-over-year Net Cash Provided by Operating Activities of $219.9 Million and Free Cash Flow of $216.0 Million</w:t>
      </w:r>
    </w:p>
    <w:p>
      <w:pPr>
        <w:spacing w:after="0" w:line="208" w:lineRule="exact"/>
        <w:rPr>
          <w:sz w:val="20"/>
          <w:szCs w:val="20"/>
          <w:color w:val="auto"/>
        </w:rPr>
      </w:pPr>
    </w:p>
    <w:p>
      <w:pPr>
        <w:ind w:right="440"/>
        <w:spacing w:after="0" w:line="272" w:lineRule="auto"/>
        <w:rPr>
          <w:sz w:val="20"/>
          <w:szCs w:val="20"/>
          <w:color w:val="auto"/>
        </w:rPr>
      </w:pPr>
      <w:r>
        <w:rPr>
          <w:rFonts w:ascii="Arial" w:cs="Arial" w:eastAsia="Arial" w:hAnsi="Arial"/>
          <w:sz w:val="18"/>
          <w:szCs w:val="18"/>
          <w:b w:val="1"/>
          <w:bCs w:val="1"/>
          <w:color w:val="auto"/>
        </w:rPr>
        <w:t xml:space="preserve">SAN FRANCISCO, Calif. </w:t>
      </w:r>
      <w:r>
        <w:rPr>
          <w:rFonts w:ascii="Arial" w:cs="Arial" w:eastAsia="Arial" w:hAnsi="Arial"/>
          <w:sz w:val="18"/>
          <w:szCs w:val="18"/>
          <w:color w:val="auto"/>
        </w:rPr>
        <w:t>- August 5, 2021 - Dropbox, Inc. (NASDAQ: DBX), today announced financial results for its second quarter ended June 30,</w:t>
      </w:r>
      <w:r>
        <w:rPr>
          <w:rFonts w:ascii="Arial" w:cs="Arial" w:eastAsia="Arial" w:hAnsi="Arial"/>
          <w:sz w:val="18"/>
          <w:szCs w:val="18"/>
          <w:b w:val="1"/>
          <w:bCs w:val="1"/>
          <w:color w:val="auto"/>
        </w:rPr>
        <w:t xml:space="preserve"> </w:t>
      </w:r>
      <w:r>
        <w:rPr>
          <w:rFonts w:ascii="Arial" w:cs="Arial" w:eastAsia="Arial" w:hAnsi="Arial"/>
          <w:sz w:val="18"/>
          <w:szCs w:val="18"/>
          <w:color w:val="auto"/>
        </w:rPr>
        <w:t>2021.</w:t>
      </w:r>
    </w:p>
    <w:p>
      <w:pPr>
        <w:spacing w:after="0" w:line="201" w:lineRule="exact"/>
        <w:rPr>
          <w:sz w:val="20"/>
          <w:szCs w:val="20"/>
          <w:color w:val="auto"/>
        </w:rPr>
      </w:pPr>
    </w:p>
    <w:p>
      <w:pPr>
        <w:jc w:val="both"/>
        <w:ind w:right="180"/>
        <w:spacing w:after="0" w:line="252" w:lineRule="auto"/>
        <w:rPr>
          <w:sz w:val="20"/>
          <w:szCs w:val="20"/>
          <w:color w:val="auto"/>
        </w:rPr>
      </w:pPr>
      <w:r>
        <w:rPr>
          <w:rFonts w:ascii="Arial" w:cs="Arial" w:eastAsia="Arial" w:hAnsi="Arial"/>
          <w:sz w:val="18"/>
          <w:szCs w:val="18"/>
          <w:color w:val="auto"/>
        </w:rPr>
        <w:t>“Q2 was a standout quarter, driven by strong revenue growth, record free cash flow, and margin expansion,” said Dropbox Co-Founder and Chief Executive Officer Drew Houston. “Our results reflect the strength of our business model and our ability to make significant progress on our strategic objectives. We’re proud of our execution this quarter as we delivered even more value to our customers and shareholders and are excited about the opportunity ahead to build next-generation tools to support the new world of distributed work.”</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Second Quarter Fiscal 2021 Results</w:t>
      </w:r>
    </w:p>
    <w:p>
      <w:pPr>
        <w:spacing w:after="0" w:line="251" w:lineRule="exact"/>
        <w:rPr>
          <w:sz w:val="20"/>
          <w:szCs w:val="20"/>
          <w:color w:val="auto"/>
        </w:rPr>
      </w:pPr>
    </w:p>
    <w:p>
      <w:pPr>
        <w:ind w:left="640" w:right="200" w:hanging="315"/>
        <w:spacing w:after="0" w:line="270" w:lineRule="auto"/>
        <w:tabs>
          <w:tab w:leader="none" w:pos="635" w:val="left"/>
        </w:tabs>
        <w:numPr>
          <w:ilvl w:val="1"/>
          <w:numId w:val="2"/>
        </w:numPr>
        <w:rPr>
          <w:rFonts w:ascii="Arial" w:cs="Arial" w:eastAsia="Arial" w:hAnsi="Arial"/>
          <w:sz w:val="18"/>
          <w:szCs w:val="18"/>
          <w:color w:val="auto"/>
        </w:rPr>
      </w:pPr>
      <w:r>
        <w:rPr>
          <w:rFonts w:ascii="Arial" w:cs="Arial" w:eastAsia="Arial" w:hAnsi="Arial"/>
          <w:sz w:val="18"/>
          <w:szCs w:val="18"/>
          <w:color w:val="auto"/>
        </w:rPr>
        <w:t>Total revenue was $530.6 million, an increase of 13.5% from the same period last year. On a constant currency basis, year-over-year growth would have been 11.4%.</w:t>
      </w:r>
      <w:r>
        <w:rPr>
          <w:rFonts w:ascii="Arial" w:cs="Arial" w:eastAsia="Arial" w:hAnsi="Arial"/>
          <w:sz w:val="23"/>
          <w:szCs w:val="23"/>
          <w:color w:val="auto"/>
          <w:vertAlign w:val="superscript"/>
        </w:rPr>
        <w:t>(1)</w:t>
      </w:r>
    </w:p>
    <w:p>
      <w:pPr>
        <w:spacing w:after="0" w:line="133" w:lineRule="exact"/>
        <w:rPr>
          <w:rFonts w:ascii="Arial" w:cs="Arial" w:eastAsia="Arial" w:hAnsi="Arial"/>
          <w:sz w:val="18"/>
          <w:szCs w:val="18"/>
          <w:color w:val="auto"/>
        </w:rPr>
      </w:pPr>
    </w:p>
    <w:p>
      <w:pPr>
        <w:ind w:left="640" w:hanging="315"/>
        <w:spacing w:after="0" w:line="270" w:lineRule="auto"/>
        <w:tabs>
          <w:tab w:leader="none" w:pos="635" w:val="left"/>
        </w:tabs>
        <w:numPr>
          <w:ilvl w:val="1"/>
          <w:numId w:val="2"/>
        </w:numPr>
        <w:rPr>
          <w:rFonts w:ascii="Arial" w:cs="Arial" w:eastAsia="Arial" w:hAnsi="Arial"/>
          <w:sz w:val="18"/>
          <w:szCs w:val="18"/>
          <w:color w:val="auto"/>
        </w:rPr>
      </w:pPr>
      <w:r>
        <w:rPr>
          <w:rFonts w:ascii="Arial" w:cs="Arial" w:eastAsia="Arial" w:hAnsi="Arial"/>
          <w:sz w:val="18"/>
          <w:szCs w:val="18"/>
          <w:color w:val="auto"/>
        </w:rPr>
        <w:t>Total ARR ended at $2.166 billion, an increase of $53.8 million quarter-over-quarter and an increase of 12.2% year-over-year. On a constant currency basis, year-over-year growth would have been 10.6%.</w:t>
      </w:r>
      <w:r>
        <w:rPr>
          <w:rFonts w:ascii="Arial" w:cs="Arial" w:eastAsia="Arial" w:hAnsi="Arial"/>
          <w:sz w:val="23"/>
          <w:szCs w:val="23"/>
          <w:color w:val="auto"/>
          <w:vertAlign w:val="superscript"/>
        </w:rPr>
        <w:t>(2)</w:t>
      </w:r>
    </w:p>
    <w:p>
      <w:pPr>
        <w:spacing w:after="0" w:line="133" w:lineRule="exact"/>
        <w:rPr>
          <w:rFonts w:ascii="Arial" w:cs="Arial" w:eastAsia="Arial" w:hAnsi="Arial"/>
          <w:sz w:val="18"/>
          <w:szCs w:val="18"/>
          <w:color w:val="auto"/>
        </w:rPr>
      </w:pPr>
    </w:p>
    <w:p>
      <w:pPr>
        <w:ind w:left="640" w:right="280" w:hanging="315"/>
        <w:spacing w:after="0" w:line="265" w:lineRule="auto"/>
        <w:tabs>
          <w:tab w:leader="none" w:pos="635" w:val="left"/>
        </w:tabs>
        <w:numPr>
          <w:ilvl w:val="1"/>
          <w:numId w:val="2"/>
        </w:numPr>
        <w:rPr>
          <w:rFonts w:ascii="Arial" w:cs="Arial" w:eastAsia="Arial" w:hAnsi="Arial"/>
          <w:sz w:val="18"/>
          <w:szCs w:val="18"/>
          <w:color w:val="auto"/>
        </w:rPr>
      </w:pPr>
      <w:r>
        <w:rPr>
          <w:rFonts w:ascii="Arial" w:cs="Arial" w:eastAsia="Arial" w:hAnsi="Arial"/>
          <w:sz w:val="18"/>
          <w:szCs w:val="18"/>
          <w:color w:val="auto"/>
        </w:rPr>
        <w:t>Paying users ended at 16.14 million, as compared to 14.96 million for the same period last year. Average revenue per paying user was $133.15, as compared to $126.88 for the same period last year.</w:t>
      </w:r>
    </w:p>
    <w:p>
      <w:pPr>
        <w:spacing w:after="0" w:line="206" w:lineRule="exact"/>
        <w:rPr>
          <w:rFonts w:ascii="Arial" w:cs="Arial" w:eastAsia="Arial" w:hAnsi="Arial"/>
          <w:sz w:val="18"/>
          <w:szCs w:val="18"/>
          <w:color w:val="auto"/>
        </w:rPr>
      </w:pPr>
    </w:p>
    <w:p>
      <w:pPr>
        <w:ind w:left="640" w:right="140" w:hanging="315"/>
        <w:spacing w:after="0" w:line="265" w:lineRule="auto"/>
        <w:tabs>
          <w:tab w:leader="none" w:pos="635" w:val="left"/>
        </w:tabs>
        <w:numPr>
          <w:ilvl w:val="1"/>
          <w:numId w:val="2"/>
        </w:numPr>
        <w:rPr>
          <w:rFonts w:ascii="Arial" w:cs="Arial" w:eastAsia="Arial" w:hAnsi="Arial"/>
          <w:sz w:val="18"/>
          <w:szCs w:val="18"/>
          <w:color w:val="auto"/>
        </w:rPr>
      </w:pPr>
      <w:r>
        <w:rPr>
          <w:rFonts w:ascii="Arial" w:cs="Arial" w:eastAsia="Arial" w:hAnsi="Arial"/>
          <w:sz w:val="18"/>
          <w:szCs w:val="18"/>
          <w:color w:val="auto"/>
        </w:rPr>
        <w:t>GAAP gross margin was 79.8%, as compared to 78.1% in the same period last year. Non-GAAP gross margin was 81.2%, as compared to 79.2% in the same period last year.</w:t>
      </w:r>
    </w:p>
    <w:p>
      <w:pPr>
        <w:spacing w:after="0" w:line="206" w:lineRule="exact"/>
        <w:rPr>
          <w:rFonts w:ascii="Arial" w:cs="Arial" w:eastAsia="Arial" w:hAnsi="Arial"/>
          <w:sz w:val="18"/>
          <w:szCs w:val="18"/>
          <w:color w:val="auto"/>
        </w:rPr>
      </w:pPr>
    </w:p>
    <w:p>
      <w:pPr>
        <w:ind w:left="640" w:right="320" w:hanging="315"/>
        <w:spacing w:after="0" w:line="265" w:lineRule="auto"/>
        <w:tabs>
          <w:tab w:leader="none" w:pos="635" w:val="left"/>
        </w:tabs>
        <w:numPr>
          <w:ilvl w:val="1"/>
          <w:numId w:val="2"/>
        </w:numPr>
        <w:rPr>
          <w:rFonts w:ascii="Arial" w:cs="Arial" w:eastAsia="Arial" w:hAnsi="Arial"/>
          <w:sz w:val="18"/>
          <w:szCs w:val="18"/>
          <w:color w:val="auto"/>
        </w:rPr>
      </w:pPr>
      <w:r>
        <w:rPr>
          <w:rFonts w:ascii="Arial" w:cs="Arial" w:eastAsia="Arial" w:hAnsi="Arial"/>
          <w:sz w:val="18"/>
          <w:szCs w:val="18"/>
          <w:color w:val="auto"/>
        </w:rPr>
        <w:t>GAAP operating margin was 15.9%, as compared to 2.7% in the same period last year. Non-GAAP operating margin was 31.9%, as compared to 20.6% in the same period last year.</w:t>
      </w:r>
    </w:p>
    <w:p>
      <w:pPr>
        <w:spacing w:after="0" w:line="206" w:lineRule="exact"/>
        <w:rPr>
          <w:rFonts w:ascii="Arial" w:cs="Arial" w:eastAsia="Arial" w:hAnsi="Arial"/>
          <w:sz w:val="18"/>
          <w:szCs w:val="18"/>
          <w:color w:val="auto"/>
        </w:rPr>
      </w:pPr>
    </w:p>
    <w:p>
      <w:pPr>
        <w:ind w:left="640" w:right="440" w:hanging="315"/>
        <w:spacing w:after="0" w:line="265" w:lineRule="auto"/>
        <w:tabs>
          <w:tab w:leader="none" w:pos="635" w:val="left"/>
        </w:tabs>
        <w:numPr>
          <w:ilvl w:val="1"/>
          <w:numId w:val="2"/>
        </w:numPr>
        <w:rPr>
          <w:rFonts w:ascii="Arial" w:cs="Arial" w:eastAsia="Arial" w:hAnsi="Arial"/>
          <w:sz w:val="18"/>
          <w:szCs w:val="18"/>
          <w:color w:val="auto"/>
        </w:rPr>
      </w:pPr>
      <w:r>
        <w:rPr>
          <w:rFonts w:ascii="Arial" w:cs="Arial" w:eastAsia="Arial" w:hAnsi="Arial"/>
          <w:sz w:val="18"/>
          <w:szCs w:val="18"/>
          <w:color w:val="auto"/>
        </w:rPr>
        <w:t>GAAP net income was $88.0 million, as compared to $17.5 million in the same period last year. Non-GAAP net income was $160.5 million, as compared to $93.2 million in the same period last year.</w:t>
      </w:r>
    </w:p>
    <w:p>
      <w:pPr>
        <w:spacing w:after="0" w:line="206" w:lineRule="exact"/>
        <w:rPr>
          <w:rFonts w:ascii="Arial" w:cs="Arial" w:eastAsia="Arial" w:hAnsi="Arial"/>
          <w:sz w:val="18"/>
          <w:szCs w:val="18"/>
          <w:color w:val="auto"/>
        </w:rPr>
      </w:pPr>
    </w:p>
    <w:p>
      <w:pPr>
        <w:ind w:left="640" w:right="80" w:hanging="315"/>
        <w:spacing w:after="0" w:line="265" w:lineRule="auto"/>
        <w:tabs>
          <w:tab w:leader="none" w:pos="635" w:val="left"/>
        </w:tabs>
        <w:numPr>
          <w:ilvl w:val="1"/>
          <w:numId w:val="2"/>
        </w:numPr>
        <w:rPr>
          <w:rFonts w:ascii="Arial" w:cs="Arial" w:eastAsia="Arial" w:hAnsi="Arial"/>
          <w:sz w:val="18"/>
          <w:szCs w:val="18"/>
          <w:color w:val="auto"/>
        </w:rPr>
      </w:pPr>
      <w:r>
        <w:rPr>
          <w:rFonts w:ascii="Arial" w:cs="Arial" w:eastAsia="Arial" w:hAnsi="Arial"/>
          <w:sz w:val="18"/>
          <w:szCs w:val="18"/>
          <w:color w:val="auto"/>
        </w:rPr>
        <w:t>Net cash provided by operating activities was $219.9 million, as compared to $145.9 million in the same period last year. Free cash flow was $216.0 million, as compared to $119.8 million in the same period last year.</w:t>
      </w:r>
    </w:p>
    <w:p>
      <w:pPr>
        <w:spacing w:after="0" w:line="206" w:lineRule="exact"/>
        <w:rPr>
          <w:rFonts w:ascii="Arial" w:cs="Arial" w:eastAsia="Arial" w:hAnsi="Arial"/>
          <w:sz w:val="18"/>
          <w:szCs w:val="18"/>
          <w:color w:val="auto"/>
        </w:rPr>
      </w:pPr>
    </w:p>
    <w:p>
      <w:pPr>
        <w:ind w:left="640" w:right="160" w:hanging="315"/>
        <w:spacing w:after="0" w:line="319" w:lineRule="auto"/>
        <w:tabs>
          <w:tab w:leader="none" w:pos="635" w:val="left"/>
        </w:tabs>
        <w:numPr>
          <w:ilvl w:val="1"/>
          <w:numId w:val="2"/>
        </w:numPr>
        <w:rPr>
          <w:rFonts w:ascii="Arial" w:cs="Arial" w:eastAsia="Arial" w:hAnsi="Arial"/>
          <w:sz w:val="16"/>
          <w:szCs w:val="16"/>
          <w:color w:val="auto"/>
        </w:rPr>
      </w:pPr>
      <w:r>
        <w:rPr>
          <w:rFonts w:ascii="Arial" w:cs="Arial" w:eastAsia="Arial" w:hAnsi="Arial"/>
          <w:sz w:val="16"/>
          <w:szCs w:val="16"/>
          <w:color w:val="auto"/>
        </w:rPr>
        <w:t>GAAP diluted net income per share attributable to common stockholders was $0.22, as compared to $0.04 in the same period last year. Non-GAAP diluted net income per share attributable to common stockholders was $0.40, as compared to $0.22 in the same period last year.</w:t>
      </w:r>
      <w:r>
        <w:rPr>
          <w:rFonts w:ascii="Arial" w:cs="Arial" w:eastAsia="Arial" w:hAnsi="Arial"/>
          <w:sz w:val="21"/>
          <w:szCs w:val="21"/>
          <w:color w:val="auto"/>
          <w:vertAlign w:val="superscript"/>
        </w:rPr>
        <w:t>(3)</w:t>
      </w:r>
    </w:p>
    <w:p>
      <w:pPr>
        <w:spacing w:after="0" w:line="98" w:lineRule="exact"/>
        <w:rPr>
          <w:rFonts w:ascii="Arial" w:cs="Arial" w:eastAsia="Arial" w:hAnsi="Arial"/>
          <w:sz w:val="16"/>
          <w:szCs w:val="16"/>
          <w:color w:val="auto"/>
        </w:rPr>
      </w:pPr>
    </w:p>
    <w:p>
      <w:pPr>
        <w:ind w:left="640" w:hanging="315"/>
        <w:spacing w:after="0"/>
        <w:tabs>
          <w:tab w:leader="none" w:pos="640" w:val="left"/>
        </w:tabs>
        <w:numPr>
          <w:ilvl w:val="1"/>
          <w:numId w:val="2"/>
        </w:numPr>
        <w:rPr>
          <w:rFonts w:ascii="Arial" w:cs="Arial" w:eastAsia="Arial" w:hAnsi="Arial"/>
          <w:sz w:val="18"/>
          <w:szCs w:val="18"/>
          <w:color w:val="auto"/>
        </w:rPr>
      </w:pPr>
      <w:r>
        <w:rPr>
          <w:rFonts w:ascii="Arial" w:cs="Arial" w:eastAsia="Arial" w:hAnsi="Arial"/>
          <w:sz w:val="18"/>
          <w:szCs w:val="18"/>
          <w:color w:val="auto"/>
        </w:rPr>
        <w:t>Cash, cash equivalents and short-term investments ended at $1.944 billion.</w:t>
      </w:r>
    </w:p>
    <w:p>
      <w:pPr>
        <w:spacing w:after="0" w:line="244" w:lineRule="exact"/>
        <w:rPr>
          <w:rFonts w:ascii="Arial" w:cs="Arial" w:eastAsia="Arial" w:hAnsi="Arial"/>
          <w:sz w:val="18"/>
          <w:szCs w:val="18"/>
          <w:color w:val="auto"/>
        </w:rPr>
      </w:pPr>
    </w:p>
    <w:p>
      <w:pPr>
        <w:ind w:left="160" w:hanging="154"/>
        <w:spacing w:after="0"/>
        <w:tabs>
          <w:tab w:leader="none" w:pos="160" w:val="left"/>
        </w:tabs>
        <w:numPr>
          <w:ilvl w:val="0"/>
          <w:numId w:val="2"/>
        </w:numPr>
        <w:rPr>
          <w:rFonts w:ascii="Arial" w:cs="Arial" w:eastAsia="Arial" w:hAnsi="Arial"/>
          <w:sz w:val="18"/>
          <w:szCs w:val="18"/>
          <w:color w:val="auto"/>
          <w:vertAlign w:val="superscript"/>
        </w:rPr>
      </w:pPr>
      <w:r>
        <w:rPr>
          <w:rFonts w:ascii="Arial" w:cs="Arial" w:eastAsia="Arial" w:hAnsi="Arial"/>
          <w:sz w:val="14"/>
          <w:szCs w:val="14"/>
          <w:color w:val="auto"/>
        </w:rPr>
        <w:t>We calculate constant currency revenue growth rates by applying the prior period weighted average exchange rates to current period results.</w:t>
      </w:r>
    </w:p>
    <w:p>
      <w:pPr>
        <w:spacing w:after="0" w:line="220" w:lineRule="exact"/>
        <w:rPr>
          <w:rFonts w:ascii="Arial" w:cs="Arial" w:eastAsia="Arial" w:hAnsi="Arial"/>
          <w:sz w:val="18"/>
          <w:szCs w:val="18"/>
          <w:color w:val="auto"/>
          <w:vertAlign w:val="superscript"/>
        </w:rPr>
      </w:pPr>
    </w:p>
    <w:p>
      <w:pPr>
        <w:ind w:right="140" w:firstLine="6"/>
        <w:spacing w:after="0" w:line="296" w:lineRule="auto"/>
        <w:tabs>
          <w:tab w:leader="none" w:pos="147" w:val="left"/>
        </w:tabs>
        <w:numPr>
          <w:ilvl w:val="0"/>
          <w:numId w:val="2"/>
        </w:numPr>
        <w:rPr>
          <w:rFonts w:ascii="Arial" w:cs="Arial" w:eastAsia="Arial" w:hAnsi="Arial"/>
          <w:sz w:val="17"/>
          <w:szCs w:val="17"/>
          <w:color w:val="auto"/>
          <w:vertAlign w:val="superscript"/>
        </w:rPr>
      </w:pPr>
      <w:r>
        <w:rPr>
          <w:rFonts w:ascii="Arial" w:cs="Arial" w:eastAsia="Arial" w:hAnsi="Arial"/>
          <w:sz w:val="13"/>
          <w:szCs w:val="13"/>
          <w:color w:val="auto"/>
        </w:rPr>
        <w:t>We calculate total annual recurring revenue ("Total ARR") as the number of users who have active paid licenses for access to our platform as of the end of the period, multiplied by their annualized subscription price to our platform. We adjust our exchange rates used to calculate Total ARR on an annual basis, at the beginning of each fiscal year. We calculate constant currency Total ARR growth rates by applying the current period rate to prior period results.</w:t>
      </w:r>
    </w:p>
    <w:p>
      <w:pPr>
        <w:spacing w:after="0" w:line="187" w:lineRule="exact"/>
        <w:rPr>
          <w:rFonts w:ascii="Arial" w:cs="Arial" w:eastAsia="Arial" w:hAnsi="Arial"/>
          <w:sz w:val="17"/>
          <w:szCs w:val="17"/>
          <w:color w:val="auto"/>
          <w:vertAlign w:val="superscript"/>
        </w:rPr>
      </w:pPr>
    </w:p>
    <w:p>
      <w:pPr>
        <w:ind w:right="160" w:firstLine="6"/>
        <w:spacing w:after="0" w:line="281" w:lineRule="auto"/>
        <w:tabs>
          <w:tab w:leader="none" w:pos="163" w:val="left"/>
        </w:tabs>
        <w:numPr>
          <w:ilvl w:val="0"/>
          <w:numId w:val="2"/>
        </w:numPr>
        <w:rPr>
          <w:rFonts w:ascii="Arial" w:cs="Arial" w:eastAsia="Arial" w:hAnsi="Arial"/>
          <w:sz w:val="19"/>
          <w:szCs w:val="19"/>
          <w:color w:val="auto"/>
          <w:vertAlign w:val="superscript"/>
        </w:rPr>
      </w:pPr>
      <w:r>
        <w:rPr>
          <w:rFonts w:ascii="Arial" w:cs="Arial" w:eastAsia="Arial" w:hAnsi="Arial"/>
          <w:sz w:val="13"/>
          <w:szCs w:val="13"/>
          <w:color w:val="auto"/>
        </w:rPr>
        <w:t xml:space="preserve">Non-GAAP diluted net income per share attributable to common stockholders is calculated based upon 397.0 million and 420.5 million diluted weighted-average shares of common stock for the three months ended </w:t>
      </w:r>
      <w:r>
        <w:rPr>
          <w:rFonts w:ascii="Arial" w:cs="Arial" w:eastAsia="Arial" w:hAnsi="Arial"/>
          <w:sz w:val="14"/>
          <w:szCs w:val="14"/>
          <w:color w:val="auto"/>
        </w:rPr>
        <w:t>June 30,</w:t>
      </w:r>
      <w:r>
        <w:rPr>
          <w:rFonts w:ascii="Arial" w:cs="Arial" w:eastAsia="Arial" w:hAnsi="Arial"/>
          <w:sz w:val="13"/>
          <w:szCs w:val="13"/>
          <w:color w:val="auto"/>
        </w:rPr>
        <w:t xml:space="preserve"> 2021 and 2020, respectively.</w:t>
      </w:r>
    </w:p>
    <w:p>
      <w:pPr>
        <w:sectPr>
          <w:pgSz w:w="11900" w:h="16838" w:orient="portrait"/>
          <w:cols w:equalWidth="0" w:num="1">
            <w:col w:w="11240"/>
          </w:cols>
          <w:pgMar w:left="320" w:top="878" w:right="339" w:bottom="1440" w:gutter="0" w:footer="0" w:header="0"/>
        </w:sectPr>
      </w:pPr>
    </w:p>
    <w:bookmarkStart w:id="4" w:name="page5"/>
    <w:bookmarkEnd w:id="4"/>
    <w:p>
      <w:pPr>
        <w:spacing w:after="0"/>
        <w:rPr>
          <w:sz w:val="20"/>
          <w:szCs w:val="20"/>
          <w:color w:val="auto"/>
        </w:rPr>
      </w:pPr>
      <w:r>
        <w:rPr>
          <w:rFonts w:ascii="Arial" w:cs="Arial" w:eastAsia="Arial" w:hAnsi="Arial"/>
          <w:sz w:val="18"/>
          <w:szCs w:val="18"/>
          <w:b w:val="1"/>
          <w:bCs w:val="1"/>
          <w:color w:val="auto"/>
        </w:rPr>
        <w:t>Financial Outlook</w:t>
      </w:r>
    </w:p>
    <w:p>
      <w:pPr>
        <w:spacing w:after="0" w:line="251" w:lineRule="exact"/>
        <w:rPr>
          <w:sz w:val="20"/>
          <w:szCs w:val="20"/>
          <w:color w:val="auto"/>
        </w:rPr>
      </w:pPr>
    </w:p>
    <w:p>
      <w:pPr>
        <w:ind w:right="120"/>
        <w:spacing w:after="0" w:line="265" w:lineRule="auto"/>
        <w:rPr>
          <w:sz w:val="20"/>
          <w:szCs w:val="20"/>
          <w:color w:val="auto"/>
        </w:rPr>
      </w:pPr>
      <w:r>
        <w:rPr>
          <w:rFonts w:ascii="Arial" w:cs="Arial" w:eastAsia="Arial" w:hAnsi="Arial"/>
          <w:sz w:val="18"/>
          <w:szCs w:val="18"/>
          <w:color w:val="auto"/>
        </w:rPr>
        <w:t xml:space="preserve">Dropbox will provide forward-looking guidance in connection with this quarterly earnings announcement on its conference call, webcast, and on its investor relations website at </w:t>
      </w:r>
      <w:r>
        <w:rPr>
          <w:rFonts w:ascii="Arial" w:cs="Arial" w:eastAsia="Arial" w:hAnsi="Arial"/>
          <w:sz w:val="18"/>
          <w:szCs w:val="18"/>
          <w:u w:val="single" w:color="auto"/>
          <w:color w:val="auto"/>
        </w:rPr>
        <w:t>http://investors.dropbox.com</w:t>
      </w:r>
      <w:r>
        <w:rPr>
          <w:rFonts w:ascii="Arial" w:cs="Arial" w:eastAsia="Arial" w:hAnsi="Arial"/>
          <w:sz w:val="18"/>
          <w:szCs w:val="18"/>
          <w:color w:val="auto"/>
        </w:rPr>
        <w:t>.</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Conference Call Information</w:t>
      </w:r>
    </w:p>
    <w:p>
      <w:pPr>
        <w:spacing w:after="0" w:line="251" w:lineRule="exact"/>
        <w:rPr>
          <w:sz w:val="20"/>
          <w:szCs w:val="20"/>
          <w:color w:val="auto"/>
        </w:rPr>
      </w:pPr>
    </w:p>
    <w:p>
      <w:pPr>
        <w:ind w:right="60"/>
        <w:spacing w:after="0" w:line="269" w:lineRule="auto"/>
        <w:rPr>
          <w:sz w:val="20"/>
          <w:szCs w:val="20"/>
          <w:color w:val="auto"/>
        </w:rPr>
      </w:pPr>
      <w:r>
        <w:rPr>
          <w:rFonts w:ascii="Arial" w:cs="Arial" w:eastAsia="Arial" w:hAnsi="Arial"/>
          <w:sz w:val="17"/>
          <w:szCs w:val="17"/>
          <w:color w:val="auto"/>
        </w:rPr>
        <w:t xml:space="preserve">Dropbox plans to host a conference call today to review its second quarter financial results and to discuss its financial outlook. This call is scheduled to begin at 2:00 p.m. PT / 5:00 p.m. ET and can be accessed by dialing (877) 300-7844 from the United States or (786) 815-8440 internationally with reference to the company name and conference title, and a live webcast and replay of the conference call can be accessed from the Dropbox investor relations website at </w:t>
      </w:r>
      <w:r>
        <w:rPr>
          <w:rFonts w:ascii="Arial" w:cs="Arial" w:eastAsia="Arial" w:hAnsi="Arial"/>
          <w:sz w:val="17"/>
          <w:szCs w:val="17"/>
          <w:u w:val="single" w:color="auto"/>
          <w:color w:val="auto"/>
        </w:rPr>
        <w:t>http://investors.dropbox.com</w:t>
      </w:r>
      <w:r>
        <w:rPr>
          <w:rFonts w:ascii="Arial" w:cs="Arial" w:eastAsia="Arial" w:hAnsi="Arial"/>
          <w:sz w:val="17"/>
          <w:szCs w:val="17"/>
          <w:color w:val="auto"/>
        </w:rPr>
        <w:t>. Following the completion of the call, a telephonic replay will be available through 8:00 PM ET on August 12, 2021 at (855) 859-2056 from the United States or (404) 537-3406 internationally with recording access code 8414818.</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Upcoming Events</w:t>
      </w:r>
    </w:p>
    <w:p>
      <w:pPr>
        <w:spacing w:after="0" w:line="251" w:lineRule="exact"/>
        <w:rPr>
          <w:sz w:val="20"/>
          <w:szCs w:val="20"/>
          <w:color w:val="auto"/>
        </w:rPr>
      </w:pPr>
    </w:p>
    <w:p>
      <w:pPr>
        <w:ind w:left="640" w:hanging="315"/>
        <w:spacing w:after="0"/>
        <w:tabs>
          <w:tab w:leader="none" w:pos="640" w:val="left"/>
        </w:tabs>
        <w:numPr>
          <w:ilvl w:val="0"/>
          <w:numId w:val="3"/>
        </w:numPr>
        <w:rPr>
          <w:rFonts w:ascii="Arial" w:cs="Arial" w:eastAsia="Arial" w:hAnsi="Arial"/>
          <w:sz w:val="18"/>
          <w:szCs w:val="18"/>
          <w:color w:val="auto"/>
        </w:rPr>
      </w:pPr>
      <w:r>
        <w:rPr>
          <w:rFonts w:ascii="Arial" w:cs="Arial" w:eastAsia="Arial" w:hAnsi="Arial"/>
          <w:sz w:val="18"/>
          <w:szCs w:val="18"/>
          <w:color w:val="auto"/>
        </w:rPr>
        <w:t>Tim Regan, Chief Financial Officer, will be presenting at the KeyBanc Technology Leadership Forum on Monday, August 9th.</w:t>
      </w:r>
    </w:p>
    <w:p>
      <w:pPr>
        <w:spacing w:after="0" w:line="16" w:lineRule="exact"/>
        <w:rPr>
          <w:rFonts w:ascii="Arial" w:cs="Arial" w:eastAsia="Arial" w:hAnsi="Arial"/>
          <w:sz w:val="18"/>
          <w:szCs w:val="18"/>
          <w:color w:val="auto"/>
        </w:rPr>
      </w:pPr>
    </w:p>
    <w:p>
      <w:pPr>
        <w:ind w:left="640" w:right="180" w:hanging="315"/>
        <w:spacing w:after="0" w:line="246" w:lineRule="auto"/>
        <w:tabs>
          <w:tab w:leader="none" w:pos="635" w:val="left"/>
        </w:tabs>
        <w:numPr>
          <w:ilvl w:val="0"/>
          <w:numId w:val="3"/>
        </w:numPr>
        <w:rPr>
          <w:rFonts w:ascii="Arial" w:cs="Arial" w:eastAsia="Arial" w:hAnsi="Arial"/>
          <w:sz w:val="18"/>
          <w:szCs w:val="18"/>
          <w:color w:val="auto"/>
        </w:rPr>
      </w:pPr>
      <w:r>
        <w:rPr>
          <w:rFonts w:ascii="Arial" w:cs="Arial" w:eastAsia="Arial" w:hAnsi="Arial"/>
          <w:sz w:val="18"/>
          <w:szCs w:val="18"/>
          <w:color w:val="auto"/>
        </w:rPr>
        <w:t>Tim Regan, Chief Financial Officer, will be hosting meetings at the NASDAQ Virtual Asia Investor Conference on Wednesday, August 11th, local time.</w:t>
      </w:r>
    </w:p>
    <w:p>
      <w:pPr>
        <w:ind w:left="640" w:hanging="315"/>
        <w:spacing w:after="0"/>
        <w:tabs>
          <w:tab w:leader="none" w:pos="640" w:val="left"/>
        </w:tabs>
        <w:numPr>
          <w:ilvl w:val="0"/>
          <w:numId w:val="3"/>
        </w:numPr>
        <w:rPr>
          <w:rFonts w:ascii="Arial" w:cs="Arial" w:eastAsia="Arial" w:hAnsi="Arial"/>
          <w:sz w:val="17"/>
          <w:szCs w:val="17"/>
          <w:color w:val="auto"/>
        </w:rPr>
      </w:pPr>
      <w:r>
        <w:rPr>
          <w:rFonts w:ascii="Arial" w:cs="Arial" w:eastAsia="Arial" w:hAnsi="Arial"/>
          <w:sz w:val="17"/>
          <w:szCs w:val="17"/>
          <w:color w:val="auto"/>
        </w:rPr>
        <w:t>Tim Regan, Chief Financial Officer, will be hosting meetings at the Canaccord Genuity Growth Conference on Wednesday, August 11th.</w:t>
      </w:r>
    </w:p>
    <w:p>
      <w:pPr>
        <w:spacing w:after="0" w:line="17" w:lineRule="exact"/>
        <w:rPr>
          <w:rFonts w:ascii="Arial" w:cs="Arial" w:eastAsia="Arial" w:hAnsi="Arial"/>
          <w:sz w:val="17"/>
          <w:szCs w:val="17"/>
          <w:color w:val="auto"/>
        </w:rPr>
      </w:pPr>
    </w:p>
    <w:p>
      <w:pPr>
        <w:ind w:left="640" w:right="140" w:hanging="315"/>
        <w:spacing w:after="0" w:line="252" w:lineRule="auto"/>
        <w:tabs>
          <w:tab w:leader="none" w:pos="635" w:val="left"/>
        </w:tabs>
        <w:numPr>
          <w:ilvl w:val="0"/>
          <w:numId w:val="3"/>
        </w:numPr>
        <w:rPr>
          <w:rFonts w:ascii="Arial" w:cs="Arial" w:eastAsia="Arial" w:hAnsi="Arial"/>
          <w:sz w:val="18"/>
          <w:szCs w:val="18"/>
          <w:color w:val="auto"/>
        </w:rPr>
      </w:pPr>
      <w:r>
        <w:rPr>
          <w:rFonts w:ascii="Arial" w:cs="Arial" w:eastAsia="Arial" w:hAnsi="Arial"/>
          <w:sz w:val="18"/>
          <w:szCs w:val="18"/>
          <w:color w:val="auto"/>
        </w:rPr>
        <w:t>Drew Houston, Co-Founder and Chief Executive Officer, will be presenting at the Jefferies Virtual Software Conference on Wednesday, September 15th.</w:t>
      </w:r>
    </w:p>
    <w:p>
      <w:pPr>
        <w:spacing w:after="0" w:line="218" w:lineRule="exact"/>
        <w:rPr>
          <w:sz w:val="20"/>
          <w:szCs w:val="20"/>
          <w:color w:val="auto"/>
        </w:rPr>
      </w:pPr>
    </w:p>
    <w:p>
      <w:pPr>
        <w:ind w:right="320"/>
        <w:spacing w:after="0" w:line="265" w:lineRule="auto"/>
        <w:rPr>
          <w:sz w:val="20"/>
          <w:szCs w:val="20"/>
          <w:color w:val="auto"/>
        </w:rPr>
      </w:pPr>
      <w:r>
        <w:rPr>
          <w:rFonts w:ascii="Arial" w:cs="Arial" w:eastAsia="Arial" w:hAnsi="Arial"/>
          <w:sz w:val="18"/>
          <w:szCs w:val="18"/>
          <w:color w:val="auto"/>
        </w:rPr>
        <w:t>During these events, a live webcast will be accessible from the Dropbox investor relations website at http://investors.dropbox.com. Following the event, a replay will be made available at the same location.</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Dropbox</w:t>
      </w:r>
    </w:p>
    <w:p>
      <w:pPr>
        <w:spacing w:after="0" w:line="251"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 xml:space="preserve">Dropbox is the one place to keep life organized and keep work moving. With more than 700 million registered users across 180 countries, we're on a mission to design a more enlightened way of working. Dropbox is headquartered in San Francisco, CA, and has offices around the world. For more information on our mission and products, visit </w:t>
      </w:r>
      <w:r>
        <w:rPr>
          <w:rFonts w:ascii="Arial" w:cs="Arial" w:eastAsia="Arial" w:hAnsi="Arial"/>
          <w:sz w:val="18"/>
          <w:szCs w:val="18"/>
          <w:u w:val="single" w:color="auto"/>
          <w:color w:val="auto"/>
        </w:rPr>
        <w:t>http://dropbox.com</w:t>
      </w:r>
      <w:r>
        <w:rPr>
          <w:rFonts w:ascii="Arial" w:cs="Arial" w:eastAsia="Arial" w:hAnsi="Arial"/>
          <w:sz w:val="18"/>
          <w:szCs w:val="18"/>
          <w:color w:val="auto"/>
        </w:rPr>
        <w:t>.</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Use of Non-GAAP Financial Measures</w:t>
      </w:r>
    </w:p>
    <w:p>
      <w:pPr>
        <w:spacing w:after="0" w:line="251" w:lineRule="exact"/>
        <w:rPr>
          <w:sz w:val="20"/>
          <w:szCs w:val="20"/>
          <w:color w:val="auto"/>
        </w:rPr>
      </w:pPr>
    </w:p>
    <w:p>
      <w:pPr>
        <w:ind w:right="220"/>
        <w:spacing w:after="0" w:line="278" w:lineRule="auto"/>
        <w:rPr>
          <w:sz w:val="20"/>
          <w:szCs w:val="20"/>
          <w:color w:val="auto"/>
        </w:rPr>
      </w:pPr>
      <w:r>
        <w:rPr>
          <w:rFonts w:ascii="Arial" w:cs="Arial" w:eastAsia="Arial" w:hAnsi="Arial"/>
          <w:sz w:val="17"/>
          <w:szCs w:val="17"/>
          <w:color w:val="auto"/>
        </w:rPr>
        <w:t>Reconciliations of non-GAAP financial measures to the most directly comparable financial results as determined in accordance with GAAP are included at the end of this press release following the accompanying financial data. For a description of these non-GAAP financial measures, including the reasons management uses each measure, please see the section of the tables titled "About Non-GAAP Financial Measures."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251" w:lineRule="exact"/>
        <w:rPr>
          <w:sz w:val="20"/>
          <w:szCs w:val="20"/>
          <w:color w:val="auto"/>
        </w:rPr>
      </w:pPr>
    </w:p>
    <w:p>
      <w:pPr>
        <w:ind w:right="100"/>
        <w:spacing w:after="0" w:line="301" w:lineRule="auto"/>
        <w:rPr>
          <w:sz w:val="20"/>
          <w:szCs w:val="20"/>
          <w:color w:val="auto"/>
        </w:rPr>
      </w:pPr>
      <w:r>
        <w:rPr>
          <w:rFonts w:ascii="Arial" w:cs="Arial" w:eastAsia="Arial" w:hAnsi="Arial"/>
          <w:sz w:val="15"/>
          <w:szCs w:val="15"/>
          <w:color w:val="auto"/>
        </w:rPr>
        <w:t>This press release contains forward-looking statements within the meaning of the Private Securities Litigation Reform Act of 1995 including, among other things, our expectations regarding remote work trends, related market opportunities and our ability to capitalize on those opportunities. Words such as "believe," "may," "will," "estimate," "continue," "anticipate," "intend," "expect," "plans," and similar expressions are intended to identify forward-looking statements. Dropbox has based these forward-looking statements largely on its current expectations and projections about future events and financial trends that Dropbox believes may affect its business, financial condition, and results of operations. These forward-looking statements speak only as of the date of this press release and are subject to risks, uncertainties, and assumptions including, but not limited to: (i) our ability to realize anticipated benefits to our business from our shift to a Virtual First work model as well as impacts to our financial results and business operations as a result of this shift, (ii) impacts to our financial results, business operations and the business of our customers, suppliers, partners and the economy as a result of the COVID-19 pandemic, and related public health measures, as well as the potential for a more permanent global shift to remote work, (iii) our ability to retain and upgrade paying users, and increase our recurring revenue; (iv) our ability to attract new users or convert registered users to paying users; (v) our future financial performance, including trends in revenue, costs of revenue, gross profit or gross margin, operating expenses, paying users, and free cash flow; (vi) our history of net losses and our ability to achieve or maintain profitability; (vii) our liability for any unauthorized access to our data or our users’ content, including through privacy and data security breaches; (viii) significant disruption of service on our platform or loss of content; (ix) any decline in demand for our platform or for</w:t>
      </w:r>
    </w:p>
    <w:p>
      <w:pPr>
        <w:sectPr>
          <w:pgSz w:w="11900" w:h="16838" w:orient="portrait"/>
          <w:cols w:equalWidth="0" w:num="1">
            <w:col w:w="11220"/>
          </w:cols>
          <w:pgMar w:left="320" w:top="878" w:right="359" w:bottom="1440" w:gutter="0" w:footer="0" w:header="0"/>
        </w:sectPr>
      </w:pPr>
    </w:p>
    <w:bookmarkStart w:id="5" w:name="page6"/>
    <w:bookmarkEnd w:id="5"/>
    <w:p>
      <w:pPr>
        <w:spacing w:after="0" w:line="302" w:lineRule="auto"/>
        <w:rPr>
          <w:sz w:val="20"/>
          <w:szCs w:val="20"/>
          <w:color w:val="auto"/>
        </w:rPr>
      </w:pPr>
      <w:r>
        <w:rPr>
          <w:rFonts w:ascii="Arial" w:cs="Arial" w:eastAsia="Arial" w:hAnsi="Arial"/>
          <w:sz w:val="15"/>
          <w:szCs w:val="15"/>
          <w:color w:val="auto"/>
        </w:rPr>
        <w:t>content collaboration solutions in general; (x) changes in the interoperability of our platform across devices, operating systems, and third-party applications that we do not control; (xi) competition in our markets; (xii) our ability to respond to rapid technological changes, extend our platform, develop new features or products, or gain market acceptance for such new features or products, particularly in light of potential disruptions to the productivity of our employees that may result from our shift to a Virtual First work model; (xiii) our ability to manage our growth or plan for future growth; (xiv) our acquisition of other businesses and the potential of such acquisitions to require significant management attention, disrupt our business, or dilute stockholder value; (xv) our ability to attract and retain key personnel and highly qualified personnel; (xvi) our capital allocation plans with respect to our stock repurchase program and other investments; and (xvii) the dual class structure of our common stock and its effect of concentrating voting control with certain stockholders who held our capital stock prior to the completion of our initial public offering. Further information on risks that could affect Dropbox’s results is included in our filings with the Securities and Exchange Commission ("SEC"), including our Form 10-Q for the quarter ended March 31, 2021. Additional information will be made available in our quarterly report on Form 10-Q for the quarter ended June 30, 2021 and other reports that we may file with the SEC from time to time, which could cause actual results to vary from expectations. If the risks materialize or assumptions prove incorrect, actual results could differ materially from the results implied by these forward-looking statements. Dropbox assumes no obligation to, and does not currently intend to, update any such forward-looking statements after the date of this release, except as required by applicable law.</w:t>
      </w:r>
    </w:p>
    <w:p>
      <w:pPr>
        <w:sectPr>
          <w:pgSz w:w="11900" w:h="16838" w:orient="portrait"/>
          <w:cols w:equalWidth="0" w:num="1">
            <w:col w:w="11240"/>
          </w:cols>
          <w:pgMar w:left="320" w:top="884" w:right="339" w:bottom="1440" w:gutter="0" w:footer="0" w:header="0"/>
        </w:sectPr>
      </w:pPr>
    </w:p>
    <w:bookmarkStart w:id="6" w:name="page7"/>
    <w:bookmarkEnd w:id="6"/>
    <w:p>
      <w:pPr>
        <w:jc w:val="center"/>
        <w:ind w:right="-13"/>
        <w:spacing w:after="0"/>
        <w:rPr>
          <w:sz w:val="20"/>
          <w:szCs w:val="20"/>
          <w:color w:val="auto"/>
        </w:rPr>
      </w:pPr>
      <w:r>
        <w:rPr>
          <w:rFonts w:ascii="Arial" w:cs="Arial" w:eastAsia="Arial" w:hAnsi="Arial"/>
          <w:sz w:val="21"/>
          <w:szCs w:val="21"/>
          <w:b w:val="1"/>
          <w:bCs w:val="1"/>
          <w:color w:val="auto"/>
        </w:rPr>
        <w:t>Dropbox, Inc.</w:t>
      </w:r>
    </w:p>
    <w:p>
      <w:pPr>
        <w:spacing w:after="0" w:line="35" w:lineRule="exact"/>
        <w:rPr>
          <w:sz w:val="20"/>
          <w:szCs w:val="20"/>
          <w:color w:val="auto"/>
        </w:rPr>
      </w:pPr>
    </w:p>
    <w:p>
      <w:pPr>
        <w:jc w:val="center"/>
        <w:ind w:right="-13"/>
        <w:spacing w:after="0"/>
        <w:rPr>
          <w:sz w:val="20"/>
          <w:szCs w:val="20"/>
          <w:color w:val="auto"/>
        </w:rPr>
      </w:pPr>
      <w:r>
        <w:rPr>
          <w:rFonts w:ascii="Arial" w:cs="Arial" w:eastAsia="Arial" w:hAnsi="Arial"/>
          <w:sz w:val="21"/>
          <w:szCs w:val="21"/>
          <w:b w:val="1"/>
          <w:bCs w:val="1"/>
          <w:color w:val="auto"/>
        </w:rPr>
        <w:t>Condensed Consolidated Statements of Operations</w:t>
      </w:r>
    </w:p>
    <w:p>
      <w:pPr>
        <w:spacing w:after="0" w:line="3" w:lineRule="exact"/>
        <w:rPr>
          <w:sz w:val="20"/>
          <w:szCs w:val="20"/>
          <w:color w:val="auto"/>
        </w:rPr>
      </w:pPr>
    </w:p>
    <w:p>
      <w:pPr>
        <w:jc w:val="center"/>
        <w:ind w:right="-13"/>
        <w:spacing w:after="0"/>
        <w:rPr>
          <w:sz w:val="20"/>
          <w:szCs w:val="20"/>
          <w:color w:val="auto"/>
        </w:rPr>
      </w:pPr>
      <w:r>
        <w:rPr>
          <w:rFonts w:ascii="Arial" w:cs="Arial" w:eastAsia="Arial" w:hAnsi="Arial"/>
          <w:sz w:val="18"/>
          <w:szCs w:val="18"/>
          <w:i w:val="1"/>
          <w:iCs w:val="1"/>
          <w:color w:val="auto"/>
        </w:rPr>
        <w:t>(In millions, except per share data)</w:t>
      </w:r>
    </w:p>
    <w:p>
      <w:pPr>
        <w:spacing w:after="0" w:line="3" w:lineRule="exact"/>
        <w:rPr>
          <w:sz w:val="20"/>
          <w:szCs w:val="20"/>
          <w:color w:val="auto"/>
        </w:rPr>
      </w:pPr>
    </w:p>
    <w:p>
      <w:pPr>
        <w:jc w:val="center"/>
        <w:ind w:right="-13"/>
        <w:spacing w:after="0"/>
        <w:rPr>
          <w:sz w:val="20"/>
          <w:szCs w:val="20"/>
          <w:color w:val="auto"/>
        </w:rPr>
      </w:pPr>
      <w:r>
        <w:rPr>
          <w:rFonts w:ascii="Arial" w:cs="Arial" w:eastAsia="Arial" w:hAnsi="Arial"/>
          <w:sz w:val="18"/>
          <w:szCs w:val="18"/>
          <w:i w:val="1"/>
          <w:iCs w:val="1"/>
          <w:color w:val="auto"/>
        </w:rPr>
        <w:t>(Unaudited)</w:t>
      </w:r>
    </w:p>
    <w:p>
      <w:pPr>
        <w:spacing w:after="0" w:line="92" w:lineRule="exact"/>
        <w:rPr>
          <w:sz w:val="20"/>
          <w:szCs w:val="20"/>
          <w:color w:val="auto"/>
        </w:rPr>
      </w:pPr>
    </w:p>
    <w:tbl>
      <w:tblPr>
        <w:tblLayout w:type="fixed"/>
        <w:tblInd w:w="34" w:type="dxa"/>
        <w:tblCellMar>
          <w:top w:w="0" w:type="dxa"/>
          <w:left w:w="0" w:type="dxa"/>
          <w:bottom w:w="0" w:type="dxa"/>
          <w:right w:w="0" w:type="dxa"/>
        </w:tblCellMar>
      </w:tblPr>
      <w:tr>
        <w:trPr>
          <w:trHeight w:val="207"/>
        </w:trPr>
        <w:tc>
          <w:tcPr>
            <w:tcW w:w="3720" w:type="dxa"/>
            <w:vAlign w:val="bottom"/>
          </w:tcPr>
          <w:p>
            <w:pPr>
              <w:spacing w:after="0"/>
              <w:rPr>
                <w:sz w:val="17"/>
                <w:szCs w:val="17"/>
                <w:color w:val="auto"/>
              </w:rPr>
            </w:pPr>
          </w:p>
        </w:tc>
        <w:tc>
          <w:tcPr>
            <w:tcW w:w="3080" w:type="dxa"/>
            <w:vAlign w:val="bottom"/>
            <w:gridSpan w:val="4"/>
          </w:tcPr>
          <w:p>
            <w:pPr>
              <w:jc w:val="right"/>
              <w:ind w:right="351"/>
              <w:spacing w:after="0"/>
              <w:rPr>
                <w:sz w:val="20"/>
                <w:szCs w:val="20"/>
                <w:color w:val="auto"/>
              </w:rPr>
            </w:pPr>
            <w:r>
              <w:rPr>
                <w:rFonts w:ascii="Arial" w:cs="Arial" w:eastAsia="Arial" w:hAnsi="Arial"/>
                <w:sz w:val="18"/>
                <w:szCs w:val="18"/>
                <w:b w:val="1"/>
                <w:bCs w:val="1"/>
                <w:color w:val="auto"/>
              </w:rPr>
              <w:t>Three Months Ended</w:t>
            </w: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160" w:type="dxa"/>
            <w:vAlign w:val="bottom"/>
            <w:gridSpan w:val="3"/>
          </w:tcPr>
          <w:p>
            <w:pPr>
              <w:jc w:val="right"/>
              <w:spacing w:after="0"/>
              <w:rPr>
                <w:sz w:val="20"/>
                <w:szCs w:val="20"/>
                <w:color w:val="auto"/>
              </w:rPr>
            </w:pPr>
            <w:r>
              <w:rPr>
                <w:rFonts w:ascii="Arial" w:cs="Arial" w:eastAsia="Arial" w:hAnsi="Arial"/>
                <w:sz w:val="18"/>
                <w:szCs w:val="18"/>
                <w:b w:val="1"/>
                <w:bCs w:val="1"/>
                <w:color w:val="auto"/>
              </w:rPr>
              <w:t>Six Months Ended</w:t>
            </w: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6"/>
        </w:trPr>
        <w:tc>
          <w:tcPr>
            <w:tcW w:w="3720" w:type="dxa"/>
            <w:vAlign w:val="bottom"/>
          </w:tcPr>
          <w:p>
            <w:pPr>
              <w:spacing w:after="0"/>
              <w:rPr>
                <w:sz w:val="19"/>
                <w:szCs w:val="19"/>
                <w:color w:val="auto"/>
              </w:rPr>
            </w:pPr>
          </w:p>
        </w:tc>
        <w:tc>
          <w:tcPr>
            <w:tcW w:w="1180" w:type="dxa"/>
            <w:vAlign w:val="bottom"/>
            <w:tcBorders>
              <w:bottom w:val="single" w:sz="8" w:color="auto"/>
            </w:tcBorders>
          </w:tcPr>
          <w:p>
            <w:pPr>
              <w:spacing w:after="0"/>
              <w:rPr>
                <w:sz w:val="19"/>
                <w:szCs w:val="19"/>
                <w:color w:val="auto"/>
              </w:rPr>
            </w:pPr>
          </w:p>
        </w:tc>
        <w:tc>
          <w:tcPr>
            <w:tcW w:w="1900" w:type="dxa"/>
            <w:vAlign w:val="bottom"/>
            <w:tcBorders>
              <w:bottom w:val="single" w:sz="8" w:color="auto"/>
            </w:tcBorders>
            <w:gridSpan w:val="3"/>
          </w:tcPr>
          <w:p>
            <w:pPr>
              <w:jc w:val="right"/>
              <w:ind w:right="851"/>
              <w:spacing w:after="0"/>
              <w:rPr>
                <w:sz w:val="20"/>
                <w:szCs w:val="20"/>
                <w:color w:val="auto"/>
              </w:rPr>
            </w:pPr>
            <w:r>
              <w:rPr>
                <w:rFonts w:ascii="Arial" w:cs="Arial" w:eastAsia="Arial" w:hAnsi="Arial"/>
                <w:sz w:val="18"/>
                <w:szCs w:val="18"/>
                <w:b w:val="1"/>
                <w:bCs w:val="1"/>
                <w:color w:val="auto"/>
              </w:rPr>
              <w:t>June 30,</w:t>
            </w:r>
          </w:p>
        </w:tc>
        <w:tc>
          <w:tcPr>
            <w:tcW w:w="60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2160" w:type="dxa"/>
            <w:vAlign w:val="bottom"/>
            <w:tcBorders>
              <w:bottom w:val="single" w:sz="8" w:color="auto"/>
            </w:tcBorders>
            <w:gridSpan w:val="3"/>
          </w:tcPr>
          <w:p>
            <w:pPr>
              <w:jc w:val="right"/>
              <w:ind w:right="331"/>
              <w:spacing w:after="0"/>
              <w:rPr>
                <w:sz w:val="20"/>
                <w:szCs w:val="20"/>
                <w:color w:val="auto"/>
              </w:rPr>
            </w:pPr>
            <w:r>
              <w:rPr>
                <w:rFonts w:ascii="Arial" w:cs="Arial" w:eastAsia="Arial" w:hAnsi="Arial"/>
                <w:sz w:val="18"/>
                <w:szCs w:val="18"/>
                <w:b w:val="1"/>
                <w:bCs w:val="1"/>
                <w:color w:val="auto"/>
              </w:rPr>
              <w:t>June 30,</w:t>
            </w:r>
          </w:p>
        </w:tc>
        <w:tc>
          <w:tcPr>
            <w:tcW w:w="11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3720" w:type="dxa"/>
            <w:vAlign w:val="bottom"/>
            <w:tcBorders>
              <w:bottom w:val="single" w:sz="8" w:color="CCEEFF"/>
            </w:tcBorders>
          </w:tcPr>
          <w:p>
            <w:pPr>
              <w:spacing w:after="0"/>
              <w:rPr>
                <w:sz w:val="19"/>
                <w:szCs w:val="19"/>
                <w:color w:val="auto"/>
              </w:rPr>
            </w:pPr>
          </w:p>
        </w:tc>
        <w:tc>
          <w:tcPr>
            <w:tcW w:w="118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b w:val="1"/>
                <w:bCs w:val="1"/>
                <w:color w:val="auto"/>
              </w:rPr>
              <w:t>2021</w:t>
            </w:r>
          </w:p>
        </w:tc>
        <w:tc>
          <w:tcPr>
            <w:tcW w:w="60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18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b w:val="1"/>
                <w:bCs w:val="1"/>
                <w:color w:val="auto"/>
              </w:rPr>
              <w:t>2020</w:t>
            </w:r>
          </w:p>
        </w:tc>
        <w:tc>
          <w:tcPr>
            <w:tcW w:w="60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ind w:right="631"/>
              <w:spacing w:after="0"/>
              <w:rPr>
                <w:sz w:val="20"/>
                <w:szCs w:val="20"/>
                <w:color w:val="auto"/>
              </w:rPr>
            </w:pPr>
            <w:r>
              <w:rPr>
                <w:rFonts w:ascii="Arial" w:cs="Arial" w:eastAsia="Arial" w:hAnsi="Arial"/>
                <w:sz w:val="18"/>
                <w:szCs w:val="18"/>
                <w:b w:val="1"/>
                <w:bCs w:val="1"/>
                <w:color w:val="auto"/>
              </w:rPr>
              <w:t>2021</w:t>
            </w:r>
          </w:p>
        </w:tc>
        <w:tc>
          <w:tcPr>
            <w:tcW w:w="100" w:type="dxa"/>
            <w:vAlign w:val="bottom"/>
            <w:tcBorders>
              <w:bottom w:val="single" w:sz="8" w:color="CCEEFF"/>
            </w:tcBorders>
          </w:tcPr>
          <w:p>
            <w:pPr>
              <w:spacing w:after="0"/>
              <w:rPr>
                <w:sz w:val="19"/>
                <w:szCs w:val="19"/>
                <w:color w:val="auto"/>
              </w:rPr>
            </w:pPr>
          </w:p>
        </w:tc>
        <w:tc>
          <w:tcPr>
            <w:tcW w:w="68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651"/>
              <w:spacing w:after="0"/>
              <w:rPr>
                <w:sz w:val="20"/>
                <w:szCs w:val="20"/>
                <w:color w:val="auto"/>
              </w:rPr>
            </w:pPr>
            <w:r>
              <w:rPr>
                <w:rFonts w:ascii="Arial" w:cs="Arial" w:eastAsia="Arial" w:hAnsi="Arial"/>
                <w:sz w:val="18"/>
                <w:szCs w:val="18"/>
                <w:b w:val="1"/>
                <w:bCs w:val="1"/>
                <w:color w:val="auto"/>
                <w:w w:val="89"/>
              </w:rPr>
              <w:t>2020</w:t>
            </w:r>
          </w:p>
        </w:tc>
        <w:tc>
          <w:tcPr>
            <w:tcW w:w="0" w:type="dxa"/>
            <w:vAlign w:val="bottom"/>
          </w:tcPr>
          <w:p>
            <w:pPr>
              <w:spacing w:after="0"/>
              <w:rPr>
                <w:sz w:val="1"/>
                <w:szCs w:val="1"/>
                <w:color w:val="auto"/>
              </w:rPr>
            </w:pPr>
          </w:p>
        </w:tc>
      </w:tr>
      <w:tr>
        <w:trPr>
          <w:trHeight w:val="219"/>
        </w:trPr>
        <w:tc>
          <w:tcPr>
            <w:tcW w:w="3720" w:type="dxa"/>
            <w:vAlign w:val="bottom"/>
            <w:shd w:val="clear" w:color="auto" w:fill="CCEEFF"/>
          </w:tcPr>
          <w:p>
            <w:pPr>
              <w:ind w:left="20"/>
              <w:spacing w:after="0" w:line="205" w:lineRule="exact"/>
              <w:rPr>
                <w:sz w:val="20"/>
                <w:szCs w:val="20"/>
                <w:color w:val="auto"/>
              </w:rPr>
            </w:pPr>
            <w:r>
              <w:rPr>
                <w:rFonts w:ascii="Arial" w:cs="Arial" w:eastAsia="Arial" w:hAnsi="Arial"/>
                <w:sz w:val="18"/>
                <w:szCs w:val="18"/>
                <w:color w:val="auto"/>
              </w:rPr>
              <w:t>Revenue</w:t>
            </w:r>
          </w:p>
        </w:tc>
        <w:tc>
          <w:tcPr>
            <w:tcW w:w="1180" w:type="dxa"/>
            <w:vAlign w:val="bottom"/>
            <w:shd w:val="clear" w:color="auto" w:fill="CCEEFF"/>
          </w:tcPr>
          <w:p>
            <w:pPr>
              <w:jc w:val="right"/>
              <w:ind w:right="991"/>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530.6</w:t>
            </w:r>
          </w:p>
        </w:tc>
        <w:tc>
          <w:tcPr>
            <w:tcW w:w="12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991"/>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467.4</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11"/>
              <w:spacing w:after="0"/>
              <w:rPr>
                <w:sz w:val="20"/>
                <w:szCs w:val="20"/>
                <w:color w:val="auto"/>
              </w:rPr>
            </w:pPr>
            <w:r>
              <w:rPr>
                <w:rFonts w:ascii="Arial" w:cs="Arial" w:eastAsia="Arial" w:hAnsi="Arial"/>
                <w:sz w:val="18"/>
                <w:szCs w:val="18"/>
                <w:color w:val="auto"/>
                <w:w w:val="79"/>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1,042.2</w:t>
            </w:r>
          </w:p>
        </w:tc>
        <w:tc>
          <w:tcPr>
            <w:tcW w:w="100" w:type="dxa"/>
            <w:vAlign w:val="bottom"/>
            <w:shd w:val="clear" w:color="auto" w:fill="CCEEFF"/>
          </w:tcPr>
          <w:p>
            <w:pPr>
              <w:spacing w:after="0"/>
              <w:rPr>
                <w:sz w:val="19"/>
                <w:szCs w:val="19"/>
                <w:color w:val="auto"/>
              </w:rPr>
            </w:pPr>
          </w:p>
        </w:tc>
        <w:tc>
          <w:tcPr>
            <w:tcW w:w="680" w:type="dxa"/>
            <w:vAlign w:val="bottom"/>
            <w:shd w:val="clear" w:color="auto" w:fill="CCEEFF"/>
          </w:tcPr>
          <w:p>
            <w:pPr>
              <w:jc w:val="right"/>
              <w:ind w:right="491"/>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922.4</w:t>
            </w:r>
          </w:p>
        </w:tc>
        <w:tc>
          <w:tcPr>
            <w:tcW w:w="0" w:type="dxa"/>
            <w:vAlign w:val="bottom"/>
          </w:tcPr>
          <w:p>
            <w:pPr>
              <w:spacing w:after="0"/>
              <w:rPr>
                <w:sz w:val="1"/>
                <w:szCs w:val="1"/>
                <w:color w:val="auto"/>
              </w:rPr>
            </w:pPr>
          </w:p>
        </w:tc>
      </w:tr>
      <w:tr>
        <w:trPr>
          <w:trHeight w:val="226"/>
        </w:trPr>
        <w:tc>
          <w:tcPr>
            <w:tcW w:w="3720" w:type="dxa"/>
            <w:vAlign w:val="bottom"/>
            <w:tcBorders>
              <w:bottom w:val="single" w:sz="8" w:color="CCEEFF"/>
            </w:tcBorders>
          </w:tcPr>
          <w:p>
            <w:pPr>
              <w:ind w:left="260"/>
              <w:spacing w:after="0" w:line="225" w:lineRule="exact"/>
              <w:rPr>
                <w:sz w:val="20"/>
                <w:szCs w:val="20"/>
                <w:color w:val="auto"/>
              </w:rPr>
            </w:pPr>
            <w:r>
              <w:rPr>
                <w:rFonts w:ascii="Arial" w:cs="Arial" w:eastAsia="Arial" w:hAnsi="Arial"/>
                <w:sz w:val="18"/>
                <w:szCs w:val="18"/>
                <w:color w:val="auto"/>
              </w:rPr>
              <w:t>Cost of revenue</w:t>
            </w:r>
            <w:r>
              <w:rPr>
                <w:rFonts w:ascii="Arial" w:cs="Arial" w:eastAsia="Arial" w:hAnsi="Arial"/>
                <w:sz w:val="23"/>
                <w:szCs w:val="23"/>
                <w:color w:val="auto"/>
                <w:vertAlign w:val="superscript"/>
              </w:rPr>
              <w:t>(1)</w:t>
            </w:r>
          </w:p>
        </w:tc>
        <w:tc>
          <w:tcPr>
            <w:tcW w:w="118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107.1</w:t>
            </w:r>
          </w:p>
        </w:tc>
        <w:tc>
          <w:tcPr>
            <w:tcW w:w="120" w:type="dxa"/>
            <w:vAlign w:val="bottom"/>
            <w:tcBorders>
              <w:bottom w:val="single" w:sz="8" w:color="CCEEFF"/>
            </w:tcBorders>
          </w:tcPr>
          <w:p>
            <w:pPr>
              <w:spacing w:after="0"/>
              <w:rPr>
                <w:sz w:val="19"/>
                <w:szCs w:val="19"/>
                <w:color w:val="auto"/>
              </w:rPr>
            </w:pPr>
          </w:p>
        </w:tc>
        <w:tc>
          <w:tcPr>
            <w:tcW w:w="118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102.5</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216.4</w:t>
            </w:r>
          </w:p>
        </w:tc>
        <w:tc>
          <w:tcPr>
            <w:tcW w:w="100" w:type="dxa"/>
            <w:vAlign w:val="bottom"/>
            <w:tcBorders>
              <w:bottom w:val="single" w:sz="8" w:color="CCEEFF"/>
            </w:tcBorders>
          </w:tcPr>
          <w:p>
            <w:pPr>
              <w:spacing w:after="0"/>
              <w:rPr>
                <w:sz w:val="19"/>
                <w:szCs w:val="19"/>
                <w:color w:val="auto"/>
              </w:rPr>
            </w:pPr>
          </w:p>
        </w:tc>
        <w:tc>
          <w:tcPr>
            <w:tcW w:w="68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205.6</w:t>
            </w:r>
          </w:p>
        </w:tc>
        <w:tc>
          <w:tcPr>
            <w:tcW w:w="0" w:type="dxa"/>
            <w:vAlign w:val="bottom"/>
          </w:tcPr>
          <w:p>
            <w:pPr>
              <w:spacing w:after="0"/>
              <w:rPr>
                <w:sz w:val="1"/>
                <w:szCs w:val="1"/>
                <w:color w:val="auto"/>
              </w:rPr>
            </w:pPr>
          </w:p>
        </w:tc>
      </w:tr>
      <w:tr>
        <w:trPr>
          <w:trHeight w:val="219"/>
        </w:trPr>
        <w:tc>
          <w:tcPr>
            <w:tcW w:w="3720" w:type="dxa"/>
            <w:vAlign w:val="bottom"/>
            <w:shd w:val="clear" w:color="auto" w:fill="CCEEFF"/>
          </w:tcPr>
          <w:p>
            <w:pPr>
              <w:ind w:left="20"/>
              <w:spacing w:after="0" w:line="205" w:lineRule="exact"/>
              <w:rPr>
                <w:sz w:val="20"/>
                <w:szCs w:val="20"/>
                <w:color w:val="auto"/>
              </w:rPr>
            </w:pPr>
            <w:r>
              <w:rPr>
                <w:rFonts w:ascii="Arial" w:cs="Arial" w:eastAsia="Arial" w:hAnsi="Arial"/>
                <w:sz w:val="18"/>
                <w:szCs w:val="18"/>
                <w:color w:val="auto"/>
              </w:rPr>
              <w:t>Gross profit</w:t>
            </w:r>
          </w:p>
        </w:tc>
        <w:tc>
          <w:tcPr>
            <w:tcW w:w="118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423.5</w:t>
            </w:r>
          </w:p>
        </w:tc>
        <w:tc>
          <w:tcPr>
            <w:tcW w:w="12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364.9</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825.8</w:t>
            </w:r>
          </w:p>
        </w:tc>
        <w:tc>
          <w:tcPr>
            <w:tcW w:w="10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716.8</w:t>
            </w:r>
          </w:p>
        </w:tc>
        <w:tc>
          <w:tcPr>
            <w:tcW w:w="0" w:type="dxa"/>
            <w:vAlign w:val="bottom"/>
          </w:tcPr>
          <w:p>
            <w:pPr>
              <w:spacing w:after="0"/>
              <w:rPr>
                <w:sz w:val="1"/>
                <w:szCs w:val="1"/>
                <w:color w:val="auto"/>
              </w:rPr>
            </w:pPr>
          </w:p>
        </w:tc>
      </w:tr>
      <w:tr>
        <w:trPr>
          <w:trHeight w:val="226"/>
        </w:trPr>
        <w:tc>
          <w:tcPr>
            <w:tcW w:w="3720" w:type="dxa"/>
            <w:vAlign w:val="bottom"/>
          </w:tcPr>
          <w:p>
            <w:pPr>
              <w:ind w:left="20"/>
              <w:spacing w:after="0" w:line="225" w:lineRule="exact"/>
              <w:rPr>
                <w:sz w:val="20"/>
                <w:szCs w:val="20"/>
                <w:color w:val="auto"/>
              </w:rPr>
            </w:pPr>
            <w:r>
              <w:rPr>
                <w:rFonts w:ascii="Arial" w:cs="Arial" w:eastAsia="Arial" w:hAnsi="Arial"/>
                <w:sz w:val="18"/>
                <w:szCs w:val="18"/>
                <w:color w:val="auto"/>
              </w:rPr>
              <w:t>Operating expenses</w:t>
            </w:r>
            <w:r>
              <w:rPr>
                <w:rFonts w:ascii="Arial" w:cs="Arial" w:eastAsia="Arial" w:hAnsi="Arial"/>
                <w:sz w:val="23"/>
                <w:szCs w:val="23"/>
                <w:color w:val="auto"/>
                <w:vertAlign w:val="superscript"/>
              </w:rPr>
              <w:t>(1)</w:t>
            </w:r>
            <w:r>
              <w:rPr>
                <w:rFonts w:ascii="Arial" w:cs="Arial" w:eastAsia="Arial" w:hAnsi="Arial"/>
                <w:sz w:val="18"/>
                <w:szCs w:val="18"/>
                <w:color w:val="auto"/>
              </w:rPr>
              <w:t>:</w:t>
            </w:r>
          </w:p>
        </w:tc>
        <w:tc>
          <w:tcPr>
            <w:tcW w:w="11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37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Research and development</w:t>
            </w:r>
          </w:p>
        </w:tc>
        <w:tc>
          <w:tcPr>
            <w:tcW w:w="118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185.5</w:t>
            </w:r>
          </w:p>
        </w:tc>
        <w:tc>
          <w:tcPr>
            <w:tcW w:w="12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185.8</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366.7</w:t>
            </w:r>
          </w:p>
        </w:tc>
        <w:tc>
          <w:tcPr>
            <w:tcW w:w="10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367.6</w:t>
            </w:r>
          </w:p>
        </w:tc>
        <w:tc>
          <w:tcPr>
            <w:tcW w:w="0" w:type="dxa"/>
            <w:vAlign w:val="bottom"/>
          </w:tcPr>
          <w:p>
            <w:pPr>
              <w:spacing w:after="0"/>
              <w:rPr>
                <w:sz w:val="1"/>
                <w:szCs w:val="1"/>
                <w:color w:val="auto"/>
              </w:rPr>
            </w:pPr>
          </w:p>
        </w:tc>
      </w:tr>
      <w:tr>
        <w:trPr>
          <w:trHeight w:val="225"/>
        </w:trPr>
        <w:tc>
          <w:tcPr>
            <w:tcW w:w="3720" w:type="dxa"/>
            <w:vAlign w:val="bottom"/>
          </w:tcPr>
          <w:p>
            <w:pPr>
              <w:ind w:left="220"/>
              <w:spacing w:after="0"/>
              <w:rPr>
                <w:sz w:val="20"/>
                <w:szCs w:val="20"/>
                <w:color w:val="auto"/>
              </w:rPr>
            </w:pPr>
            <w:r>
              <w:rPr>
                <w:rFonts w:ascii="Arial" w:cs="Arial" w:eastAsia="Arial" w:hAnsi="Arial"/>
                <w:sz w:val="18"/>
                <w:szCs w:val="18"/>
                <w:color w:val="auto"/>
              </w:rPr>
              <w:t>Sales and marketing</w:t>
            </w:r>
          </w:p>
        </w:tc>
        <w:tc>
          <w:tcPr>
            <w:tcW w:w="118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100.8</w:t>
            </w:r>
          </w:p>
        </w:tc>
        <w:tc>
          <w:tcPr>
            <w:tcW w:w="1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102.8</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203.5</w:t>
            </w:r>
          </w:p>
        </w:tc>
        <w:tc>
          <w:tcPr>
            <w:tcW w:w="1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207.1</w:t>
            </w:r>
          </w:p>
        </w:tc>
        <w:tc>
          <w:tcPr>
            <w:tcW w:w="0" w:type="dxa"/>
            <w:vAlign w:val="bottom"/>
          </w:tcPr>
          <w:p>
            <w:pPr>
              <w:spacing w:after="0"/>
              <w:rPr>
                <w:sz w:val="1"/>
                <w:szCs w:val="1"/>
                <w:color w:val="auto"/>
              </w:rPr>
            </w:pPr>
          </w:p>
        </w:tc>
      </w:tr>
      <w:tr>
        <w:trPr>
          <w:trHeight w:val="226"/>
        </w:trPr>
        <w:tc>
          <w:tcPr>
            <w:tcW w:w="37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General and administrative</w:t>
            </w:r>
          </w:p>
        </w:tc>
        <w:tc>
          <w:tcPr>
            <w:tcW w:w="118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52.8</w:t>
            </w:r>
          </w:p>
        </w:tc>
        <w:tc>
          <w:tcPr>
            <w:tcW w:w="12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63.5</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111.4</w:t>
            </w:r>
          </w:p>
        </w:tc>
        <w:tc>
          <w:tcPr>
            <w:tcW w:w="10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102.5</w:t>
            </w:r>
          </w:p>
        </w:tc>
        <w:tc>
          <w:tcPr>
            <w:tcW w:w="0" w:type="dxa"/>
            <w:vAlign w:val="bottom"/>
          </w:tcPr>
          <w:p>
            <w:pPr>
              <w:spacing w:after="0"/>
              <w:rPr>
                <w:sz w:val="1"/>
                <w:szCs w:val="1"/>
                <w:color w:val="auto"/>
              </w:rPr>
            </w:pPr>
          </w:p>
        </w:tc>
      </w:tr>
      <w:tr>
        <w:trPr>
          <w:trHeight w:val="225"/>
        </w:trPr>
        <w:tc>
          <w:tcPr>
            <w:tcW w:w="3720" w:type="dxa"/>
            <w:vAlign w:val="bottom"/>
          </w:tcPr>
          <w:p>
            <w:pPr>
              <w:ind w:left="260"/>
              <w:spacing w:after="0"/>
              <w:rPr>
                <w:sz w:val="20"/>
                <w:szCs w:val="20"/>
                <w:color w:val="auto"/>
              </w:rPr>
            </w:pPr>
            <w:r>
              <w:rPr>
                <w:rFonts w:ascii="Arial" w:cs="Arial" w:eastAsia="Arial" w:hAnsi="Arial"/>
                <w:sz w:val="18"/>
                <w:szCs w:val="18"/>
                <w:color w:val="auto"/>
              </w:rPr>
              <w:t>Impairment related to real estate assets</w:t>
            </w:r>
          </w:p>
        </w:tc>
        <w:tc>
          <w:tcPr>
            <w:tcW w:w="1180" w:type="dxa"/>
            <w:vAlign w:val="bottom"/>
          </w:tcPr>
          <w:p>
            <w:pPr>
              <w:spacing w:after="0"/>
              <w:rPr>
                <w:sz w:val="19"/>
                <w:szCs w:val="19"/>
                <w:color w:val="auto"/>
              </w:rPr>
            </w:pPr>
          </w:p>
        </w:tc>
        <w:tc>
          <w:tcPr>
            <w:tcW w:w="7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180" w:type="dxa"/>
            <w:vAlign w:val="bottom"/>
          </w:tcPr>
          <w:p>
            <w:pPr>
              <w:spacing w:after="0"/>
              <w:rPr>
                <w:sz w:val="19"/>
                <w:szCs w:val="19"/>
                <w:color w:val="auto"/>
              </w:rPr>
            </w:pPr>
          </w:p>
        </w:tc>
        <w:tc>
          <w:tcPr>
            <w:tcW w:w="7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17.3</w:t>
            </w:r>
          </w:p>
        </w:tc>
        <w:tc>
          <w:tcPr>
            <w:tcW w:w="1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0"/>
        </w:trPr>
        <w:tc>
          <w:tcPr>
            <w:tcW w:w="3720" w:type="dxa"/>
            <w:vAlign w:val="bottom"/>
            <w:tcBorders>
              <w:top w:val="single" w:sz="8" w:color="CCEEFF"/>
            </w:tcBorders>
            <w:shd w:val="clear" w:color="auto" w:fill="CCEEFF"/>
          </w:tcPr>
          <w:p>
            <w:pPr>
              <w:ind w:left="20"/>
              <w:spacing w:after="0" w:line="205" w:lineRule="exact"/>
              <w:rPr>
                <w:sz w:val="20"/>
                <w:szCs w:val="20"/>
                <w:color w:val="auto"/>
              </w:rPr>
            </w:pPr>
            <w:r>
              <w:rPr>
                <w:rFonts w:ascii="Arial" w:cs="Arial" w:eastAsia="Arial" w:hAnsi="Arial"/>
                <w:sz w:val="18"/>
                <w:szCs w:val="18"/>
                <w:color w:val="auto"/>
              </w:rPr>
              <w:t>Total operating expenses</w:t>
            </w:r>
          </w:p>
        </w:tc>
        <w:tc>
          <w:tcPr>
            <w:tcW w:w="1180" w:type="dxa"/>
            <w:vAlign w:val="bottom"/>
            <w:tcBorders>
              <w:top w:val="single" w:sz="8" w:color="auto"/>
              <w:bottom w:val="single" w:sz="8" w:color="auto"/>
            </w:tcBorders>
            <w:shd w:val="clear" w:color="auto" w:fill="CCEEFF"/>
          </w:tcPr>
          <w:p>
            <w:pPr>
              <w:spacing w:after="0"/>
              <w:rPr>
                <w:sz w:val="19"/>
                <w:szCs w:val="19"/>
                <w:color w:val="auto"/>
              </w:rPr>
            </w:pP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339.1</w:t>
            </w:r>
          </w:p>
        </w:tc>
        <w:tc>
          <w:tcPr>
            <w:tcW w:w="120" w:type="dxa"/>
            <w:vAlign w:val="bottom"/>
            <w:tcBorders>
              <w:top w:val="single" w:sz="8" w:color="CCEEFF"/>
            </w:tcBorders>
            <w:shd w:val="clear" w:color="auto" w:fill="CCEEFF"/>
          </w:tcPr>
          <w:p>
            <w:pPr>
              <w:spacing w:after="0"/>
              <w:rPr>
                <w:sz w:val="19"/>
                <w:szCs w:val="19"/>
                <w:color w:val="auto"/>
              </w:rPr>
            </w:pPr>
          </w:p>
        </w:tc>
        <w:tc>
          <w:tcPr>
            <w:tcW w:w="1180" w:type="dxa"/>
            <w:vAlign w:val="bottom"/>
            <w:tcBorders>
              <w:top w:val="single" w:sz="8" w:color="auto"/>
              <w:bottom w:val="single" w:sz="8" w:color="auto"/>
            </w:tcBorders>
            <w:shd w:val="clear" w:color="auto" w:fill="CCEEFF"/>
          </w:tcPr>
          <w:p>
            <w:pPr>
              <w:spacing w:after="0"/>
              <w:rPr>
                <w:sz w:val="19"/>
                <w:szCs w:val="19"/>
                <w:color w:val="auto"/>
              </w:rPr>
            </w:pP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352.1</w:t>
            </w:r>
          </w:p>
        </w:tc>
        <w:tc>
          <w:tcPr>
            <w:tcW w:w="100" w:type="dxa"/>
            <w:vAlign w:val="bottom"/>
            <w:tcBorders>
              <w:top w:val="single" w:sz="8" w:color="CCEEFF"/>
            </w:tcBorders>
            <w:shd w:val="clear" w:color="auto" w:fill="CCEEFF"/>
          </w:tcPr>
          <w:p>
            <w:pPr>
              <w:spacing w:after="0"/>
              <w:rPr>
                <w:sz w:val="19"/>
                <w:szCs w:val="19"/>
                <w:color w:val="auto"/>
              </w:rPr>
            </w:pPr>
          </w:p>
        </w:tc>
        <w:tc>
          <w:tcPr>
            <w:tcW w:w="400" w:type="dxa"/>
            <w:vAlign w:val="bottom"/>
            <w:tcBorders>
              <w:top w:val="single" w:sz="8" w:color="auto"/>
              <w:bottom w:val="single" w:sz="8" w:color="auto"/>
            </w:tcBorders>
            <w:shd w:val="clear" w:color="auto" w:fill="CCEEFF"/>
          </w:tcPr>
          <w:p>
            <w:pPr>
              <w:spacing w:after="0"/>
              <w:rPr>
                <w:sz w:val="19"/>
                <w:szCs w:val="19"/>
                <w:color w:val="auto"/>
              </w:rPr>
            </w:pPr>
          </w:p>
        </w:tc>
        <w:tc>
          <w:tcPr>
            <w:tcW w:w="1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698.9</w:t>
            </w:r>
          </w:p>
        </w:tc>
        <w:tc>
          <w:tcPr>
            <w:tcW w:w="100" w:type="dxa"/>
            <w:vAlign w:val="bottom"/>
            <w:tcBorders>
              <w:top w:val="single" w:sz="8" w:color="CCEEFF"/>
            </w:tcBorders>
            <w:shd w:val="clear" w:color="auto" w:fill="CCEEFF"/>
          </w:tcPr>
          <w:p>
            <w:pPr>
              <w:spacing w:after="0"/>
              <w:rPr>
                <w:sz w:val="19"/>
                <w:szCs w:val="19"/>
                <w:color w:val="auto"/>
              </w:rPr>
            </w:pPr>
          </w:p>
        </w:tc>
        <w:tc>
          <w:tcPr>
            <w:tcW w:w="680" w:type="dxa"/>
            <w:vAlign w:val="bottom"/>
            <w:tcBorders>
              <w:top w:val="single" w:sz="8" w:color="auto"/>
              <w:bottom w:val="single" w:sz="8" w:color="auto"/>
            </w:tcBorders>
            <w:shd w:val="clear" w:color="auto" w:fill="CCEEFF"/>
          </w:tcPr>
          <w:p>
            <w:pPr>
              <w:spacing w:after="0"/>
              <w:rPr>
                <w:sz w:val="19"/>
                <w:szCs w:val="19"/>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677.2</w:t>
            </w:r>
          </w:p>
        </w:tc>
        <w:tc>
          <w:tcPr>
            <w:tcW w:w="0" w:type="dxa"/>
            <w:vAlign w:val="bottom"/>
          </w:tcPr>
          <w:p>
            <w:pPr>
              <w:spacing w:after="0"/>
              <w:rPr>
                <w:sz w:val="1"/>
                <w:szCs w:val="1"/>
                <w:color w:val="auto"/>
              </w:rPr>
            </w:pPr>
          </w:p>
        </w:tc>
      </w:tr>
      <w:tr>
        <w:trPr>
          <w:trHeight w:val="218"/>
        </w:trPr>
        <w:tc>
          <w:tcPr>
            <w:tcW w:w="3720" w:type="dxa"/>
            <w:vAlign w:val="bottom"/>
          </w:tcPr>
          <w:p>
            <w:pPr>
              <w:ind w:left="20"/>
              <w:spacing w:after="0" w:line="205" w:lineRule="exact"/>
              <w:rPr>
                <w:sz w:val="20"/>
                <w:szCs w:val="20"/>
                <w:color w:val="auto"/>
              </w:rPr>
            </w:pPr>
            <w:r>
              <w:rPr>
                <w:rFonts w:ascii="Arial" w:cs="Arial" w:eastAsia="Arial" w:hAnsi="Arial"/>
                <w:sz w:val="18"/>
                <w:szCs w:val="18"/>
                <w:color w:val="auto"/>
              </w:rPr>
              <w:t>Income from operations</w:t>
            </w:r>
          </w:p>
        </w:tc>
        <w:tc>
          <w:tcPr>
            <w:tcW w:w="118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84.4</w:t>
            </w:r>
          </w:p>
        </w:tc>
        <w:tc>
          <w:tcPr>
            <w:tcW w:w="1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12.8</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126.9</w:t>
            </w:r>
          </w:p>
        </w:tc>
        <w:tc>
          <w:tcPr>
            <w:tcW w:w="1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39.6</w:t>
            </w:r>
          </w:p>
        </w:tc>
        <w:tc>
          <w:tcPr>
            <w:tcW w:w="0" w:type="dxa"/>
            <w:vAlign w:val="bottom"/>
          </w:tcPr>
          <w:p>
            <w:pPr>
              <w:spacing w:after="0"/>
              <w:rPr>
                <w:sz w:val="1"/>
                <w:szCs w:val="1"/>
                <w:color w:val="auto"/>
              </w:rPr>
            </w:pPr>
          </w:p>
        </w:tc>
      </w:tr>
      <w:tr>
        <w:trPr>
          <w:trHeight w:val="226"/>
        </w:trPr>
        <w:tc>
          <w:tcPr>
            <w:tcW w:w="3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income (expense), net</w:t>
            </w:r>
          </w:p>
        </w:tc>
        <w:tc>
          <w:tcPr>
            <w:tcW w:w="118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(0.9)</w:t>
            </w:r>
          </w:p>
        </w:tc>
        <w:tc>
          <w:tcPr>
            <w:tcW w:w="12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10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25"/>
        </w:trPr>
        <w:tc>
          <w:tcPr>
            <w:tcW w:w="37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income, net</w:t>
            </w:r>
          </w:p>
        </w:tc>
        <w:tc>
          <w:tcPr>
            <w:tcW w:w="118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w:t>
            </w:r>
          </w:p>
        </w:tc>
        <w:tc>
          <w:tcPr>
            <w:tcW w:w="120" w:type="dxa"/>
            <w:vAlign w:val="bottom"/>
            <w:tcBorders>
              <w:bottom w:val="single" w:sz="8" w:color="CCEEFF"/>
            </w:tcBorders>
          </w:tcPr>
          <w:p>
            <w:pPr>
              <w:spacing w:after="0"/>
              <w:rPr>
                <w:sz w:val="19"/>
                <w:szCs w:val="19"/>
                <w:color w:val="auto"/>
              </w:rPr>
            </w:pPr>
          </w:p>
        </w:tc>
        <w:tc>
          <w:tcPr>
            <w:tcW w:w="118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9.0</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12.6</w:t>
            </w:r>
          </w:p>
        </w:tc>
        <w:tc>
          <w:tcPr>
            <w:tcW w:w="100" w:type="dxa"/>
            <w:vAlign w:val="bottom"/>
            <w:tcBorders>
              <w:bottom w:val="single" w:sz="8" w:color="CCEEFF"/>
            </w:tcBorders>
          </w:tcPr>
          <w:p>
            <w:pPr>
              <w:spacing w:after="0"/>
              <w:rPr>
                <w:sz w:val="19"/>
                <w:szCs w:val="19"/>
                <w:color w:val="auto"/>
              </w:rPr>
            </w:pPr>
          </w:p>
        </w:tc>
        <w:tc>
          <w:tcPr>
            <w:tcW w:w="68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19.6</w:t>
            </w:r>
          </w:p>
        </w:tc>
        <w:tc>
          <w:tcPr>
            <w:tcW w:w="0" w:type="dxa"/>
            <w:vAlign w:val="bottom"/>
          </w:tcPr>
          <w:p>
            <w:pPr>
              <w:spacing w:after="0"/>
              <w:rPr>
                <w:sz w:val="1"/>
                <w:szCs w:val="1"/>
                <w:color w:val="auto"/>
              </w:rPr>
            </w:pPr>
          </w:p>
        </w:tc>
      </w:tr>
      <w:tr>
        <w:trPr>
          <w:trHeight w:val="220"/>
        </w:trPr>
        <w:tc>
          <w:tcPr>
            <w:tcW w:w="3720" w:type="dxa"/>
            <w:vAlign w:val="bottom"/>
            <w:shd w:val="clear" w:color="auto" w:fill="CCEEFF"/>
          </w:tcPr>
          <w:p>
            <w:pPr>
              <w:ind w:left="20"/>
              <w:spacing w:after="0" w:line="205" w:lineRule="exact"/>
              <w:rPr>
                <w:sz w:val="20"/>
                <w:szCs w:val="20"/>
                <w:color w:val="auto"/>
              </w:rPr>
            </w:pPr>
            <w:r>
              <w:rPr>
                <w:rFonts w:ascii="Arial" w:cs="Arial" w:eastAsia="Arial" w:hAnsi="Arial"/>
                <w:sz w:val="18"/>
                <w:szCs w:val="18"/>
                <w:color w:val="auto"/>
              </w:rPr>
              <w:t>Income before income taxes</w:t>
            </w:r>
          </w:p>
        </w:tc>
        <w:tc>
          <w:tcPr>
            <w:tcW w:w="118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91.0</w:t>
            </w:r>
          </w:p>
        </w:tc>
        <w:tc>
          <w:tcPr>
            <w:tcW w:w="12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21.9</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137.4</w:t>
            </w:r>
          </w:p>
        </w:tc>
        <w:tc>
          <w:tcPr>
            <w:tcW w:w="10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61.7</w:t>
            </w:r>
          </w:p>
        </w:tc>
        <w:tc>
          <w:tcPr>
            <w:tcW w:w="0" w:type="dxa"/>
            <w:vAlign w:val="bottom"/>
          </w:tcPr>
          <w:p>
            <w:pPr>
              <w:spacing w:after="0"/>
              <w:rPr>
                <w:sz w:val="1"/>
                <w:szCs w:val="1"/>
                <w:color w:val="auto"/>
              </w:rPr>
            </w:pPr>
          </w:p>
        </w:tc>
      </w:tr>
      <w:tr>
        <w:trPr>
          <w:trHeight w:val="225"/>
        </w:trPr>
        <w:tc>
          <w:tcPr>
            <w:tcW w:w="37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Provision for income taxes</w:t>
            </w:r>
          </w:p>
        </w:tc>
        <w:tc>
          <w:tcPr>
            <w:tcW w:w="118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w:t>
            </w:r>
          </w:p>
        </w:tc>
        <w:tc>
          <w:tcPr>
            <w:tcW w:w="120" w:type="dxa"/>
            <w:vAlign w:val="bottom"/>
            <w:tcBorders>
              <w:bottom w:val="single" w:sz="8" w:color="CCEEFF"/>
            </w:tcBorders>
          </w:tcPr>
          <w:p>
            <w:pPr>
              <w:spacing w:after="0"/>
              <w:rPr>
                <w:sz w:val="19"/>
                <w:szCs w:val="19"/>
                <w:color w:val="auto"/>
              </w:rPr>
            </w:pPr>
          </w:p>
        </w:tc>
        <w:tc>
          <w:tcPr>
            <w:tcW w:w="118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w:t>
            </w:r>
          </w:p>
        </w:tc>
        <w:tc>
          <w:tcPr>
            <w:tcW w:w="100" w:type="dxa"/>
            <w:vAlign w:val="bottom"/>
            <w:tcBorders>
              <w:bottom w:val="single" w:sz="8" w:color="CCEEFF"/>
            </w:tcBorders>
          </w:tcPr>
          <w:p>
            <w:pPr>
              <w:spacing w:after="0"/>
              <w:rPr>
                <w:sz w:val="19"/>
                <w:szCs w:val="19"/>
                <w:color w:val="auto"/>
              </w:rPr>
            </w:pPr>
          </w:p>
        </w:tc>
        <w:tc>
          <w:tcPr>
            <w:tcW w:w="68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r>
        <w:trPr>
          <w:trHeight w:val="244"/>
        </w:trPr>
        <w:tc>
          <w:tcPr>
            <w:tcW w:w="3720" w:type="dxa"/>
            <w:vAlign w:val="bottom"/>
            <w:tcBorders>
              <w:bottom w:val="single" w:sz="8" w:color="CCEEFF"/>
            </w:tcBorders>
            <w:shd w:val="clear" w:color="auto" w:fill="CCEEFF"/>
          </w:tcPr>
          <w:p>
            <w:pPr>
              <w:ind w:left="20"/>
              <w:spacing w:after="0" w:line="205" w:lineRule="exact"/>
              <w:rPr>
                <w:sz w:val="20"/>
                <w:szCs w:val="20"/>
                <w:color w:val="auto"/>
              </w:rPr>
            </w:pPr>
            <w:r>
              <w:rPr>
                <w:rFonts w:ascii="Arial" w:cs="Arial" w:eastAsia="Arial" w:hAnsi="Arial"/>
                <w:sz w:val="18"/>
                <w:szCs w:val="18"/>
                <w:color w:val="auto"/>
              </w:rPr>
              <w:t>Net income</w:t>
            </w:r>
          </w:p>
        </w:tc>
        <w:tc>
          <w:tcPr>
            <w:tcW w:w="1180" w:type="dxa"/>
            <w:vAlign w:val="bottom"/>
            <w:tcBorders>
              <w:bottom w:val="single" w:sz="8" w:color="auto"/>
            </w:tcBorders>
            <w:shd w:val="clear" w:color="auto" w:fill="CCEEFF"/>
          </w:tcPr>
          <w:p>
            <w:pPr>
              <w:jc w:val="right"/>
              <w:ind w:right="991"/>
              <w:spacing w:after="0"/>
              <w:rPr>
                <w:sz w:val="20"/>
                <w:szCs w:val="20"/>
                <w:color w:val="auto"/>
              </w:rPr>
            </w:pPr>
            <w:r>
              <w:rPr>
                <w:rFonts w:ascii="Arial" w:cs="Arial" w:eastAsia="Arial" w:hAnsi="Arial"/>
                <w:sz w:val="18"/>
                <w:szCs w:val="18"/>
                <w:color w:val="auto"/>
                <w:w w:val="79"/>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88.0</w:t>
            </w:r>
          </w:p>
        </w:tc>
        <w:tc>
          <w:tcPr>
            <w:tcW w:w="12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auto"/>
            </w:tcBorders>
            <w:shd w:val="clear" w:color="auto" w:fill="CCEEFF"/>
          </w:tcPr>
          <w:p>
            <w:pPr>
              <w:jc w:val="right"/>
              <w:ind w:right="991"/>
              <w:spacing w:after="0"/>
              <w:rPr>
                <w:sz w:val="20"/>
                <w:szCs w:val="20"/>
                <w:color w:val="auto"/>
              </w:rPr>
            </w:pPr>
            <w:r>
              <w:rPr>
                <w:rFonts w:ascii="Arial" w:cs="Arial" w:eastAsia="Arial" w:hAnsi="Arial"/>
                <w:sz w:val="18"/>
                <w:szCs w:val="18"/>
                <w:color w:val="auto"/>
                <w:w w:val="79"/>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17.5</w:t>
            </w:r>
          </w:p>
        </w:tc>
        <w:tc>
          <w:tcPr>
            <w:tcW w:w="10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auto"/>
            </w:tcBorders>
            <w:shd w:val="clear" w:color="auto" w:fill="CCEEFF"/>
          </w:tcPr>
          <w:p>
            <w:pPr>
              <w:jc w:val="right"/>
              <w:ind w:right="211"/>
              <w:spacing w:after="0"/>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135.6</w:t>
            </w:r>
          </w:p>
        </w:tc>
        <w:tc>
          <w:tcPr>
            <w:tcW w:w="10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auto"/>
            </w:tcBorders>
            <w:shd w:val="clear" w:color="auto" w:fill="CCEEFF"/>
          </w:tcPr>
          <w:p>
            <w:pPr>
              <w:jc w:val="right"/>
              <w:ind w:right="491"/>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56.8</w:t>
            </w:r>
          </w:p>
        </w:tc>
        <w:tc>
          <w:tcPr>
            <w:tcW w:w="0" w:type="dxa"/>
            <w:vAlign w:val="bottom"/>
          </w:tcPr>
          <w:p>
            <w:pPr>
              <w:spacing w:after="0"/>
              <w:rPr>
                <w:sz w:val="1"/>
                <w:szCs w:val="1"/>
                <w:color w:val="auto"/>
              </w:rPr>
            </w:pPr>
          </w:p>
        </w:tc>
      </w:tr>
      <w:tr>
        <w:trPr>
          <w:trHeight w:val="20"/>
        </w:trPr>
        <w:tc>
          <w:tcPr>
            <w:tcW w:w="372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Basic net income per share</w:t>
            </w: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9"/>
        </w:trPr>
        <w:tc>
          <w:tcPr>
            <w:tcW w:w="3720" w:type="dxa"/>
            <w:vAlign w:val="bottom"/>
            <w:vMerge w:val="continue"/>
          </w:tcPr>
          <w:p>
            <w:pPr>
              <w:spacing w:after="0"/>
              <w:rPr>
                <w:sz w:val="17"/>
                <w:szCs w:val="17"/>
                <w:color w:val="auto"/>
              </w:rPr>
            </w:pPr>
          </w:p>
        </w:tc>
        <w:tc>
          <w:tcPr>
            <w:tcW w:w="1180" w:type="dxa"/>
            <w:vAlign w:val="bottom"/>
            <w:tcBorders>
              <w:bottom w:val="single" w:sz="8" w:color="auto"/>
            </w:tcBorders>
          </w:tcPr>
          <w:p>
            <w:pPr>
              <w:jc w:val="right"/>
              <w:ind w:right="991"/>
              <w:spacing w:after="0" w:line="199" w:lineRule="exact"/>
              <w:rPr>
                <w:sz w:val="20"/>
                <w:szCs w:val="20"/>
                <w:color w:val="auto"/>
              </w:rPr>
            </w:pPr>
            <w:r>
              <w:rPr>
                <w:rFonts w:ascii="Arial" w:cs="Arial" w:eastAsia="Arial" w:hAnsi="Arial"/>
                <w:sz w:val="18"/>
                <w:szCs w:val="18"/>
                <w:color w:val="auto"/>
                <w:w w:val="79"/>
              </w:rPr>
              <w:t>$</w:t>
            </w:r>
          </w:p>
        </w:tc>
        <w:tc>
          <w:tcPr>
            <w:tcW w:w="600" w:type="dxa"/>
            <w:vAlign w:val="bottom"/>
            <w:tcBorders>
              <w:bottom w:val="single" w:sz="8" w:color="auto"/>
            </w:tcBorders>
          </w:tcPr>
          <w:p>
            <w:pPr>
              <w:jc w:val="right"/>
              <w:spacing w:after="0" w:line="199" w:lineRule="exact"/>
              <w:rPr>
                <w:sz w:val="20"/>
                <w:szCs w:val="20"/>
                <w:color w:val="auto"/>
              </w:rPr>
            </w:pPr>
            <w:r>
              <w:rPr>
                <w:rFonts w:ascii="Arial" w:cs="Arial" w:eastAsia="Arial" w:hAnsi="Arial"/>
                <w:sz w:val="18"/>
                <w:szCs w:val="18"/>
                <w:color w:val="auto"/>
              </w:rPr>
              <w:t>0.23</w:t>
            </w:r>
          </w:p>
        </w:tc>
        <w:tc>
          <w:tcPr>
            <w:tcW w:w="120" w:type="dxa"/>
            <w:vAlign w:val="bottom"/>
          </w:tcPr>
          <w:p>
            <w:pPr>
              <w:spacing w:after="0"/>
              <w:rPr>
                <w:sz w:val="17"/>
                <w:szCs w:val="17"/>
                <w:color w:val="auto"/>
              </w:rPr>
            </w:pPr>
          </w:p>
        </w:tc>
        <w:tc>
          <w:tcPr>
            <w:tcW w:w="1180" w:type="dxa"/>
            <w:vAlign w:val="bottom"/>
            <w:tcBorders>
              <w:bottom w:val="single" w:sz="8" w:color="auto"/>
            </w:tcBorders>
          </w:tcPr>
          <w:p>
            <w:pPr>
              <w:jc w:val="right"/>
              <w:ind w:right="991"/>
              <w:spacing w:after="0" w:line="199" w:lineRule="exact"/>
              <w:rPr>
                <w:sz w:val="20"/>
                <w:szCs w:val="20"/>
                <w:color w:val="auto"/>
              </w:rPr>
            </w:pPr>
            <w:r>
              <w:rPr>
                <w:rFonts w:ascii="Arial" w:cs="Arial" w:eastAsia="Arial" w:hAnsi="Arial"/>
                <w:sz w:val="18"/>
                <w:szCs w:val="18"/>
                <w:color w:val="auto"/>
                <w:w w:val="79"/>
              </w:rPr>
              <w:t>$</w:t>
            </w:r>
          </w:p>
        </w:tc>
        <w:tc>
          <w:tcPr>
            <w:tcW w:w="600" w:type="dxa"/>
            <w:vAlign w:val="bottom"/>
            <w:tcBorders>
              <w:bottom w:val="single" w:sz="8" w:color="auto"/>
            </w:tcBorders>
          </w:tcPr>
          <w:p>
            <w:pPr>
              <w:jc w:val="right"/>
              <w:spacing w:after="0" w:line="199" w:lineRule="exact"/>
              <w:rPr>
                <w:sz w:val="20"/>
                <w:szCs w:val="20"/>
                <w:color w:val="auto"/>
              </w:rPr>
            </w:pPr>
            <w:r>
              <w:rPr>
                <w:rFonts w:ascii="Arial" w:cs="Arial" w:eastAsia="Arial" w:hAnsi="Arial"/>
                <w:sz w:val="18"/>
                <w:szCs w:val="18"/>
                <w:color w:val="auto"/>
              </w:rPr>
              <w:t>0.04</w:t>
            </w:r>
          </w:p>
        </w:tc>
        <w:tc>
          <w:tcPr>
            <w:tcW w:w="100" w:type="dxa"/>
            <w:vAlign w:val="bottom"/>
          </w:tcPr>
          <w:p>
            <w:pPr>
              <w:spacing w:after="0"/>
              <w:rPr>
                <w:sz w:val="17"/>
                <w:szCs w:val="17"/>
                <w:color w:val="auto"/>
              </w:rPr>
            </w:pPr>
          </w:p>
        </w:tc>
        <w:tc>
          <w:tcPr>
            <w:tcW w:w="400" w:type="dxa"/>
            <w:vAlign w:val="bottom"/>
            <w:tcBorders>
              <w:bottom w:val="single" w:sz="8" w:color="auto"/>
            </w:tcBorders>
          </w:tcPr>
          <w:p>
            <w:pPr>
              <w:jc w:val="right"/>
              <w:ind w:right="211"/>
              <w:spacing w:after="0" w:line="199" w:lineRule="exact"/>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auto"/>
            </w:tcBorders>
          </w:tcPr>
          <w:p>
            <w:pPr>
              <w:jc w:val="right"/>
              <w:spacing w:after="0" w:line="199" w:lineRule="exact"/>
              <w:rPr>
                <w:sz w:val="20"/>
                <w:szCs w:val="20"/>
                <w:color w:val="auto"/>
              </w:rPr>
            </w:pPr>
            <w:r>
              <w:rPr>
                <w:rFonts w:ascii="Arial" w:cs="Arial" w:eastAsia="Arial" w:hAnsi="Arial"/>
                <w:sz w:val="18"/>
                <w:szCs w:val="18"/>
                <w:color w:val="auto"/>
              </w:rPr>
              <w:t>0.34</w:t>
            </w:r>
          </w:p>
        </w:tc>
        <w:tc>
          <w:tcPr>
            <w:tcW w:w="100" w:type="dxa"/>
            <w:vAlign w:val="bottom"/>
          </w:tcPr>
          <w:p>
            <w:pPr>
              <w:spacing w:after="0"/>
              <w:rPr>
                <w:sz w:val="17"/>
                <w:szCs w:val="17"/>
                <w:color w:val="auto"/>
              </w:rPr>
            </w:pPr>
          </w:p>
        </w:tc>
        <w:tc>
          <w:tcPr>
            <w:tcW w:w="680" w:type="dxa"/>
            <w:vAlign w:val="bottom"/>
            <w:tcBorders>
              <w:bottom w:val="single" w:sz="8" w:color="auto"/>
            </w:tcBorders>
          </w:tcPr>
          <w:p>
            <w:pPr>
              <w:jc w:val="right"/>
              <w:ind w:right="491"/>
              <w:spacing w:after="0" w:line="199" w:lineRule="exact"/>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tcPr>
          <w:p>
            <w:pPr>
              <w:jc w:val="right"/>
              <w:spacing w:after="0" w:line="199" w:lineRule="exact"/>
              <w:rPr>
                <w:sz w:val="20"/>
                <w:szCs w:val="20"/>
                <w:color w:val="auto"/>
              </w:rPr>
            </w:pPr>
            <w:r>
              <w:rPr>
                <w:rFonts w:ascii="Arial" w:cs="Arial" w:eastAsia="Arial" w:hAnsi="Arial"/>
                <w:sz w:val="18"/>
                <w:szCs w:val="18"/>
                <w:color w:val="auto"/>
              </w:rPr>
              <w:t>0.14</w:t>
            </w:r>
          </w:p>
        </w:tc>
        <w:tc>
          <w:tcPr>
            <w:tcW w:w="0" w:type="dxa"/>
            <w:vAlign w:val="bottom"/>
          </w:tcPr>
          <w:p>
            <w:pPr>
              <w:spacing w:after="0"/>
              <w:rPr>
                <w:sz w:val="1"/>
                <w:szCs w:val="1"/>
                <w:color w:val="auto"/>
              </w:rPr>
            </w:pPr>
          </w:p>
        </w:tc>
      </w:tr>
      <w:tr>
        <w:trPr>
          <w:trHeight w:val="20"/>
        </w:trPr>
        <w:tc>
          <w:tcPr>
            <w:tcW w:w="3720" w:type="dxa"/>
            <w:vAlign w:val="bottom"/>
            <w:tcBorders>
              <w:bottom w:val="single" w:sz="8" w:color="CCEEFF"/>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4"/>
        </w:trPr>
        <w:tc>
          <w:tcPr>
            <w:tcW w:w="3720" w:type="dxa"/>
            <w:vAlign w:val="bottom"/>
            <w:tcBorders>
              <w:bottom w:val="single" w:sz="8" w:color="CCEEFF"/>
            </w:tcBorders>
            <w:shd w:val="clear" w:color="auto" w:fill="CCEEFF"/>
          </w:tcPr>
          <w:p>
            <w:pPr>
              <w:ind w:left="20"/>
              <w:spacing w:after="0" w:line="204" w:lineRule="exact"/>
              <w:rPr>
                <w:sz w:val="20"/>
                <w:szCs w:val="20"/>
                <w:color w:val="auto"/>
              </w:rPr>
            </w:pPr>
            <w:r>
              <w:rPr>
                <w:rFonts w:ascii="Arial" w:cs="Arial" w:eastAsia="Arial" w:hAnsi="Arial"/>
                <w:sz w:val="18"/>
                <w:szCs w:val="18"/>
                <w:color w:val="auto"/>
              </w:rPr>
              <w:t>Diluted net income per share</w:t>
            </w:r>
          </w:p>
        </w:tc>
        <w:tc>
          <w:tcPr>
            <w:tcW w:w="1180" w:type="dxa"/>
            <w:vAlign w:val="bottom"/>
            <w:tcBorders>
              <w:bottom w:val="single" w:sz="8" w:color="auto"/>
            </w:tcBorders>
            <w:shd w:val="clear" w:color="auto" w:fill="CCEEFF"/>
          </w:tcPr>
          <w:p>
            <w:pPr>
              <w:jc w:val="right"/>
              <w:ind w:right="991"/>
              <w:spacing w:after="0"/>
              <w:rPr>
                <w:sz w:val="20"/>
                <w:szCs w:val="20"/>
                <w:color w:val="auto"/>
              </w:rPr>
            </w:pPr>
            <w:r>
              <w:rPr>
                <w:rFonts w:ascii="Arial" w:cs="Arial" w:eastAsia="Arial" w:hAnsi="Arial"/>
                <w:sz w:val="18"/>
                <w:szCs w:val="18"/>
                <w:color w:val="auto"/>
                <w:w w:val="79"/>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0.22</w:t>
            </w:r>
          </w:p>
        </w:tc>
        <w:tc>
          <w:tcPr>
            <w:tcW w:w="12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auto"/>
            </w:tcBorders>
            <w:shd w:val="clear" w:color="auto" w:fill="CCEEFF"/>
          </w:tcPr>
          <w:p>
            <w:pPr>
              <w:jc w:val="right"/>
              <w:ind w:right="991"/>
              <w:spacing w:after="0"/>
              <w:rPr>
                <w:sz w:val="20"/>
                <w:szCs w:val="20"/>
                <w:color w:val="auto"/>
              </w:rPr>
            </w:pPr>
            <w:r>
              <w:rPr>
                <w:rFonts w:ascii="Arial" w:cs="Arial" w:eastAsia="Arial" w:hAnsi="Arial"/>
                <w:sz w:val="18"/>
                <w:szCs w:val="18"/>
                <w:color w:val="auto"/>
                <w:w w:val="79"/>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0.04</w:t>
            </w:r>
          </w:p>
        </w:tc>
        <w:tc>
          <w:tcPr>
            <w:tcW w:w="10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auto"/>
            </w:tcBorders>
            <w:shd w:val="clear" w:color="auto" w:fill="CCEEFF"/>
          </w:tcPr>
          <w:p>
            <w:pPr>
              <w:jc w:val="right"/>
              <w:ind w:right="211"/>
              <w:spacing w:after="0"/>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0.34</w:t>
            </w:r>
          </w:p>
        </w:tc>
        <w:tc>
          <w:tcPr>
            <w:tcW w:w="10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auto"/>
            </w:tcBorders>
            <w:shd w:val="clear" w:color="auto" w:fill="CCEEFF"/>
          </w:tcPr>
          <w:p>
            <w:pPr>
              <w:jc w:val="right"/>
              <w:ind w:right="491"/>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0.14</w:t>
            </w:r>
          </w:p>
        </w:tc>
        <w:tc>
          <w:tcPr>
            <w:tcW w:w="0" w:type="dxa"/>
            <w:vAlign w:val="bottom"/>
          </w:tcPr>
          <w:p>
            <w:pPr>
              <w:spacing w:after="0"/>
              <w:rPr>
                <w:sz w:val="1"/>
                <w:szCs w:val="1"/>
                <w:color w:val="auto"/>
              </w:rPr>
            </w:pPr>
          </w:p>
        </w:tc>
      </w:tr>
      <w:tr>
        <w:trPr>
          <w:trHeight w:val="20"/>
        </w:trPr>
        <w:tc>
          <w:tcPr>
            <w:tcW w:w="3720" w:type="dxa"/>
            <w:vAlign w:val="bottom"/>
            <w:tcBorders>
              <w:top w:val="single" w:sz="8" w:color="CCEEFF"/>
              <w:bottom w:val="single" w:sz="8" w:color="CCEEFF"/>
            </w:tcBorders>
            <w:vMerge w:val="restart"/>
          </w:tcPr>
          <w:p>
            <w:pPr>
              <w:ind w:left="20"/>
              <w:spacing w:after="0" w:line="161" w:lineRule="exact"/>
              <w:rPr>
                <w:sz w:val="20"/>
                <w:szCs w:val="20"/>
                <w:color w:val="auto"/>
              </w:rPr>
            </w:pPr>
            <w:r>
              <w:rPr>
                <w:rFonts w:ascii="Arial" w:cs="Arial" w:eastAsia="Arial" w:hAnsi="Arial"/>
                <w:sz w:val="18"/>
                <w:szCs w:val="18"/>
                <w:color w:val="auto"/>
                <w:w w:val="95"/>
              </w:rPr>
              <w:t>Weighted-average shares used in computing net</w:t>
            </w: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1"/>
        </w:trPr>
        <w:tc>
          <w:tcPr>
            <w:tcW w:w="3720" w:type="dxa"/>
            <w:vAlign w:val="bottom"/>
            <w:vMerge w:val="continue"/>
          </w:tcPr>
          <w:p>
            <w:pPr>
              <w:spacing w:after="0"/>
              <w:rPr>
                <w:sz w:val="10"/>
                <w:szCs w:val="10"/>
                <w:color w:val="auto"/>
              </w:rPr>
            </w:pPr>
          </w:p>
        </w:tc>
        <w:tc>
          <w:tcPr>
            <w:tcW w:w="11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3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3720" w:type="dxa"/>
            <w:vAlign w:val="bottom"/>
          </w:tcPr>
          <w:p>
            <w:pPr>
              <w:ind w:left="180"/>
              <w:spacing w:after="0" w:line="173" w:lineRule="exact"/>
              <w:rPr>
                <w:sz w:val="20"/>
                <w:szCs w:val="20"/>
                <w:color w:val="auto"/>
              </w:rPr>
            </w:pPr>
            <w:r>
              <w:rPr>
                <w:rFonts w:ascii="Arial" w:cs="Arial" w:eastAsia="Arial" w:hAnsi="Arial"/>
                <w:sz w:val="18"/>
                <w:szCs w:val="18"/>
                <w:color w:val="auto"/>
              </w:rPr>
              <w:t>income per share attributable to common</w:t>
            </w:r>
          </w:p>
        </w:tc>
        <w:tc>
          <w:tcPr>
            <w:tcW w:w="1180" w:type="dxa"/>
            <w:vAlign w:val="bottom"/>
          </w:tcPr>
          <w:p>
            <w:pPr>
              <w:spacing w:after="0"/>
              <w:rPr>
                <w:sz w:val="15"/>
                <w:szCs w:val="15"/>
                <w:color w:val="auto"/>
              </w:rPr>
            </w:pPr>
          </w:p>
        </w:tc>
        <w:tc>
          <w:tcPr>
            <w:tcW w:w="600" w:type="dxa"/>
            <w:vAlign w:val="bottom"/>
            <w:vMerge w:val="restart"/>
          </w:tcPr>
          <w:p>
            <w:pPr>
              <w:jc w:val="right"/>
              <w:spacing w:after="0"/>
              <w:rPr>
                <w:sz w:val="20"/>
                <w:szCs w:val="20"/>
                <w:color w:val="auto"/>
              </w:rPr>
            </w:pPr>
            <w:r>
              <w:rPr>
                <w:rFonts w:ascii="Arial" w:cs="Arial" w:eastAsia="Arial" w:hAnsi="Arial"/>
                <w:sz w:val="18"/>
                <w:szCs w:val="18"/>
                <w:color w:val="auto"/>
              </w:rPr>
              <w:t>388.4</w:t>
            </w:r>
          </w:p>
        </w:tc>
        <w:tc>
          <w:tcPr>
            <w:tcW w:w="12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600" w:type="dxa"/>
            <w:vAlign w:val="bottom"/>
            <w:vMerge w:val="restart"/>
          </w:tcPr>
          <w:p>
            <w:pPr>
              <w:jc w:val="right"/>
              <w:spacing w:after="0"/>
              <w:rPr>
                <w:sz w:val="20"/>
                <w:szCs w:val="20"/>
                <w:color w:val="auto"/>
              </w:rPr>
            </w:pPr>
            <w:r>
              <w:rPr>
                <w:rFonts w:ascii="Arial" w:cs="Arial" w:eastAsia="Arial" w:hAnsi="Arial"/>
                <w:sz w:val="18"/>
                <w:szCs w:val="18"/>
                <w:color w:val="auto"/>
              </w:rPr>
              <w:t>414.1</w:t>
            </w: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380" w:type="dxa"/>
            <w:vAlign w:val="bottom"/>
            <w:vMerge w:val="restart"/>
          </w:tcPr>
          <w:p>
            <w:pPr>
              <w:jc w:val="right"/>
              <w:spacing w:after="0"/>
              <w:rPr>
                <w:sz w:val="20"/>
                <w:szCs w:val="20"/>
                <w:color w:val="auto"/>
              </w:rPr>
            </w:pPr>
            <w:r>
              <w:rPr>
                <w:rFonts w:ascii="Arial" w:cs="Arial" w:eastAsia="Arial" w:hAnsi="Arial"/>
                <w:sz w:val="18"/>
                <w:szCs w:val="18"/>
                <w:color w:val="auto"/>
              </w:rPr>
              <w:t>393.3</w:t>
            </w:r>
          </w:p>
        </w:tc>
        <w:tc>
          <w:tcPr>
            <w:tcW w:w="1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120" w:type="dxa"/>
            <w:vAlign w:val="bottom"/>
            <w:vMerge w:val="restart"/>
          </w:tcPr>
          <w:p>
            <w:pPr>
              <w:jc w:val="right"/>
              <w:spacing w:after="0"/>
              <w:rPr>
                <w:sz w:val="20"/>
                <w:szCs w:val="20"/>
                <w:color w:val="auto"/>
              </w:rPr>
            </w:pPr>
            <w:r>
              <w:rPr>
                <w:rFonts w:ascii="Arial" w:cs="Arial" w:eastAsia="Arial" w:hAnsi="Arial"/>
                <w:sz w:val="18"/>
                <w:szCs w:val="18"/>
                <w:color w:val="auto"/>
              </w:rPr>
              <w:t>415.7</w:t>
            </w:r>
          </w:p>
        </w:tc>
        <w:tc>
          <w:tcPr>
            <w:tcW w:w="0" w:type="dxa"/>
            <w:vAlign w:val="bottom"/>
          </w:tcPr>
          <w:p>
            <w:pPr>
              <w:spacing w:after="0"/>
              <w:rPr>
                <w:sz w:val="1"/>
                <w:szCs w:val="1"/>
                <w:color w:val="auto"/>
              </w:rPr>
            </w:pPr>
          </w:p>
        </w:tc>
      </w:tr>
      <w:tr>
        <w:trPr>
          <w:trHeight w:val="198"/>
        </w:trPr>
        <w:tc>
          <w:tcPr>
            <w:tcW w:w="3720" w:type="dxa"/>
            <w:vAlign w:val="bottom"/>
          </w:tcPr>
          <w:p>
            <w:pPr>
              <w:ind w:left="180"/>
              <w:spacing w:after="0" w:line="198" w:lineRule="exact"/>
              <w:rPr>
                <w:sz w:val="20"/>
                <w:szCs w:val="20"/>
                <w:color w:val="auto"/>
              </w:rPr>
            </w:pPr>
            <w:r>
              <w:rPr>
                <w:rFonts w:ascii="Arial" w:cs="Arial" w:eastAsia="Arial" w:hAnsi="Arial"/>
                <w:sz w:val="18"/>
                <w:szCs w:val="18"/>
                <w:color w:val="auto"/>
              </w:rPr>
              <w:t>stockholders, basic</w:t>
            </w:r>
          </w:p>
        </w:tc>
        <w:tc>
          <w:tcPr>
            <w:tcW w:w="118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vMerge w:val="continue"/>
          </w:tcPr>
          <w:p>
            <w:pPr>
              <w:spacing w:after="0"/>
              <w:rPr>
                <w:sz w:val="17"/>
                <w:szCs w:val="17"/>
                <w:color w:val="auto"/>
              </w:rPr>
            </w:pPr>
          </w:p>
        </w:tc>
        <w:tc>
          <w:tcPr>
            <w:tcW w:w="120" w:type="dxa"/>
            <w:vAlign w:val="bottom"/>
          </w:tcPr>
          <w:p>
            <w:pPr>
              <w:spacing w:after="0"/>
              <w:rPr>
                <w:sz w:val="17"/>
                <w:szCs w:val="17"/>
                <w:color w:val="auto"/>
              </w:rPr>
            </w:pPr>
          </w:p>
        </w:tc>
        <w:tc>
          <w:tcPr>
            <w:tcW w:w="118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vMerge w:val="continue"/>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vMerge w:val="continue"/>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720" w:type="dxa"/>
            <w:vAlign w:val="bottom"/>
            <w:tcBorders>
              <w:bottom w:val="single" w:sz="8" w:color="CCEEFF"/>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0"/>
        </w:trPr>
        <w:tc>
          <w:tcPr>
            <w:tcW w:w="3720" w:type="dxa"/>
            <w:vAlign w:val="bottom"/>
            <w:shd w:val="clear" w:color="auto" w:fill="CCEEFF"/>
          </w:tcPr>
          <w:p>
            <w:pPr>
              <w:ind w:left="20"/>
              <w:spacing w:after="0" w:line="140" w:lineRule="exact"/>
              <w:rPr>
                <w:sz w:val="20"/>
                <w:szCs w:val="20"/>
                <w:color w:val="auto"/>
              </w:rPr>
            </w:pPr>
            <w:r>
              <w:rPr>
                <w:rFonts w:ascii="Arial" w:cs="Arial" w:eastAsia="Arial" w:hAnsi="Arial"/>
                <w:sz w:val="15"/>
                <w:szCs w:val="15"/>
                <w:color w:val="auto"/>
              </w:rPr>
              <w:t>Weighted-average shares used in computing net</w:t>
            </w:r>
          </w:p>
        </w:tc>
        <w:tc>
          <w:tcPr>
            <w:tcW w:w="11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1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3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3720" w:type="dxa"/>
            <w:vAlign w:val="bottom"/>
            <w:shd w:val="clear" w:color="auto" w:fill="CCEEFF"/>
          </w:tcPr>
          <w:p>
            <w:pPr>
              <w:ind w:left="180"/>
              <w:spacing w:after="0" w:line="173" w:lineRule="exact"/>
              <w:rPr>
                <w:sz w:val="20"/>
                <w:szCs w:val="20"/>
                <w:color w:val="auto"/>
              </w:rPr>
            </w:pPr>
            <w:r>
              <w:rPr>
                <w:rFonts w:ascii="Arial" w:cs="Arial" w:eastAsia="Arial" w:hAnsi="Arial"/>
                <w:sz w:val="18"/>
                <w:szCs w:val="18"/>
                <w:color w:val="auto"/>
              </w:rPr>
              <w:t>income per share attributable to common</w:t>
            </w:r>
          </w:p>
        </w:tc>
        <w:tc>
          <w:tcPr>
            <w:tcW w:w="1180" w:type="dxa"/>
            <w:vAlign w:val="bottom"/>
            <w:shd w:val="clear" w:color="auto" w:fill="CCEEFF"/>
          </w:tcPr>
          <w:p>
            <w:pPr>
              <w:spacing w:after="0"/>
              <w:rPr>
                <w:sz w:val="15"/>
                <w:szCs w:val="15"/>
                <w:color w:val="auto"/>
              </w:rPr>
            </w:pPr>
          </w:p>
        </w:tc>
        <w:tc>
          <w:tcPr>
            <w:tcW w:w="6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397.0</w:t>
            </w:r>
          </w:p>
        </w:tc>
        <w:tc>
          <w:tcPr>
            <w:tcW w:w="12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6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420.5</w:t>
            </w:r>
          </w:p>
        </w:tc>
        <w:tc>
          <w:tcPr>
            <w:tcW w:w="10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3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401.2</w:t>
            </w:r>
          </w:p>
        </w:tc>
        <w:tc>
          <w:tcPr>
            <w:tcW w:w="10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1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419.7</w:t>
            </w:r>
          </w:p>
        </w:tc>
        <w:tc>
          <w:tcPr>
            <w:tcW w:w="0" w:type="dxa"/>
            <w:vAlign w:val="bottom"/>
          </w:tcPr>
          <w:p>
            <w:pPr>
              <w:spacing w:after="0"/>
              <w:rPr>
                <w:sz w:val="1"/>
                <w:szCs w:val="1"/>
                <w:color w:val="auto"/>
              </w:rPr>
            </w:pPr>
          </w:p>
        </w:tc>
      </w:tr>
      <w:tr>
        <w:trPr>
          <w:trHeight w:val="218"/>
        </w:trPr>
        <w:tc>
          <w:tcPr>
            <w:tcW w:w="3720" w:type="dxa"/>
            <w:vAlign w:val="bottom"/>
            <w:tcBorders>
              <w:bottom w:val="single" w:sz="8" w:color="CCEEFF"/>
            </w:tcBorders>
            <w:shd w:val="clear" w:color="auto" w:fill="CCEEFF"/>
          </w:tcPr>
          <w:p>
            <w:pPr>
              <w:ind w:left="180"/>
              <w:spacing w:after="0" w:line="198" w:lineRule="exact"/>
              <w:rPr>
                <w:sz w:val="20"/>
                <w:szCs w:val="20"/>
                <w:color w:val="auto"/>
              </w:rPr>
            </w:pPr>
            <w:r>
              <w:rPr>
                <w:rFonts w:ascii="Arial" w:cs="Arial" w:eastAsia="Arial" w:hAnsi="Arial"/>
                <w:sz w:val="18"/>
                <w:szCs w:val="18"/>
                <w:color w:val="auto"/>
              </w:rPr>
              <w:t>stockholders, diluted</w:t>
            </w:r>
          </w:p>
        </w:tc>
        <w:tc>
          <w:tcPr>
            <w:tcW w:w="118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vMerge w:val="continue"/>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vMerge w:val="continue"/>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1380" w:type="dxa"/>
            <w:vAlign w:val="bottom"/>
            <w:tcBorders>
              <w:bottom w:val="single" w:sz="8" w:color="auto"/>
            </w:tcBorders>
            <w:vMerge w:val="continue"/>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72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5" w:lineRule="exact"/>
        <w:rPr>
          <w:sz w:val="20"/>
          <w:szCs w:val="20"/>
          <w:color w:val="auto"/>
        </w:rPr>
      </w:pPr>
    </w:p>
    <w:p>
      <w:pPr>
        <w:ind w:left="174" w:hanging="174"/>
        <w:spacing w:after="0"/>
        <w:tabs>
          <w:tab w:leader="none" w:pos="174" w:val="left"/>
        </w:tabs>
        <w:numPr>
          <w:ilvl w:val="0"/>
          <w:numId w:val="4"/>
        </w:numPr>
        <w:rPr>
          <w:rFonts w:ascii="Arial" w:cs="Arial" w:eastAsia="Arial" w:hAnsi="Arial"/>
          <w:sz w:val="21"/>
          <w:szCs w:val="21"/>
          <w:color w:val="auto"/>
          <w:vertAlign w:val="superscript"/>
        </w:rPr>
      </w:pPr>
      <w:r>
        <w:rPr>
          <w:rFonts w:ascii="Arial" w:cs="Arial" w:eastAsia="Arial" w:hAnsi="Arial"/>
          <w:sz w:val="15"/>
          <w:szCs w:val="15"/>
          <w:color w:val="auto"/>
        </w:rPr>
        <w:t>Includes stock-based compensation expense as follows (in millions):</w:t>
      </w:r>
    </w:p>
    <w:p>
      <w:pPr>
        <w:spacing w:after="0" w:line="90" w:lineRule="exact"/>
        <w:rPr>
          <w:sz w:val="20"/>
          <w:szCs w:val="20"/>
          <w:color w:val="auto"/>
        </w:rPr>
      </w:pPr>
    </w:p>
    <w:tbl>
      <w:tblPr>
        <w:tblLayout w:type="fixed"/>
        <w:tblInd w:w="34" w:type="dxa"/>
        <w:tblCellMar>
          <w:top w:w="0" w:type="dxa"/>
          <w:left w:w="0" w:type="dxa"/>
          <w:bottom w:w="0" w:type="dxa"/>
          <w:right w:w="0" w:type="dxa"/>
        </w:tblCellMar>
      </w:tblPr>
      <w:tr>
        <w:trPr>
          <w:trHeight w:val="207"/>
        </w:trPr>
        <w:tc>
          <w:tcPr>
            <w:tcW w:w="3740" w:type="dxa"/>
            <w:vAlign w:val="bottom"/>
          </w:tcPr>
          <w:p>
            <w:pPr>
              <w:spacing w:after="0"/>
              <w:rPr>
                <w:sz w:val="18"/>
                <w:szCs w:val="18"/>
                <w:color w:val="auto"/>
              </w:rPr>
            </w:pPr>
          </w:p>
        </w:tc>
        <w:tc>
          <w:tcPr>
            <w:tcW w:w="3120" w:type="dxa"/>
            <w:vAlign w:val="bottom"/>
            <w:gridSpan w:val="4"/>
          </w:tcPr>
          <w:p>
            <w:pPr>
              <w:jc w:val="center"/>
              <w:ind w:left="431"/>
              <w:spacing w:after="0"/>
              <w:rPr>
                <w:sz w:val="20"/>
                <w:szCs w:val="20"/>
                <w:color w:val="auto"/>
              </w:rPr>
            </w:pPr>
            <w:r>
              <w:rPr>
                <w:rFonts w:ascii="Arial" w:cs="Arial" w:eastAsia="Arial" w:hAnsi="Arial"/>
                <w:sz w:val="18"/>
                <w:szCs w:val="18"/>
                <w:b w:val="1"/>
                <w:bCs w:val="1"/>
                <w:color w:val="auto"/>
                <w:w w:val="89"/>
              </w:rPr>
              <w:t>Three Months Ended</w:t>
            </w: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460" w:type="dxa"/>
            <w:vAlign w:val="bottom"/>
            <w:gridSpan w:val="3"/>
          </w:tcPr>
          <w:p>
            <w:pPr>
              <w:jc w:val="center"/>
              <w:spacing w:after="0"/>
              <w:rPr>
                <w:sz w:val="20"/>
                <w:szCs w:val="20"/>
                <w:color w:val="auto"/>
              </w:rPr>
            </w:pPr>
            <w:r>
              <w:rPr>
                <w:rFonts w:ascii="Arial" w:cs="Arial" w:eastAsia="Arial" w:hAnsi="Arial"/>
                <w:sz w:val="18"/>
                <w:szCs w:val="18"/>
                <w:b w:val="1"/>
                <w:bCs w:val="1"/>
                <w:color w:val="auto"/>
                <w:w w:val="89"/>
              </w:rPr>
              <w:t>Six Months Ended</w:t>
            </w:r>
          </w:p>
        </w:tc>
        <w:tc>
          <w:tcPr>
            <w:tcW w:w="1120" w:type="dxa"/>
            <w:vAlign w:val="bottom"/>
          </w:tcPr>
          <w:p>
            <w:pPr>
              <w:spacing w:after="0"/>
              <w:rPr>
                <w:sz w:val="18"/>
                <w:szCs w:val="18"/>
                <w:color w:val="auto"/>
              </w:rPr>
            </w:pPr>
          </w:p>
        </w:tc>
      </w:tr>
      <w:tr>
        <w:trPr>
          <w:trHeight w:val="226"/>
        </w:trPr>
        <w:tc>
          <w:tcPr>
            <w:tcW w:w="3740" w:type="dxa"/>
            <w:vAlign w:val="bottom"/>
          </w:tcPr>
          <w:p>
            <w:pPr>
              <w:spacing w:after="0"/>
              <w:rPr>
                <w:sz w:val="19"/>
                <w:szCs w:val="19"/>
                <w:color w:val="auto"/>
              </w:rPr>
            </w:pPr>
          </w:p>
        </w:tc>
        <w:tc>
          <w:tcPr>
            <w:tcW w:w="1220" w:type="dxa"/>
            <w:vAlign w:val="bottom"/>
            <w:tcBorders>
              <w:bottom w:val="single" w:sz="8" w:color="auto"/>
            </w:tcBorders>
          </w:tcPr>
          <w:p>
            <w:pPr>
              <w:spacing w:after="0"/>
              <w:rPr>
                <w:sz w:val="19"/>
                <w:szCs w:val="19"/>
                <w:color w:val="auto"/>
              </w:rPr>
            </w:pPr>
          </w:p>
        </w:tc>
        <w:tc>
          <w:tcPr>
            <w:tcW w:w="1900" w:type="dxa"/>
            <w:vAlign w:val="bottom"/>
            <w:tcBorders>
              <w:bottom w:val="single" w:sz="8" w:color="auto"/>
            </w:tcBorders>
            <w:gridSpan w:val="3"/>
          </w:tcPr>
          <w:p>
            <w:pPr>
              <w:jc w:val="center"/>
              <w:ind w:right="611"/>
              <w:spacing w:after="0"/>
              <w:rPr>
                <w:sz w:val="20"/>
                <w:szCs w:val="20"/>
                <w:color w:val="auto"/>
              </w:rPr>
            </w:pPr>
            <w:r>
              <w:rPr>
                <w:rFonts w:ascii="Arial" w:cs="Arial" w:eastAsia="Arial" w:hAnsi="Arial"/>
                <w:sz w:val="18"/>
                <w:szCs w:val="18"/>
                <w:b w:val="1"/>
                <w:bCs w:val="1"/>
                <w:color w:val="auto"/>
                <w:w w:val="88"/>
              </w:rPr>
              <w:t>June 30,</w:t>
            </w:r>
          </w:p>
        </w:tc>
        <w:tc>
          <w:tcPr>
            <w:tcW w:w="54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b w:val="1"/>
                <w:bCs w:val="1"/>
                <w:color w:val="auto"/>
                <w:w w:val="88"/>
              </w:rPr>
              <w:t>June 30,</w:t>
            </w:r>
          </w:p>
        </w:tc>
        <w:tc>
          <w:tcPr>
            <w:tcW w:w="1120" w:type="dxa"/>
            <w:vAlign w:val="bottom"/>
            <w:tcBorders>
              <w:bottom w:val="single" w:sz="8" w:color="auto"/>
            </w:tcBorders>
          </w:tcPr>
          <w:p>
            <w:pPr>
              <w:spacing w:after="0"/>
              <w:rPr>
                <w:sz w:val="19"/>
                <w:szCs w:val="19"/>
                <w:color w:val="auto"/>
              </w:rPr>
            </w:pPr>
          </w:p>
        </w:tc>
      </w:tr>
      <w:tr>
        <w:trPr>
          <w:trHeight w:val="219"/>
        </w:trPr>
        <w:tc>
          <w:tcPr>
            <w:tcW w:w="3740" w:type="dxa"/>
            <w:vAlign w:val="bottom"/>
            <w:tcBorders>
              <w:bottom w:val="single" w:sz="8" w:color="CCEEFF"/>
            </w:tcBorders>
          </w:tcPr>
          <w:p>
            <w:pPr>
              <w:spacing w:after="0"/>
              <w:rPr>
                <w:sz w:val="19"/>
                <w:szCs w:val="19"/>
                <w:color w:val="auto"/>
              </w:rPr>
            </w:pPr>
          </w:p>
        </w:tc>
        <w:tc>
          <w:tcPr>
            <w:tcW w:w="1220" w:type="dxa"/>
            <w:vAlign w:val="bottom"/>
            <w:tcBorders>
              <w:bottom w:val="single" w:sz="8" w:color="auto"/>
            </w:tcBorders>
          </w:tcPr>
          <w:p>
            <w:pPr>
              <w:jc w:val="right"/>
              <w:ind w:right="71"/>
              <w:spacing w:after="0"/>
              <w:rPr>
                <w:sz w:val="20"/>
                <w:szCs w:val="20"/>
                <w:color w:val="auto"/>
              </w:rPr>
            </w:pPr>
            <w:r>
              <w:rPr>
                <w:rFonts w:ascii="Arial" w:cs="Arial" w:eastAsia="Arial" w:hAnsi="Arial"/>
                <w:sz w:val="18"/>
                <w:szCs w:val="18"/>
                <w:b w:val="1"/>
                <w:bCs w:val="1"/>
                <w:color w:val="auto"/>
              </w:rPr>
              <w:t>2021</w:t>
            </w:r>
          </w:p>
        </w:tc>
        <w:tc>
          <w:tcPr>
            <w:tcW w:w="56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240" w:type="dxa"/>
            <w:vAlign w:val="bottom"/>
            <w:tcBorders>
              <w:bottom w:val="single" w:sz="8" w:color="auto"/>
            </w:tcBorders>
          </w:tcPr>
          <w:p>
            <w:pPr>
              <w:jc w:val="right"/>
              <w:ind w:right="91"/>
              <w:spacing w:after="0"/>
              <w:rPr>
                <w:sz w:val="20"/>
                <w:szCs w:val="20"/>
                <w:color w:val="auto"/>
              </w:rPr>
            </w:pPr>
            <w:r>
              <w:rPr>
                <w:rFonts w:ascii="Arial" w:cs="Arial" w:eastAsia="Arial" w:hAnsi="Arial"/>
                <w:sz w:val="18"/>
                <w:szCs w:val="18"/>
                <w:b w:val="1"/>
                <w:bCs w:val="1"/>
                <w:color w:val="auto"/>
              </w:rPr>
              <w:t>2020</w:t>
            </w:r>
          </w:p>
        </w:tc>
        <w:tc>
          <w:tcPr>
            <w:tcW w:w="54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2021</w:t>
            </w:r>
          </w:p>
        </w:tc>
        <w:tc>
          <w:tcPr>
            <w:tcW w:w="68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6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631"/>
              <w:spacing w:after="0"/>
              <w:rPr>
                <w:sz w:val="20"/>
                <w:szCs w:val="20"/>
                <w:color w:val="auto"/>
              </w:rPr>
            </w:pPr>
            <w:r>
              <w:rPr>
                <w:rFonts w:ascii="Arial" w:cs="Arial" w:eastAsia="Arial" w:hAnsi="Arial"/>
                <w:sz w:val="18"/>
                <w:szCs w:val="18"/>
                <w:b w:val="1"/>
                <w:bCs w:val="1"/>
                <w:color w:val="auto"/>
                <w:w w:val="94"/>
              </w:rPr>
              <w:t>2020</w:t>
            </w:r>
          </w:p>
        </w:tc>
      </w:tr>
      <w:tr>
        <w:trPr>
          <w:trHeight w:val="219"/>
        </w:trPr>
        <w:tc>
          <w:tcPr>
            <w:tcW w:w="3740" w:type="dxa"/>
            <w:vAlign w:val="bottom"/>
            <w:shd w:val="clear" w:color="auto" w:fill="CCEEFF"/>
          </w:tcPr>
          <w:p>
            <w:pPr>
              <w:ind w:left="220"/>
              <w:spacing w:after="0" w:line="205" w:lineRule="exact"/>
              <w:rPr>
                <w:sz w:val="20"/>
                <w:szCs w:val="20"/>
                <w:color w:val="auto"/>
              </w:rPr>
            </w:pPr>
            <w:r>
              <w:rPr>
                <w:rFonts w:ascii="Arial" w:cs="Arial" w:eastAsia="Arial" w:hAnsi="Arial"/>
                <w:sz w:val="18"/>
                <w:szCs w:val="18"/>
                <w:color w:val="auto"/>
              </w:rPr>
              <w:t>Cost of revenue</w:t>
            </w:r>
          </w:p>
        </w:tc>
        <w:tc>
          <w:tcPr>
            <w:tcW w:w="1220" w:type="dxa"/>
            <w:vAlign w:val="bottom"/>
            <w:shd w:val="clear" w:color="auto" w:fill="CCEEFF"/>
          </w:tcPr>
          <w:p>
            <w:pPr>
              <w:jc w:val="right"/>
              <w:ind w:right="1031"/>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w:t>
            </w:r>
          </w:p>
        </w:tc>
        <w:tc>
          <w:tcPr>
            <w:tcW w:w="10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1051"/>
              <w:spacing w:after="0"/>
              <w:rPr>
                <w:sz w:val="20"/>
                <w:szCs w:val="20"/>
                <w:color w:val="auto"/>
              </w:rPr>
            </w:pPr>
            <w:r>
              <w:rPr>
                <w:rFonts w:ascii="Arial" w:cs="Arial" w:eastAsia="Arial" w:hAnsi="Arial"/>
                <w:sz w:val="18"/>
                <w:szCs w:val="18"/>
                <w:color w:val="auto"/>
                <w:w w:val="7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911"/>
              <w:spacing w:after="0"/>
              <w:rPr>
                <w:sz w:val="20"/>
                <w:szCs w:val="20"/>
                <w:color w:val="auto"/>
              </w:rPr>
            </w:pPr>
            <w:r>
              <w:rPr>
                <w:rFonts w:ascii="Arial" w:cs="Arial" w:eastAsia="Arial" w:hAnsi="Arial"/>
                <w:sz w:val="18"/>
                <w:szCs w:val="18"/>
                <w:color w:val="auto"/>
                <w:w w:val="7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w:t>
            </w:r>
          </w:p>
        </w:tc>
        <w:tc>
          <w:tcPr>
            <w:tcW w:w="120" w:type="dxa"/>
            <w:vAlign w:val="bottom"/>
            <w:shd w:val="clear" w:color="auto" w:fill="CCEEFF"/>
          </w:tcPr>
          <w:p>
            <w:pPr>
              <w:spacing w:after="0"/>
              <w:rPr>
                <w:sz w:val="19"/>
                <w:szCs w:val="19"/>
                <w:color w:val="auto"/>
              </w:rPr>
            </w:pPr>
          </w:p>
        </w:tc>
        <w:tc>
          <w:tcPr>
            <w:tcW w:w="660" w:type="dxa"/>
            <w:vAlign w:val="bottom"/>
            <w:shd w:val="clear" w:color="auto" w:fill="CCEEFF"/>
          </w:tcPr>
          <w:p>
            <w:pPr>
              <w:jc w:val="right"/>
              <w:ind w:right="471"/>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w:t>
            </w:r>
          </w:p>
        </w:tc>
      </w:tr>
      <w:tr>
        <w:trPr>
          <w:trHeight w:val="225"/>
        </w:trPr>
        <w:tc>
          <w:tcPr>
            <w:tcW w:w="3740" w:type="dxa"/>
            <w:vAlign w:val="bottom"/>
          </w:tcPr>
          <w:p>
            <w:pPr>
              <w:ind w:left="220"/>
              <w:spacing w:after="0"/>
              <w:rPr>
                <w:sz w:val="20"/>
                <w:szCs w:val="20"/>
                <w:color w:val="auto"/>
              </w:rPr>
            </w:pPr>
            <w:r>
              <w:rPr>
                <w:rFonts w:ascii="Arial" w:cs="Arial" w:eastAsia="Arial" w:hAnsi="Arial"/>
                <w:sz w:val="18"/>
                <w:szCs w:val="18"/>
                <w:color w:val="auto"/>
              </w:rPr>
              <w:t>Research and development</w:t>
            </w:r>
          </w:p>
        </w:tc>
        <w:tc>
          <w:tcPr>
            <w:tcW w:w="122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49.5</w:t>
            </w:r>
          </w:p>
        </w:tc>
        <w:tc>
          <w:tcPr>
            <w:tcW w:w="1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47.0</w:t>
            </w:r>
          </w:p>
        </w:tc>
        <w:tc>
          <w:tcPr>
            <w:tcW w:w="1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93.0</w:t>
            </w:r>
          </w:p>
        </w:tc>
        <w:tc>
          <w:tcPr>
            <w:tcW w:w="1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84.2</w:t>
            </w:r>
          </w:p>
        </w:tc>
      </w:tr>
      <w:tr>
        <w:trPr>
          <w:trHeight w:val="226"/>
        </w:trPr>
        <w:tc>
          <w:tcPr>
            <w:tcW w:w="37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Sales and marketing</w:t>
            </w:r>
          </w:p>
        </w:tc>
        <w:tc>
          <w:tcPr>
            <w:tcW w:w="122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w:t>
            </w:r>
          </w:p>
        </w:tc>
        <w:tc>
          <w:tcPr>
            <w:tcW w:w="10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w:t>
            </w: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w:t>
            </w:r>
          </w:p>
        </w:tc>
        <w:tc>
          <w:tcPr>
            <w:tcW w:w="12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16.2</w:t>
            </w:r>
          </w:p>
        </w:tc>
      </w:tr>
      <w:tr>
        <w:trPr>
          <w:trHeight w:val="300"/>
        </w:trPr>
        <w:tc>
          <w:tcPr>
            <w:tcW w:w="3740" w:type="dxa"/>
            <w:vAlign w:val="bottom"/>
          </w:tcPr>
          <w:p>
            <w:pPr>
              <w:ind w:left="220"/>
              <w:spacing w:after="0"/>
              <w:rPr>
                <w:sz w:val="20"/>
                <w:szCs w:val="20"/>
                <w:color w:val="auto"/>
              </w:rPr>
            </w:pPr>
            <w:r>
              <w:rPr>
                <w:rFonts w:ascii="Arial" w:cs="Arial" w:eastAsia="Arial" w:hAnsi="Arial"/>
                <w:sz w:val="18"/>
                <w:szCs w:val="18"/>
                <w:color w:val="auto"/>
              </w:rPr>
              <w:t>General and administrative</w:t>
            </w:r>
            <w:r>
              <w:rPr>
                <w:rFonts w:ascii="Arial" w:cs="Arial" w:eastAsia="Arial" w:hAnsi="Arial"/>
                <w:sz w:val="23"/>
                <w:szCs w:val="23"/>
                <w:color w:val="auto"/>
                <w:vertAlign w:val="superscript"/>
              </w:rPr>
              <w:t>(2)</w:t>
            </w:r>
          </w:p>
        </w:tc>
        <w:tc>
          <w:tcPr>
            <w:tcW w:w="122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12.3</w:t>
            </w:r>
          </w:p>
        </w:tc>
        <w:tc>
          <w:tcPr>
            <w:tcW w:w="1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15.6</w:t>
            </w:r>
          </w:p>
        </w:tc>
        <w:tc>
          <w:tcPr>
            <w:tcW w:w="1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24.4</w:t>
            </w: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8.0</w:t>
            </w:r>
          </w:p>
        </w:tc>
      </w:tr>
    </w:tbl>
    <w:p>
      <w:pPr>
        <w:spacing w:after="0" w:line="200" w:lineRule="exact"/>
        <w:rPr>
          <w:sz w:val="20"/>
          <w:szCs w:val="20"/>
          <w:color w:val="auto"/>
        </w:rPr>
      </w:pPr>
    </w:p>
    <w:p>
      <w:pPr>
        <w:spacing w:after="0" w:line="287" w:lineRule="exact"/>
        <w:rPr>
          <w:sz w:val="20"/>
          <w:szCs w:val="20"/>
          <w:color w:val="auto"/>
        </w:rPr>
      </w:pPr>
    </w:p>
    <w:p>
      <w:pPr>
        <w:ind w:left="-6" w:right="560" w:firstLine="6"/>
        <w:spacing w:after="0" w:line="275" w:lineRule="auto"/>
        <w:tabs>
          <w:tab w:leader="none" w:pos="157" w:val="left"/>
        </w:tabs>
        <w:numPr>
          <w:ilvl w:val="0"/>
          <w:numId w:val="5"/>
        </w:numPr>
        <w:rPr>
          <w:rFonts w:ascii="Arial" w:cs="Arial" w:eastAsia="Arial" w:hAnsi="Arial"/>
          <w:sz w:val="19"/>
          <w:szCs w:val="19"/>
          <w:color w:val="auto"/>
          <w:vertAlign w:val="superscript"/>
        </w:rPr>
      </w:pPr>
      <w:r>
        <w:rPr>
          <w:rFonts w:ascii="Arial" w:cs="Arial" w:eastAsia="Arial" w:hAnsi="Arial"/>
          <w:sz w:val="13"/>
          <w:szCs w:val="13"/>
          <w:color w:val="auto"/>
        </w:rPr>
        <w:t>On March 19, 2020, one of our co-founders resigned as a member of the board and as an officer of Dropbox, resulting in the reversal of $23.8 million in stock-based compensation expense. Of the total amount reversed, $21.5 million related to expense recognized prior to December 31, 2019.</w:t>
      </w:r>
    </w:p>
    <w:p>
      <w:pPr>
        <w:sectPr>
          <w:pgSz w:w="11900" w:h="16838" w:orient="portrait"/>
          <w:cols w:equalWidth="0" w:num="1">
            <w:col w:w="11214"/>
          </w:cols>
          <w:pgMar w:left="326" w:top="882" w:right="359" w:bottom="1440" w:gutter="0" w:footer="0" w:header="0"/>
        </w:sectPr>
      </w:pPr>
    </w:p>
    <w:bookmarkStart w:id="7" w:name="page8"/>
    <w:bookmarkEnd w:id="7"/>
    <w:p>
      <w:pPr>
        <w:jc w:val="center"/>
        <w:spacing w:after="0"/>
        <w:rPr>
          <w:sz w:val="20"/>
          <w:szCs w:val="20"/>
          <w:color w:val="auto"/>
        </w:rPr>
      </w:pPr>
      <w:r>
        <w:rPr>
          <w:rFonts w:ascii="Arial" w:cs="Arial" w:eastAsia="Arial" w:hAnsi="Arial"/>
          <w:sz w:val="21"/>
          <w:szCs w:val="21"/>
          <w:b w:val="1"/>
          <w:bCs w:val="1"/>
          <w:color w:val="auto"/>
        </w:rPr>
        <w:t>Dropbox, Inc.</w:t>
      </w:r>
    </w:p>
    <w:p>
      <w:pPr>
        <w:spacing w:after="0" w:line="35"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Condensed Consolidated Balance Sheets</w:t>
      </w:r>
    </w:p>
    <w:p>
      <w:pPr>
        <w:spacing w:after="0" w:line="3" w:lineRule="exact"/>
        <w:rPr>
          <w:sz w:val="20"/>
          <w:szCs w:val="20"/>
          <w:color w:val="auto"/>
        </w:rPr>
      </w:pPr>
    </w:p>
    <w:p>
      <w:pPr>
        <w:ind w:left="5160"/>
        <w:spacing w:after="0"/>
        <w:rPr>
          <w:sz w:val="20"/>
          <w:szCs w:val="20"/>
          <w:color w:val="auto"/>
        </w:rPr>
      </w:pPr>
      <w:r>
        <w:rPr>
          <w:rFonts w:ascii="Arial" w:cs="Arial" w:eastAsia="Arial" w:hAnsi="Arial"/>
          <w:sz w:val="18"/>
          <w:szCs w:val="18"/>
          <w:i w:val="1"/>
          <w:iCs w:val="1"/>
          <w:color w:val="auto"/>
        </w:rPr>
        <w:t>(In millions)</w:t>
      </w:r>
    </w:p>
    <w:p>
      <w:pPr>
        <w:spacing w:after="0" w:line="3" w:lineRule="exact"/>
        <w:rPr>
          <w:sz w:val="20"/>
          <w:szCs w:val="20"/>
          <w:color w:val="auto"/>
        </w:rPr>
      </w:pPr>
    </w:p>
    <w:p>
      <w:pPr>
        <w:ind w:left="5180"/>
        <w:spacing w:after="0"/>
        <w:rPr>
          <w:sz w:val="20"/>
          <w:szCs w:val="20"/>
          <w:color w:val="auto"/>
        </w:rPr>
      </w:pPr>
      <w:r>
        <w:rPr>
          <w:rFonts w:ascii="Arial" w:cs="Arial" w:eastAsia="Arial" w:hAnsi="Arial"/>
          <w:sz w:val="18"/>
          <w:szCs w:val="18"/>
          <w:i w:val="1"/>
          <w:iCs w:val="1"/>
          <w:color w:val="auto"/>
        </w:rPr>
        <w:t>(Unaudited)</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66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2240" w:type="dxa"/>
            <w:vAlign w:val="bottom"/>
            <w:tcBorders>
              <w:bottom w:val="single" w:sz="8" w:color="auto"/>
            </w:tcBorders>
            <w:gridSpan w:val="3"/>
          </w:tcPr>
          <w:p>
            <w:pPr>
              <w:jc w:val="right"/>
              <w:ind w:right="31"/>
              <w:spacing w:after="0"/>
              <w:rPr>
                <w:sz w:val="20"/>
                <w:szCs w:val="20"/>
                <w:color w:val="auto"/>
              </w:rPr>
            </w:pPr>
            <w:r>
              <w:rPr>
                <w:rFonts w:ascii="Arial" w:cs="Arial" w:eastAsia="Arial" w:hAnsi="Arial"/>
                <w:sz w:val="18"/>
                <w:szCs w:val="18"/>
                <w:b w:val="1"/>
                <w:bCs w:val="1"/>
                <w:color w:val="auto"/>
              </w:rPr>
              <w:t>As of</w:t>
            </w:r>
          </w:p>
        </w:tc>
        <w:tc>
          <w:tcPr>
            <w:tcW w:w="194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0"/>
        </w:trPr>
        <w:tc>
          <w:tcPr>
            <w:tcW w:w="66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980" w:type="dxa"/>
            <w:vAlign w:val="bottom"/>
            <w:gridSpan w:val="2"/>
          </w:tcPr>
          <w:p>
            <w:pPr>
              <w:ind w:left="240"/>
              <w:spacing w:after="0"/>
              <w:rPr>
                <w:sz w:val="20"/>
                <w:szCs w:val="20"/>
                <w:color w:val="auto"/>
              </w:rPr>
            </w:pPr>
            <w:r>
              <w:rPr>
                <w:rFonts w:ascii="Arial" w:cs="Arial" w:eastAsia="Arial" w:hAnsi="Arial"/>
                <w:sz w:val="18"/>
                <w:szCs w:val="18"/>
                <w:b w:val="1"/>
                <w:bCs w:val="1"/>
                <w:color w:val="auto"/>
              </w:rPr>
              <w:t>June 30, 2021</w:t>
            </w:r>
          </w:p>
        </w:tc>
        <w:tc>
          <w:tcPr>
            <w:tcW w:w="260" w:type="dxa"/>
            <w:vAlign w:val="bottom"/>
          </w:tcPr>
          <w:p>
            <w:pPr>
              <w:spacing w:after="0"/>
              <w:rPr>
                <w:sz w:val="19"/>
                <w:szCs w:val="19"/>
                <w:color w:val="auto"/>
              </w:rPr>
            </w:pPr>
          </w:p>
        </w:tc>
        <w:tc>
          <w:tcPr>
            <w:tcW w:w="1940" w:type="dxa"/>
            <w:vAlign w:val="bottom"/>
          </w:tcPr>
          <w:p>
            <w:pPr>
              <w:jc w:val="right"/>
              <w:ind w:right="291"/>
              <w:spacing w:after="0"/>
              <w:rPr>
                <w:sz w:val="20"/>
                <w:szCs w:val="20"/>
                <w:color w:val="auto"/>
              </w:rPr>
            </w:pPr>
            <w:r>
              <w:rPr>
                <w:rFonts w:ascii="Arial" w:cs="Arial" w:eastAsia="Arial" w:hAnsi="Arial"/>
                <w:sz w:val="18"/>
                <w:szCs w:val="18"/>
                <w:b w:val="1"/>
                <w:bCs w:val="1"/>
                <w:color w:val="auto"/>
                <w:w w:val="94"/>
              </w:rPr>
              <w:t>December 31, 2020</w:t>
            </w:r>
          </w:p>
        </w:tc>
        <w:tc>
          <w:tcPr>
            <w:tcW w:w="0" w:type="dxa"/>
            <w:vAlign w:val="bottom"/>
          </w:tcPr>
          <w:p>
            <w:pPr>
              <w:spacing w:after="0"/>
              <w:rPr>
                <w:sz w:val="1"/>
                <w:szCs w:val="1"/>
                <w:color w:val="auto"/>
              </w:rPr>
            </w:pPr>
          </w:p>
        </w:tc>
      </w:tr>
      <w:tr>
        <w:trPr>
          <w:trHeight w:val="206"/>
        </w:trPr>
        <w:tc>
          <w:tcPr>
            <w:tcW w:w="6660" w:type="dxa"/>
            <w:vAlign w:val="bottom"/>
            <w:tcBorders>
              <w:top w:val="single" w:sz="8" w:color="CCEEFF"/>
            </w:tcBorders>
            <w:shd w:val="clear" w:color="auto" w:fill="CCEEFF"/>
          </w:tcPr>
          <w:p>
            <w:pPr>
              <w:ind w:left="20"/>
              <w:spacing w:after="0" w:line="206" w:lineRule="exact"/>
              <w:rPr>
                <w:sz w:val="20"/>
                <w:szCs w:val="20"/>
                <w:color w:val="auto"/>
              </w:rPr>
            </w:pPr>
            <w:r>
              <w:rPr>
                <w:rFonts w:ascii="Arial" w:cs="Arial" w:eastAsia="Arial" w:hAnsi="Arial"/>
                <w:sz w:val="18"/>
                <w:szCs w:val="18"/>
                <w:b w:val="1"/>
                <w:bCs w:val="1"/>
                <w:color w:val="auto"/>
              </w:rPr>
              <w:t>Assets</w:t>
            </w:r>
          </w:p>
        </w:tc>
        <w:tc>
          <w:tcPr>
            <w:tcW w:w="360" w:type="dxa"/>
            <w:vAlign w:val="bottom"/>
            <w:tcBorders>
              <w:top w:val="single" w:sz="8" w:color="auto"/>
            </w:tcBorders>
            <w:shd w:val="clear" w:color="auto" w:fill="CCEEFF"/>
          </w:tcPr>
          <w:p>
            <w:pPr>
              <w:spacing w:after="0"/>
              <w:rPr>
                <w:sz w:val="17"/>
                <w:szCs w:val="17"/>
                <w:color w:val="auto"/>
              </w:rPr>
            </w:pPr>
          </w:p>
        </w:tc>
        <w:tc>
          <w:tcPr>
            <w:tcW w:w="186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194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6660" w:type="dxa"/>
            <w:vAlign w:val="bottom"/>
          </w:tcPr>
          <w:p>
            <w:pPr>
              <w:ind w:left="20"/>
              <w:spacing w:after="0"/>
              <w:rPr>
                <w:sz w:val="20"/>
                <w:szCs w:val="20"/>
                <w:color w:val="auto"/>
              </w:rPr>
            </w:pPr>
            <w:r>
              <w:rPr>
                <w:rFonts w:ascii="Arial" w:cs="Arial" w:eastAsia="Arial" w:hAnsi="Arial"/>
                <w:sz w:val="18"/>
                <w:szCs w:val="18"/>
                <w:color w:val="auto"/>
              </w:rPr>
              <w:t>Current assets:</w:t>
            </w:r>
          </w:p>
        </w:tc>
        <w:tc>
          <w:tcPr>
            <w:tcW w:w="360" w:type="dxa"/>
            <w:vAlign w:val="bottom"/>
          </w:tcPr>
          <w:p>
            <w:pPr>
              <w:spacing w:after="0"/>
              <w:rPr>
                <w:sz w:val="19"/>
                <w:szCs w:val="19"/>
                <w:color w:val="auto"/>
              </w:rPr>
            </w:pPr>
          </w:p>
        </w:tc>
        <w:tc>
          <w:tcPr>
            <w:tcW w:w="1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9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66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Cash and cash equivalents</w:t>
            </w:r>
          </w:p>
        </w:tc>
        <w:tc>
          <w:tcPr>
            <w:tcW w:w="36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w w:val="99"/>
              </w:rPr>
              <w:t>$</w:t>
            </w:r>
          </w:p>
        </w:tc>
        <w:tc>
          <w:tcPr>
            <w:tcW w:w="1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885.3</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w w:val="79"/>
              </w:rPr>
              <w:t>$</w:t>
            </w:r>
          </w:p>
        </w:tc>
        <w:tc>
          <w:tcPr>
            <w:tcW w:w="1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314.9</w:t>
            </w:r>
          </w:p>
        </w:tc>
        <w:tc>
          <w:tcPr>
            <w:tcW w:w="0" w:type="dxa"/>
            <w:vAlign w:val="bottom"/>
          </w:tcPr>
          <w:p>
            <w:pPr>
              <w:spacing w:after="0"/>
              <w:rPr>
                <w:sz w:val="1"/>
                <w:szCs w:val="1"/>
                <w:color w:val="auto"/>
              </w:rPr>
            </w:pPr>
          </w:p>
        </w:tc>
      </w:tr>
      <w:tr>
        <w:trPr>
          <w:trHeight w:val="225"/>
        </w:trPr>
        <w:tc>
          <w:tcPr>
            <w:tcW w:w="6660" w:type="dxa"/>
            <w:vAlign w:val="bottom"/>
          </w:tcPr>
          <w:p>
            <w:pPr>
              <w:ind w:left="220"/>
              <w:spacing w:after="0"/>
              <w:rPr>
                <w:sz w:val="20"/>
                <w:szCs w:val="20"/>
                <w:color w:val="auto"/>
              </w:rPr>
            </w:pPr>
            <w:r>
              <w:rPr>
                <w:rFonts w:ascii="Arial" w:cs="Arial" w:eastAsia="Arial" w:hAnsi="Arial"/>
                <w:sz w:val="18"/>
                <w:szCs w:val="18"/>
                <w:color w:val="auto"/>
              </w:rPr>
              <w:t>Short-term investments</w:t>
            </w:r>
          </w:p>
        </w:tc>
        <w:tc>
          <w:tcPr>
            <w:tcW w:w="360" w:type="dxa"/>
            <w:vAlign w:val="bottom"/>
          </w:tcPr>
          <w:p>
            <w:pPr>
              <w:spacing w:after="0"/>
              <w:rPr>
                <w:sz w:val="19"/>
                <w:szCs w:val="19"/>
                <w:color w:val="auto"/>
              </w:rPr>
            </w:pPr>
          </w:p>
        </w:tc>
        <w:tc>
          <w:tcPr>
            <w:tcW w:w="1860" w:type="dxa"/>
            <w:vAlign w:val="bottom"/>
          </w:tcPr>
          <w:p>
            <w:pPr>
              <w:jc w:val="right"/>
              <w:spacing w:after="0"/>
              <w:rPr>
                <w:sz w:val="20"/>
                <w:szCs w:val="20"/>
                <w:color w:val="auto"/>
              </w:rPr>
            </w:pPr>
            <w:r>
              <w:rPr>
                <w:rFonts w:ascii="Arial" w:cs="Arial" w:eastAsia="Arial" w:hAnsi="Arial"/>
                <w:sz w:val="18"/>
                <w:szCs w:val="18"/>
                <w:color w:val="auto"/>
              </w:rPr>
              <w:t>1,058.9</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940" w:type="dxa"/>
            <w:vAlign w:val="bottom"/>
          </w:tcPr>
          <w:p>
            <w:pPr>
              <w:jc w:val="right"/>
              <w:spacing w:after="0"/>
              <w:rPr>
                <w:sz w:val="20"/>
                <w:szCs w:val="20"/>
                <w:color w:val="auto"/>
              </w:rPr>
            </w:pPr>
            <w:r>
              <w:rPr>
                <w:rFonts w:ascii="Arial" w:cs="Arial" w:eastAsia="Arial" w:hAnsi="Arial"/>
                <w:sz w:val="18"/>
                <w:szCs w:val="18"/>
                <w:color w:val="auto"/>
              </w:rPr>
              <w:t>806.4</w:t>
            </w:r>
          </w:p>
        </w:tc>
        <w:tc>
          <w:tcPr>
            <w:tcW w:w="0" w:type="dxa"/>
            <w:vAlign w:val="bottom"/>
          </w:tcPr>
          <w:p>
            <w:pPr>
              <w:spacing w:after="0"/>
              <w:rPr>
                <w:sz w:val="1"/>
                <w:szCs w:val="1"/>
                <w:color w:val="auto"/>
              </w:rPr>
            </w:pPr>
          </w:p>
        </w:tc>
      </w:tr>
      <w:tr>
        <w:trPr>
          <w:trHeight w:val="226"/>
        </w:trPr>
        <w:tc>
          <w:tcPr>
            <w:tcW w:w="66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Trade and other receivables, net</w:t>
            </w:r>
          </w:p>
        </w:tc>
        <w:tc>
          <w:tcPr>
            <w:tcW w:w="360" w:type="dxa"/>
            <w:vAlign w:val="bottom"/>
            <w:shd w:val="clear" w:color="auto" w:fill="CCEEFF"/>
          </w:tcPr>
          <w:p>
            <w:pPr>
              <w:spacing w:after="0"/>
              <w:rPr>
                <w:sz w:val="19"/>
                <w:szCs w:val="19"/>
                <w:color w:val="auto"/>
              </w:rPr>
            </w:pPr>
          </w:p>
        </w:tc>
        <w:tc>
          <w:tcPr>
            <w:tcW w:w="1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52.2</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43.4</w:t>
            </w:r>
          </w:p>
        </w:tc>
        <w:tc>
          <w:tcPr>
            <w:tcW w:w="0" w:type="dxa"/>
            <w:vAlign w:val="bottom"/>
          </w:tcPr>
          <w:p>
            <w:pPr>
              <w:spacing w:after="0"/>
              <w:rPr>
                <w:sz w:val="1"/>
                <w:szCs w:val="1"/>
                <w:color w:val="auto"/>
              </w:rPr>
            </w:pPr>
          </w:p>
        </w:tc>
      </w:tr>
      <w:tr>
        <w:trPr>
          <w:trHeight w:val="225"/>
        </w:trPr>
        <w:tc>
          <w:tcPr>
            <w:tcW w:w="666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Prepaid expenses and other current assets</w:t>
            </w:r>
          </w:p>
        </w:tc>
        <w:tc>
          <w:tcPr>
            <w:tcW w:w="360" w:type="dxa"/>
            <w:vAlign w:val="bottom"/>
            <w:tcBorders>
              <w:bottom w:val="single" w:sz="8" w:color="auto"/>
            </w:tcBorders>
          </w:tcPr>
          <w:p>
            <w:pPr>
              <w:spacing w:after="0"/>
              <w:rPr>
                <w:sz w:val="19"/>
                <w:szCs w:val="19"/>
                <w:color w:val="auto"/>
              </w:rPr>
            </w:pPr>
          </w:p>
        </w:tc>
        <w:tc>
          <w:tcPr>
            <w:tcW w:w="1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70.9</w:t>
            </w: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62.8</w:t>
            </w:r>
          </w:p>
        </w:tc>
        <w:tc>
          <w:tcPr>
            <w:tcW w:w="0" w:type="dxa"/>
            <w:vAlign w:val="bottom"/>
          </w:tcPr>
          <w:p>
            <w:pPr>
              <w:spacing w:after="0"/>
              <w:rPr>
                <w:sz w:val="1"/>
                <w:szCs w:val="1"/>
                <w:color w:val="auto"/>
              </w:rPr>
            </w:pPr>
          </w:p>
        </w:tc>
      </w:tr>
      <w:tr>
        <w:trPr>
          <w:trHeight w:val="220"/>
        </w:trPr>
        <w:tc>
          <w:tcPr>
            <w:tcW w:w="6660" w:type="dxa"/>
            <w:vAlign w:val="bottom"/>
            <w:shd w:val="clear" w:color="auto" w:fill="CCEEFF"/>
          </w:tcPr>
          <w:p>
            <w:pPr>
              <w:ind w:left="20"/>
              <w:spacing w:after="0" w:line="205" w:lineRule="exact"/>
              <w:rPr>
                <w:sz w:val="20"/>
                <w:szCs w:val="20"/>
                <w:color w:val="auto"/>
              </w:rPr>
            </w:pPr>
            <w:r>
              <w:rPr>
                <w:rFonts w:ascii="Arial" w:cs="Arial" w:eastAsia="Arial" w:hAnsi="Arial"/>
                <w:sz w:val="18"/>
                <w:szCs w:val="18"/>
                <w:color w:val="auto"/>
              </w:rPr>
              <w:t>Total current assets</w:t>
            </w:r>
          </w:p>
        </w:tc>
        <w:tc>
          <w:tcPr>
            <w:tcW w:w="360" w:type="dxa"/>
            <w:vAlign w:val="bottom"/>
            <w:shd w:val="clear" w:color="auto" w:fill="CCEEFF"/>
          </w:tcPr>
          <w:p>
            <w:pPr>
              <w:spacing w:after="0"/>
              <w:rPr>
                <w:sz w:val="19"/>
                <w:szCs w:val="19"/>
                <w:color w:val="auto"/>
              </w:rPr>
            </w:pPr>
          </w:p>
        </w:tc>
        <w:tc>
          <w:tcPr>
            <w:tcW w:w="1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2,067.3</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1,227.5</w:t>
            </w:r>
          </w:p>
        </w:tc>
        <w:tc>
          <w:tcPr>
            <w:tcW w:w="0" w:type="dxa"/>
            <w:vAlign w:val="bottom"/>
          </w:tcPr>
          <w:p>
            <w:pPr>
              <w:spacing w:after="0"/>
              <w:rPr>
                <w:sz w:val="1"/>
                <w:szCs w:val="1"/>
                <w:color w:val="auto"/>
              </w:rPr>
            </w:pPr>
          </w:p>
        </w:tc>
      </w:tr>
      <w:tr>
        <w:trPr>
          <w:trHeight w:val="225"/>
        </w:trPr>
        <w:tc>
          <w:tcPr>
            <w:tcW w:w="6660" w:type="dxa"/>
            <w:vAlign w:val="bottom"/>
          </w:tcPr>
          <w:p>
            <w:pPr>
              <w:ind w:left="20"/>
              <w:spacing w:after="0"/>
              <w:rPr>
                <w:sz w:val="20"/>
                <w:szCs w:val="20"/>
                <w:color w:val="auto"/>
              </w:rPr>
            </w:pPr>
            <w:r>
              <w:rPr>
                <w:rFonts w:ascii="Arial" w:cs="Arial" w:eastAsia="Arial" w:hAnsi="Arial"/>
                <w:sz w:val="18"/>
                <w:szCs w:val="18"/>
                <w:color w:val="auto"/>
              </w:rPr>
              <w:t>Property and equipment, net</w:t>
            </w:r>
          </w:p>
        </w:tc>
        <w:tc>
          <w:tcPr>
            <w:tcW w:w="360" w:type="dxa"/>
            <w:vAlign w:val="bottom"/>
          </w:tcPr>
          <w:p>
            <w:pPr>
              <w:spacing w:after="0"/>
              <w:rPr>
                <w:sz w:val="19"/>
                <w:szCs w:val="19"/>
                <w:color w:val="auto"/>
              </w:rPr>
            </w:pPr>
          </w:p>
        </w:tc>
        <w:tc>
          <w:tcPr>
            <w:tcW w:w="1860" w:type="dxa"/>
            <w:vAlign w:val="bottom"/>
          </w:tcPr>
          <w:p>
            <w:pPr>
              <w:jc w:val="right"/>
              <w:spacing w:after="0"/>
              <w:rPr>
                <w:sz w:val="20"/>
                <w:szCs w:val="20"/>
                <w:color w:val="auto"/>
              </w:rPr>
            </w:pPr>
            <w:r>
              <w:rPr>
                <w:rFonts w:ascii="Arial" w:cs="Arial" w:eastAsia="Arial" w:hAnsi="Arial"/>
                <w:sz w:val="18"/>
                <w:szCs w:val="18"/>
                <w:color w:val="auto"/>
              </w:rPr>
              <w:t>342.9</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940" w:type="dxa"/>
            <w:vAlign w:val="bottom"/>
          </w:tcPr>
          <w:p>
            <w:pPr>
              <w:jc w:val="right"/>
              <w:spacing w:after="0"/>
              <w:rPr>
                <w:sz w:val="20"/>
                <w:szCs w:val="20"/>
                <w:color w:val="auto"/>
              </w:rPr>
            </w:pPr>
            <w:r>
              <w:rPr>
                <w:rFonts w:ascii="Arial" w:cs="Arial" w:eastAsia="Arial" w:hAnsi="Arial"/>
                <w:sz w:val="18"/>
                <w:szCs w:val="18"/>
                <w:color w:val="auto"/>
              </w:rPr>
              <w:t>338.7</w:t>
            </w:r>
          </w:p>
        </w:tc>
        <w:tc>
          <w:tcPr>
            <w:tcW w:w="0" w:type="dxa"/>
            <w:vAlign w:val="bottom"/>
          </w:tcPr>
          <w:p>
            <w:pPr>
              <w:spacing w:after="0"/>
              <w:rPr>
                <w:sz w:val="1"/>
                <w:szCs w:val="1"/>
                <w:color w:val="auto"/>
              </w:rPr>
            </w:pPr>
          </w:p>
        </w:tc>
      </w:tr>
      <w:tr>
        <w:trPr>
          <w:trHeight w:val="226"/>
        </w:trPr>
        <w:tc>
          <w:tcPr>
            <w:tcW w:w="6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lease right-of-use asset</w:t>
            </w:r>
          </w:p>
        </w:tc>
        <w:tc>
          <w:tcPr>
            <w:tcW w:w="360" w:type="dxa"/>
            <w:vAlign w:val="bottom"/>
            <w:shd w:val="clear" w:color="auto" w:fill="CCEEFF"/>
          </w:tcPr>
          <w:p>
            <w:pPr>
              <w:spacing w:after="0"/>
              <w:rPr>
                <w:sz w:val="19"/>
                <w:szCs w:val="19"/>
                <w:color w:val="auto"/>
              </w:rPr>
            </w:pPr>
          </w:p>
        </w:tc>
        <w:tc>
          <w:tcPr>
            <w:tcW w:w="1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437.6</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470.5</w:t>
            </w:r>
          </w:p>
        </w:tc>
        <w:tc>
          <w:tcPr>
            <w:tcW w:w="0" w:type="dxa"/>
            <w:vAlign w:val="bottom"/>
          </w:tcPr>
          <w:p>
            <w:pPr>
              <w:spacing w:after="0"/>
              <w:rPr>
                <w:sz w:val="1"/>
                <w:szCs w:val="1"/>
                <w:color w:val="auto"/>
              </w:rPr>
            </w:pPr>
          </w:p>
        </w:tc>
      </w:tr>
      <w:tr>
        <w:trPr>
          <w:trHeight w:val="225"/>
        </w:trPr>
        <w:tc>
          <w:tcPr>
            <w:tcW w:w="6660" w:type="dxa"/>
            <w:vAlign w:val="bottom"/>
          </w:tcPr>
          <w:p>
            <w:pPr>
              <w:ind w:left="20"/>
              <w:spacing w:after="0"/>
              <w:rPr>
                <w:sz w:val="20"/>
                <w:szCs w:val="20"/>
                <w:color w:val="auto"/>
              </w:rPr>
            </w:pPr>
            <w:r>
              <w:rPr>
                <w:rFonts w:ascii="Arial" w:cs="Arial" w:eastAsia="Arial" w:hAnsi="Arial"/>
                <w:sz w:val="18"/>
                <w:szCs w:val="18"/>
                <w:color w:val="auto"/>
              </w:rPr>
              <w:t>Intangible assets, net</w:t>
            </w:r>
          </w:p>
        </w:tc>
        <w:tc>
          <w:tcPr>
            <w:tcW w:w="360" w:type="dxa"/>
            <w:vAlign w:val="bottom"/>
          </w:tcPr>
          <w:p>
            <w:pPr>
              <w:spacing w:after="0"/>
              <w:rPr>
                <w:sz w:val="19"/>
                <w:szCs w:val="19"/>
                <w:color w:val="auto"/>
              </w:rPr>
            </w:pPr>
          </w:p>
        </w:tc>
        <w:tc>
          <w:tcPr>
            <w:tcW w:w="1860" w:type="dxa"/>
            <w:vAlign w:val="bottom"/>
          </w:tcPr>
          <w:p>
            <w:pPr>
              <w:jc w:val="right"/>
              <w:spacing w:after="0"/>
              <w:rPr>
                <w:sz w:val="20"/>
                <w:szCs w:val="20"/>
                <w:color w:val="auto"/>
              </w:rPr>
            </w:pPr>
            <w:r>
              <w:rPr>
                <w:rFonts w:ascii="Arial" w:cs="Arial" w:eastAsia="Arial" w:hAnsi="Arial"/>
                <w:sz w:val="18"/>
                <w:szCs w:val="18"/>
                <w:color w:val="auto"/>
              </w:rPr>
              <w:t>48.9</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940" w:type="dxa"/>
            <w:vAlign w:val="bottom"/>
          </w:tcPr>
          <w:p>
            <w:pPr>
              <w:jc w:val="right"/>
              <w:spacing w:after="0"/>
              <w:rPr>
                <w:sz w:val="20"/>
                <w:szCs w:val="20"/>
                <w:color w:val="auto"/>
              </w:rPr>
            </w:pPr>
            <w:r>
              <w:rPr>
                <w:rFonts w:ascii="Arial" w:cs="Arial" w:eastAsia="Arial" w:hAnsi="Arial"/>
                <w:sz w:val="18"/>
                <w:szCs w:val="18"/>
                <w:color w:val="auto"/>
              </w:rPr>
              <w:t>33.5</w:t>
            </w:r>
          </w:p>
        </w:tc>
        <w:tc>
          <w:tcPr>
            <w:tcW w:w="0" w:type="dxa"/>
            <w:vAlign w:val="bottom"/>
          </w:tcPr>
          <w:p>
            <w:pPr>
              <w:spacing w:after="0"/>
              <w:rPr>
                <w:sz w:val="1"/>
                <w:szCs w:val="1"/>
                <w:color w:val="auto"/>
              </w:rPr>
            </w:pPr>
          </w:p>
        </w:tc>
      </w:tr>
      <w:tr>
        <w:trPr>
          <w:trHeight w:val="226"/>
        </w:trPr>
        <w:tc>
          <w:tcPr>
            <w:tcW w:w="6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Goodwill</w:t>
            </w:r>
          </w:p>
        </w:tc>
        <w:tc>
          <w:tcPr>
            <w:tcW w:w="360" w:type="dxa"/>
            <w:vAlign w:val="bottom"/>
            <w:shd w:val="clear" w:color="auto" w:fill="CCEEFF"/>
          </w:tcPr>
          <w:p>
            <w:pPr>
              <w:spacing w:after="0"/>
              <w:rPr>
                <w:sz w:val="19"/>
                <w:szCs w:val="19"/>
                <w:color w:val="auto"/>
              </w:rPr>
            </w:pPr>
          </w:p>
        </w:tc>
        <w:tc>
          <w:tcPr>
            <w:tcW w:w="1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346.8</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236.9</w:t>
            </w:r>
          </w:p>
        </w:tc>
        <w:tc>
          <w:tcPr>
            <w:tcW w:w="0" w:type="dxa"/>
            <w:vAlign w:val="bottom"/>
          </w:tcPr>
          <w:p>
            <w:pPr>
              <w:spacing w:after="0"/>
              <w:rPr>
                <w:sz w:val="1"/>
                <w:szCs w:val="1"/>
                <w:color w:val="auto"/>
              </w:rPr>
            </w:pPr>
          </w:p>
        </w:tc>
      </w:tr>
      <w:tr>
        <w:trPr>
          <w:trHeight w:val="225"/>
        </w:trPr>
        <w:tc>
          <w:tcPr>
            <w:tcW w:w="66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assets</w:t>
            </w:r>
          </w:p>
        </w:tc>
        <w:tc>
          <w:tcPr>
            <w:tcW w:w="360" w:type="dxa"/>
            <w:vAlign w:val="bottom"/>
            <w:tcBorders>
              <w:bottom w:val="single" w:sz="8" w:color="auto"/>
            </w:tcBorders>
          </w:tcPr>
          <w:p>
            <w:pPr>
              <w:spacing w:after="0"/>
              <w:rPr>
                <w:sz w:val="19"/>
                <w:szCs w:val="19"/>
                <w:color w:val="auto"/>
              </w:rPr>
            </w:pPr>
          </w:p>
        </w:tc>
        <w:tc>
          <w:tcPr>
            <w:tcW w:w="1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84.6</w:t>
            </w: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80.1</w:t>
            </w:r>
          </w:p>
        </w:tc>
        <w:tc>
          <w:tcPr>
            <w:tcW w:w="0" w:type="dxa"/>
            <w:vAlign w:val="bottom"/>
          </w:tcPr>
          <w:p>
            <w:pPr>
              <w:spacing w:after="0"/>
              <w:rPr>
                <w:sz w:val="1"/>
                <w:szCs w:val="1"/>
                <w:color w:val="auto"/>
              </w:rPr>
            </w:pPr>
          </w:p>
        </w:tc>
      </w:tr>
      <w:tr>
        <w:trPr>
          <w:trHeight w:val="244"/>
        </w:trPr>
        <w:tc>
          <w:tcPr>
            <w:tcW w:w="6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Total assets</w:t>
            </w:r>
          </w:p>
        </w:tc>
        <w:tc>
          <w:tcPr>
            <w:tcW w:w="360" w:type="dxa"/>
            <w:vAlign w:val="bottom"/>
            <w:tcBorders>
              <w:bottom w:val="single" w:sz="8" w:color="auto"/>
            </w:tcBorders>
            <w:shd w:val="clear" w:color="auto" w:fill="CCEEFF"/>
          </w:tcPr>
          <w:p>
            <w:pPr>
              <w:jc w:val="right"/>
              <w:ind w:right="151"/>
              <w:spacing w:after="0"/>
              <w:rPr>
                <w:sz w:val="20"/>
                <w:szCs w:val="20"/>
                <w:color w:val="auto"/>
              </w:rPr>
            </w:pPr>
            <w:r>
              <w:rPr>
                <w:rFonts w:ascii="Arial" w:cs="Arial" w:eastAsia="Arial" w:hAnsi="Arial"/>
                <w:sz w:val="18"/>
                <w:szCs w:val="18"/>
                <w:color w:val="auto"/>
                <w:w w:val="99"/>
              </w:rPr>
              <w:t>$</w:t>
            </w:r>
          </w:p>
        </w:tc>
        <w:tc>
          <w:tcPr>
            <w:tcW w:w="1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3,328.1</w:t>
            </w: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71"/>
              <w:spacing w:after="0"/>
              <w:rPr>
                <w:sz w:val="20"/>
                <w:szCs w:val="20"/>
                <w:color w:val="auto"/>
              </w:rPr>
            </w:pPr>
            <w:r>
              <w:rPr>
                <w:rFonts w:ascii="Arial" w:cs="Arial" w:eastAsia="Arial" w:hAnsi="Arial"/>
                <w:sz w:val="18"/>
                <w:szCs w:val="18"/>
                <w:color w:val="auto"/>
                <w:w w:val="79"/>
              </w:rPr>
              <w:t>$</w:t>
            </w:r>
          </w:p>
        </w:tc>
        <w:tc>
          <w:tcPr>
            <w:tcW w:w="1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2,387.2</w:t>
            </w:r>
          </w:p>
        </w:tc>
        <w:tc>
          <w:tcPr>
            <w:tcW w:w="0" w:type="dxa"/>
            <w:vAlign w:val="bottom"/>
          </w:tcPr>
          <w:p>
            <w:pPr>
              <w:spacing w:after="0"/>
              <w:rPr>
                <w:sz w:val="1"/>
                <w:szCs w:val="1"/>
                <w:color w:val="auto"/>
              </w:rPr>
            </w:pPr>
          </w:p>
        </w:tc>
      </w:tr>
      <w:tr>
        <w:trPr>
          <w:trHeight w:val="20"/>
        </w:trPr>
        <w:tc>
          <w:tcPr>
            <w:tcW w:w="666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b w:val="1"/>
                <w:bCs w:val="1"/>
                <w:color w:val="auto"/>
              </w:rPr>
              <w:t>Liabilities and stockholders' (deficit) equity</w:t>
            </w: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8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9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3"/>
        </w:trPr>
        <w:tc>
          <w:tcPr>
            <w:tcW w:w="6660" w:type="dxa"/>
            <w:vAlign w:val="bottom"/>
            <w:vMerge w:val="continue"/>
          </w:tcPr>
          <w:p>
            <w:pPr>
              <w:spacing w:after="0"/>
              <w:rPr>
                <w:sz w:val="15"/>
                <w:szCs w:val="15"/>
                <w:color w:val="auto"/>
              </w:rPr>
            </w:pPr>
          </w:p>
        </w:tc>
        <w:tc>
          <w:tcPr>
            <w:tcW w:w="360" w:type="dxa"/>
            <w:vAlign w:val="bottom"/>
          </w:tcPr>
          <w:p>
            <w:pPr>
              <w:spacing w:after="0"/>
              <w:rPr>
                <w:sz w:val="15"/>
                <w:szCs w:val="15"/>
                <w:color w:val="auto"/>
              </w:rPr>
            </w:pPr>
          </w:p>
        </w:tc>
        <w:tc>
          <w:tcPr>
            <w:tcW w:w="18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9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6"/>
        </w:trPr>
        <w:tc>
          <w:tcPr>
            <w:tcW w:w="6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Current liabilities:</w:t>
            </w:r>
          </w:p>
        </w:tc>
        <w:tc>
          <w:tcPr>
            <w:tcW w:w="360" w:type="dxa"/>
            <w:vAlign w:val="bottom"/>
            <w:shd w:val="clear" w:color="auto" w:fill="CCEEFF"/>
          </w:tcPr>
          <w:p>
            <w:pPr>
              <w:spacing w:after="0"/>
              <w:rPr>
                <w:sz w:val="19"/>
                <w:szCs w:val="19"/>
                <w:color w:val="auto"/>
              </w:rPr>
            </w:pPr>
          </w:p>
        </w:tc>
        <w:tc>
          <w:tcPr>
            <w:tcW w:w="18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9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6660" w:type="dxa"/>
            <w:vAlign w:val="bottom"/>
          </w:tcPr>
          <w:p>
            <w:pPr>
              <w:ind w:left="220"/>
              <w:spacing w:after="0"/>
              <w:rPr>
                <w:sz w:val="20"/>
                <w:szCs w:val="20"/>
                <w:color w:val="auto"/>
              </w:rPr>
            </w:pPr>
            <w:r>
              <w:rPr>
                <w:rFonts w:ascii="Arial" w:cs="Arial" w:eastAsia="Arial" w:hAnsi="Arial"/>
                <w:sz w:val="18"/>
                <w:szCs w:val="18"/>
                <w:color w:val="auto"/>
              </w:rPr>
              <w:t>Accounts payable</w:t>
            </w:r>
          </w:p>
        </w:tc>
        <w:tc>
          <w:tcPr>
            <w:tcW w:w="360" w:type="dxa"/>
            <w:vAlign w:val="bottom"/>
          </w:tcPr>
          <w:p>
            <w:pPr>
              <w:jc w:val="right"/>
              <w:ind w:right="151"/>
              <w:spacing w:after="0"/>
              <w:rPr>
                <w:sz w:val="20"/>
                <w:szCs w:val="20"/>
                <w:color w:val="auto"/>
              </w:rPr>
            </w:pPr>
            <w:r>
              <w:rPr>
                <w:rFonts w:ascii="Arial" w:cs="Arial" w:eastAsia="Arial" w:hAnsi="Arial"/>
                <w:sz w:val="18"/>
                <w:szCs w:val="18"/>
                <w:color w:val="auto"/>
                <w:w w:val="99"/>
              </w:rPr>
              <w:t>$</w:t>
            </w:r>
          </w:p>
        </w:tc>
        <w:tc>
          <w:tcPr>
            <w:tcW w:w="1860" w:type="dxa"/>
            <w:vAlign w:val="bottom"/>
          </w:tcPr>
          <w:p>
            <w:pPr>
              <w:jc w:val="right"/>
              <w:spacing w:after="0"/>
              <w:rPr>
                <w:sz w:val="20"/>
                <w:szCs w:val="20"/>
                <w:color w:val="auto"/>
              </w:rPr>
            </w:pPr>
            <w:r>
              <w:rPr>
                <w:rFonts w:ascii="Arial" w:cs="Arial" w:eastAsia="Arial" w:hAnsi="Arial"/>
                <w:sz w:val="18"/>
                <w:szCs w:val="18"/>
                <w:color w:val="auto"/>
              </w:rPr>
              <w:t>31.6</w:t>
            </w:r>
          </w:p>
        </w:tc>
        <w:tc>
          <w:tcPr>
            <w:tcW w:w="120" w:type="dxa"/>
            <w:vAlign w:val="bottom"/>
          </w:tcPr>
          <w:p>
            <w:pPr>
              <w:spacing w:after="0"/>
              <w:rPr>
                <w:sz w:val="19"/>
                <w:szCs w:val="19"/>
                <w:color w:val="auto"/>
              </w:rPr>
            </w:pPr>
          </w:p>
        </w:tc>
        <w:tc>
          <w:tcPr>
            <w:tcW w:w="260" w:type="dxa"/>
            <w:vAlign w:val="bottom"/>
          </w:tcPr>
          <w:p>
            <w:pPr>
              <w:jc w:val="right"/>
              <w:ind w:right="71"/>
              <w:spacing w:after="0"/>
              <w:rPr>
                <w:sz w:val="20"/>
                <w:szCs w:val="20"/>
                <w:color w:val="auto"/>
              </w:rPr>
            </w:pPr>
            <w:r>
              <w:rPr>
                <w:rFonts w:ascii="Arial" w:cs="Arial" w:eastAsia="Arial" w:hAnsi="Arial"/>
                <w:sz w:val="18"/>
                <w:szCs w:val="18"/>
                <w:color w:val="auto"/>
                <w:w w:val="79"/>
              </w:rPr>
              <w:t>$</w:t>
            </w:r>
          </w:p>
        </w:tc>
        <w:tc>
          <w:tcPr>
            <w:tcW w:w="1940" w:type="dxa"/>
            <w:vAlign w:val="bottom"/>
          </w:tcPr>
          <w:p>
            <w:pPr>
              <w:jc w:val="right"/>
              <w:spacing w:after="0"/>
              <w:rPr>
                <w:sz w:val="20"/>
                <w:szCs w:val="20"/>
                <w:color w:val="auto"/>
              </w:rPr>
            </w:pPr>
            <w:r>
              <w:rPr>
                <w:rFonts w:ascii="Arial" w:cs="Arial" w:eastAsia="Arial" w:hAnsi="Arial"/>
                <w:sz w:val="18"/>
                <w:szCs w:val="18"/>
                <w:color w:val="auto"/>
              </w:rPr>
              <w:t>18.7</w:t>
            </w:r>
          </w:p>
        </w:tc>
        <w:tc>
          <w:tcPr>
            <w:tcW w:w="0" w:type="dxa"/>
            <w:vAlign w:val="bottom"/>
          </w:tcPr>
          <w:p>
            <w:pPr>
              <w:spacing w:after="0"/>
              <w:rPr>
                <w:sz w:val="1"/>
                <w:szCs w:val="1"/>
                <w:color w:val="auto"/>
              </w:rPr>
            </w:pPr>
          </w:p>
        </w:tc>
      </w:tr>
      <w:tr>
        <w:trPr>
          <w:trHeight w:val="226"/>
        </w:trPr>
        <w:tc>
          <w:tcPr>
            <w:tcW w:w="66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Accrued and other current liabilities</w:t>
            </w:r>
          </w:p>
        </w:tc>
        <w:tc>
          <w:tcPr>
            <w:tcW w:w="360" w:type="dxa"/>
            <w:vAlign w:val="bottom"/>
            <w:shd w:val="clear" w:color="auto" w:fill="CCEEFF"/>
          </w:tcPr>
          <w:p>
            <w:pPr>
              <w:spacing w:after="0"/>
              <w:rPr>
                <w:sz w:val="19"/>
                <w:szCs w:val="19"/>
                <w:color w:val="auto"/>
              </w:rPr>
            </w:pPr>
          </w:p>
        </w:tc>
        <w:tc>
          <w:tcPr>
            <w:tcW w:w="1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158.7</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156.7</w:t>
            </w:r>
          </w:p>
        </w:tc>
        <w:tc>
          <w:tcPr>
            <w:tcW w:w="0" w:type="dxa"/>
            <w:vAlign w:val="bottom"/>
          </w:tcPr>
          <w:p>
            <w:pPr>
              <w:spacing w:after="0"/>
              <w:rPr>
                <w:sz w:val="1"/>
                <w:szCs w:val="1"/>
                <w:color w:val="auto"/>
              </w:rPr>
            </w:pPr>
          </w:p>
        </w:tc>
      </w:tr>
      <w:tr>
        <w:trPr>
          <w:trHeight w:val="225"/>
        </w:trPr>
        <w:tc>
          <w:tcPr>
            <w:tcW w:w="6660" w:type="dxa"/>
            <w:vAlign w:val="bottom"/>
          </w:tcPr>
          <w:p>
            <w:pPr>
              <w:ind w:left="220"/>
              <w:spacing w:after="0"/>
              <w:rPr>
                <w:sz w:val="20"/>
                <w:szCs w:val="20"/>
                <w:color w:val="auto"/>
              </w:rPr>
            </w:pPr>
            <w:r>
              <w:rPr>
                <w:rFonts w:ascii="Arial" w:cs="Arial" w:eastAsia="Arial" w:hAnsi="Arial"/>
                <w:sz w:val="18"/>
                <w:szCs w:val="18"/>
                <w:color w:val="auto"/>
              </w:rPr>
              <w:t>Accrued compensation and benefits</w:t>
            </w:r>
          </w:p>
        </w:tc>
        <w:tc>
          <w:tcPr>
            <w:tcW w:w="360" w:type="dxa"/>
            <w:vAlign w:val="bottom"/>
          </w:tcPr>
          <w:p>
            <w:pPr>
              <w:spacing w:after="0"/>
              <w:rPr>
                <w:sz w:val="19"/>
                <w:szCs w:val="19"/>
                <w:color w:val="auto"/>
              </w:rPr>
            </w:pPr>
          </w:p>
        </w:tc>
        <w:tc>
          <w:tcPr>
            <w:tcW w:w="1860" w:type="dxa"/>
            <w:vAlign w:val="bottom"/>
          </w:tcPr>
          <w:p>
            <w:pPr>
              <w:jc w:val="right"/>
              <w:spacing w:after="0"/>
              <w:rPr>
                <w:sz w:val="20"/>
                <w:szCs w:val="20"/>
                <w:color w:val="auto"/>
              </w:rPr>
            </w:pPr>
            <w:r>
              <w:rPr>
                <w:rFonts w:ascii="Arial" w:cs="Arial" w:eastAsia="Arial" w:hAnsi="Arial"/>
                <w:sz w:val="18"/>
                <w:szCs w:val="18"/>
                <w:color w:val="auto"/>
              </w:rPr>
              <w:t>76.4</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940" w:type="dxa"/>
            <w:vAlign w:val="bottom"/>
          </w:tcPr>
          <w:p>
            <w:pPr>
              <w:jc w:val="right"/>
              <w:spacing w:after="0"/>
              <w:rPr>
                <w:sz w:val="20"/>
                <w:szCs w:val="20"/>
                <w:color w:val="auto"/>
              </w:rPr>
            </w:pPr>
            <w:r>
              <w:rPr>
                <w:rFonts w:ascii="Arial" w:cs="Arial" w:eastAsia="Arial" w:hAnsi="Arial"/>
                <w:sz w:val="18"/>
                <w:szCs w:val="18"/>
                <w:color w:val="auto"/>
              </w:rPr>
              <w:t>113.6</w:t>
            </w:r>
          </w:p>
        </w:tc>
        <w:tc>
          <w:tcPr>
            <w:tcW w:w="0" w:type="dxa"/>
            <w:vAlign w:val="bottom"/>
          </w:tcPr>
          <w:p>
            <w:pPr>
              <w:spacing w:after="0"/>
              <w:rPr>
                <w:sz w:val="1"/>
                <w:szCs w:val="1"/>
                <w:color w:val="auto"/>
              </w:rPr>
            </w:pPr>
          </w:p>
        </w:tc>
      </w:tr>
      <w:tr>
        <w:trPr>
          <w:trHeight w:val="226"/>
        </w:trPr>
        <w:tc>
          <w:tcPr>
            <w:tcW w:w="66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Operating lease liability</w:t>
            </w:r>
          </w:p>
        </w:tc>
        <w:tc>
          <w:tcPr>
            <w:tcW w:w="360" w:type="dxa"/>
            <w:vAlign w:val="bottom"/>
            <w:shd w:val="clear" w:color="auto" w:fill="CCEEFF"/>
          </w:tcPr>
          <w:p>
            <w:pPr>
              <w:spacing w:after="0"/>
              <w:rPr>
                <w:sz w:val="19"/>
                <w:szCs w:val="19"/>
                <w:color w:val="auto"/>
              </w:rPr>
            </w:pPr>
          </w:p>
        </w:tc>
        <w:tc>
          <w:tcPr>
            <w:tcW w:w="1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86.9</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88.7</w:t>
            </w:r>
          </w:p>
        </w:tc>
        <w:tc>
          <w:tcPr>
            <w:tcW w:w="0" w:type="dxa"/>
            <w:vAlign w:val="bottom"/>
          </w:tcPr>
          <w:p>
            <w:pPr>
              <w:spacing w:after="0"/>
              <w:rPr>
                <w:sz w:val="1"/>
                <w:szCs w:val="1"/>
                <w:color w:val="auto"/>
              </w:rPr>
            </w:pPr>
          </w:p>
        </w:tc>
      </w:tr>
      <w:tr>
        <w:trPr>
          <w:trHeight w:val="225"/>
        </w:trPr>
        <w:tc>
          <w:tcPr>
            <w:tcW w:w="6660" w:type="dxa"/>
            <w:vAlign w:val="bottom"/>
          </w:tcPr>
          <w:p>
            <w:pPr>
              <w:ind w:left="220"/>
              <w:spacing w:after="0"/>
              <w:rPr>
                <w:sz w:val="20"/>
                <w:szCs w:val="20"/>
                <w:color w:val="auto"/>
              </w:rPr>
            </w:pPr>
            <w:r>
              <w:rPr>
                <w:rFonts w:ascii="Arial" w:cs="Arial" w:eastAsia="Arial" w:hAnsi="Arial"/>
                <w:sz w:val="18"/>
                <w:szCs w:val="18"/>
                <w:color w:val="auto"/>
              </w:rPr>
              <w:t>Finance lease obligation</w:t>
            </w:r>
          </w:p>
        </w:tc>
        <w:tc>
          <w:tcPr>
            <w:tcW w:w="360" w:type="dxa"/>
            <w:vAlign w:val="bottom"/>
          </w:tcPr>
          <w:p>
            <w:pPr>
              <w:spacing w:after="0"/>
              <w:rPr>
                <w:sz w:val="19"/>
                <w:szCs w:val="19"/>
                <w:color w:val="auto"/>
              </w:rPr>
            </w:pPr>
          </w:p>
        </w:tc>
        <w:tc>
          <w:tcPr>
            <w:tcW w:w="1860" w:type="dxa"/>
            <w:vAlign w:val="bottom"/>
          </w:tcPr>
          <w:p>
            <w:pPr>
              <w:jc w:val="right"/>
              <w:spacing w:after="0"/>
              <w:rPr>
                <w:sz w:val="20"/>
                <w:szCs w:val="20"/>
                <w:color w:val="auto"/>
              </w:rPr>
            </w:pPr>
            <w:r>
              <w:rPr>
                <w:rFonts w:ascii="Arial" w:cs="Arial" w:eastAsia="Arial" w:hAnsi="Arial"/>
                <w:sz w:val="18"/>
                <w:szCs w:val="18"/>
                <w:color w:val="auto"/>
              </w:rPr>
              <w:t>113.9</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940" w:type="dxa"/>
            <w:vAlign w:val="bottom"/>
          </w:tcPr>
          <w:p>
            <w:pPr>
              <w:jc w:val="right"/>
              <w:spacing w:after="0"/>
              <w:rPr>
                <w:sz w:val="20"/>
                <w:szCs w:val="20"/>
                <w:color w:val="auto"/>
              </w:rPr>
            </w:pPr>
            <w:r>
              <w:rPr>
                <w:rFonts w:ascii="Arial" w:cs="Arial" w:eastAsia="Arial" w:hAnsi="Arial"/>
                <w:sz w:val="18"/>
                <w:szCs w:val="18"/>
                <w:color w:val="auto"/>
              </w:rPr>
              <w:t>99.6</w:t>
            </w:r>
          </w:p>
        </w:tc>
        <w:tc>
          <w:tcPr>
            <w:tcW w:w="0" w:type="dxa"/>
            <w:vAlign w:val="bottom"/>
          </w:tcPr>
          <w:p>
            <w:pPr>
              <w:spacing w:after="0"/>
              <w:rPr>
                <w:sz w:val="1"/>
                <w:szCs w:val="1"/>
                <w:color w:val="auto"/>
              </w:rPr>
            </w:pPr>
          </w:p>
        </w:tc>
      </w:tr>
      <w:tr>
        <w:trPr>
          <w:trHeight w:val="226"/>
        </w:trPr>
        <w:tc>
          <w:tcPr>
            <w:tcW w:w="66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Deferred revenue</w:t>
            </w:r>
          </w:p>
        </w:tc>
        <w:tc>
          <w:tcPr>
            <w:tcW w:w="360" w:type="dxa"/>
            <w:vAlign w:val="bottom"/>
            <w:tcBorders>
              <w:bottom w:val="single" w:sz="8" w:color="auto"/>
            </w:tcBorders>
            <w:shd w:val="clear" w:color="auto" w:fill="CCEEFF"/>
          </w:tcPr>
          <w:p>
            <w:pPr>
              <w:spacing w:after="0"/>
              <w:rPr>
                <w:sz w:val="19"/>
                <w:szCs w:val="19"/>
                <w:color w:val="auto"/>
              </w:rPr>
            </w:pPr>
          </w:p>
        </w:tc>
        <w:tc>
          <w:tcPr>
            <w:tcW w:w="1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657.5</w:t>
            </w:r>
          </w:p>
        </w:tc>
        <w:tc>
          <w:tcPr>
            <w:tcW w:w="1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610.5</w:t>
            </w:r>
          </w:p>
        </w:tc>
        <w:tc>
          <w:tcPr>
            <w:tcW w:w="0" w:type="dxa"/>
            <w:vAlign w:val="bottom"/>
          </w:tcPr>
          <w:p>
            <w:pPr>
              <w:spacing w:after="0"/>
              <w:rPr>
                <w:sz w:val="1"/>
                <w:szCs w:val="1"/>
                <w:color w:val="auto"/>
              </w:rPr>
            </w:pPr>
          </w:p>
        </w:tc>
      </w:tr>
      <w:tr>
        <w:trPr>
          <w:trHeight w:val="218"/>
        </w:trPr>
        <w:tc>
          <w:tcPr>
            <w:tcW w:w="6660" w:type="dxa"/>
            <w:vAlign w:val="bottom"/>
          </w:tcPr>
          <w:p>
            <w:pPr>
              <w:ind w:left="20"/>
              <w:spacing w:after="0" w:line="205" w:lineRule="exact"/>
              <w:rPr>
                <w:sz w:val="20"/>
                <w:szCs w:val="20"/>
                <w:color w:val="auto"/>
              </w:rPr>
            </w:pPr>
            <w:r>
              <w:rPr>
                <w:rFonts w:ascii="Arial" w:cs="Arial" w:eastAsia="Arial" w:hAnsi="Arial"/>
                <w:sz w:val="18"/>
                <w:szCs w:val="18"/>
                <w:color w:val="auto"/>
              </w:rPr>
              <w:t>Total current liabilities</w:t>
            </w:r>
          </w:p>
        </w:tc>
        <w:tc>
          <w:tcPr>
            <w:tcW w:w="360" w:type="dxa"/>
            <w:vAlign w:val="bottom"/>
          </w:tcPr>
          <w:p>
            <w:pPr>
              <w:spacing w:after="0"/>
              <w:rPr>
                <w:sz w:val="19"/>
                <w:szCs w:val="19"/>
                <w:color w:val="auto"/>
              </w:rPr>
            </w:pPr>
          </w:p>
        </w:tc>
        <w:tc>
          <w:tcPr>
            <w:tcW w:w="1860" w:type="dxa"/>
            <w:vAlign w:val="bottom"/>
          </w:tcPr>
          <w:p>
            <w:pPr>
              <w:jc w:val="right"/>
              <w:spacing w:after="0"/>
              <w:rPr>
                <w:sz w:val="20"/>
                <w:szCs w:val="20"/>
                <w:color w:val="auto"/>
              </w:rPr>
            </w:pPr>
            <w:r>
              <w:rPr>
                <w:rFonts w:ascii="Arial" w:cs="Arial" w:eastAsia="Arial" w:hAnsi="Arial"/>
                <w:sz w:val="18"/>
                <w:szCs w:val="18"/>
                <w:color w:val="auto"/>
              </w:rPr>
              <w:t>1,125.0</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940" w:type="dxa"/>
            <w:vAlign w:val="bottom"/>
          </w:tcPr>
          <w:p>
            <w:pPr>
              <w:jc w:val="right"/>
              <w:spacing w:after="0"/>
              <w:rPr>
                <w:sz w:val="20"/>
                <w:szCs w:val="20"/>
                <w:color w:val="auto"/>
              </w:rPr>
            </w:pPr>
            <w:r>
              <w:rPr>
                <w:rFonts w:ascii="Arial" w:cs="Arial" w:eastAsia="Arial" w:hAnsi="Arial"/>
                <w:sz w:val="18"/>
                <w:szCs w:val="18"/>
                <w:color w:val="auto"/>
              </w:rPr>
              <w:t>1,087.8</w:t>
            </w:r>
          </w:p>
        </w:tc>
        <w:tc>
          <w:tcPr>
            <w:tcW w:w="0" w:type="dxa"/>
            <w:vAlign w:val="bottom"/>
          </w:tcPr>
          <w:p>
            <w:pPr>
              <w:spacing w:after="0"/>
              <w:rPr>
                <w:sz w:val="1"/>
                <w:szCs w:val="1"/>
                <w:color w:val="auto"/>
              </w:rPr>
            </w:pPr>
          </w:p>
        </w:tc>
      </w:tr>
      <w:tr>
        <w:trPr>
          <w:trHeight w:val="226"/>
        </w:trPr>
        <w:tc>
          <w:tcPr>
            <w:tcW w:w="66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Operating lease liability, non-current</w:t>
            </w:r>
          </w:p>
        </w:tc>
        <w:tc>
          <w:tcPr>
            <w:tcW w:w="360" w:type="dxa"/>
            <w:vAlign w:val="bottom"/>
            <w:shd w:val="clear" w:color="auto" w:fill="CCEEFF"/>
          </w:tcPr>
          <w:p>
            <w:pPr>
              <w:spacing w:after="0"/>
              <w:rPr>
                <w:sz w:val="19"/>
                <w:szCs w:val="19"/>
                <w:color w:val="auto"/>
              </w:rPr>
            </w:pPr>
          </w:p>
        </w:tc>
        <w:tc>
          <w:tcPr>
            <w:tcW w:w="1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723.4</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759.6</w:t>
            </w:r>
          </w:p>
        </w:tc>
        <w:tc>
          <w:tcPr>
            <w:tcW w:w="0" w:type="dxa"/>
            <w:vAlign w:val="bottom"/>
          </w:tcPr>
          <w:p>
            <w:pPr>
              <w:spacing w:after="0"/>
              <w:rPr>
                <w:sz w:val="1"/>
                <w:szCs w:val="1"/>
                <w:color w:val="auto"/>
              </w:rPr>
            </w:pPr>
          </w:p>
        </w:tc>
      </w:tr>
      <w:tr>
        <w:trPr>
          <w:trHeight w:val="225"/>
        </w:trPr>
        <w:tc>
          <w:tcPr>
            <w:tcW w:w="6660" w:type="dxa"/>
            <w:vAlign w:val="bottom"/>
          </w:tcPr>
          <w:p>
            <w:pPr>
              <w:ind w:left="120"/>
              <w:spacing w:after="0"/>
              <w:rPr>
                <w:sz w:val="20"/>
                <w:szCs w:val="20"/>
                <w:color w:val="auto"/>
              </w:rPr>
            </w:pPr>
            <w:r>
              <w:rPr>
                <w:rFonts w:ascii="Arial" w:cs="Arial" w:eastAsia="Arial" w:hAnsi="Arial"/>
                <w:sz w:val="18"/>
                <w:szCs w:val="18"/>
                <w:color w:val="auto"/>
              </w:rPr>
              <w:t>Finance lease obligation, non-current</w:t>
            </w:r>
          </w:p>
        </w:tc>
        <w:tc>
          <w:tcPr>
            <w:tcW w:w="360" w:type="dxa"/>
            <w:vAlign w:val="bottom"/>
          </w:tcPr>
          <w:p>
            <w:pPr>
              <w:spacing w:after="0"/>
              <w:rPr>
                <w:sz w:val="19"/>
                <w:szCs w:val="19"/>
                <w:color w:val="auto"/>
              </w:rPr>
            </w:pPr>
          </w:p>
        </w:tc>
        <w:tc>
          <w:tcPr>
            <w:tcW w:w="1860" w:type="dxa"/>
            <w:vAlign w:val="bottom"/>
          </w:tcPr>
          <w:p>
            <w:pPr>
              <w:jc w:val="right"/>
              <w:spacing w:after="0"/>
              <w:rPr>
                <w:sz w:val="20"/>
                <w:szCs w:val="20"/>
                <w:color w:val="auto"/>
              </w:rPr>
            </w:pPr>
            <w:r>
              <w:rPr>
                <w:rFonts w:ascii="Arial" w:cs="Arial" w:eastAsia="Arial" w:hAnsi="Arial"/>
                <w:sz w:val="18"/>
                <w:szCs w:val="18"/>
                <w:color w:val="auto"/>
              </w:rPr>
              <w:t>174.0</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940" w:type="dxa"/>
            <w:vAlign w:val="bottom"/>
          </w:tcPr>
          <w:p>
            <w:pPr>
              <w:jc w:val="right"/>
              <w:spacing w:after="0"/>
              <w:rPr>
                <w:sz w:val="20"/>
                <w:szCs w:val="20"/>
                <w:color w:val="auto"/>
              </w:rPr>
            </w:pPr>
            <w:r>
              <w:rPr>
                <w:rFonts w:ascii="Arial" w:cs="Arial" w:eastAsia="Arial" w:hAnsi="Arial"/>
                <w:sz w:val="18"/>
                <w:szCs w:val="18"/>
                <w:color w:val="auto"/>
              </w:rPr>
              <w:t>171.6</w:t>
            </w:r>
          </w:p>
        </w:tc>
        <w:tc>
          <w:tcPr>
            <w:tcW w:w="0" w:type="dxa"/>
            <w:vAlign w:val="bottom"/>
          </w:tcPr>
          <w:p>
            <w:pPr>
              <w:spacing w:after="0"/>
              <w:rPr>
                <w:sz w:val="1"/>
                <w:szCs w:val="1"/>
                <w:color w:val="auto"/>
              </w:rPr>
            </w:pPr>
          </w:p>
        </w:tc>
      </w:tr>
      <w:tr>
        <w:trPr>
          <w:trHeight w:val="226"/>
        </w:trPr>
        <w:tc>
          <w:tcPr>
            <w:tcW w:w="66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Convertible senior notes, net, non-current</w:t>
            </w:r>
          </w:p>
        </w:tc>
        <w:tc>
          <w:tcPr>
            <w:tcW w:w="360" w:type="dxa"/>
            <w:vAlign w:val="bottom"/>
            <w:shd w:val="clear" w:color="auto" w:fill="CCEEFF"/>
          </w:tcPr>
          <w:p>
            <w:pPr>
              <w:spacing w:after="0"/>
              <w:rPr>
                <w:sz w:val="19"/>
                <w:szCs w:val="19"/>
                <w:color w:val="auto"/>
              </w:rPr>
            </w:pPr>
          </w:p>
        </w:tc>
        <w:tc>
          <w:tcPr>
            <w:tcW w:w="1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1,368.4</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5"/>
        </w:trPr>
        <w:tc>
          <w:tcPr>
            <w:tcW w:w="6660" w:type="dxa"/>
            <w:vAlign w:val="bottom"/>
            <w:tcBorders>
              <w:bottom w:val="single" w:sz="8" w:color="CCEEFF"/>
            </w:tcBorders>
          </w:tcPr>
          <w:p>
            <w:pPr>
              <w:ind w:left="120"/>
              <w:spacing w:after="0"/>
              <w:rPr>
                <w:sz w:val="20"/>
                <w:szCs w:val="20"/>
                <w:color w:val="auto"/>
              </w:rPr>
            </w:pPr>
            <w:r>
              <w:rPr>
                <w:rFonts w:ascii="Arial" w:cs="Arial" w:eastAsia="Arial" w:hAnsi="Arial"/>
                <w:sz w:val="18"/>
                <w:szCs w:val="18"/>
                <w:color w:val="auto"/>
              </w:rPr>
              <w:t>Other non-current liabilities</w:t>
            </w:r>
          </w:p>
        </w:tc>
        <w:tc>
          <w:tcPr>
            <w:tcW w:w="360" w:type="dxa"/>
            <w:vAlign w:val="bottom"/>
            <w:tcBorders>
              <w:bottom w:val="single" w:sz="8" w:color="auto"/>
            </w:tcBorders>
          </w:tcPr>
          <w:p>
            <w:pPr>
              <w:spacing w:after="0"/>
              <w:rPr>
                <w:sz w:val="19"/>
                <w:szCs w:val="19"/>
                <w:color w:val="auto"/>
              </w:rPr>
            </w:pPr>
          </w:p>
        </w:tc>
        <w:tc>
          <w:tcPr>
            <w:tcW w:w="1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32.1</w:t>
            </w: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34.4</w:t>
            </w:r>
          </w:p>
        </w:tc>
        <w:tc>
          <w:tcPr>
            <w:tcW w:w="0" w:type="dxa"/>
            <w:vAlign w:val="bottom"/>
          </w:tcPr>
          <w:p>
            <w:pPr>
              <w:spacing w:after="0"/>
              <w:rPr>
                <w:sz w:val="1"/>
                <w:szCs w:val="1"/>
                <w:color w:val="auto"/>
              </w:rPr>
            </w:pPr>
          </w:p>
        </w:tc>
      </w:tr>
      <w:tr>
        <w:trPr>
          <w:trHeight w:val="220"/>
        </w:trPr>
        <w:tc>
          <w:tcPr>
            <w:tcW w:w="6660" w:type="dxa"/>
            <w:vAlign w:val="bottom"/>
            <w:shd w:val="clear" w:color="auto" w:fill="CCEEFF"/>
          </w:tcPr>
          <w:p>
            <w:pPr>
              <w:ind w:left="20"/>
              <w:spacing w:after="0" w:line="205" w:lineRule="exact"/>
              <w:rPr>
                <w:sz w:val="20"/>
                <w:szCs w:val="20"/>
                <w:color w:val="auto"/>
              </w:rPr>
            </w:pPr>
            <w:r>
              <w:rPr>
                <w:rFonts w:ascii="Arial" w:cs="Arial" w:eastAsia="Arial" w:hAnsi="Arial"/>
                <w:sz w:val="18"/>
                <w:szCs w:val="18"/>
                <w:color w:val="auto"/>
              </w:rPr>
              <w:t>Total liabilities</w:t>
            </w:r>
          </w:p>
        </w:tc>
        <w:tc>
          <w:tcPr>
            <w:tcW w:w="360" w:type="dxa"/>
            <w:vAlign w:val="bottom"/>
            <w:tcBorders>
              <w:bottom w:val="single" w:sz="8" w:color="auto"/>
            </w:tcBorders>
            <w:shd w:val="clear" w:color="auto" w:fill="CCEEFF"/>
          </w:tcPr>
          <w:p>
            <w:pPr>
              <w:spacing w:after="0"/>
              <w:rPr>
                <w:sz w:val="19"/>
                <w:szCs w:val="19"/>
                <w:color w:val="auto"/>
              </w:rPr>
            </w:pPr>
          </w:p>
        </w:tc>
        <w:tc>
          <w:tcPr>
            <w:tcW w:w="1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3,422.9</w:t>
            </w:r>
          </w:p>
        </w:tc>
        <w:tc>
          <w:tcPr>
            <w:tcW w:w="1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2,053.4</w:t>
            </w:r>
          </w:p>
        </w:tc>
        <w:tc>
          <w:tcPr>
            <w:tcW w:w="0" w:type="dxa"/>
            <w:vAlign w:val="bottom"/>
          </w:tcPr>
          <w:p>
            <w:pPr>
              <w:spacing w:after="0"/>
              <w:rPr>
                <w:sz w:val="1"/>
                <w:szCs w:val="1"/>
                <w:color w:val="auto"/>
              </w:rPr>
            </w:pPr>
          </w:p>
        </w:tc>
      </w:tr>
      <w:tr>
        <w:trPr>
          <w:trHeight w:val="205"/>
        </w:trPr>
        <w:tc>
          <w:tcPr>
            <w:tcW w:w="6660" w:type="dxa"/>
            <w:vAlign w:val="bottom"/>
          </w:tcPr>
          <w:p>
            <w:pPr>
              <w:ind w:left="20"/>
              <w:spacing w:after="0" w:line="205" w:lineRule="exact"/>
              <w:rPr>
                <w:sz w:val="20"/>
                <w:szCs w:val="20"/>
                <w:color w:val="auto"/>
              </w:rPr>
            </w:pPr>
            <w:r>
              <w:rPr>
                <w:rFonts w:ascii="Arial" w:cs="Arial" w:eastAsia="Arial" w:hAnsi="Arial"/>
                <w:sz w:val="18"/>
                <w:szCs w:val="18"/>
                <w:color w:val="auto"/>
              </w:rPr>
              <w:t>Stockholders' (deficit) equity:</w:t>
            </w:r>
          </w:p>
        </w:tc>
        <w:tc>
          <w:tcPr>
            <w:tcW w:w="360" w:type="dxa"/>
            <w:vAlign w:val="bottom"/>
          </w:tcPr>
          <w:p>
            <w:pPr>
              <w:spacing w:after="0"/>
              <w:rPr>
                <w:sz w:val="17"/>
                <w:szCs w:val="17"/>
                <w:color w:val="auto"/>
              </w:rPr>
            </w:pPr>
          </w:p>
        </w:tc>
        <w:tc>
          <w:tcPr>
            <w:tcW w:w="1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9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6"/>
        </w:trPr>
        <w:tc>
          <w:tcPr>
            <w:tcW w:w="66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Additional paid-in-capital</w:t>
            </w:r>
          </w:p>
        </w:tc>
        <w:tc>
          <w:tcPr>
            <w:tcW w:w="360" w:type="dxa"/>
            <w:vAlign w:val="bottom"/>
            <w:shd w:val="clear" w:color="auto" w:fill="CCEEFF"/>
          </w:tcPr>
          <w:p>
            <w:pPr>
              <w:spacing w:after="0"/>
              <w:rPr>
                <w:sz w:val="19"/>
                <w:szCs w:val="19"/>
                <w:color w:val="auto"/>
              </w:rPr>
            </w:pPr>
          </w:p>
        </w:tc>
        <w:tc>
          <w:tcPr>
            <w:tcW w:w="1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2,446.9</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2,564.3</w:t>
            </w:r>
          </w:p>
        </w:tc>
        <w:tc>
          <w:tcPr>
            <w:tcW w:w="0" w:type="dxa"/>
            <w:vAlign w:val="bottom"/>
          </w:tcPr>
          <w:p>
            <w:pPr>
              <w:spacing w:after="0"/>
              <w:rPr>
                <w:sz w:val="1"/>
                <w:szCs w:val="1"/>
                <w:color w:val="auto"/>
              </w:rPr>
            </w:pPr>
          </w:p>
        </w:tc>
      </w:tr>
      <w:tr>
        <w:trPr>
          <w:trHeight w:val="225"/>
        </w:trPr>
        <w:tc>
          <w:tcPr>
            <w:tcW w:w="6660" w:type="dxa"/>
            <w:vAlign w:val="bottom"/>
          </w:tcPr>
          <w:p>
            <w:pPr>
              <w:ind w:left="220"/>
              <w:spacing w:after="0"/>
              <w:rPr>
                <w:sz w:val="20"/>
                <w:szCs w:val="20"/>
                <w:color w:val="auto"/>
              </w:rPr>
            </w:pPr>
            <w:r>
              <w:rPr>
                <w:rFonts w:ascii="Arial" w:cs="Arial" w:eastAsia="Arial" w:hAnsi="Arial"/>
                <w:sz w:val="18"/>
                <w:szCs w:val="18"/>
                <w:color w:val="auto"/>
              </w:rPr>
              <w:t>Accumulated deficit</w:t>
            </w:r>
          </w:p>
        </w:tc>
        <w:tc>
          <w:tcPr>
            <w:tcW w:w="360" w:type="dxa"/>
            <w:vAlign w:val="bottom"/>
          </w:tcPr>
          <w:p>
            <w:pPr>
              <w:spacing w:after="0"/>
              <w:rPr>
                <w:sz w:val="19"/>
                <w:szCs w:val="19"/>
                <w:color w:val="auto"/>
              </w:rPr>
            </w:pPr>
          </w:p>
        </w:tc>
        <w:tc>
          <w:tcPr>
            <w:tcW w:w="1860" w:type="dxa"/>
            <w:vAlign w:val="bottom"/>
          </w:tcPr>
          <w:p>
            <w:pPr>
              <w:jc w:val="right"/>
              <w:spacing w:after="0"/>
              <w:rPr>
                <w:sz w:val="20"/>
                <w:szCs w:val="20"/>
                <w:color w:val="auto"/>
              </w:rPr>
            </w:pPr>
            <w:r>
              <w:rPr>
                <w:rFonts w:ascii="Arial" w:cs="Arial" w:eastAsia="Arial" w:hAnsi="Arial"/>
                <w:sz w:val="18"/>
                <w:szCs w:val="18"/>
                <w:color w:val="auto"/>
              </w:rPr>
              <w:t>(2,547.5)</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940" w:type="dxa"/>
            <w:vAlign w:val="bottom"/>
          </w:tcPr>
          <w:p>
            <w:pPr>
              <w:jc w:val="right"/>
              <w:spacing w:after="0"/>
              <w:rPr>
                <w:sz w:val="20"/>
                <w:szCs w:val="20"/>
                <w:color w:val="auto"/>
              </w:rPr>
            </w:pPr>
            <w:r>
              <w:rPr>
                <w:rFonts w:ascii="Arial" w:cs="Arial" w:eastAsia="Arial" w:hAnsi="Arial"/>
                <w:sz w:val="18"/>
                <w:szCs w:val="18"/>
                <w:color w:val="auto"/>
              </w:rPr>
              <w:t>(2,241.4)</w:t>
            </w:r>
          </w:p>
        </w:tc>
        <w:tc>
          <w:tcPr>
            <w:tcW w:w="0" w:type="dxa"/>
            <w:vAlign w:val="bottom"/>
          </w:tcPr>
          <w:p>
            <w:pPr>
              <w:spacing w:after="0"/>
              <w:rPr>
                <w:sz w:val="1"/>
                <w:szCs w:val="1"/>
                <w:color w:val="auto"/>
              </w:rPr>
            </w:pPr>
          </w:p>
        </w:tc>
      </w:tr>
      <w:tr>
        <w:trPr>
          <w:trHeight w:val="226"/>
        </w:trPr>
        <w:tc>
          <w:tcPr>
            <w:tcW w:w="66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Accumulated other comprehensive income</w:t>
            </w:r>
          </w:p>
        </w:tc>
        <w:tc>
          <w:tcPr>
            <w:tcW w:w="360" w:type="dxa"/>
            <w:vAlign w:val="bottom"/>
            <w:tcBorders>
              <w:bottom w:val="single" w:sz="8" w:color="auto"/>
            </w:tcBorders>
            <w:shd w:val="clear" w:color="auto" w:fill="CCEEFF"/>
          </w:tcPr>
          <w:p>
            <w:pPr>
              <w:spacing w:after="0"/>
              <w:rPr>
                <w:sz w:val="19"/>
                <w:szCs w:val="19"/>
                <w:color w:val="auto"/>
              </w:rPr>
            </w:pPr>
          </w:p>
        </w:tc>
        <w:tc>
          <w:tcPr>
            <w:tcW w:w="1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w:t>
            </w:r>
          </w:p>
        </w:tc>
        <w:tc>
          <w:tcPr>
            <w:tcW w:w="1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10.9</w:t>
            </w:r>
          </w:p>
        </w:tc>
        <w:tc>
          <w:tcPr>
            <w:tcW w:w="0" w:type="dxa"/>
            <w:vAlign w:val="bottom"/>
          </w:tcPr>
          <w:p>
            <w:pPr>
              <w:spacing w:after="0"/>
              <w:rPr>
                <w:sz w:val="1"/>
                <w:szCs w:val="1"/>
                <w:color w:val="auto"/>
              </w:rPr>
            </w:pPr>
          </w:p>
        </w:tc>
      </w:tr>
      <w:tr>
        <w:trPr>
          <w:trHeight w:val="218"/>
        </w:trPr>
        <w:tc>
          <w:tcPr>
            <w:tcW w:w="6660" w:type="dxa"/>
            <w:vAlign w:val="bottom"/>
            <w:tcBorders>
              <w:bottom w:val="single" w:sz="8" w:color="CCEEFF"/>
            </w:tcBorders>
          </w:tcPr>
          <w:p>
            <w:pPr>
              <w:ind w:left="20"/>
              <w:spacing w:after="0" w:line="205" w:lineRule="exact"/>
              <w:rPr>
                <w:sz w:val="20"/>
                <w:szCs w:val="20"/>
                <w:color w:val="auto"/>
              </w:rPr>
            </w:pPr>
            <w:r>
              <w:rPr>
                <w:rFonts w:ascii="Arial" w:cs="Arial" w:eastAsia="Arial" w:hAnsi="Arial"/>
                <w:sz w:val="18"/>
                <w:szCs w:val="18"/>
                <w:color w:val="auto"/>
              </w:rPr>
              <w:t>Total stockholders' (deficit) equity</w:t>
            </w:r>
          </w:p>
        </w:tc>
        <w:tc>
          <w:tcPr>
            <w:tcW w:w="360" w:type="dxa"/>
            <w:vAlign w:val="bottom"/>
            <w:tcBorders>
              <w:bottom w:val="single" w:sz="8" w:color="auto"/>
            </w:tcBorders>
          </w:tcPr>
          <w:p>
            <w:pPr>
              <w:spacing w:after="0"/>
              <w:rPr>
                <w:sz w:val="19"/>
                <w:szCs w:val="19"/>
                <w:color w:val="auto"/>
              </w:rPr>
            </w:pPr>
          </w:p>
        </w:tc>
        <w:tc>
          <w:tcPr>
            <w:tcW w:w="1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(94.8)</w:t>
            </w: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333.8</w:t>
            </w:r>
          </w:p>
        </w:tc>
        <w:tc>
          <w:tcPr>
            <w:tcW w:w="0" w:type="dxa"/>
            <w:vAlign w:val="bottom"/>
          </w:tcPr>
          <w:p>
            <w:pPr>
              <w:spacing w:after="0"/>
              <w:rPr>
                <w:sz w:val="1"/>
                <w:szCs w:val="1"/>
                <w:color w:val="auto"/>
              </w:rPr>
            </w:pPr>
          </w:p>
        </w:tc>
      </w:tr>
      <w:tr>
        <w:trPr>
          <w:trHeight w:val="244"/>
        </w:trPr>
        <w:tc>
          <w:tcPr>
            <w:tcW w:w="6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Total liabilities and stockholders' (deficit) equity</w:t>
            </w:r>
          </w:p>
        </w:tc>
        <w:tc>
          <w:tcPr>
            <w:tcW w:w="360" w:type="dxa"/>
            <w:vAlign w:val="bottom"/>
            <w:tcBorders>
              <w:bottom w:val="single" w:sz="8" w:color="auto"/>
            </w:tcBorders>
            <w:shd w:val="clear" w:color="auto" w:fill="CCEEFF"/>
          </w:tcPr>
          <w:p>
            <w:pPr>
              <w:jc w:val="right"/>
              <w:ind w:right="151"/>
              <w:spacing w:after="0"/>
              <w:rPr>
                <w:sz w:val="20"/>
                <w:szCs w:val="20"/>
                <w:color w:val="auto"/>
              </w:rPr>
            </w:pPr>
            <w:r>
              <w:rPr>
                <w:rFonts w:ascii="Arial" w:cs="Arial" w:eastAsia="Arial" w:hAnsi="Arial"/>
                <w:sz w:val="18"/>
                <w:szCs w:val="18"/>
                <w:color w:val="auto"/>
                <w:w w:val="99"/>
              </w:rPr>
              <w:t>$</w:t>
            </w:r>
          </w:p>
        </w:tc>
        <w:tc>
          <w:tcPr>
            <w:tcW w:w="1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3,328.1</w:t>
            </w: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71"/>
              <w:spacing w:after="0"/>
              <w:rPr>
                <w:sz w:val="20"/>
                <w:szCs w:val="20"/>
                <w:color w:val="auto"/>
              </w:rPr>
            </w:pPr>
            <w:r>
              <w:rPr>
                <w:rFonts w:ascii="Arial" w:cs="Arial" w:eastAsia="Arial" w:hAnsi="Arial"/>
                <w:sz w:val="18"/>
                <w:szCs w:val="18"/>
                <w:color w:val="auto"/>
                <w:w w:val="79"/>
              </w:rPr>
              <w:t>$</w:t>
            </w:r>
          </w:p>
        </w:tc>
        <w:tc>
          <w:tcPr>
            <w:tcW w:w="1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2,387.2</w:t>
            </w:r>
          </w:p>
        </w:tc>
        <w:tc>
          <w:tcPr>
            <w:tcW w:w="0" w:type="dxa"/>
            <w:vAlign w:val="bottom"/>
          </w:tcPr>
          <w:p>
            <w:pPr>
              <w:spacing w:after="0"/>
              <w:rPr>
                <w:sz w:val="1"/>
                <w:szCs w:val="1"/>
                <w:color w:val="auto"/>
              </w:rPr>
            </w:pPr>
          </w:p>
        </w:tc>
      </w:tr>
      <w:tr>
        <w:trPr>
          <w:trHeight w:val="20"/>
        </w:trPr>
        <w:tc>
          <w:tcPr>
            <w:tcW w:w="666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8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9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200"/>
          </w:cols>
          <w:pgMar w:left="340" w:top="882" w:right="359" w:bottom="1440" w:gutter="0" w:footer="0" w:header="0"/>
        </w:sectPr>
      </w:pPr>
    </w:p>
    <w:bookmarkStart w:id="8" w:name="page9"/>
    <w:bookmarkEnd w:id="8"/>
    <w:p>
      <w:pPr>
        <w:jc w:val="center"/>
        <w:spacing w:after="0"/>
        <w:rPr>
          <w:sz w:val="20"/>
          <w:szCs w:val="20"/>
          <w:color w:val="auto"/>
        </w:rPr>
      </w:pPr>
      <w:r>
        <w:rPr>
          <w:rFonts w:ascii="Arial" w:cs="Arial" w:eastAsia="Arial" w:hAnsi="Arial"/>
          <w:sz w:val="21"/>
          <w:szCs w:val="21"/>
          <w:b w:val="1"/>
          <w:bCs w:val="1"/>
          <w:color w:val="auto"/>
        </w:rPr>
        <w:t>Dropbox, Inc.</w:t>
      </w:r>
    </w:p>
    <w:p>
      <w:pPr>
        <w:spacing w:after="0" w:line="35"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Condensed Consolidated Statements of Cash Flows</w:t>
      </w:r>
    </w:p>
    <w:p>
      <w:pPr>
        <w:spacing w:after="0" w:line="3" w:lineRule="exact"/>
        <w:rPr>
          <w:sz w:val="20"/>
          <w:szCs w:val="20"/>
          <w:color w:val="auto"/>
        </w:rPr>
      </w:pPr>
    </w:p>
    <w:p>
      <w:pPr>
        <w:ind w:left="5180"/>
        <w:spacing w:after="0"/>
        <w:rPr>
          <w:sz w:val="20"/>
          <w:szCs w:val="20"/>
          <w:color w:val="auto"/>
        </w:rPr>
      </w:pPr>
      <w:r>
        <w:rPr>
          <w:rFonts w:ascii="Arial" w:cs="Arial" w:eastAsia="Arial" w:hAnsi="Arial"/>
          <w:sz w:val="18"/>
          <w:szCs w:val="18"/>
          <w:i w:val="1"/>
          <w:iCs w:val="1"/>
          <w:color w:val="auto"/>
        </w:rPr>
        <w:t>(In millions)</w:t>
      </w:r>
    </w:p>
    <w:p>
      <w:pPr>
        <w:spacing w:after="0" w:line="3" w:lineRule="exact"/>
        <w:rPr>
          <w:sz w:val="20"/>
          <w:szCs w:val="20"/>
          <w:color w:val="auto"/>
        </w:rPr>
      </w:pPr>
    </w:p>
    <w:p>
      <w:pPr>
        <w:ind w:left="5200"/>
        <w:spacing w:after="0"/>
        <w:rPr>
          <w:sz w:val="20"/>
          <w:szCs w:val="20"/>
          <w:color w:val="auto"/>
        </w:rPr>
      </w:pPr>
      <w:r>
        <w:rPr>
          <w:rFonts w:ascii="Arial" w:cs="Arial" w:eastAsia="Arial" w:hAnsi="Arial"/>
          <w:sz w:val="18"/>
          <w:szCs w:val="18"/>
          <w:i w:val="1"/>
          <w:iCs w:val="1"/>
          <w:color w:val="auto"/>
        </w:rPr>
        <w:t>(Unaudited)</w:t>
      </w:r>
    </w:p>
    <w:p>
      <w:pPr>
        <w:spacing w:after="0" w:line="102"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66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120" w:type="dxa"/>
            <w:vAlign w:val="bottom"/>
            <w:gridSpan w:val="5"/>
          </w:tcPr>
          <w:p>
            <w:pPr>
              <w:ind w:left="160"/>
              <w:spacing w:after="0"/>
              <w:rPr>
                <w:sz w:val="20"/>
                <w:szCs w:val="20"/>
                <w:color w:val="auto"/>
              </w:rPr>
            </w:pPr>
            <w:r>
              <w:rPr>
                <w:rFonts w:ascii="Arial" w:cs="Arial" w:eastAsia="Arial" w:hAnsi="Arial"/>
                <w:sz w:val="16"/>
                <w:szCs w:val="16"/>
                <w:b w:val="1"/>
                <w:bCs w:val="1"/>
                <w:color w:val="auto"/>
              </w:rPr>
              <w:t>Three Months Ended</w:t>
            </w:r>
          </w:p>
        </w:tc>
        <w:tc>
          <w:tcPr>
            <w:tcW w:w="240" w:type="dxa"/>
            <w:vAlign w:val="bottom"/>
          </w:tcPr>
          <w:p>
            <w:pPr>
              <w:spacing w:after="0"/>
              <w:rPr>
                <w:sz w:val="16"/>
                <w:szCs w:val="16"/>
                <w:color w:val="auto"/>
              </w:rPr>
            </w:pPr>
          </w:p>
        </w:tc>
        <w:tc>
          <w:tcPr>
            <w:tcW w:w="2020" w:type="dxa"/>
            <w:vAlign w:val="bottom"/>
            <w:gridSpan w:val="4"/>
          </w:tcPr>
          <w:p>
            <w:pPr>
              <w:jc w:val="right"/>
              <w:ind w:right="420"/>
              <w:spacing w:after="0"/>
              <w:rPr>
                <w:sz w:val="20"/>
                <w:szCs w:val="20"/>
                <w:color w:val="auto"/>
              </w:rPr>
            </w:pPr>
            <w:r>
              <w:rPr>
                <w:rFonts w:ascii="Arial" w:cs="Arial" w:eastAsia="Arial" w:hAnsi="Arial"/>
                <w:sz w:val="16"/>
                <w:szCs w:val="16"/>
                <w:b w:val="1"/>
                <w:bCs w:val="1"/>
                <w:color w:val="auto"/>
              </w:rPr>
              <w:t>Six Months Ended</w:t>
            </w:r>
          </w:p>
        </w:tc>
      </w:tr>
      <w:tr>
        <w:trPr>
          <w:trHeight w:val="210"/>
        </w:trPr>
        <w:tc>
          <w:tcPr>
            <w:tcW w:w="66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rPr>
              <w:t>June 30,</w:t>
            </w:r>
          </w:p>
        </w:tc>
        <w:tc>
          <w:tcPr>
            <w:tcW w:w="78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rPr>
              <w:t>June 30,</w:t>
            </w:r>
          </w:p>
        </w:tc>
        <w:tc>
          <w:tcPr>
            <w:tcW w:w="760" w:type="dxa"/>
            <w:vAlign w:val="bottom"/>
            <w:tcBorders>
              <w:bottom w:val="single" w:sz="8" w:color="auto"/>
            </w:tcBorders>
          </w:tcPr>
          <w:p>
            <w:pPr>
              <w:spacing w:after="0"/>
              <w:rPr>
                <w:sz w:val="18"/>
                <w:szCs w:val="18"/>
                <w:color w:val="auto"/>
              </w:rPr>
            </w:pPr>
          </w:p>
        </w:tc>
      </w:tr>
      <w:tr>
        <w:trPr>
          <w:trHeight w:val="206"/>
        </w:trPr>
        <w:tc>
          <w:tcPr>
            <w:tcW w:w="662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300"/>
              <w:spacing w:after="0"/>
              <w:rPr>
                <w:sz w:val="20"/>
                <w:szCs w:val="20"/>
                <w:color w:val="auto"/>
              </w:rPr>
            </w:pPr>
            <w:r>
              <w:rPr>
                <w:rFonts w:ascii="Arial" w:cs="Arial" w:eastAsia="Arial" w:hAnsi="Arial"/>
                <w:sz w:val="16"/>
                <w:szCs w:val="16"/>
                <w:b w:val="1"/>
                <w:bCs w:val="1"/>
                <w:color w:val="auto"/>
              </w:rPr>
              <w:t>2021</w:t>
            </w:r>
          </w:p>
        </w:tc>
        <w:tc>
          <w:tcPr>
            <w:tcW w:w="10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300"/>
              <w:spacing w:after="0"/>
              <w:rPr>
                <w:sz w:val="20"/>
                <w:szCs w:val="20"/>
                <w:color w:val="auto"/>
              </w:rPr>
            </w:pPr>
            <w:r>
              <w:rPr>
                <w:rFonts w:ascii="Arial" w:cs="Arial" w:eastAsia="Arial" w:hAnsi="Arial"/>
                <w:sz w:val="16"/>
                <w:szCs w:val="16"/>
                <w:b w:val="1"/>
                <w:bCs w:val="1"/>
                <w:color w:val="auto"/>
              </w:rPr>
              <w:t>2020</w:t>
            </w:r>
          </w:p>
        </w:tc>
        <w:tc>
          <w:tcPr>
            <w:tcW w:w="10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300"/>
              <w:spacing w:after="0"/>
              <w:rPr>
                <w:sz w:val="20"/>
                <w:szCs w:val="20"/>
                <w:color w:val="auto"/>
              </w:rPr>
            </w:pPr>
            <w:r>
              <w:rPr>
                <w:rFonts w:ascii="Arial" w:cs="Arial" w:eastAsia="Arial" w:hAnsi="Arial"/>
                <w:sz w:val="16"/>
                <w:szCs w:val="16"/>
                <w:b w:val="1"/>
                <w:bCs w:val="1"/>
                <w:color w:val="auto"/>
              </w:rPr>
              <w:t>2021</w:t>
            </w:r>
          </w:p>
        </w:tc>
        <w:tc>
          <w:tcPr>
            <w:tcW w:w="10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ind w:right="300"/>
              <w:spacing w:after="0"/>
              <w:rPr>
                <w:sz w:val="20"/>
                <w:szCs w:val="20"/>
                <w:color w:val="auto"/>
              </w:rPr>
            </w:pPr>
            <w:r>
              <w:rPr>
                <w:rFonts w:ascii="Arial" w:cs="Arial" w:eastAsia="Arial" w:hAnsi="Arial"/>
                <w:sz w:val="16"/>
                <w:szCs w:val="16"/>
                <w:b w:val="1"/>
                <w:bCs w:val="1"/>
                <w:color w:val="auto"/>
              </w:rPr>
              <w:t>2020</w:t>
            </w:r>
          </w:p>
        </w:tc>
      </w:tr>
      <w:tr>
        <w:trPr>
          <w:trHeight w:val="195"/>
        </w:trPr>
        <w:tc>
          <w:tcPr>
            <w:tcW w:w="662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Cash flows from operating activities</w:t>
            </w:r>
          </w:p>
        </w:tc>
        <w:tc>
          <w:tcPr>
            <w:tcW w:w="24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r>
      <w:tr>
        <w:trPr>
          <w:trHeight w:val="210"/>
        </w:trPr>
        <w:tc>
          <w:tcPr>
            <w:tcW w:w="6620" w:type="dxa"/>
            <w:vAlign w:val="bottom"/>
          </w:tcPr>
          <w:p>
            <w:pPr>
              <w:ind w:left="20"/>
              <w:spacing w:after="0"/>
              <w:rPr>
                <w:sz w:val="20"/>
                <w:szCs w:val="20"/>
                <w:color w:val="auto"/>
              </w:rPr>
            </w:pPr>
            <w:r>
              <w:rPr>
                <w:rFonts w:ascii="Arial" w:cs="Arial" w:eastAsia="Arial" w:hAnsi="Arial"/>
                <w:sz w:val="16"/>
                <w:szCs w:val="16"/>
                <w:color w:val="auto"/>
              </w:rPr>
              <w:t>Net Income</w:t>
            </w:r>
          </w:p>
        </w:tc>
        <w:tc>
          <w:tcPr>
            <w:tcW w:w="240" w:type="dxa"/>
            <w:vAlign w:val="bottom"/>
          </w:tcPr>
          <w:p>
            <w:pPr>
              <w:jc w:val="right"/>
              <w:ind w:right="60"/>
              <w:spacing w:after="0"/>
              <w:rPr>
                <w:sz w:val="20"/>
                <w:szCs w:val="20"/>
                <w:color w:val="auto"/>
              </w:rPr>
            </w:pPr>
            <w:r>
              <w:rPr>
                <w:rFonts w:ascii="Arial" w:cs="Arial" w:eastAsia="Arial" w:hAnsi="Arial"/>
                <w:sz w:val="16"/>
                <w:szCs w:val="16"/>
                <w:color w:val="auto"/>
                <w:w w:val="89"/>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88.0</w:t>
            </w:r>
          </w:p>
        </w:tc>
        <w:tc>
          <w:tcPr>
            <w:tcW w:w="100" w:type="dxa"/>
            <w:vAlign w:val="bottom"/>
          </w:tcPr>
          <w:p>
            <w:pPr>
              <w:spacing w:after="0"/>
              <w:rPr>
                <w:sz w:val="18"/>
                <w:szCs w:val="18"/>
                <w:color w:val="auto"/>
              </w:rPr>
            </w:pPr>
          </w:p>
        </w:tc>
        <w:tc>
          <w:tcPr>
            <w:tcW w:w="300" w:type="dxa"/>
            <w:vAlign w:val="bottom"/>
          </w:tcPr>
          <w:p>
            <w:pPr>
              <w:jc w:val="right"/>
              <w:ind w:right="120"/>
              <w:spacing w:after="0"/>
              <w:rPr>
                <w:sz w:val="20"/>
                <w:szCs w:val="20"/>
                <w:color w:val="auto"/>
              </w:rPr>
            </w:pPr>
            <w:r>
              <w:rPr>
                <w:rFonts w:ascii="Arial" w:cs="Arial" w:eastAsia="Arial" w:hAnsi="Arial"/>
                <w:sz w:val="16"/>
                <w:szCs w:val="16"/>
                <w:color w:val="auto"/>
                <w:w w:val="89"/>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17.5</w:t>
            </w:r>
          </w:p>
        </w:tc>
        <w:tc>
          <w:tcPr>
            <w:tcW w:w="100" w:type="dxa"/>
            <w:vAlign w:val="bottom"/>
          </w:tcPr>
          <w:p>
            <w:pPr>
              <w:spacing w:after="0"/>
              <w:rPr>
                <w:sz w:val="18"/>
                <w:szCs w:val="18"/>
                <w:color w:val="auto"/>
              </w:rPr>
            </w:pPr>
          </w:p>
        </w:tc>
        <w:tc>
          <w:tcPr>
            <w:tcW w:w="240" w:type="dxa"/>
            <w:vAlign w:val="bottom"/>
          </w:tcPr>
          <w:p>
            <w:pPr>
              <w:jc w:val="right"/>
              <w:ind w:right="60"/>
              <w:spacing w:after="0"/>
              <w:rPr>
                <w:sz w:val="20"/>
                <w:szCs w:val="20"/>
                <w:color w:val="auto"/>
              </w:rPr>
            </w:pPr>
            <w:r>
              <w:rPr>
                <w:rFonts w:ascii="Arial" w:cs="Arial" w:eastAsia="Arial" w:hAnsi="Arial"/>
                <w:sz w:val="16"/>
                <w:szCs w:val="16"/>
                <w:color w:val="auto"/>
                <w:w w:val="89"/>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135.6</w:t>
            </w:r>
          </w:p>
        </w:tc>
        <w:tc>
          <w:tcPr>
            <w:tcW w:w="100" w:type="dxa"/>
            <w:vAlign w:val="bottom"/>
          </w:tcPr>
          <w:p>
            <w:pPr>
              <w:spacing w:after="0"/>
              <w:rPr>
                <w:sz w:val="18"/>
                <w:szCs w:val="18"/>
                <w:color w:val="auto"/>
              </w:rPr>
            </w:pPr>
          </w:p>
        </w:tc>
        <w:tc>
          <w:tcPr>
            <w:tcW w:w="320" w:type="dxa"/>
            <w:vAlign w:val="bottom"/>
          </w:tcPr>
          <w:p>
            <w:pPr>
              <w:jc w:val="right"/>
              <w:ind w:right="140"/>
              <w:spacing w:after="0"/>
              <w:rPr>
                <w:sz w:val="20"/>
                <w:szCs w:val="20"/>
                <w:color w:val="auto"/>
              </w:rPr>
            </w:pPr>
            <w:r>
              <w:rPr>
                <w:rFonts w:ascii="Arial" w:cs="Arial" w:eastAsia="Arial" w:hAnsi="Arial"/>
                <w:sz w:val="16"/>
                <w:szCs w:val="16"/>
                <w:color w:val="auto"/>
                <w:w w:val="89"/>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56.8</w:t>
            </w:r>
          </w:p>
        </w:tc>
      </w:tr>
      <w:tr>
        <w:trPr>
          <w:trHeight w:val="215"/>
        </w:trPr>
        <w:tc>
          <w:tcPr>
            <w:tcW w:w="6620" w:type="dxa"/>
            <w:vAlign w:val="bottom"/>
            <w:shd w:val="clear" w:color="auto" w:fill="CCEEFF"/>
          </w:tcPr>
          <w:p>
            <w:pPr>
              <w:ind w:left="20"/>
              <w:spacing w:after="0"/>
              <w:rPr>
                <w:sz w:val="20"/>
                <w:szCs w:val="20"/>
                <w:color w:val="auto"/>
              </w:rPr>
            </w:pPr>
            <w:r>
              <w:rPr>
                <w:rFonts w:ascii="Arial" w:cs="Arial" w:eastAsia="Arial" w:hAnsi="Arial"/>
                <w:sz w:val="16"/>
                <w:szCs w:val="16"/>
                <w:color w:val="auto"/>
              </w:rPr>
              <w:t>Adjustments to reconcile net income to net cash provided by operating activities:</w:t>
            </w: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r>
      <w:tr>
        <w:trPr>
          <w:trHeight w:val="210"/>
        </w:trPr>
        <w:tc>
          <w:tcPr>
            <w:tcW w:w="6620" w:type="dxa"/>
            <w:vAlign w:val="bottom"/>
          </w:tcPr>
          <w:p>
            <w:pPr>
              <w:ind w:left="220"/>
              <w:spacing w:after="0"/>
              <w:rPr>
                <w:sz w:val="20"/>
                <w:szCs w:val="20"/>
                <w:color w:val="auto"/>
              </w:rPr>
            </w:pPr>
            <w:r>
              <w:rPr>
                <w:rFonts w:ascii="Arial" w:cs="Arial" w:eastAsia="Arial" w:hAnsi="Arial"/>
                <w:sz w:val="16"/>
                <w:szCs w:val="16"/>
                <w:color w:val="auto"/>
              </w:rPr>
              <w:t>Depreciation and amortization</w:t>
            </w: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36.8</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40.1</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71.5</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79.6</w:t>
            </w:r>
          </w:p>
        </w:tc>
      </w:tr>
      <w:tr>
        <w:trPr>
          <w:trHeight w:val="215"/>
        </w:trPr>
        <w:tc>
          <w:tcPr>
            <w:tcW w:w="6620" w:type="dxa"/>
            <w:vAlign w:val="bottom"/>
            <w:shd w:val="clear" w:color="auto" w:fill="CCEEFF"/>
          </w:tcPr>
          <w:p>
            <w:pPr>
              <w:ind w:left="220"/>
              <w:spacing w:after="0"/>
              <w:rPr>
                <w:sz w:val="20"/>
                <w:szCs w:val="20"/>
                <w:color w:val="auto"/>
              </w:rPr>
            </w:pPr>
            <w:r>
              <w:rPr>
                <w:rFonts w:ascii="Arial" w:cs="Arial" w:eastAsia="Arial" w:hAnsi="Arial"/>
                <w:sz w:val="16"/>
                <w:szCs w:val="16"/>
                <w:color w:val="auto"/>
              </w:rPr>
              <w:t>Stock-based compensation</w:t>
            </w: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73.9</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76.6</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141.8</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116.4</w:t>
            </w:r>
          </w:p>
        </w:tc>
      </w:tr>
      <w:tr>
        <w:trPr>
          <w:trHeight w:val="210"/>
        </w:trPr>
        <w:tc>
          <w:tcPr>
            <w:tcW w:w="6620" w:type="dxa"/>
            <w:vAlign w:val="bottom"/>
          </w:tcPr>
          <w:p>
            <w:pPr>
              <w:ind w:left="220"/>
              <w:spacing w:after="0"/>
              <w:rPr>
                <w:sz w:val="20"/>
                <w:szCs w:val="20"/>
                <w:color w:val="auto"/>
              </w:rPr>
            </w:pPr>
            <w:r>
              <w:rPr>
                <w:rFonts w:ascii="Arial" w:cs="Arial" w:eastAsia="Arial" w:hAnsi="Arial"/>
                <w:sz w:val="16"/>
                <w:szCs w:val="16"/>
                <w:color w:val="auto"/>
              </w:rPr>
              <w:t>Impairment related to real estate assets</w:t>
            </w:r>
          </w:p>
        </w:tc>
        <w:tc>
          <w:tcPr>
            <w:tcW w:w="240" w:type="dxa"/>
            <w:vAlign w:val="bottom"/>
          </w:tcPr>
          <w:p>
            <w:pPr>
              <w:spacing w:after="0"/>
              <w:rPr>
                <w:sz w:val="18"/>
                <w:szCs w:val="18"/>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18"/>
                <w:szCs w:val="18"/>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17.3</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5"/>
        </w:trPr>
        <w:tc>
          <w:tcPr>
            <w:tcW w:w="6620" w:type="dxa"/>
            <w:vAlign w:val="bottom"/>
            <w:shd w:val="clear" w:color="auto" w:fill="CCEEFF"/>
          </w:tcPr>
          <w:p>
            <w:pPr>
              <w:ind w:left="220"/>
              <w:spacing w:after="0"/>
              <w:rPr>
                <w:sz w:val="20"/>
                <w:szCs w:val="20"/>
                <w:color w:val="auto"/>
              </w:rPr>
            </w:pPr>
            <w:r>
              <w:rPr>
                <w:rFonts w:ascii="Arial" w:cs="Arial" w:eastAsia="Arial" w:hAnsi="Arial"/>
                <w:sz w:val="16"/>
                <w:szCs w:val="16"/>
                <w:color w:val="auto"/>
              </w:rPr>
              <w:t>Amortization of debt issuance costs</w:t>
            </w: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0.2</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0.3</w:t>
            </w:r>
          </w:p>
        </w:tc>
      </w:tr>
      <w:tr>
        <w:trPr>
          <w:trHeight w:val="210"/>
        </w:trPr>
        <w:tc>
          <w:tcPr>
            <w:tcW w:w="6620" w:type="dxa"/>
            <w:vAlign w:val="bottom"/>
          </w:tcPr>
          <w:p>
            <w:pPr>
              <w:ind w:left="220"/>
              <w:spacing w:after="0"/>
              <w:rPr>
                <w:sz w:val="20"/>
                <w:szCs w:val="20"/>
                <w:color w:val="auto"/>
              </w:rPr>
            </w:pPr>
            <w:r>
              <w:rPr>
                <w:rFonts w:ascii="Arial" w:cs="Arial" w:eastAsia="Arial" w:hAnsi="Arial"/>
                <w:sz w:val="16"/>
                <w:szCs w:val="16"/>
                <w:color w:val="auto"/>
              </w:rPr>
              <w:t>Net gains on equity investments</w:t>
            </w:r>
          </w:p>
        </w:tc>
        <w:tc>
          <w:tcPr>
            <w:tcW w:w="240" w:type="dxa"/>
            <w:vAlign w:val="bottom"/>
          </w:tcPr>
          <w:p>
            <w:pPr>
              <w:spacing w:after="0"/>
              <w:rPr>
                <w:sz w:val="18"/>
                <w:szCs w:val="18"/>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(6.5)</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(17.5)</w:t>
            </w:r>
          </w:p>
        </w:tc>
      </w:tr>
      <w:tr>
        <w:trPr>
          <w:trHeight w:val="215"/>
        </w:trPr>
        <w:tc>
          <w:tcPr>
            <w:tcW w:w="6620" w:type="dxa"/>
            <w:vAlign w:val="bottom"/>
            <w:shd w:val="clear" w:color="auto" w:fill="CCEEFF"/>
          </w:tcPr>
          <w:p>
            <w:pPr>
              <w:ind w:left="220"/>
              <w:spacing w:after="0"/>
              <w:rPr>
                <w:sz w:val="20"/>
                <w:szCs w:val="20"/>
                <w:color w:val="auto"/>
              </w:rPr>
            </w:pPr>
            <w:r>
              <w:rPr>
                <w:rFonts w:ascii="Arial" w:cs="Arial" w:eastAsia="Arial" w:hAnsi="Arial"/>
                <w:sz w:val="16"/>
                <w:szCs w:val="16"/>
                <w:color w:val="auto"/>
              </w:rPr>
              <w:t>Amortization of deferred commissions</w:t>
            </w: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7.7</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5.7</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15.4</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10.8</w:t>
            </w:r>
          </w:p>
        </w:tc>
      </w:tr>
      <w:tr>
        <w:trPr>
          <w:trHeight w:val="210"/>
        </w:trPr>
        <w:tc>
          <w:tcPr>
            <w:tcW w:w="6620" w:type="dxa"/>
            <w:vAlign w:val="bottom"/>
          </w:tcPr>
          <w:p>
            <w:pPr>
              <w:ind w:left="220"/>
              <w:spacing w:after="0"/>
              <w:rPr>
                <w:sz w:val="20"/>
                <w:szCs w:val="20"/>
                <w:color w:val="auto"/>
              </w:rPr>
            </w:pPr>
            <w:r>
              <w:rPr>
                <w:rFonts w:ascii="Arial" w:cs="Arial" w:eastAsia="Arial" w:hAnsi="Arial"/>
                <w:sz w:val="16"/>
                <w:szCs w:val="16"/>
                <w:color w:val="auto"/>
              </w:rPr>
              <w:t>Other</w:t>
            </w: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(5.3)</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(1.3)</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(6.2)</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(0.1)</w:t>
            </w:r>
          </w:p>
        </w:tc>
      </w:tr>
      <w:tr>
        <w:trPr>
          <w:trHeight w:val="215"/>
        </w:trPr>
        <w:tc>
          <w:tcPr>
            <w:tcW w:w="6620" w:type="dxa"/>
            <w:vAlign w:val="bottom"/>
            <w:shd w:val="clear" w:color="auto" w:fill="CCEEFF"/>
          </w:tcPr>
          <w:p>
            <w:pPr>
              <w:ind w:left="20"/>
              <w:spacing w:after="0"/>
              <w:rPr>
                <w:sz w:val="20"/>
                <w:szCs w:val="20"/>
                <w:color w:val="auto"/>
              </w:rPr>
            </w:pPr>
            <w:r>
              <w:rPr>
                <w:rFonts w:ascii="Arial" w:cs="Arial" w:eastAsia="Arial" w:hAnsi="Arial"/>
                <w:sz w:val="16"/>
                <w:szCs w:val="16"/>
                <w:color w:val="auto"/>
              </w:rPr>
              <w:t>Changes in operating assets and liabilities:</w:t>
            </w: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r>
      <w:tr>
        <w:trPr>
          <w:trHeight w:val="210"/>
        </w:trPr>
        <w:tc>
          <w:tcPr>
            <w:tcW w:w="6620" w:type="dxa"/>
            <w:vAlign w:val="bottom"/>
          </w:tcPr>
          <w:p>
            <w:pPr>
              <w:ind w:left="220"/>
              <w:spacing w:after="0"/>
              <w:rPr>
                <w:sz w:val="20"/>
                <w:szCs w:val="20"/>
                <w:color w:val="auto"/>
              </w:rPr>
            </w:pPr>
            <w:r>
              <w:rPr>
                <w:rFonts w:ascii="Arial" w:cs="Arial" w:eastAsia="Arial" w:hAnsi="Arial"/>
                <w:sz w:val="16"/>
                <w:szCs w:val="16"/>
                <w:color w:val="auto"/>
              </w:rPr>
              <w:t>Trade and other receivables, net</w:t>
            </w: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(1.5)</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(7.6)</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(8.6)</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(8.8)</w:t>
            </w:r>
          </w:p>
        </w:tc>
      </w:tr>
      <w:tr>
        <w:trPr>
          <w:trHeight w:val="215"/>
        </w:trPr>
        <w:tc>
          <w:tcPr>
            <w:tcW w:w="6620" w:type="dxa"/>
            <w:vAlign w:val="bottom"/>
            <w:shd w:val="clear" w:color="auto" w:fill="CCEEFF"/>
          </w:tcPr>
          <w:p>
            <w:pPr>
              <w:ind w:left="220"/>
              <w:spacing w:after="0"/>
              <w:rPr>
                <w:sz w:val="20"/>
                <w:szCs w:val="20"/>
                <w:color w:val="auto"/>
              </w:rPr>
            </w:pPr>
            <w:r>
              <w:rPr>
                <w:rFonts w:ascii="Arial" w:cs="Arial" w:eastAsia="Arial" w:hAnsi="Arial"/>
                <w:sz w:val="16"/>
                <w:szCs w:val="16"/>
                <w:color w:val="auto"/>
              </w:rPr>
              <w:t>Prepaid expenses and other current assets</w:t>
            </w: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(11.5)</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(7.7)</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(23.8)</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(22.4)</w:t>
            </w:r>
          </w:p>
        </w:tc>
      </w:tr>
      <w:tr>
        <w:trPr>
          <w:trHeight w:val="210"/>
        </w:trPr>
        <w:tc>
          <w:tcPr>
            <w:tcW w:w="6620" w:type="dxa"/>
            <w:vAlign w:val="bottom"/>
          </w:tcPr>
          <w:p>
            <w:pPr>
              <w:ind w:left="220"/>
              <w:spacing w:after="0"/>
              <w:rPr>
                <w:sz w:val="20"/>
                <w:szCs w:val="20"/>
                <w:color w:val="auto"/>
              </w:rPr>
            </w:pPr>
            <w:r>
              <w:rPr>
                <w:rFonts w:ascii="Arial" w:cs="Arial" w:eastAsia="Arial" w:hAnsi="Arial"/>
                <w:sz w:val="16"/>
                <w:szCs w:val="16"/>
                <w:color w:val="auto"/>
              </w:rPr>
              <w:t>Other assets</w:t>
            </w: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21.2</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15.1</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39.1</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32.8</w:t>
            </w:r>
          </w:p>
        </w:tc>
      </w:tr>
      <w:tr>
        <w:trPr>
          <w:trHeight w:val="215"/>
        </w:trPr>
        <w:tc>
          <w:tcPr>
            <w:tcW w:w="6620" w:type="dxa"/>
            <w:vAlign w:val="bottom"/>
            <w:shd w:val="clear" w:color="auto" w:fill="CCEEFF"/>
          </w:tcPr>
          <w:p>
            <w:pPr>
              <w:ind w:left="220"/>
              <w:spacing w:after="0"/>
              <w:rPr>
                <w:sz w:val="20"/>
                <w:szCs w:val="20"/>
                <w:color w:val="auto"/>
              </w:rPr>
            </w:pPr>
            <w:r>
              <w:rPr>
                <w:rFonts w:ascii="Arial" w:cs="Arial" w:eastAsia="Arial" w:hAnsi="Arial"/>
                <w:sz w:val="16"/>
                <w:szCs w:val="16"/>
                <w:color w:val="auto"/>
              </w:rPr>
              <w:t>Accounts payable</w:t>
            </w: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12.2</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(12.8)</w:t>
            </w:r>
          </w:p>
        </w:tc>
      </w:tr>
      <w:tr>
        <w:trPr>
          <w:trHeight w:val="210"/>
        </w:trPr>
        <w:tc>
          <w:tcPr>
            <w:tcW w:w="6620" w:type="dxa"/>
            <w:vAlign w:val="bottom"/>
          </w:tcPr>
          <w:p>
            <w:pPr>
              <w:ind w:left="220"/>
              <w:spacing w:after="0"/>
              <w:rPr>
                <w:sz w:val="20"/>
                <w:szCs w:val="20"/>
                <w:color w:val="auto"/>
              </w:rPr>
            </w:pPr>
            <w:r>
              <w:rPr>
                <w:rFonts w:ascii="Arial" w:cs="Arial" w:eastAsia="Arial" w:hAnsi="Arial"/>
                <w:sz w:val="16"/>
                <w:szCs w:val="16"/>
                <w:color w:val="auto"/>
              </w:rPr>
              <w:t>Accrued and other current liabilities</w:t>
            </w: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(14.6)</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(14.8)</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(8.3)</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(24.7)</w:t>
            </w:r>
          </w:p>
        </w:tc>
      </w:tr>
      <w:tr>
        <w:trPr>
          <w:trHeight w:val="215"/>
        </w:trPr>
        <w:tc>
          <w:tcPr>
            <w:tcW w:w="6620" w:type="dxa"/>
            <w:vAlign w:val="bottom"/>
            <w:shd w:val="clear" w:color="auto" w:fill="CCEEFF"/>
          </w:tcPr>
          <w:p>
            <w:pPr>
              <w:ind w:left="220"/>
              <w:spacing w:after="0"/>
              <w:rPr>
                <w:sz w:val="20"/>
                <w:szCs w:val="20"/>
                <w:color w:val="auto"/>
              </w:rPr>
            </w:pPr>
            <w:r>
              <w:rPr>
                <w:rFonts w:ascii="Arial" w:cs="Arial" w:eastAsia="Arial" w:hAnsi="Arial"/>
                <w:sz w:val="16"/>
                <w:szCs w:val="16"/>
                <w:color w:val="auto"/>
              </w:rPr>
              <w:t>Accrued compensation and benefits</w:t>
            </w: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33.0</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29.4</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(37.6)</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(30.3)</w:t>
            </w:r>
          </w:p>
        </w:tc>
      </w:tr>
      <w:tr>
        <w:trPr>
          <w:trHeight w:val="210"/>
        </w:trPr>
        <w:tc>
          <w:tcPr>
            <w:tcW w:w="6620" w:type="dxa"/>
            <w:vAlign w:val="bottom"/>
          </w:tcPr>
          <w:p>
            <w:pPr>
              <w:ind w:left="220"/>
              <w:spacing w:after="0"/>
              <w:rPr>
                <w:sz w:val="20"/>
                <w:szCs w:val="20"/>
                <w:color w:val="auto"/>
              </w:rPr>
            </w:pPr>
            <w:r>
              <w:rPr>
                <w:rFonts w:ascii="Arial" w:cs="Arial" w:eastAsia="Arial" w:hAnsi="Arial"/>
                <w:sz w:val="16"/>
                <w:szCs w:val="16"/>
                <w:color w:val="auto"/>
              </w:rPr>
              <w:t>Deferred revenue</w:t>
            </w: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15.5</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6.5</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44.4</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28.7</w:t>
            </w:r>
          </w:p>
        </w:tc>
      </w:tr>
      <w:tr>
        <w:trPr>
          <w:trHeight w:val="215"/>
        </w:trPr>
        <w:tc>
          <w:tcPr>
            <w:tcW w:w="6620" w:type="dxa"/>
            <w:vAlign w:val="bottom"/>
            <w:shd w:val="clear" w:color="auto" w:fill="CCEEFF"/>
          </w:tcPr>
          <w:p>
            <w:pPr>
              <w:ind w:left="220"/>
              <w:spacing w:after="0"/>
              <w:rPr>
                <w:sz w:val="20"/>
                <w:szCs w:val="20"/>
                <w:color w:val="auto"/>
              </w:rPr>
            </w:pPr>
            <w:r>
              <w:rPr>
                <w:rFonts w:ascii="Arial" w:cs="Arial" w:eastAsia="Arial" w:hAnsi="Arial"/>
                <w:sz w:val="16"/>
                <w:szCs w:val="16"/>
                <w:color w:val="auto"/>
              </w:rPr>
              <w:t>Other non-current liabilities</w:t>
            </w: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(26.4)</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(9.7)</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(60.5)</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(26.2)</w:t>
            </w:r>
          </w:p>
        </w:tc>
      </w:tr>
      <w:tr>
        <w:trPr>
          <w:trHeight w:val="210"/>
        </w:trPr>
        <w:tc>
          <w:tcPr>
            <w:tcW w:w="6620" w:type="dxa"/>
            <w:vAlign w:val="bottom"/>
          </w:tcPr>
          <w:p>
            <w:pPr>
              <w:ind w:left="220"/>
              <w:spacing w:after="0"/>
              <w:rPr>
                <w:sz w:val="20"/>
                <w:szCs w:val="20"/>
                <w:color w:val="auto"/>
              </w:rPr>
            </w:pPr>
            <w:r>
              <w:rPr>
                <w:rFonts w:ascii="Arial" w:cs="Arial" w:eastAsia="Arial" w:hAnsi="Arial"/>
                <w:sz w:val="16"/>
                <w:szCs w:val="16"/>
                <w:color w:val="auto"/>
              </w:rPr>
              <w:t>Tenant improvement allowance reimbursement</w:t>
            </w:r>
          </w:p>
        </w:tc>
        <w:tc>
          <w:tcPr>
            <w:tcW w:w="240" w:type="dxa"/>
            <w:vAlign w:val="bottom"/>
          </w:tcPr>
          <w:p>
            <w:pPr>
              <w:spacing w:after="0"/>
              <w:rPr>
                <w:sz w:val="18"/>
                <w:szCs w:val="18"/>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7.4</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1.6</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16.6</w:t>
            </w:r>
          </w:p>
        </w:tc>
      </w:tr>
      <w:tr>
        <w:trPr>
          <w:trHeight w:val="208"/>
        </w:trPr>
        <w:tc>
          <w:tcPr>
            <w:tcW w:w="66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Net cash provided by operating activities</w:t>
            </w:r>
          </w:p>
        </w:tc>
        <w:tc>
          <w:tcPr>
            <w:tcW w:w="240" w:type="dxa"/>
            <w:vAlign w:val="bottom"/>
            <w:tcBorders>
              <w:top w:val="single" w:sz="8" w:color="auto"/>
              <w:bottom w:val="single" w:sz="8" w:color="auto"/>
            </w:tcBorders>
            <w:shd w:val="clear" w:color="auto" w:fill="CCEEFF"/>
          </w:tcPr>
          <w:p>
            <w:pPr>
              <w:spacing w:after="0"/>
              <w:rPr>
                <w:sz w:val="18"/>
                <w:szCs w:val="18"/>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219.9</w:t>
            </w:r>
          </w:p>
        </w:tc>
        <w:tc>
          <w:tcPr>
            <w:tcW w:w="1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bottom w:val="single" w:sz="8" w:color="auto"/>
            </w:tcBorders>
            <w:shd w:val="clear" w:color="auto" w:fill="CCEEFF"/>
          </w:tcPr>
          <w:p>
            <w:pPr>
              <w:spacing w:after="0"/>
              <w:rPr>
                <w:sz w:val="18"/>
                <w:szCs w:val="18"/>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145.9</w:t>
            </w: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spacing w:after="0"/>
              <w:rPr>
                <w:sz w:val="18"/>
                <w:szCs w:val="18"/>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335.6</w:t>
            </w:r>
          </w:p>
        </w:tc>
        <w:tc>
          <w:tcPr>
            <w:tcW w:w="1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spacing w:after="0"/>
              <w:rPr>
                <w:sz w:val="18"/>
                <w:szCs w:val="18"/>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199.2</w:t>
            </w:r>
          </w:p>
        </w:tc>
      </w:tr>
      <w:tr>
        <w:trPr>
          <w:trHeight w:val="190"/>
        </w:trPr>
        <w:tc>
          <w:tcPr>
            <w:tcW w:w="6620" w:type="dxa"/>
            <w:vAlign w:val="bottom"/>
          </w:tcPr>
          <w:p>
            <w:pPr>
              <w:ind w:left="20"/>
              <w:spacing w:after="0"/>
              <w:rPr>
                <w:sz w:val="20"/>
                <w:szCs w:val="20"/>
                <w:color w:val="auto"/>
              </w:rPr>
            </w:pPr>
            <w:r>
              <w:rPr>
                <w:rFonts w:ascii="Arial" w:cs="Arial" w:eastAsia="Arial" w:hAnsi="Arial"/>
                <w:sz w:val="16"/>
                <w:szCs w:val="16"/>
                <w:b w:val="1"/>
                <w:bCs w:val="1"/>
                <w:color w:val="auto"/>
              </w:rPr>
              <w:t>Cash flows from investing activities</w:t>
            </w:r>
          </w:p>
        </w:tc>
        <w:tc>
          <w:tcPr>
            <w:tcW w:w="2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760" w:type="dxa"/>
            <w:vAlign w:val="bottom"/>
          </w:tcPr>
          <w:p>
            <w:pPr>
              <w:spacing w:after="0"/>
              <w:rPr>
                <w:sz w:val="16"/>
                <w:szCs w:val="16"/>
                <w:color w:val="auto"/>
              </w:rPr>
            </w:pPr>
          </w:p>
        </w:tc>
      </w:tr>
      <w:tr>
        <w:trPr>
          <w:trHeight w:val="215"/>
        </w:trPr>
        <w:tc>
          <w:tcPr>
            <w:tcW w:w="6620" w:type="dxa"/>
            <w:vAlign w:val="bottom"/>
            <w:shd w:val="clear" w:color="auto" w:fill="CCEEFF"/>
          </w:tcPr>
          <w:p>
            <w:pPr>
              <w:ind w:left="220"/>
              <w:spacing w:after="0"/>
              <w:rPr>
                <w:sz w:val="20"/>
                <w:szCs w:val="20"/>
                <w:color w:val="auto"/>
              </w:rPr>
            </w:pPr>
            <w:r>
              <w:rPr>
                <w:rFonts w:ascii="Arial" w:cs="Arial" w:eastAsia="Arial" w:hAnsi="Arial"/>
                <w:sz w:val="16"/>
                <w:szCs w:val="16"/>
                <w:color w:val="auto"/>
              </w:rPr>
              <w:t>Capital expenditures</w:t>
            </w: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(26.1)</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(10.8)</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(53.9)</w:t>
            </w:r>
          </w:p>
        </w:tc>
      </w:tr>
      <w:tr>
        <w:trPr>
          <w:trHeight w:val="210"/>
        </w:trPr>
        <w:tc>
          <w:tcPr>
            <w:tcW w:w="6620" w:type="dxa"/>
            <w:vAlign w:val="bottom"/>
          </w:tcPr>
          <w:p>
            <w:pPr>
              <w:ind w:left="220"/>
              <w:spacing w:after="0"/>
              <w:rPr>
                <w:sz w:val="20"/>
                <w:szCs w:val="20"/>
                <w:color w:val="auto"/>
              </w:rPr>
            </w:pPr>
            <w:r>
              <w:rPr>
                <w:rFonts w:ascii="Arial" w:cs="Arial" w:eastAsia="Arial" w:hAnsi="Arial"/>
                <w:sz w:val="16"/>
                <w:szCs w:val="16"/>
                <w:color w:val="auto"/>
              </w:rPr>
              <w:t>Business combinations, net of cash acquired</w:t>
            </w:r>
          </w:p>
        </w:tc>
        <w:tc>
          <w:tcPr>
            <w:tcW w:w="240" w:type="dxa"/>
            <w:vAlign w:val="bottom"/>
          </w:tcPr>
          <w:p>
            <w:pPr>
              <w:spacing w:after="0"/>
              <w:rPr>
                <w:sz w:val="18"/>
                <w:szCs w:val="18"/>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18"/>
                <w:szCs w:val="18"/>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(125.4)</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5"/>
        </w:trPr>
        <w:tc>
          <w:tcPr>
            <w:tcW w:w="6620" w:type="dxa"/>
            <w:vAlign w:val="bottom"/>
            <w:shd w:val="clear" w:color="auto" w:fill="CCEEFF"/>
          </w:tcPr>
          <w:p>
            <w:pPr>
              <w:ind w:left="220"/>
              <w:spacing w:after="0"/>
              <w:rPr>
                <w:sz w:val="20"/>
                <w:szCs w:val="20"/>
                <w:color w:val="auto"/>
              </w:rPr>
            </w:pPr>
            <w:r>
              <w:rPr>
                <w:rFonts w:ascii="Arial" w:cs="Arial" w:eastAsia="Arial" w:hAnsi="Arial"/>
                <w:sz w:val="16"/>
                <w:szCs w:val="16"/>
                <w:color w:val="auto"/>
              </w:rPr>
              <w:t>Purchases of short-term investments</w:t>
            </w: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(179.8)</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(308.7)</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(693.7)</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(429.2)</w:t>
            </w:r>
          </w:p>
        </w:tc>
      </w:tr>
      <w:tr>
        <w:trPr>
          <w:trHeight w:val="210"/>
        </w:trPr>
        <w:tc>
          <w:tcPr>
            <w:tcW w:w="6620" w:type="dxa"/>
            <w:vAlign w:val="bottom"/>
          </w:tcPr>
          <w:p>
            <w:pPr>
              <w:ind w:left="220"/>
              <w:spacing w:after="0"/>
              <w:rPr>
                <w:sz w:val="20"/>
                <w:szCs w:val="20"/>
                <w:color w:val="auto"/>
              </w:rPr>
            </w:pPr>
            <w:r>
              <w:rPr>
                <w:rFonts w:ascii="Arial" w:cs="Arial" w:eastAsia="Arial" w:hAnsi="Arial"/>
                <w:sz w:val="16"/>
                <w:szCs w:val="16"/>
                <w:color w:val="auto"/>
              </w:rPr>
              <w:t>Proceeds from sales of short-term investments</w:t>
            </w: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57.0</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80.2</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171.2</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145.3</w:t>
            </w:r>
          </w:p>
        </w:tc>
      </w:tr>
      <w:tr>
        <w:trPr>
          <w:trHeight w:val="215"/>
        </w:trPr>
        <w:tc>
          <w:tcPr>
            <w:tcW w:w="6620" w:type="dxa"/>
            <w:vAlign w:val="bottom"/>
            <w:shd w:val="clear" w:color="auto" w:fill="CCEEFF"/>
          </w:tcPr>
          <w:p>
            <w:pPr>
              <w:ind w:left="220"/>
              <w:spacing w:after="0"/>
              <w:rPr>
                <w:sz w:val="20"/>
                <w:szCs w:val="20"/>
                <w:color w:val="auto"/>
              </w:rPr>
            </w:pPr>
            <w:r>
              <w:rPr>
                <w:rFonts w:ascii="Arial" w:cs="Arial" w:eastAsia="Arial" w:hAnsi="Arial"/>
                <w:sz w:val="16"/>
                <w:szCs w:val="16"/>
                <w:color w:val="auto"/>
              </w:rPr>
              <w:t>Proceeds from maturities of short-term investments</w:t>
            </w: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134.1</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71.2</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264.0</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138.9</w:t>
            </w:r>
          </w:p>
        </w:tc>
      </w:tr>
      <w:tr>
        <w:trPr>
          <w:trHeight w:val="210"/>
        </w:trPr>
        <w:tc>
          <w:tcPr>
            <w:tcW w:w="6620" w:type="dxa"/>
            <w:vAlign w:val="bottom"/>
            <w:tcBorders>
              <w:bottom w:val="single" w:sz="8" w:color="CCEEFF"/>
            </w:tcBorders>
          </w:tcPr>
          <w:p>
            <w:pPr>
              <w:ind w:left="220"/>
              <w:spacing w:after="0"/>
              <w:rPr>
                <w:sz w:val="20"/>
                <w:szCs w:val="20"/>
                <w:color w:val="auto"/>
              </w:rPr>
            </w:pPr>
            <w:r>
              <w:rPr>
                <w:rFonts w:ascii="Arial" w:cs="Arial" w:eastAsia="Arial" w:hAnsi="Arial"/>
                <w:sz w:val="16"/>
                <w:szCs w:val="16"/>
                <w:color w:val="auto"/>
              </w:rPr>
              <w:t>Other</w:t>
            </w:r>
          </w:p>
        </w:tc>
        <w:tc>
          <w:tcPr>
            <w:tcW w:w="2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14.2</w:t>
            </w: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5.5</w:t>
            </w: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17.5</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9.3</w:t>
            </w:r>
          </w:p>
        </w:tc>
      </w:tr>
      <w:tr>
        <w:trPr>
          <w:trHeight w:val="208"/>
        </w:trPr>
        <w:tc>
          <w:tcPr>
            <w:tcW w:w="662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Net cash provided by (used in) investing activities</w:t>
            </w:r>
          </w:p>
        </w:tc>
        <w:tc>
          <w:tcPr>
            <w:tcW w:w="24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21.6</w:t>
            </w:r>
          </w:p>
        </w:tc>
        <w:tc>
          <w:tcPr>
            <w:tcW w:w="1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(177.9)</w:t>
            </w:r>
          </w:p>
        </w:tc>
        <w:tc>
          <w:tcPr>
            <w:tcW w:w="1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(377.2)</w:t>
            </w:r>
          </w:p>
        </w:tc>
        <w:tc>
          <w:tcPr>
            <w:tcW w:w="10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(189.6)</w:t>
            </w:r>
          </w:p>
        </w:tc>
      </w:tr>
      <w:tr>
        <w:trPr>
          <w:trHeight w:val="190"/>
        </w:trPr>
        <w:tc>
          <w:tcPr>
            <w:tcW w:w="6620" w:type="dxa"/>
            <w:vAlign w:val="bottom"/>
          </w:tcPr>
          <w:p>
            <w:pPr>
              <w:ind w:left="20"/>
              <w:spacing w:after="0"/>
              <w:rPr>
                <w:sz w:val="20"/>
                <w:szCs w:val="20"/>
                <w:color w:val="auto"/>
              </w:rPr>
            </w:pPr>
            <w:r>
              <w:rPr>
                <w:rFonts w:ascii="Arial" w:cs="Arial" w:eastAsia="Arial" w:hAnsi="Arial"/>
                <w:sz w:val="16"/>
                <w:szCs w:val="16"/>
                <w:b w:val="1"/>
                <w:bCs w:val="1"/>
                <w:color w:val="auto"/>
              </w:rPr>
              <w:t>Cash flows from financing activities</w:t>
            </w:r>
          </w:p>
        </w:tc>
        <w:tc>
          <w:tcPr>
            <w:tcW w:w="2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760" w:type="dxa"/>
            <w:vAlign w:val="bottom"/>
          </w:tcPr>
          <w:p>
            <w:pPr>
              <w:spacing w:after="0"/>
              <w:rPr>
                <w:sz w:val="16"/>
                <w:szCs w:val="16"/>
                <w:color w:val="auto"/>
              </w:rPr>
            </w:pPr>
          </w:p>
        </w:tc>
      </w:tr>
      <w:tr>
        <w:trPr>
          <w:trHeight w:val="215"/>
        </w:trPr>
        <w:tc>
          <w:tcPr>
            <w:tcW w:w="6620" w:type="dxa"/>
            <w:vAlign w:val="bottom"/>
            <w:shd w:val="clear" w:color="auto" w:fill="CCEEFF"/>
          </w:tcPr>
          <w:p>
            <w:pPr>
              <w:ind w:left="220"/>
              <w:spacing w:after="0"/>
              <w:rPr>
                <w:sz w:val="20"/>
                <w:szCs w:val="20"/>
                <w:color w:val="auto"/>
              </w:rPr>
            </w:pPr>
            <w:r>
              <w:rPr>
                <w:rFonts w:ascii="Arial" w:cs="Arial" w:eastAsia="Arial" w:hAnsi="Arial"/>
                <w:sz w:val="16"/>
                <w:szCs w:val="16"/>
                <w:color w:val="auto"/>
              </w:rPr>
              <w:t>Proceeds from issuance of convertible senior notes</w:t>
            </w:r>
          </w:p>
        </w:tc>
        <w:tc>
          <w:tcPr>
            <w:tcW w:w="2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3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1,389.1</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0"/>
        </w:trPr>
        <w:tc>
          <w:tcPr>
            <w:tcW w:w="6620" w:type="dxa"/>
            <w:vAlign w:val="bottom"/>
          </w:tcPr>
          <w:p>
            <w:pPr>
              <w:ind w:left="220"/>
              <w:spacing w:after="0"/>
              <w:rPr>
                <w:sz w:val="20"/>
                <w:szCs w:val="20"/>
                <w:color w:val="auto"/>
              </w:rPr>
            </w:pPr>
            <w:r>
              <w:rPr>
                <w:rFonts w:ascii="Arial" w:cs="Arial" w:eastAsia="Arial" w:hAnsi="Arial"/>
                <w:sz w:val="16"/>
                <w:szCs w:val="16"/>
                <w:color w:val="auto"/>
                <w:w w:val="99"/>
              </w:rPr>
              <w:t>Purchase of convertible note hedge in connection with issuance of convertible senior notes</w:t>
            </w:r>
          </w:p>
        </w:tc>
        <w:tc>
          <w:tcPr>
            <w:tcW w:w="240" w:type="dxa"/>
            <w:vAlign w:val="bottom"/>
          </w:tcPr>
          <w:p>
            <w:pPr>
              <w:spacing w:after="0"/>
              <w:rPr>
                <w:sz w:val="18"/>
                <w:szCs w:val="18"/>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18"/>
                <w:szCs w:val="18"/>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(265.3)</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5"/>
        </w:trPr>
        <w:tc>
          <w:tcPr>
            <w:tcW w:w="6620" w:type="dxa"/>
            <w:vAlign w:val="bottom"/>
            <w:shd w:val="clear" w:color="auto" w:fill="CCEEFF"/>
          </w:tcPr>
          <w:p>
            <w:pPr>
              <w:ind w:left="220"/>
              <w:spacing w:after="0"/>
              <w:rPr>
                <w:sz w:val="20"/>
                <w:szCs w:val="20"/>
                <w:color w:val="auto"/>
              </w:rPr>
            </w:pPr>
            <w:r>
              <w:rPr>
                <w:rFonts w:ascii="Arial" w:cs="Arial" w:eastAsia="Arial" w:hAnsi="Arial"/>
                <w:sz w:val="16"/>
                <w:szCs w:val="16"/>
                <w:color w:val="auto"/>
              </w:rPr>
              <w:t>Proceeds from sale of warrants in connection with issuance of convertible senior notes</w:t>
            </w:r>
          </w:p>
        </w:tc>
        <w:tc>
          <w:tcPr>
            <w:tcW w:w="2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3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202.9</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0"/>
        </w:trPr>
        <w:tc>
          <w:tcPr>
            <w:tcW w:w="6620" w:type="dxa"/>
            <w:vAlign w:val="bottom"/>
          </w:tcPr>
          <w:p>
            <w:pPr>
              <w:ind w:left="220"/>
              <w:spacing w:after="0"/>
              <w:rPr>
                <w:sz w:val="20"/>
                <w:szCs w:val="20"/>
                <w:color w:val="auto"/>
              </w:rPr>
            </w:pPr>
            <w:r>
              <w:rPr>
                <w:rFonts w:ascii="Arial" w:cs="Arial" w:eastAsia="Arial" w:hAnsi="Arial"/>
                <w:sz w:val="16"/>
                <w:szCs w:val="16"/>
                <w:color w:val="auto"/>
              </w:rPr>
              <w:t>Payments of debt issuance costs</w:t>
            </w: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(1.0)</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(23.7)</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5"/>
        </w:trPr>
        <w:tc>
          <w:tcPr>
            <w:tcW w:w="6620" w:type="dxa"/>
            <w:vAlign w:val="bottom"/>
            <w:shd w:val="clear" w:color="auto" w:fill="CCEEFF"/>
          </w:tcPr>
          <w:p>
            <w:pPr>
              <w:ind w:left="220"/>
              <w:spacing w:after="0"/>
              <w:rPr>
                <w:sz w:val="20"/>
                <w:szCs w:val="20"/>
                <w:color w:val="auto"/>
              </w:rPr>
            </w:pPr>
            <w:r>
              <w:rPr>
                <w:rFonts w:ascii="Arial" w:cs="Arial" w:eastAsia="Arial" w:hAnsi="Arial"/>
                <w:sz w:val="16"/>
                <w:szCs w:val="16"/>
                <w:color w:val="auto"/>
              </w:rPr>
              <w:t>Payments for taxes related to net share settlement of restricted stock units and awards</w:t>
            </w: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(26.9)</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(25.1)</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(62.7)</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(44.0)</w:t>
            </w:r>
          </w:p>
        </w:tc>
      </w:tr>
      <w:tr>
        <w:trPr>
          <w:trHeight w:val="210"/>
        </w:trPr>
        <w:tc>
          <w:tcPr>
            <w:tcW w:w="6620" w:type="dxa"/>
            <w:vAlign w:val="bottom"/>
          </w:tcPr>
          <w:p>
            <w:pPr>
              <w:ind w:left="220"/>
              <w:spacing w:after="0"/>
              <w:rPr>
                <w:sz w:val="20"/>
                <w:szCs w:val="20"/>
                <w:color w:val="auto"/>
              </w:rPr>
            </w:pPr>
            <w:r>
              <w:rPr>
                <w:rFonts w:ascii="Arial" w:cs="Arial" w:eastAsia="Arial" w:hAnsi="Arial"/>
                <w:sz w:val="16"/>
                <w:szCs w:val="16"/>
                <w:color w:val="auto"/>
              </w:rPr>
              <w:t>Proceeds from issuance of common stock, net of taxes withheld</w:t>
            </w: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2.6</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0.8</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5.5</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1.5</w:t>
            </w:r>
          </w:p>
        </w:tc>
      </w:tr>
      <w:tr>
        <w:trPr>
          <w:trHeight w:val="215"/>
        </w:trPr>
        <w:tc>
          <w:tcPr>
            <w:tcW w:w="6620" w:type="dxa"/>
            <w:vAlign w:val="bottom"/>
            <w:shd w:val="clear" w:color="auto" w:fill="CCEEFF"/>
          </w:tcPr>
          <w:p>
            <w:pPr>
              <w:ind w:left="220"/>
              <w:spacing w:after="0"/>
              <w:rPr>
                <w:sz w:val="20"/>
                <w:szCs w:val="20"/>
                <w:color w:val="auto"/>
              </w:rPr>
            </w:pPr>
            <w:r>
              <w:rPr>
                <w:rFonts w:ascii="Arial" w:cs="Arial" w:eastAsia="Arial" w:hAnsi="Arial"/>
                <w:sz w:val="16"/>
                <w:szCs w:val="16"/>
                <w:color w:val="auto"/>
              </w:rPr>
              <w:t>Principal payments on finance lease obligations</w:t>
            </w: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(26.1)</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(21.7)</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(50.7)</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(43.4)</w:t>
            </w:r>
          </w:p>
        </w:tc>
      </w:tr>
      <w:tr>
        <w:trPr>
          <w:trHeight w:val="210"/>
        </w:trPr>
        <w:tc>
          <w:tcPr>
            <w:tcW w:w="6620" w:type="dxa"/>
            <w:vAlign w:val="bottom"/>
          </w:tcPr>
          <w:p>
            <w:pPr>
              <w:ind w:left="220"/>
              <w:spacing w:after="0"/>
              <w:rPr>
                <w:sz w:val="20"/>
                <w:szCs w:val="20"/>
                <w:color w:val="auto"/>
              </w:rPr>
            </w:pPr>
            <w:r>
              <w:rPr>
                <w:rFonts w:ascii="Arial" w:cs="Arial" w:eastAsia="Arial" w:hAnsi="Arial"/>
                <w:sz w:val="16"/>
                <w:szCs w:val="16"/>
                <w:color w:val="auto"/>
              </w:rPr>
              <w:t>Common stock repurchases</w:t>
            </w: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(150.8)</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(75.8)</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(582.7)</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(139.8)</w:t>
            </w:r>
          </w:p>
        </w:tc>
      </w:tr>
      <w:tr>
        <w:trPr>
          <w:trHeight w:val="215"/>
        </w:trPr>
        <w:tc>
          <w:tcPr>
            <w:tcW w:w="6620" w:type="dxa"/>
            <w:vAlign w:val="bottom"/>
            <w:shd w:val="clear" w:color="auto" w:fill="CCEEFF"/>
          </w:tcPr>
          <w:p>
            <w:pPr>
              <w:ind w:left="220"/>
              <w:spacing w:after="0"/>
              <w:rPr>
                <w:sz w:val="20"/>
                <w:szCs w:val="20"/>
                <w:color w:val="auto"/>
              </w:rPr>
            </w:pPr>
            <w:r>
              <w:rPr>
                <w:rFonts w:ascii="Arial" w:cs="Arial" w:eastAsia="Arial" w:hAnsi="Arial"/>
                <w:sz w:val="16"/>
                <w:szCs w:val="16"/>
                <w:color w:val="auto"/>
              </w:rPr>
              <w:t>Other</w:t>
            </w:r>
          </w:p>
        </w:tc>
        <w:tc>
          <w:tcPr>
            <w:tcW w:w="2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3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(0.1)</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3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(0.5)</w:t>
            </w:r>
          </w:p>
        </w:tc>
      </w:tr>
      <w:tr>
        <w:trPr>
          <w:trHeight w:val="203"/>
        </w:trPr>
        <w:tc>
          <w:tcPr>
            <w:tcW w:w="6620" w:type="dxa"/>
            <w:vAlign w:val="bottom"/>
            <w:tcBorders>
              <w:bottom w:val="single" w:sz="8" w:color="CCEEFF"/>
            </w:tcBorders>
          </w:tcPr>
          <w:p>
            <w:pPr>
              <w:ind w:left="20"/>
              <w:spacing w:after="0"/>
              <w:rPr>
                <w:sz w:val="20"/>
                <w:szCs w:val="20"/>
                <w:color w:val="auto"/>
              </w:rPr>
            </w:pPr>
            <w:r>
              <w:rPr>
                <w:rFonts w:ascii="Arial" w:cs="Arial" w:eastAsia="Arial" w:hAnsi="Arial"/>
                <w:sz w:val="16"/>
                <w:szCs w:val="16"/>
                <w:b w:val="1"/>
                <w:bCs w:val="1"/>
                <w:color w:val="auto"/>
              </w:rPr>
              <w:t>Net cash provided by (used in) financing activities</w:t>
            </w:r>
          </w:p>
        </w:tc>
        <w:tc>
          <w:tcPr>
            <w:tcW w:w="240" w:type="dxa"/>
            <w:vAlign w:val="bottom"/>
            <w:tcBorders>
              <w:top w:val="single" w:sz="8" w:color="auto"/>
              <w:bottom w:val="single" w:sz="8" w:color="auto"/>
            </w:tcBorders>
          </w:tcPr>
          <w:p>
            <w:pPr>
              <w:spacing w:after="0"/>
              <w:rPr>
                <w:sz w:val="17"/>
                <w:szCs w:val="17"/>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(202.2)</w:t>
            </w:r>
          </w:p>
        </w:tc>
        <w:tc>
          <w:tcPr>
            <w:tcW w:w="100" w:type="dxa"/>
            <w:vAlign w:val="bottom"/>
            <w:tcBorders>
              <w:bottom w:val="single" w:sz="8" w:color="CCEEFF"/>
            </w:tcBorders>
          </w:tcPr>
          <w:p>
            <w:pPr>
              <w:spacing w:after="0"/>
              <w:rPr>
                <w:sz w:val="17"/>
                <w:szCs w:val="17"/>
                <w:color w:val="auto"/>
              </w:rPr>
            </w:pPr>
          </w:p>
        </w:tc>
        <w:tc>
          <w:tcPr>
            <w:tcW w:w="300" w:type="dxa"/>
            <w:vAlign w:val="bottom"/>
            <w:tcBorders>
              <w:top w:val="single" w:sz="8" w:color="auto"/>
              <w:bottom w:val="single" w:sz="8" w:color="auto"/>
            </w:tcBorders>
          </w:tcPr>
          <w:p>
            <w:pPr>
              <w:spacing w:after="0"/>
              <w:rPr>
                <w:sz w:val="17"/>
                <w:szCs w:val="17"/>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(121.9)</w:t>
            </w:r>
          </w:p>
        </w:tc>
        <w:tc>
          <w:tcPr>
            <w:tcW w:w="100" w:type="dxa"/>
            <w:vAlign w:val="bottom"/>
            <w:tcBorders>
              <w:bottom w:val="single" w:sz="8" w:color="CCEEFF"/>
            </w:tcBorders>
          </w:tcPr>
          <w:p>
            <w:pPr>
              <w:spacing w:after="0"/>
              <w:rPr>
                <w:sz w:val="17"/>
                <w:szCs w:val="17"/>
                <w:color w:val="auto"/>
              </w:rPr>
            </w:pPr>
          </w:p>
        </w:tc>
        <w:tc>
          <w:tcPr>
            <w:tcW w:w="240" w:type="dxa"/>
            <w:vAlign w:val="bottom"/>
            <w:tcBorders>
              <w:top w:val="single" w:sz="8" w:color="auto"/>
              <w:bottom w:val="single" w:sz="8" w:color="auto"/>
            </w:tcBorders>
          </w:tcPr>
          <w:p>
            <w:pPr>
              <w:spacing w:after="0"/>
              <w:rPr>
                <w:sz w:val="17"/>
                <w:szCs w:val="17"/>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612.4</w:t>
            </w:r>
          </w:p>
        </w:tc>
        <w:tc>
          <w:tcPr>
            <w:tcW w:w="100" w:type="dxa"/>
            <w:vAlign w:val="bottom"/>
            <w:tcBorders>
              <w:bottom w:val="single" w:sz="8" w:color="CCEEFF"/>
            </w:tcBorders>
          </w:tcPr>
          <w:p>
            <w:pPr>
              <w:spacing w:after="0"/>
              <w:rPr>
                <w:sz w:val="17"/>
                <w:szCs w:val="17"/>
                <w:color w:val="auto"/>
              </w:rPr>
            </w:pPr>
          </w:p>
        </w:tc>
        <w:tc>
          <w:tcPr>
            <w:tcW w:w="320" w:type="dxa"/>
            <w:vAlign w:val="bottom"/>
            <w:tcBorders>
              <w:top w:val="single" w:sz="8" w:color="auto"/>
              <w:bottom w:val="single" w:sz="8" w:color="auto"/>
            </w:tcBorders>
          </w:tcPr>
          <w:p>
            <w:pPr>
              <w:spacing w:after="0"/>
              <w:rPr>
                <w:sz w:val="17"/>
                <w:szCs w:val="17"/>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(226.2)</w:t>
            </w:r>
          </w:p>
        </w:tc>
      </w:tr>
      <w:tr>
        <w:trPr>
          <w:trHeight w:val="208"/>
        </w:trPr>
        <w:tc>
          <w:tcPr>
            <w:tcW w:w="6620" w:type="dxa"/>
            <w:vAlign w:val="bottom"/>
            <w:shd w:val="clear" w:color="auto" w:fill="CCEEFF"/>
          </w:tcPr>
          <w:p>
            <w:pPr>
              <w:ind w:left="20"/>
              <w:spacing w:after="0"/>
              <w:rPr>
                <w:sz w:val="20"/>
                <w:szCs w:val="20"/>
                <w:color w:val="auto"/>
              </w:rPr>
            </w:pPr>
            <w:r>
              <w:rPr>
                <w:rFonts w:ascii="Arial" w:cs="Arial" w:eastAsia="Arial" w:hAnsi="Arial"/>
                <w:sz w:val="16"/>
                <w:szCs w:val="16"/>
                <w:color w:val="auto"/>
              </w:rPr>
              <w:t>Effect of exchange rate changes on cash and cash equivalents</w:t>
            </w:r>
          </w:p>
        </w:tc>
        <w:tc>
          <w:tcPr>
            <w:tcW w:w="24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0.5</w:t>
            </w:r>
          </w:p>
        </w:tc>
        <w:tc>
          <w:tcPr>
            <w:tcW w:w="1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w:t>
            </w:r>
          </w:p>
        </w:tc>
        <w:tc>
          <w:tcPr>
            <w:tcW w:w="1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(0.4)</w:t>
            </w:r>
          </w:p>
        </w:tc>
        <w:tc>
          <w:tcPr>
            <w:tcW w:w="10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(0.6)</w:t>
            </w:r>
          </w:p>
        </w:tc>
      </w:tr>
      <w:tr>
        <w:trPr>
          <w:trHeight w:val="203"/>
        </w:trPr>
        <w:tc>
          <w:tcPr>
            <w:tcW w:w="6620" w:type="dxa"/>
            <w:vAlign w:val="bottom"/>
          </w:tcPr>
          <w:p>
            <w:pPr>
              <w:ind w:left="20"/>
              <w:spacing w:after="0"/>
              <w:rPr>
                <w:sz w:val="20"/>
                <w:szCs w:val="20"/>
                <w:color w:val="auto"/>
              </w:rPr>
            </w:pPr>
            <w:r>
              <w:rPr>
                <w:rFonts w:ascii="Arial" w:cs="Arial" w:eastAsia="Arial" w:hAnsi="Arial"/>
                <w:sz w:val="16"/>
                <w:szCs w:val="16"/>
                <w:color w:val="auto"/>
              </w:rPr>
              <w:t>Change in cash and cash equivalents</w:t>
            </w:r>
          </w:p>
        </w:tc>
        <w:tc>
          <w:tcPr>
            <w:tcW w:w="24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39.8</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(152.3)</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570.4</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(217.2)</w:t>
            </w:r>
          </w:p>
        </w:tc>
      </w:tr>
      <w:tr>
        <w:trPr>
          <w:trHeight w:val="215"/>
        </w:trPr>
        <w:tc>
          <w:tcPr>
            <w:tcW w:w="662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Cash and cash equivalents - beginning of period</w:t>
            </w:r>
          </w:p>
        </w:tc>
        <w:tc>
          <w:tcPr>
            <w:tcW w:w="24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845.5</w:t>
            </w:r>
          </w:p>
        </w:tc>
        <w:tc>
          <w:tcPr>
            <w:tcW w:w="1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486.4</w:t>
            </w:r>
          </w:p>
        </w:tc>
        <w:tc>
          <w:tcPr>
            <w:tcW w:w="1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314.9</w:t>
            </w:r>
          </w:p>
        </w:tc>
        <w:tc>
          <w:tcPr>
            <w:tcW w:w="10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551.3</w:t>
            </w:r>
          </w:p>
        </w:tc>
      </w:tr>
      <w:tr>
        <w:trPr>
          <w:trHeight w:val="203"/>
        </w:trPr>
        <w:tc>
          <w:tcPr>
            <w:tcW w:w="6620" w:type="dxa"/>
            <w:vAlign w:val="bottom"/>
          </w:tcPr>
          <w:p>
            <w:pPr>
              <w:ind w:left="20"/>
              <w:spacing w:after="0"/>
              <w:rPr>
                <w:sz w:val="20"/>
                <w:szCs w:val="20"/>
                <w:color w:val="auto"/>
              </w:rPr>
            </w:pPr>
            <w:r>
              <w:rPr>
                <w:rFonts w:ascii="Arial" w:cs="Arial" w:eastAsia="Arial" w:hAnsi="Arial"/>
                <w:sz w:val="16"/>
                <w:szCs w:val="16"/>
                <w:b w:val="1"/>
                <w:bCs w:val="1"/>
                <w:color w:val="auto"/>
              </w:rPr>
              <w:t>Cash and cash equivalents - end of period</w:t>
            </w:r>
          </w:p>
        </w:tc>
        <w:tc>
          <w:tcPr>
            <w:tcW w:w="24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color w:val="auto"/>
                <w:w w:val="89"/>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885.3</w:t>
            </w:r>
          </w:p>
        </w:tc>
        <w:tc>
          <w:tcPr>
            <w:tcW w:w="100" w:type="dxa"/>
            <w:vAlign w:val="bottom"/>
          </w:tcPr>
          <w:p>
            <w:pPr>
              <w:spacing w:after="0"/>
              <w:rPr>
                <w:sz w:val="17"/>
                <w:szCs w:val="17"/>
                <w:color w:val="auto"/>
              </w:rPr>
            </w:pPr>
          </w:p>
        </w:tc>
        <w:tc>
          <w:tcPr>
            <w:tcW w:w="300" w:type="dxa"/>
            <w:vAlign w:val="bottom"/>
            <w:tcBorders>
              <w:bottom w:val="single" w:sz="8" w:color="auto"/>
            </w:tcBorders>
          </w:tcPr>
          <w:p>
            <w:pPr>
              <w:jc w:val="right"/>
              <w:ind w:right="120"/>
              <w:spacing w:after="0"/>
              <w:rPr>
                <w:sz w:val="20"/>
                <w:szCs w:val="20"/>
                <w:color w:val="auto"/>
              </w:rPr>
            </w:pPr>
            <w:r>
              <w:rPr>
                <w:rFonts w:ascii="Arial" w:cs="Arial" w:eastAsia="Arial" w:hAnsi="Arial"/>
                <w:sz w:val="16"/>
                <w:szCs w:val="16"/>
                <w:color w:val="auto"/>
                <w:w w:val="89"/>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334.1</w:t>
            </w:r>
          </w:p>
        </w:tc>
        <w:tc>
          <w:tcPr>
            <w:tcW w:w="100" w:type="dxa"/>
            <w:vAlign w:val="bottom"/>
          </w:tcPr>
          <w:p>
            <w:pPr>
              <w:spacing w:after="0"/>
              <w:rPr>
                <w:sz w:val="17"/>
                <w:szCs w:val="17"/>
                <w:color w:val="auto"/>
              </w:rPr>
            </w:pPr>
          </w:p>
        </w:tc>
        <w:tc>
          <w:tcPr>
            <w:tcW w:w="24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color w:val="auto"/>
                <w:w w:val="89"/>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885.3</w:t>
            </w:r>
          </w:p>
        </w:tc>
        <w:tc>
          <w:tcPr>
            <w:tcW w:w="100" w:type="dxa"/>
            <w:vAlign w:val="bottom"/>
          </w:tcPr>
          <w:p>
            <w:pPr>
              <w:spacing w:after="0"/>
              <w:rPr>
                <w:sz w:val="17"/>
                <w:szCs w:val="17"/>
                <w:color w:val="auto"/>
              </w:rPr>
            </w:pPr>
          </w:p>
        </w:tc>
        <w:tc>
          <w:tcPr>
            <w:tcW w:w="320" w:type="dxa"/>
            <w:vAlign w:val="bottom"/>
            <w:tcBorders>
              <w:bottom w:val="single" w:sz="8" w:color="auto"/>
            </w:tcBorders>
          </w:tcPr>
          <w:p>
            <w:pPr>
              <w:jc w:val="right"/>
              <w:ind w:right="140"/>
              <w:spacing w:after="0"/>
              <w:rPr>
                <w:sz w:val="20"/>
                <w:szCs w:val="20"/>
                <w:color w:val="auto"/>
              </w:rPr>
            </w:pPr>
            <w:r>
              <w:rPr>
                <w:rFonts w:ascii="Arial" w:cs="Arial" w:eastAsia="Arial" w:hAnsi="Arial"/>
                <w:sz w:val="16"/>
                <w:szCs w:val="16"/>
                <w:color w:val="auto"/>
                <w:w w:val="89"/>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334.1</w:t>
            </w:r>
          </w:p>
        </w:tc>
      </w:tr>
      <w:tr>
        <w:trPr>
          <w:trHeight w:val="20"/>
        </w:trPr>
        <w:tc>
          <w:tcPr>
            <w:tcW w:w="66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r>
      <w:tr>
        <w:trPr>
          <w:trHeight w:val="62"/>
        </w:trPr>
        <w:tc>
          <w:tcPr>
            <w:tcW w:w="6620" w:type="dxa"/>
            <w:vAlign w:val="bottom"/>
            <w:shd w:val="clear" w:color="auto" w:fill="CCEEFF"/>
          </w:tcPr>
          <w:p>
            <w:pPr>
              <w:spacing w:after="0"/>
              <w:rPr>
                <w:sz w:val="5"/>
                <w:szCs w:val="5"/>
                <w:color w:val="auto"/>
              </w:rPr>
            </w:pPr>
          </w:p>
        </w:tc>
        <w:tc>
          <w:tcPr>
            <w:tcW w:w="240" w:type="dxa"/>
            <w:vAlign w:val="bottom"/>
            <w:shd w:val="clear" w:color="auto" w:fill="CCEEFF"/>
          </w:tcPr>
          <w:p>
            <w:pPr>
              <w:spacing w:after="0"/>
              <w:rPr>
                <w:sz w:val="5"/>
                <w:szCs w:val="5"/>
                <w:color w:val="auto"/>
              </w:rPr>
            </w:pPr>
          </w:p>
        </w:tc>
        <w:tc>
          <w:tcPr>
            <w:tcW w:w="84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300" w:type="dxa"/>
            <w:vAlign w:val="bottom"/>
            <w:shd w:val="clear" w:color="auto" w:fill="CCEEFF"/>
          </w:tcPr>
          <w:p>
            <w:pPr>
              <w:spacing w:after="0"/>
              <w:rPr>
                <w:sz w:val="5"/>
                <w:szCs w:val="5"/>
                <w:color w:val="auto"/>
              </w:rPr>
            </w:pPr>
          </w:p>
        </w:tc>
        <w:tc>
          <w:tcPr>
            <w:tcW w:w="78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240" w:type="dxa"/>
            <w:vAlign w:val="bottom"/>
            <w:shd w:val="clear" w:color="auto" w:fill="CCEEFF"/>
          </w:tcPr>
          <w:p>
            <w:pPr>
              <w:spacing w:after="0"/>
              <w:rPr>
                <w:sz w:val="5"/>
                <w:szCs w:val="5"/>
                <w:color w:val="auto"/>
              </w:rPr>
            </w:pPr>
          </w:p>
        </w:tc>
        <w:tc>
          <w:tcPr>
            <w:tcW w:w="84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320" w:type="dxa"/>
            <w:vAlign w:val="bottom"/>
            <w:shd w:val="clear" w:color="auto" w:fill="CCEEFF"/>
          </w:tcPr>
          <w:p>
            <w:pPr>
              <w:spacing w:after="0"/>
              <w:rPr>
                <w:sz w:val="5"/>
                <w:szCs w:val="5"/>
                <w:color w:val="auto"/>
              </w:rPr>
            </w:pPr>
          </w:p>
        </w:tc>
        <w:tc>
          <w:tcPr>
            <w:tcW w:w="760" w:type="dxa"/>
            <w:vAlign w:val="bottom"/>
            <w:shd w:val="clear" w:color="auto" w:fill="CCEEFF"/>
          </w:tcPr>
          <w:p>
            <w:pPr>
              <w:spacing w:after="0"/>
              <w:rPr>
                <w:sz w:val="5"/>
                <w:szCs w:val="5"/>
                <w:color w:val="auto"/>
              </w:rPr>
            </w:pPr>
          </w:p>
        </w:tc>
      </w:tr>
      <w:tr>
        <w:trPr>
          <w:trHeight w:val="210"/>
        </w:trPr>
        <w:tc>
          <w:tcPr>
            <w:tcW w:w="6620" w:type="dxa"/>
            <w:vAlign w:val="bottom"/>
            <w:tcBorders>
              <w:bottom w:val="single" w:sz="8" w:color="CCEEFF"/>
            </w:tcBorders>
          </w:tcPr>
          <w:p>
            <w:pPr>
              <w:ind w:left="20"/>
              <w:spacing w:after="0"/>
              <w:rPr>
                <w:sz w:val="20"/>
                <w:szCs w:val="20"/>
                <w:color w:val="auto"/>
              </w:rPr>
            </w:pPr>
            <w:r>
              <w:rPr>
                <w:rFonts w:ascii="Arial" w:cs="Arial" w:eastAsia="Arial" w:hAnsi="Arial"/>
                <w:sz w:val="16"/>
                <w:szCs w:val="16"/>
                <w:b w:val="1"/>
                <w:bCs w:val="1"/>
                <w:color w:val="auto"/>
              </w:rPr>
              <w:t>Supplemental cash flow data:</w:t>
            </w:r>
          </w:p>
        </w:tc>
        <w:tc>
          <w:tcPr>
            <w:tcW w:w="2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spacing w:after="0"/>
              <w:rPr>
                <w:sz w:val="18"/>
                <w:szCs w:val="18"/>
                <w:color w:val="auto"/>
              </w:rPr>
            </w:pPr>
          </w:p>
        </w:tc>
      </w:tr>
      <w:tr>
        <w:trPr>
          <w:trHeight w:val="230"/>
        </w:trPr>
        <w:tc>
          <w:tcPr>
            <w:tcW w:w="662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6"/>
                <w:szCs w:val="16"/>
                <w:color w:val="auto"/>
              </w:rPr>
              <w:t>Property and equipment acquired under finance leases</w:t>
            </w:r>
          </w:p>
        </w:tc>
        <w:tc>
          <w:tcPr>
            <w:tcW w:w="240" w:type="dxa"/>
            <w:vAlign w:val="bottom"/>
            <w:tcBorders>
              <w:bottom w:val="single" w:sz="8" w:color="auto"/>
            </w:tcBorders>
            <w:shd w:val="clear" w:color="auto" w:fill="CCEEFF"/>
          </w:tcPr>
          <w:p>
            <w:pPr>
              <w:jc w:val="right"/>
              <w:ind w:right="60"/>
              <w:spacing w:after="0"/>
              <w:rPr>
                <w:sz w:val="20"/>
                <w:szCs w:val="20"/>
                <w:color w:val="auto"/>
              </w:rPr>
            </w:pPr>
            <w:r>
              <w:rPr>
                <w:rFonts w:ascii="Arial" w:cs="Arial" w:eastAsia="Arial" w:hAnsi="Arial"/>
                <w:sz w:val="16"/>
                <w:szCs w:val="16"/>
                <w:color w:val="auto"/>
                <w:w w:val="8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43.3</w:t>
            </w:r>
          </w:p>
        </w:tc>
        <w:tc>
          <w:tcPr>
            <w:tcW w:w="10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jc w:val="right"/>
              <w:ind w:right="120"/>
              <w:spacing w:after="0"/>
              <w:rPr>
                <w:sz w:val="20"/>
                <w:szCs w:val="20"/>
                <w:color w:val="auto"/>
              </w:rPr>
            </w:pPr>
            <w:r>
              <w:rPr>
                <w:rFonts w:ascii="Arial" w:cs="Arial" w:eastAsia="Arial" w:hAnsi="Arial"/>
                <w:sz w:val="16"/>
                <w:szCs w:val="16"/>
                <w:color w:val="auto"/>
                <w:w w:val="89"/>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29.7</w:t>
            </w:r>
          </w:p>
        </w:tc>
        <w:tc>
          <w:tcPr>
            <w:tcW w:w="1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jc w:val="right"/>
              <w:ind w:right="60"/>
              <w:spacing w:after="0"/>
              <w:rPr>
                <w:sz w:val="20"/>
                <w:szCs w:val="20"/>
                <w:color w:val="auto"/>
              </w:rPr>
            </w:pPr>
            <w:r>
              <w:rPr>
                <w:rFonts w:ascii="Arial" w:cs="Arial" w:eastAsia="Arial" w:hAnsi="Arial"/>
                <w:sz w:val="16"/>
                <w:szCs w:val="16"/>
                <w:color w:val="auto"/>
                <w:w w:val="8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67.3</w:t>
            </w:r>
          </w:p>
        </w:tc>
        <w:tc>
          <w:tcPr>
            <w:tcW w:w="10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jc w:val="right"/>
              <w:ind w:right="140"/>
              <w:spacing w:after="0"/>
              <w:rPr>
                <w:sz w:val="20"/>
                <w:szCs w:val="20"/>
                <w:color w:val="auto"/>
              </w:rPr>
            </w:pPr>
            <w:r>
              <w:rPr>
                <w:rFonts w:ascii="Arial" w:cs="Arial" w:eastAsia="Arial" w:hAnsi="Arial"/>
                <w:sz w:val="16"/>
                <w:szCs w:val="16"/>
                <w:color w:val="auto"/>
                <w:w w:val="89"/>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64.4</w:t>
            </w:r>
          </w:p>
        </w:tc>
      </w:tr>
      <w:tr>
        <w:trPr>
          <w:trHeight w:val="20"/>
        </w:trPr>
        <w:tc>
          <w:tcPr>
            <w:tcW w:w="66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r>
    </w:tbl>
    <w:p>
      <w:pPr>
        <w:sectPr>
          <w:pgSz w:w="11900" w:h="16838" w:orient="portrait"/>
          <w:cols w:equalWidth="0" w:num="1">
            <w:col w:w="11240"/>
          </w:cols>
          <w:pgMar w:left="320" w:top="882" w:right="339" w:bottom="1440" w:gutter="0" w:footer="0" w:header="0"/>
        </w:sectPr>
      </w:pPr>
    </w:p>
    <w:bookmarkStart w:id="9" w:name="page10"/>
    <w:bookmarkEnd w:id="9"/>
    <w:p>
      <w:pPr>
        <w:jc w:val="center"/>
        <w:spacing w:after="0"/>
        <w:rPr>
          <w:sz w:val="20"/>
          <w:szCs w:val="20"/>
          <w:color w:val="auto"/>
        </w:rPr>
      </w:pPr>
      <w:r>
        <w:rPr>
          <w:rFonts w:ascii="Arial" w:cs="Arial" w:eastAsia="Arial" w:hAnsi="Arial"/>
          <w:sz w:val="19"/>
          <w:szCs w:val="19"/>
          <w:b w:val="1"/>
          <w:bCs w:val="1"/>
          <w:color w:val="auto"/>
        </w:rPr>
        <w:t>Dropbox, Inc.</w:t>
      </w:r>
    </w:p>
    <w:p>
      <w:pPr>
        <w:spacing w:after="0" w:line="29"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Three Months Ended June 30, 2021</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Reconciliation of GAAP to Non-GAAP results</w:t>
      </w:r>
    </w:p>
    <w:p>
      <w:pPr>
        <w:spacing w:after="0" w:line="10"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(In millions, except for percentages, which may not foot due to rounding)</w:t>
      </w:r>
    </w:p>
    <w:p>
      <w:pPr>
        <w:spacing w:after="0" w:line="3"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(Unaudited)</w:t>
      </w:r>
    </w:p>
    <w:tbl>
      <w:tblPr>
        <w:tblLayout w:type="fixed"/>
        <w:tblInd w:w="0" w:type="dxa"/>
        <w:tblCellMar>
          <w:top w:w="0" w:type="dxa"/>
          <w:left w:w="0" w:type="dxa"/>
          <w:bottom w:w="0" w:type="dxa"/>
          <w:right w:w="0" w:type="dxa"/>
        </w:tblCellMar>
      </w:tblPr>
      <w:tr>
        <w:trPr>
          <w:trHeight w:val="206"/>
        </w:trPr>
        <w:tc>
          <w:tcPr>
            <w:tcW w:w="23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20" w:type="dxa"/>
            <w:vAlign w:val="bottom"/>
            <w:gridSpan w:val="2"/>
            <w:vMerge w:val="restart"/>
          </w:tcPr>
          <w:p>
            <w:pPr>
              <w:ind w:left="140"/>
              <w:spacing w:after="0"/>
              <w:rPr>
                <w:sz w:val="20"/>
                <w:szCs w:val="20"/>
                <w:color w:val="auto"/>
              </w:rPr>
            </w:pPr>
            <w:r>
              <w:rPr>
                <w:rFonts w:ascii="Arial" w:cs="Arial" w:eastAsia="Arial" w:hAnsi="Arial"/>
                <w:sz w:val="18"/>
                <w:szCs w:val="18"/>
                <w:b w:val="1"/>
                <w:bCs w:val="1"/>
                <w:color w:val="auto"/>
              </w:rPr>
              <w:t>Stock-based</w:t>
            </w:r>
          </w:p>
        </w:tc>
        <w:tc>
          <w:tcPr>
            <w:tcW w:w="200" w:type="dxa"/>
            <w:vAlign w:val="bottom"/>
          </w:tcPr>
          <w:p>
            <w:pPr>
              <w:spacing w:after="0"/>
              <w:rPr>
                <w:sz w:val="17"/>
                <w:szCs w:val="17"/>
                <w:color w:val="auto"/>
              </w:rPr>
            </w:pPr>
          </w:p>
        </w:tc>
        <w:tc>
          <w:tcPr>
            <w:tcW w:w="1080" w:type="dxa"/>
            <w:vAlign w:val="bottom"/>
          </w:tcPr>
          <w:p>
            <w:pPr>
              <w:jc w:val="center"/>
              <w:spacing w:after="0" w:line="206" w:lineRule="exact"/>
              <w:rPr>
                <w:sz w:val="20"/>
                <w:szCs w:val="20"/>
                <w:color w:val="auto"/>
              </w:rPr>
            </w:pPr>
            <w:r>
              <w:rPr>
                <w:rFonts w:ascii="Arial" w:cs="Arial" w:eastAsia="Arial" w:hAnsi="Arial"/>
                <w:sz w:val="18"/>
                <w:szCs w:val="18"/>
                <w:b w:val="1"/>
                <w:bCs w:val="1"/>
                <w:color w:val="auto"/>
                <w:w w:val="88"/>
              </w:rPr>
              <w:t>Acquisition-</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80" w:type="dxa"/>
            <w:vAlign w:val="bottom"/>
            <w:vMerge w:val="restart"/>
          </w:tcPr>
          <w:p>
            <w:pPr>
              <w:jc w:val="right"/>
              <w:ind w:right="11"/>
              <w:spacing w:after="0"/>
              <w:rPr>
                <w:sz w:val="20"/>
                <w:szCs w:val="20"/>
                <w:color w:val="auto"/>
              </w:rPr>
            </w:pPr>
            <w:r>
              <w:rPr>
                <w:rFonts w:ascii="Arial" w:cs="Arial" w:eastAsia="Arial" w:hAnsi="Arial"/>
                <w:sz w:val="18"/>
                <w:szCs w:val="18"/>
                <w:b w:val="1"/>
                <w:bCs w:val="1"/>
                <w:color w:val="auto"/>
              </w:rPr>
              <w:t>Intangibles</w:t>
            </w: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20" w:type="dxa"/>
            <w:vAlign w:val="bottom"/>
          </w:tcPr>
          <w:p>
            <w:pPr>
              <w:jc w:val="right"/>
              <w:ind w:right="31"/>
              <w:spacing w:after="0" w:line="206" w:lineRule="exact"/>
              <w:rPr>
                <w:sz w:val="20"/>
                <w:szCs w:val="20"/>
                <w:color w:val="auto"/>
              </w:rPr>
            </w:pPr>
            <w:r>
              <w:rPr>
                <w:rFonts w:ascii="Arial" w:cs="Arial" w:eastAsia="Arial" w:hAnsi="Arial"/>
                <w:sz w:val="18"/>
                <w:szCs w:val="18"/>
                <w:b w:val="1"/>
                <w:bCs w:val="1"/>
                <w:color w:val="auto"/>
                <w:w w:val="98"/>
              </w:rPr>
              <w:t>Workforce</w:t>
            </w: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3"/>
        </w:trPr>
        <w:tc>
          <w:tcPr>
            <w:tcW w:w="23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40" w:type="dxa"/>
            <w:vAlign w:val="bottom"/>
            <w:vMerge w:val="restart"/>
          </w:tcPr>
          <w:p>
            <w:pPr>
              <w:jc w:val="right"/>
              <w:ind w:right="311"/>
              <w:spacing w:after="0"/>
              <w:rPr>
                <w:sz w:val="20"/>
                <w:szCs w:val="20"/>
                <w:color w:val="auto"/>
              </w:rPr>
            </w:pPr>
            <w:r>
              <w:rPr>
                <w:rFonts w:ascii="Arial" w:cs="Arial" w:eastAsia="Arial" w:hAnsi="Arial"/>
                <w:sz w:val="18"/>
                <w:szCs w:val="18"/>
                <w:b w:val="1"/>
                <w:bCs w:val="1"/>
                <w:color w:val="auto"/>
              </w:rPr>
              <w:t>GAAP</w:t>
            </w:r>
          </w:p>
        </w:tc>
        <w:tc>
          <w:tcPr>
            <w:tcW w:w="80" w:type="dxa"/>
            <w:vAlign w:val="bottom"/>
            <w:vMerge w:val="restart"/>
          </w:tcPr>
          <w:p>
            <w:pPr>
              <w:spacing w:after="0"/>
              <w:rPr>
                <w:sz w:val="15"/>
                <w:szCs w:val="15"/>
                <w:color w:val="auto"/>
              </w:rPr>
            </w:pPr>
          </w:p>
        </w:tc>
        <w:tc>
          <w:tcPr>
            <w:tcW w:w="160" w:type="dxa"/>
            <w:vAlign w:val="bottom"/>
          </w:tcPr>
          <w:p>
            <w:pPr>
              <w:spacing w:after="0"/>
              <w:rPr>
                <w:sz w:val="15"/>
                <w:szCs w:val="15"/>
                <w:color w:val="auto"/>
              </w:rPr>
            </w:pPr>
          </w:p>
        </w:tc>
        <w:tc>
          <w:tcPr>
            <w:tcW w:w="1420" w:type="dxa"/>
            <w:vAlign w:val="bottom"/>
            <w:gridSpan w:val="2"/>
            <w:vMerge w:val="continue"/>
          </w:tcPr>
          <w:p>
            <w:pPr>
              <w:spacing w:after="0"/>
              <w:rPr>
                <w:sz w:val="15"/>
                <w:szCs w:val="15"/>
                <w:color w:val="auto"/>
              </w:rPr>
            </w:pPr>
          </w:p>
        </w:tc>
        <w:tc>
          <w:tcPr>
            <w:tcW w:w="1740" w:type="dxa"/>
            <w:vAlign w:val="bottom"/>
            <w:gridSpan w:val="5"/>
          </w:tcPr>
          <w:p>
            <w:pPr>
              <w:jc w:val="center"/>
              <w:ind w:right="280"/>
              <w:spacing w:after="0" w:line="173" w:lineRule="exact"/>
              <w:rPr>
                <w:sz w:val="20"/>
                <w:szCs w:val="20"/>
                <w:color w:val="auto"/>
              </w:rPr>
            </w:pPr>
            <w:r>
              <w:rPr>
                <w:rFonts w:ascii="Arial" w:cs="Arial" w:eastAsia="Arial" w:hAnsi="Arial"/>
                <w:sz w:val="18"/>
                <w:szCs w:val="18"/>
                <w:b w:val="1"/>
                <w:bCs w:val="1"/>
                <w:color w:val="auto"/>
                <w:w w:val="88"/>
              </w:rPr>
              <w:t>related and other</w:t>
            </w:r>
          </w:p>
        </w:tc>
        <w:tc>
          <w:tcPr>
            <w:tcW w:w="1080" w:type="dxa"/>
            <w:vAlign w:val="bottom"/>
            <w:vMerge w:val="continue"/>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20" w:type="dxa"/>
            <w:vAlign w:val="bottom"/>
          </w:tcPr>
          <w:p>
            <w:pPr>
              <w:jc w:val="right"/>
              <w:ind w:right="71"/>
              <w:spacing w:after="0" w:line="173" w:lineRule="exact"/>
              <w:rPr>
                <w:sz w:val="20"/>
                <w:szCs w:val="20"/>
                <w:color w:val="auto"/>
              </w:rPr>
            </w:pPr>
            <w:r>
              <w:rPr>
                <w:rFonts w:ascii="Arial" w:cs="Arial" w:eastAsia="Arial" w:hAnsi="Arial"/>
                <w:sz w:val="18"/>
                <w:szCs w:val="18"/>
                <w:b w:val="1"/>
                <w:bCs w:val="1"/>
                <w:color w:val="auto"/>
              </w:rPr>
              <w:t>reduction</w:t>
            </w: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40" w:type="dxa"/>
            <w:vAlign w:val="bottom"/>
            <w:vMerge w:val="restart"/>
          </w:tcPr>
          <w:p>
            <w:pPr>
              <w:jc w:val="right"/>
              <w:ind w:right="111"/>
              <w:spacing w:after="0"/>
              <w:rPr>
                <w:sz w:val="20"/>
                <w:szCs w:val="20"/>
                <w:color w:val="auto"/>
              </w:rPr>
            </w:pPr>
            <w:r>
              <w:rPr>
                <w:rFonts w:ascii="Arial" w:cs="Arial" w:eastAsia="Arial" w:hAnsi="Arial"/>
                <w:sz w:val="18"/>
                <w:szCs w:val="18"/>
                <w:b w:val="1"/>
                <w:bCs w:val="1"/>
                <w:color w:val="auto"/>
                <w:w w:val="98"/>
              </w:rPr>
              <w:t>Non-GAAP</w:t>
            </w:r>
          </w:p>
        </w:tc>
        <w:tc>
          <w:tcPr>
            <w:tcW w:w="0" w:type="dxa"/>
            <w:vAlign w:val="bottom"/>
          </w:tcPr>
          <w:p>
            <w:pPr>
              <w:spacing w:after="0"/>
              <w:rPr>
                <w:sz w:val="1"/>
                <w:szCs w:val="1"/>
                <w:color w:val="auto"/>
              </w:rPr>
            </w:pPr>
          </w:p>
        </w:tc>
      </w:tr>
      <w:tr>
        <w:trPr>
          <w:trHeight w:val="226"/>
        </w:trPr>
        <w:tc>
          <w:tcPr>
            <w:tcW w:w="238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vMerge w:val="continue"/>
          </w:tcPr>
          <w:p>
            <w:pPr>
              <w:spacing w:after="0"/>
              <w:rPr>
                <w:sz w:val="19"/>
                <w:szCs w:val="19"/>
                <w:color w:val="auto"/>
              </w:rPr>
            </w:pPr>
          </w:p>
        </w:tc>
        <w:tc>
          <w:tcPr>
            <w:tcW w:w="80" w:type="dxa"/>
            <w:vAlign w:val="bottom"/>
            <w:tcBorders>
              <w:bottom w:val="single" w:sz="8" w:color="CCEEFF"/>
            </w:tcBorders>
            <w:vMerge w:val="continue"/>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ind w:right="151"/>
              <w:spacing w:after="0"/>
              <w:rPr>
                <w:sz w:val="20"/>
                <w:szCs w:val="20"/>
                <w:color w:val="auto"/>
              </w:rPr>
            </w:pPr>
            <w:r>
              <w:rPr>
                <w:rFonts w:ascii="Arial" w:cs="Arial" w:eastAsia="Arial" w:hAnsi="Arial"/>
                <w:sz w:val="18"/>
                <w:szCs w:val="18"/>
                <w:b w:val="1"/>
                <w:bCs w:val="1"/>
                <w:color w:val="auto"/>
                <w:w w:val="88"/>
              </w:rPr>
              <w:t>compensation</w:t>
            </w:r>
          </w:p>
        </w:tc>
        <w:tc>
          <w:tcPr>
            <w:tcW w:w="8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0"/>
              </w:rPr>
              <w:t>expenses</w:t>
            </w:r>
          </w:p>
        </w:tc>
        <w:tc>
          <w:tcPr>
            <w:tcW w:w="18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5"/>
              </w:rPr>
              <w:t>amortization</w:t>
            </w:r>
          </w:p>
        </w:tc>
        <w:tc>
          <w:tcPr>
            <w:tcW w:w="20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71"/>
              <w:spacing w:after="0" w:line="225" w:lineRule="exact"/>
              <w:rPr>
                <w:sz w:val="20"/>
                <w:szCs w:val="20"/>
                <w:color w:val="auto"/>
              </w:rPr>
            </w:pPr>
            <w:r>
              <w:rPr>
                <w:rFonts w:ascii="Arial" w:cs="Arial" w:eastAsia="Arial" w:hAnsi="Arial"/>
                <w:sz w:val="18"/>
                <w:szCs w:val="18"/>
                <w:b w:val="1"/>
                <w:bCs w:val="1"/>
                <w:color w:val="auto"/>
                <w:w w:val="92"/>
              </w:rPr>
              <w:t>expense</w:t>
            </w:r>
            <w:r>
              <w:rPr>
                <w:rFonts w:ascii="Arial" w:cs="Arial" w:eastAsia="Arial" w:hAnsi="Arial"/>
                <w:sz w:val="23"/>
                <w:szCs w:val="23"/>
                <w:b w:val="1"/>
                <w:bCs w:val="1"/>
                <w:color w:val="auto"/>
                <w:w w:val="92"/>
                <w:vertAlign w:val="superscript"/>
              </w:rPr>
              <w:t>(1)</w:t>
            </w:r>
          </w:p>
        </w:tc>
        <w:tc>
          <w:tcPr>
            <w:tcW w:w="20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2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Cost of revenue</w:t>
            </w:r>
          </w:p>
        </w:tc>
        <w:tc>
          <w:tcPr>
            <w:tcW w:w="26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107.1</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(5.9)</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6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5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4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99.5</w:t>
            </w:r>
          </w:p>
        </w:tc>
        <w:tc>
          <w:tcPr>
            <w:tcW w:w="0" w:type="dxa"/>
            <w:vAlign w:val="bottom"/>
          </w:tcPr>
          <w:p>
            <w:pPr>
              <w:spacing w:after="0"/>
              <w:rPr>
                <w:sz w:val="1"/>
                <w:szCs w:val="1"/>
                <w:color w:val="auto"/>
              </w:rPr>
            </w:pPr>
          </w:p>
        </w:tc>
      </w:tr>
      <w:tr>
        <w:trPr>
          <w:trHeight w:val="225"/>
        </w:trPr>
        <w:tc>
          <w:tcPr>
            <w:tcW w:w="2380" w:type="dxa"/>
            <w:vAlign w:val="bottom"/>
          </w:tcPr>
          <w:p>
            <w:pPr>
              <w:ind w:left="20"/>
              <w:spacing w:after="0"/>
              <w:rPr>
                <w:sz w:val="20"/>
                <w:szCs w:val="20"/>
                <w:color w:val="auto"/>
              </w:rPr>
            </w:pPr>
            <w:r>
              <w:rPr>
                <w:rFonts w:ascii="Arial" w:cs="Arial" w:eastAsia="Arial" w:hAnsi="Arial"/>
                <w:sz w:val="18"/>
                <w:szCs w:val="18"/>
                <w:i w:val="1"/>
                <w:iCs w:val="1"/>
                <w:color w:val="auto"/>
              </w:rPr>
              <w:t>Cost of revenue margin</w:t>
            </w:r>
          </w:p>
        </w:tc>
        <w:tc>
          <w:tcPr>
            <w:tcW w:w="2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20.2 %</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(1.1 %)</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40" w:type="dxa"/>
            <w:vAlign w:val="bottom"/>
            <w:gridSpan w:val="4"/>
          </w:tcPr>
          <w:p>
            <w:pPr>
              <w:jc w:val="right"/>
              <w:ind w:right="300"/>
              <w:spacing w:after="0"/>
              <w:rPr>
                <w:sz w:val="20"/>
                <w:szCs w:val="20"/>
                <w:color w:val="auto"/>
              </w:rPr>
            </w:pPr>
            <w:r>
              <w:rPr>
                <w:rFonts w:ascii="Arial" w:cs="Arial" w:eastAsia="Arial" w:hAnsi="Arial"/>
                <w:sz w:val="18"/>
                <w:szCs w:val="18"/>
                <w:color w:val="auto"/>
              </w:rPr>
              <w:t>— %</w:t>
            </w: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(0.3 %)</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40" w:type="dxa"/>
            <w:vAlign w:val="bottom"/>
            <w:gridSpan w:val="4"/>
          </w:tcPr>
          <w:p>
            <w:pPr>
              <w:jc w:val="right"/>
              <w:ind w:right="240"/>
              <w:spacing w:after="0"/>
              <w:rPr>
                <w:sz w:val="20"/>
                <w:szCs w:val="20"/>
                <w:color w:val="auto"/>
              </w:rPr>
            </w:pPr>
            <w:r>
              <w:rPr>
                <w:rFonts w:ascii="Arial" w:cs="Arial" w:eastAsia="Arial" w:hAnsi="Arial"/>
                <w:sz w:val="18"/>
                <w:szCs w:val="18"/>
                <w:color w:val="auto"/>
              </w:rPr>
              <w:t>— %</w:t>
            </w:r>
          </w:p>
        </w:tc>
        <w:tc>
          <w:tcPr>
            <w:tcW w:w="1140" w:type="dxa"/>
            <w:vAlign w:val="bottom"/>
          </w:tcPr>
          <w:p>
            <w:pPr>
              <w:jc w:val="right"/>
              <w:spacing w:after="0"/>
              <w:rPr>
                <w:sz w:val="20"/>
                <w:szCs w:val="20"/>
                <w:color w:val="auto"/>
              </w:rPr>
            </w:pPr>
            <w:r>
              <w:rPr>
                <w:rFonts w:ascii="Arial" w:cs="Arial" w:eastAsia="Arial" w:hAnsi="Arial"/>
                <w:sz w:val="18"/>
                <w:szCs w:val="18"/>
                <w:color w:val="auto"/>
              </w:rPr>
              <w:t>18.8 %</w:t>
            </w:r>
          </w:p>
        </w:tc>
        <w:tc>
          <w:tcPr>
            <w:tcW w:w="0" w:type="dxa"/>
            <w:vAlign w:val="bottom"/>
          </w:tcPr>
          <w:p>
            <w:pPr>
              <w:spacing w:after="0"/>
              <w:rPr>
                <w:sz w:val="1"/>
                <w:szCs w:val="1"/>
                <w:color w:val="auto"/>
              </w:rPr>
            </w:pPr>
          </w:p>
        </w:tc>
      </w:tr>
      <w:tr>
        <w:trPr>
          <w:trHeight w:val="226"/>
        </w:trPr>
        <w:tc>
          <w:tcPr>
            <w:tcW w:w="2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Gross profit</w:t>
            </w:r>
          </w:p>
        </w:tc>
        <w:tc>
          <w:tcPr>
            <w:tcW w:w="26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423.5</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40" w:type="dxa"/>
            <w:vAlign w:val="bottom"/>
            <w:shd w:val="clear" w:color="auto" w:fill="CCEEFF"/>
          </w:tcPr>
          <w:p>
            <w:pPr>
              <w:jc w:val="right"/>
              <w:ind w:right="191"/>
              <w:spacing w:after="0"/>
              <w:rPr>
                <w:sz w:val="20"/>
                <w:szCs w:val="20"/>
                <w:color w:val="auto"/>
              </w:rPr>
            </w:pPr>
            <w:r>
              <w:rPr>
                <w:rFonts w:ascii="Arial" w:cs="Arial" w:eastAsia="Arial" w:hAnsi="Arial"/>
                <w:sz w:val="18"/>
                <w:szCs w:val="18"/>
                <w:color w:val="auto"/>
              </w:rPr>
              <w:t>5.9</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2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431.1</w:t>
            </w:r>
          </w:p>
        </w:tc>
        <w:tc>
          <w:tcPr>
            <w:tcW w:w="0" w:type="dxa"/>
            <w:vAlign w:val="bottom"/>
          </w:tcPr>
          <w:p>
            <w:pPr>
              <w:spacing w:after="0"/>
              <w:rPr>
                <w:sz w:val="1"/>
                <w:szCs w:val="1"/>
                <w:color w:val="auto"/>
              </w:rPr>
            </w:pPr>
          </w:p>
        </w:tc>
      </w:tr>
      <w:tr>
        <w:trPr>
          <w:trHeight w:val="225"/>
        </w:trPr>
        <w:tc>
          <w:tcPr>
            <w:tcW w:w="2380" w:type="dxa"/>
            <w:vAlign w:val="bottom"/>
          </w:tcPr>
          <w:p>
            <w:pPr>
              <w:ind w:left="20"/>
              <w:spacing w:after="0"/>
              <w:rPr>
                <w:sz w:val="20"/>
                <w:szCs w:val="20"/>
                <w:color w:val="auto"/>
              </w:rPr>
            </w:pPr>
            <w:r>
              <w:rPr>
                <w:rFonts w:ascii="Arial" w:cs="Arial" w:eastAsia="Arial" w:hAnsi="Arial"/>
                <w:sz w:val="18"/>
                <w:szCs w:val="18"/>
                <w:i w:val="1"/>
                <w:iCs w:val="1"/>
                <w:color w:val="auto"/>
              </w:rPr>
              <w:t>Gross margin</w:t>
            </w:r>
          </w:p>
        </w:tc>
        <w:tc>
          <w:tcPr>
            <w:tcW w:w="2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79.8 %</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1.1 %</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40" w:type="dxa"/>
            <w:vAlign w:val="bottom"/>
            <w:gridSpan w:val="4"/>
          </w:tcPr>
          <w:p>
            <w:pPr>
              <w:jc w:val="right"/>
              <w:ind w:right="300"/>
              <w:spacing w:after="0"/>
              <w:rPr>
                <w:sz w:val="20"/>
                <w:szCs w:val="20"/>
                <w:color w:val="auto"/>
              </w:rPr>
            </w:pPr>
            <w:r>
              <w:rPr>
                <w:rFonts w:ascii="Arial" w:cs="Arial" w:eastAsia="Arial" w:hAnsi="Arial"/>
                <w:sz w:val="18"/>
                <w:szCs w:val="18"/>
                <w:color w:val="auto"/>
              </w:rPr>
              <w:t>— %</w:t>
            </w:r>
          </w:p>
        </w:tc>
        <w:tc>
          <w:tcPr>
            <w:tcW w:w="1080" w:type="dxa"/>
            <w:vAlign w:val="bottom"/>
          </w:tcPr>
          <w:p>
            <w:pPr>
              <w:jc w:val="right"/>
              <w:spacing w:after="0"/>
              <w:rPr>
                <w:sz w:val="20"/>
                <w:szCs w:val="20"/>
                <w:color w:val="auto"/>
              </w:rPr>
            </w:pPr>
            <w:r>
              <w:rPr>
                <w:rFonts w:ascii="Arial" w:cs="Arial" w:eastAsia="Arial" w:hAnsi="Arial"/>
                <w:sz w:val="18"/>
                <w:szCs w:val="18"/>
                <w:color w:val="auto"/>
              </w:rPr>
              <w:t>0.3</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40" w:type="dxa"/>
            <w:vAlign w:val="bottom"/>
            <w:gridSpan w:val="4"/>
          </w:tcPr>
          <w:p>
            <w:pPr>
              <w:jc w:val="right"/>
              <w:ind w:right="240"/>
              <w:spacing w:after="0"/>
              <w:rPr>
                <w:sz w:val="20"/>
                <w:szCs w:val="20"/>
                <w:color w:val="auto"/>
              </w:rPr>
            </w:pPr>
            <w:r>
              <w:rPr>
                <w:rFonts w:ascii="Arial" w:cs="Arial" w:eastAsia="Arial" w:hAnsi="Arial"/>
                <w:sz w:val="18"/>
                <w:szCs w:val="18"/>
                <w:color w:val="auto"/>
              </w:rPr>
              <w:t>— %</w:t>
            </w:r>
          </w:p>
        </w:tc>
        <w:tc>
          <w:tcPr>
            <w:tcW w:w="1140" w:type="dxa"/>
            <w:vAlign w:val="bottom"/>
          </w:tcPr>
          <w:p>
            <w:pPr>
              <w:jc w:val="right"/>
              <w:spacing w:after="0"/>
              <w:rPr>
                <w:sz w:val="20"/>
                <w:szCs w:val="20"/>
                <w:color w:val="auto"/>
              </w:rPr>
            </w:pPr>
            <w:r>
              <w:rPr>
                <w:rFonts w:ascii="Arial" w:cs="Arial" w:eastAsia="Arial" w:hAnsi="Arial"/>
                <w:sz w:val="18"/>
                <w:szCs w:val="18"/>
                <w:color w:val="auto"/>
              </w:rPr>
              <w:t>81.2 %</w:t>
            </w:r>
          </w:p>
        </w:tc>
        <w:tc>
          <w:tcPr>
            <w:tcW w:w="0" w:type="dxa"/>
            <w:vAlign w:val="bottom"/>
          </w:tcPr>
          <w:p>
            <w:pPr>
              <w:spacing w:after="0"/>
              <w:rPr>
                <w:sz w:val="1"/>
                <w:szCs w:val="1"/>
                <w:color w:val="auto"/>
              </w:rPr>
            </w:pPr>
          </w:p>
        </w:tc>
      </w:tr>
      <w:tr>
        <w:trPr>
          <w:trHeight w:val="226"/>
        </w:trPr>
        <w:tc>
          <w:tcPr>
            <w:tcW w:w="2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Research and development</w:t>
            </w:r>
          </w:p>
        </w:tc>
        <w:tc>
          <w:tcPr>
            <w:tcW w:w="26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185.5</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4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(49.5)</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2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130.5</w:t>
            </w:r>
          </w:p>
        </w:tc>
        <w:tc>
          <w:tcPr>
            <w:tcW w:w="0" w:type="dxa"/>
            <w:vAlign w:val="bottom"/>
          </w:tcPr>
          <w:p>
            <w:pPr>
              <w:spacing w:after="0"/>
              <w:rPr>
                <w:sz w:val="1"/>
                <w:szCs w:val="1"/>
                <w:color w:val="auto"/>
              </w:rPr>
            </w:pPr>
          </w:p>
        </w:tc>
      </w:tr>
      <w:tr>
        <w:trPr>
          <w:trHeight w:val="174"/>
        </w:trPr>
        <w:tc>
          <w:tcPr>
            <w:tcW w:w="2380" w:type="dxa"/>
            <w:vAlign w:val="bottom"/>
          </w:tcPr>
          <w:p>
            <w:pPr>
              <w:ind w:left="20"/>
              <w:spacing w:after="0" w:line="174" w:lineRule="exact"/>
              <w:rPr>
                <w:sz w:val="20"/>
                <w:szCs w:val="20"/>
                <w:color w:val="auto"/>
              </w:rPr>
            </w:pPr>
            <w:r>
              <w:rPr>
                <w:rFonts w:ascii="Arial" w:cs="Arial" w:eastAsia="Arial" w:hAnsi="Arial"/>
                <w:sz w:val="18"/>
                <w:szCs w:val="18"/>
                <w:i w:val="1"/>
                <w:iCs w:val="1"/>
                <w:color w:val="auto"/>
              </w:rPr>
              <w:t>Research and development</w:t>
            </w:r>
          </w:p>
        </w:tc>
        <w:tc>
          <w:tcPr>
            <w:tcW w:w="260" w:type="dxa"/>
            <w:vAlign w:val="bottom"/>
          </w:tcPr>
          <w:p>
            <w:pPr>
              <w:spacing w:after="0"/>
              <w:rPr>
                <w:sz w:val="15"/>
                <w:szCs w:val="15"/>
                <w:color w:val="auto"/>
              </w:rPr>
            </w:pPr>
          </w:p>
        </w:tc>
        <w:tc>
          <w:tcPr>
            <w:tcW w:w="1040" w:type="dxa"/>
            <w:vAlign w:val="bottom"/>
            <w:vMerge w:val="restart"/>
          </w:tcPr>
          <w:p>
            <w:pPr>
              <w:jc w:val="right"/>
              <w:spacing w:after="0"/>
              <w:rPr>
                <w:sz w:val="20"/>
                <w:szCs w:val="20"/>
                <w:color w:val="auto"/>
              </w:rPr>
            </w:pPr>
            <w:r>
              <w:rPr>
                <w:rFonts w:ascii="Arial" w:cs="Arial" w:eastAsia="Arial" w:hAnsi="Arial"/>
                <w:sz w:val="18"/>
                <w:szCs w:val="18"/>
                <w:color w:val="auto"/>
              </w:rPr>
              <w:t>35.0 %</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40" w:type="dxa"/>
            <w:vAlign w:val="bottom"/>
            <w:vMerge w:val="restart"/>
          </w:tcPr>
          <w:p>
            <w:pPr>
              <w:jc w:val="right"/>
              <w:spacing w:after="0"/>
              <w:rPr>
                <w:sz w:val="20"/>
                <w:szCs w:val="20"/>
                <w:color w:val="auto"/>
              </w:rPr>
            </w:pPr>
            <w:r>
              <w:rPr>
                <w:rFonts w:ascii="Arial" w:cs="Arial" w:eastAsia="Arial" w:hAnsi="Arial"/>
                <w:sz w:val="18"/>
                <w:szCs w:val="18"/>
                <w:color w:val="auto"/>
              </w:rPr>
              <w:t>(9.3 %)</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60" w:type="dxa"/>
            <w:vAlign w:val="bottom"/>
            <w:gridSpan w:val="2"/>
            <w:vMerge w:val="restart"/>
          </w:tcPr>
          <w:p>
            <w:pPr>
              <w:jc w:val="right"/>
              <w:spacing w:after="0"/>
              <w:rPr>
                <w:sz w:val="20"/>
                <w:szCs w:val="20"/>
                <w:color w:val="auto"/>
              </w:rPr>
            </w:pPr>
            <w:r>
              <w:rPr>
                <w:rFonts w:ascii="Arial" w:cs="Arial" w:eastAsia="Arial" w:hAnsi="Arial"/>
                <w:sz w:val="18"/>
                <w:szCs w:val="18"/>
                <w:color w:val="auto"/>
              </w:rPr>
              <w:t>(0.9 %)</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8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200" w:type="dxa"/>
            <w:vAlign w:val="bottom"/>
            <w:vMerge w:val="restart"/>
          </w:tcPr>
          <w:p>
            <w:pPr>
              <w:jc w:val="right"/>
              <w:spacing w:after="0"/>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20" w:type="dxa"/>
            <w:vAlign w:val="bottom"/>
            <w:gridSpan w:val="2"/>
            <w:vMerge w:val="restart"/>
          </w:tcPr>
          <w:p>
            <w:pPr>
              <w:jc w:val="right"/>
              <w:spacing w:after="0"/>
              <w:rPr>
                <w:sz w:val="20"/>
                <w:szCs w:val="20"/>
                <w:color w:val="auto"/>
              </w:rPr>
            </w:pPr>
            <w:r>
              <w:rPr>
                <w:rFonts w:ascii="Arial" w:cs="Arial" w:eastAsia="Arial" w:hAnsi="Arial"/>
                <w:sz w:val="18"/>
                <w:szCs w:val="18"/>
                <w:color w:val="auto"/>
              </w:rPr>
              <w:t>(0.1 %)</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40" w:type="dxa"/>
            <w:vAlign w:val="bottom"/>
            <w:vMerge w:val="restart"/>
          </w:tcPr>
          <w:p>
            <w:pPr>
              <w:jc w:val="right"/>
              <w:spacing w:after="0"/>
              <w:rPr>
                <w:sz w:val="20"/>
                <w:szCs w:val="20"/>
                <w:color w:val="auto"/>
              </w:rPr>
            </w:pPr>
            <w:r>
              <w:rPr>
                <w:rFonts w:ascii="Arial" w:cs="Arial" w:eastAsia="Arial" w:hAnsi="Arial"/>
                <w:sz w:val="18"/>
                <w:szCs w:val="18"/>
                <w:color w:val="auto"/>
              </w:rPr>
              <w:t>24.6 %</w:t>
            </w:r>
          </w:p>
        </w:tc>
        <w:tc>
          <w:tcPr>
            <w:tcW w:w="0" w:type="dxa"/>
            <w:vAlign w:val="bottom"/>
          </w:tcPr>
          <w:p>
            <w:pPr>
              <w:spacing w:after="0"/>
              <w:rPr>
                <w:sz w:val="1"/>
                <w:szCs w:val="1"/>
                <w:color w:val="auto"/>
              </w:rPr>
            </w:pPr>
          </w:p>
        </w:tc>
      </w:tr>
      <w:tr>
        <w:trPr>
          <w:trHeight w:val="224"/>
        </w:trPr>
        <w:tc>
          <w:tcPr>
            <w:tcW w:w="2380" w:type="dxa"/>
            <w:vAlign w:val="bottom"/>
          </w:tcPr>
          <w:p>
            <w:pPr>
              <w:ind w:left="20"/>
              <w:spacing w:after="0"/>
              <w:rPr>
                <w:sz w:val="20"/>
                <w:szCs w:val="20"/>
                <w:color w:val="auto"/>
              </w:rPr>
            </w:pPr>
            <w:r>
              <w:rPr>
                <w:rFonts w:ascii="Arial" w:cs="Arial" w:eastAsia="Arial" w:hAnsi="Arial"/>
                <w:sz w:val="18"/>
                <w:szCs w:val="18"/>
                <w:i w:val="1"/>
                <w:iCs w:val="1"/>
                <w:color w:val="auto"/>
              </w:rPr>
              <w:t>margin</w:t>
            </w:r>
          </w:p>
        </w:tc>
        <w:tc>
          <w:tcPr>
            <w:tcW w:w="260" w:type="dxa"/>
            <w:vAlign w:val="bottom"/>
          </w:tcPr>
          <w:p>
            <w:pPr>
              <w:spacing w:after="0"/>
              <w:rPr>
                <w:sz w:val="19"/>
                <w:szCs w:val="19"/>
                <w:color w:val="auto"/>
              </w:rPr>
            </w:pPr>
          </w:p>
        </w:tc>
        <w:tc>
          <w:tcPr>
            <w:tcW w:w="104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4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60" w:type="dxa"/>
            <w:vAlign w:val="bottom"/>
            <w:gridSpan w:val="2"/>
            <w:vMerge w:val="continue"/>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vMerge w:val="continue"/>
          </w:tcPr>
          <w:p>
            <w:pPr>
              <w:spacing w:after="0"/>
              <w:rPr>
                <w:sz w:val="19"/>
                <w:szCs w:val="19"/>
                <w:color w:val="auto"/>
              </w:rPr>
            </w:pPr>
          </w:p>
        </w:tc>
        <w:tc>
          <w:tcPr>
            <w:tcW w:w="20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gridSpan w:val="2"/>
            <w:vMerge w:val="continue"/>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2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Sales and marketing</w:t>
            </w:r>
          </w:p>
        </w:tc>
        <w:tc>
          <w:tcPr>
            <w:tcW w:w="26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100.8</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4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(6.2)</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2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90.8</w:t>
            </w:r>
          </w:p>
        </w:tc>
        <w:tc>
          <w:tcPr>
            <w:tcW w:w="0" w:type="dxa"/>
            <w:vAlign w:val="bottom"/>
          </w:tcPr>
          <w:p>
            <w:pPr>
              <w:spacing w:after="0"/>
              <w:rPr>
                <w:sz w:val="1"/>
                <w:szCs w:val="1"/>
                <w:color w:val="auto"/>
              </w:rPr>
            </w:pPr>
          </w:p>
        </w:tc>
      </w:tr>
      <w:tr>
        <w:trPr>
          <w:trHeight w:val="225"/>
        </w:trPr>
        <w:tc>
          <w:tcPr>
            <w:tcW w:w="2380" w:type="dxa"/>
            <w:vAlign w:val="bottom"/>
          </w:tcPr>
          <w:p>
            <w:pPr>
              <w:ind w:left="20"/>
              <w:spacing w:after="0"/>
              <w:rPr>
                <w:sz w:val="20"/>
                <w:szCs w:val="20"/>
                <w:color w:val="auto"/>
              </w:rPr>
            </w:pPr>
            <w:r>
              <w:rPr>
                <w:rFonts w:ascii="Arial" w:cs="Arial" w:eastAsia="Arial" w:hAnsi="Arial"/>
                <w:sz w:val="18"/>
                <w:szCs w:val="18"/>
                <w:i w:val="1"/>
                <w:iCs w:val="1"/>
                <w:color w:val="auto"/>
              </w:rPr>
              <w:t>Sales and marketing margin</w:t>
            </w:r>
          </w:p>
        </w:tc>
        <w:tc>
          <w:tcPr>
            <w:tcW w:w="2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19.0 %</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(1.2 %)</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(0.3 %)</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(0.4 %)</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17.1 %</w:t>
            </w:r>
          </w:p>
        </w:tc>
        <w:tc>
          <w:tcPr>
            <w:tcW w:w="0" w:type="dxa"/>
            <w:vAlign w:val="bottom"/>
          </w:tcPr>
          <w:p>
            <w:pPr>
              <w:spacing w:after="0"/>
              <w:rPr>
                <w:sz w:val="1"/>
                <w:szCs w:val="1"/>
                <w:color w:val="auto"/>
              </w:rPr>
            </w:pPr>
          </w:p>
        </w:tc>
      </w:tr>
      <w:tr>
        <w:trPr>
          <w:trHeight w:val="226"/>
        </w:trPr>
        <w:tc>
          <w:tcPr>
            <w:tcW w:w="2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General and administrative</w:t>
            </w:r>
          </w:p>
        </w:tc>
        <w:tc>
          <w:tcPr>
            <w:tcW w:w="26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52.8</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4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(12.3)</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2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40.4</w:t>
            </w:r>
          </w:p>
        </w:tc>
        <w:tc>
          <w:tcPr>
            <w:tcW w:w="0" w:type="dxa"/>
            <w:vAlign w:val="bottom"/>
          </w:tcPr>
          <w:p>
            <w:pPr>
              <w:spacing w:after="0"/>
              <w:rPr>
                <w:sz w:val="1"/>
                <w:szCs w:val="1"/>
                <w:color w:val="auto"/>
              </w:rPr>
            </w:pPr>
          </w:p>
        </w:tc>
      </w:tr>
      <w:tr>
        <w:trPr>
          <w:trHeight w:val="174"/>
        </w:trPr>
        <w:tc>
          <w:tcPr>
            <w:tcW w:w="2380" w:type="dxa"/>
            <w:vAlign w:val="bottom"/>
          </w:tcPr>
          <w:p>
            <w:pPr>
              <w:ind w:left="20"/>
              <w:spacing w:after="0" w:line="174" w:lineRule="exact"/>
              <w:rPr>
                <w:sz w:val="20"/>
                <w:szCs w:val="20"/>
                <w:color w:val="auto"/>
              </w:rPr>
            </w:pPr>
            <w:r>
              <w:rPr>
                <w:rFonts w:ascii="Arial" w:cs="Arial" w:eastAsia="Arial" w:hAnsi="Arial"/>
                <w:sz w:val="18"/>
                <w:szCs w:val="18"/>
                <w:i w:val="1"/>
                <w:iCs w:val="1"/>
                <w:color w:val="auto"/>
              </w:rPr>
              <w:t>General and administrative</w:t>
            </w:r>
          </w:p>
        </w:tc>
        <w:tc>
          <w:tcPr>
            <w:tcW w:w="260" w:type="dxa"/>
            <w:vAlign w:val="bottom"/>
          </w:tcPr>
          <w:p>
            <w:pPr>
              <w:spacing w:after="0"/>
              <w:rPr>
                <w:sz w:val="15"/>
                <w:szCs w:val="15"/>
                <w:color w:val="auto"/>
              </w:rPr>
            </w:pPr>
          </w:p>
        </w:tc>
        <w:tc>
          <w:tcPr>
            <w:tcW w:w="1040" w:type="dxa"/>
            <w:vAlign w:val="bottom"/>
            <w:vMerge w:val="restart"/>
          </w:tcPr>
          <w:p>
            <w:pPr>
              <w:jc w:val="right"/>
              <w:spacing w:after="0"/>
              <w:rPr>
                <w:sz w:val="20"/>
                <w:szCs w:val="20"/>
                <w:color w:val="auto"/>
              </w:rPr>
            </w:pPr>
            <w:r>
              <w:rPr>
                <w:rFonts w:ascii="Arial" w:cs="Arial" w:eastAsia="Arial" w:hAnsi="Arial"/>
                <w:sz w:val="18"/>
                <w:szCs w:val="18"/>
                <w:color w:val="auto"/>
              </w:rPr>
              <w:t>10.0 %</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40" w:type="dxa"/>
            <w:vAlign w:val="bottom"/>
            <w:vMerge w:val="restart"/>
          </w:tcPr>
          <w:p>
            <w:pPr>
              <w:jc w:val="right"/>
              <w:spacing w:after="0"/>
              <w:rPr>
                <w:sz w:val="20"/>
                <w:szCs w:val="20"/>
                <w:color w:val="auto"/>
              </w:rPr>
            </w:pPr>
            <w:r>
              <w:rPr>
                <w:rFonts w:ascii="Arial" w:cs="Arial" w:eastAsia="Arial" w:hAnsi="Arial"/>
                <w:sz w:val="18"/>
                <w:szCs w:val="18"/>
                <w:color w:val="auto"/>
              </w:rPr>
              <w:t>(2.3 %)</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540" w:type="dxa"/>
            <w:vAlign w:val="bottom"/>
            <w:gridSpan w:val="4"/>
            <w:vMerge w:val="restart"/>
          </w:tcPr>
          <w:p>
            <w:pPr>
              <w:jc w:val="right"/>
              <w:ind w:right="300"/>
              <w:spacing w:after="0"/>
              <w:rPr>
                <w:sz w:val="20"/>
                <w:szCs w:val="20"/>
                <w:color w:val="auto"/>
              </w:rPr>
            </w:pPr>
            <w:r>
              <w:rPr>
                <w:rFonts w:ascii="Arial" w:cs="Arial" w:eastAsia="Arial" w:hAnsi="Arial"/>
                <w:sz w:val="18"/>
                <w:szCs w:val="18"/>
                <w:color w:val="auto"/>
              </w:rPr>
              <w:t>— %</w:t>
            </w:r>
          </w:p>
        </w:tc>
        <w:tc>
          <w:tcPr>
            <w:tcW w:w="1580" w:type="dxa"/>
            <w:vAlign w:val="bottom"/>
            <w:gridSpan w:val="4"/>
            <w:vMerge w:val="restart"/>
          </w:tcPr>
          <w:p>
            <w:pPr>
              <w:jc w:val="right"/>
              <w:ind w:right="320"/>
              <w:spacing w:after="0"/>
              <w:rPr>
                <w:sz w:val="20"/>
                <w:szCs w:val="20"/>
                <w:color w:val="auto"/>
              </w:rPr>
            </w:pPr>
            <w:r>
              <w:rPr>
                <w:rFonts w:ascii="Arial" w:cs="Arial" w:eastAsia="Arial" w:hAnsi="Arial"/>
                <w:sz w:val="18"/>
                <w:szCs w:val="18"/>
                <w:color w:val="auto"/>
              </w:rPr>
              <w:t>— %</w:t>
            </w:r>
          </w:p>
        </w:tc>
        <w:tc>
          <w:tcPr>
            <w:tcW w:w="1440" w:type="dxa"/>
            <w:vAlign w:val="bottom"/>
            <w:gridSpan w:val="4"/>
            <w:vMerge w:val="restart"/>
          </w:tcPr>
          <w:p>
            <w:pPr>
              <w:jc w:val="right"/>
              <w:ind w:right="240"/>
              <w:spacing w:after="0"/>
              <w:rPr>
                <w:sz w:val="20"/>
                <w:szCs w:val="20"/>
                <w:color w:val="auto"/>
              </w:rPr>
            </w:pPr>
            <w:r>
              <w:rPr>
                <w:rFonts w:ascii="Arial" w:cs="Arial" w:eastAsia="Arial" w:hAnsi="Arial"/>
                <w:sz w:val="18"/>
                <w:szCs w:val="18"/>
                <w:color w:val="auto"/>
              </w:rPr>
              <w:t>— %</w:t>
            </w:r>
          </w:p>
        </w:tc>
        <w:tc>
          <w:tcPr>
            <w:tcW w:w="1140" w:type="dxa"/>
            <w:vAlign w:val="bottom"/>
            <w:vMerge w:val="restart"/>
          </w:tcPr>
          <w:p>
            <w:pPr>
              <w:jc w:val="right"/>
              <w:spacing w:after="0"/>
              <w:rPr>
                <w:sz w:val="20"/>
                <w:szCs w:val="20"/>
                <w:color w:val="auto"/>
              </w:rPr>
            </w:pPr>
            <w:r>
              <w:rPr>
                <w:rFonts w:ascii="Arial" w:cs="Arial" w:eastAsia="Arial" w:hAnsi="Arial"/>
                <w:sz w:val="18"/>
                <w:szCs w:val="18"/>
                <w:color w:val="auto"/>
              </w:rPr>
              <w:t>7.6 %</w:t>
            </w:r>
          </w:p>
        </w:tc>
        <w:tc>
          <w:tcPr>
            <w:tcW w:w="0" w:type="dxa"/>
            <w:vAlign w:val="bottom"/>
          </w:tcPr>
          <w:p>
            <w:pPr>
              <w:spacing w:after="0"/>
              <w:rPr>
                <w:sz w:val="1"/>
                <w:szCs w:val="1"/>
                <w:color w:val="auto"/>
              </w:rPr>
            </w:pPr>
          </w:p>
        </w:tc>
      </w:tr>
      <w:tr>
        <w:trPr>
          <w:trHeight w:val="224"/>
        </w:trPr>
        <w:tc>
          <w:tcPr>
            <w:tcW w:w="2380" w:type="dxa"/>
            <w:vAlign w:val="bottom"/>
          </w:tcPr>
          <w:p>
            <w:pPr>
              <w:ind w:left="20"/>
              <w:spacing w:after="0"/>
              <w:rPr>
                <w:sz w:val="20"/>
                <w:szCs w:val="20"/>
                <w:color w:val="auto"/>
              </w:rPr>
            </w:pPr>
            <w:r>
              <w:rPr>
                <w:rFonts w:ascii="Arial" w:cs="Arial" w:eastAsia="Arial" w:hAnsi="Arial"/>
                <w:sz w:val="18"/>
                <w:szCs w:val="18"/>
                <w:i w:val="1"/>
                <w:iCs w:val="1"/>
                <w:color w:val="auto"/>
              </w:rPr>
              <w:t>margin</w:t>
            </w:r>
          </w:p>
        </w:tc>
        <w:tc>
          <w:tcPr>
            <w:tcW w:w="260" w:type="dxa"/>
            <w:vAlign w:val="bottom"/>
          </w:tcPr>
          <w:p>
            <w:pPr>
              <w:spacing w:after="0"/>
              <w:rPr>
                <w:sz w:val="19"/>
                <w:szCs w:val="19"/>
                <w:color w:val="auto"/>
              </w:rPr>
            </w:pPr>
          </w:p>
        </w:tc>
        <w:tc>
          <w:tcPr>
            <w:tcW w:w="104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4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40" w:type="dxa"/>
            <w:vAlign w:val="bottom"/>
            <w:gridSpan w:val="4"/>
            <w:vMerge w:val="continue"/>
          </w:tcPr>
          <w:p>
            <w:pPr>
              <w:spacing w:after="0"/>
              <w:rPr>
                <w:sz w:val="19"/>
                <w:szCs w:val="19"/>
                <w:color w:val="auto"/>
              </w:rPr>
            </w:pPr>
          </w:p>
        </w:tc>
        <w:tc>
          <w:tcPr>
            <w:tcW w:w="1580" w:type="dxa"/>
            <w:vAlign w:val="bottom"/>
            <w:gridSpan w:val="4"/>
            <w:vMerge w:val="continue"/>
          </w:tcPr>
          <w:p>
            <w:pPr>
              <w:spacing w:after="0"/>
              <w:rPr>
                <w:sz w:val="19"/>
                <w:szCs w:val="19"/>
                <w:color w:val="auto"/>
              </w:rPr>
            </w:pPr>
          </w:p>
        </w:tc>
        <w:tc>
          <w:tcPr>
            <w:tcW w:w="1440" w:type="dxa"/>
            <w:vAlign w:val="bottom"/>
            <w:gridSpan w:val="4"/>
            <w:vMerge w:val="continue"/>
          </w:tcPr>
          <w:p>
            <w:pPr>
              <w:spacing w:after="0"/>
              <w:rPr>
                <w:sz w:val="19"/>
                <w:szCs w:val="19"/>
                <w:color w:val="auto"/>
              </w:rPr>
            </w:pPr>
          </w:p>
        </w:tc>
        <w:tc>
          <w:tcPr>
            <w:tcW w:w="11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2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 from operations</w:t>
            </w:r>
          </w:p>
        </w:tc>
        <w:tc>
          <w:tcPr>
            <w:tcW w:w="26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84.4</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shd w:val="clear" w:color="auto" w:fill="CCEEFF"/>
          </w:tcPr>
          <w:p>
            <w:pPr>
              <w:jc w:val="right"/>
              <w:ind w:right="191"/>
              <w:spacing w:after="0"/>
              <w:rPr>
                <w:sz w:val="20"/>
                <w:szCs w:val="20"/>
                <w:color w:val="auto"/>
              </w:rPr>
            </w:pPr>
            <w:r>
              <w:rPr>
                <w:rFonts w:ascii="Arial" w:cs="Arial" w:eastAsia="Arial" w:hAnsi="Arial"/>
                <w:sz w:val="18"/>
                <w:szCs w:val="18"/>
                <w:color w:val="auto"/>
              </w:rPr>
              <w:t>73.9</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w:t>
            </w:r>
          </w:p>
        </w:tc>
        <w:tc>
          <w:tcPr>
            <w:tcW w:w="46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5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0.9</w:t>
            </w:r>
          </w:p>
        </w:tc>
        <w:tc>
          <w:tcPr>
            <w:tcW w:w="4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169.4</w:t>
            </w:r>
          </w:p>
        </w:tc>
        <w:tc>
          <w:tcPr>
            <w:tcW w:w="0" w:type="dxa"/>
            <w:vAlign w:val="bottom"/>
          </w:tcPr>
          <w:p>
            <w:pPr>
              <w:spacing w:after="0"/>
              <w:rPr>
                <w:sz w:val="1"/>
                <w:szCs w:val="1"/>
                <w:color w:val="auto"/>
              </w:rPr>
            </w:pPr>
          </w:p>
        </w:tc>
      </w:tr>
      <w:tr>
        <w:trPr>
          <w:trHeight w:val="225"/>
        </w:trPr>
        <w:tc>
          <w:tcPr>
            <w:tcW w:w="2380" w:type="dxa"/>
            <w:vAlign w:val="bottom"/>
          </w:tcPr>
          <w:p>
            <w:pPr>
              <w:ind w:left="20"/>
              <w:spacing w:after="0"/>
              <w:rPr>
                <w:sz w:val="20"/>
                <w:szCs w:val="20"/>
                <w:color w:val="auto"/>
              </w:rPr>
            </w:pPr>
            <w:r>
              <w:rPr>
                <w:rFonts w:ascii="Arial" w:cs="Arial" w:eastAsia="Arial" w:hAnsi="Arial"/>
                <w:sz w:val="18"/>
                <w:szCs w:val="18"/>
                <w:i w:val="1"/>
                <w:iCs w:val="1"/>
                <w:color w:val="auto"/>
              </w:rPr>
              <w:t>Operating margin</w:t>
            </w:r>
          </w:p>
        </w:tc>
        <w:tc>
          <w:tcPr>
            <w:tcW w:w="2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15.9 %</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13.9 %</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1.3</w:t>
            </w:r>
          </w:p>
        </w:tc>
        <w:tc>
          <w:tcPr>
            <w:tcW w:w="180" w:type="dxa"/>
            <w:vAlign w:val="bottom"/>
          </w:tcPr>
          <w:p>
            <w:pPr>
              <w:jc w:val="right"/>
              <w:spacing w:after="0"/>
              <w:rPr>
                <w:sz w:val="20"/>
                <w:szCs w:val="20"/>
                <w:color w:val="auto"/>
              </w:rPr>
            </w:pPr>
            <w:r>
              <w:rPr>
                <w:rFonts w:ascii="Arial" w:cs="Arial" w:eastAsia="Arial" w:hAnsi="Arial"/>
                <w:sz w:val="18"/>
                <w:szCs w:val="18"/>
                <w:color w:val="auto"/>
                <w:w w:val="87"/>
              </w:rPr>
              <w:t>%</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0.7</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0.2</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31.9 %</w:t>
            </w:r>
          </w:p>
        </w:tc>
        <w:tc>
          <w:tcPr>
            <w:tcW w:w="0" w:type="dxa"/>
            <w:vAlign w:val="bottom"/>
          </w:tcPr>
          <w:p>
            <w:pPr>
              <w:spacing w:after="0"/>
              <w:rPr>
                <w:sz w:val="1"/>
                <w:szCs w:val="1"/>
                <w:color w:val="auto"/>
              </w:rPr>
            </w:pPr>
          </w:p>
        </w:tc>
      </w:tr>
    </w:tbl>
    <w:p>
      <w:pPr>
        <w:spacing w:after="0" w:line="320" w:lineRule="exact"/>
        <w:rPr>
          <w:sz w:val="20"/>
          <w:szCs w:val="20"/>
          <w:color w:val="auto"/>
        </w:rPr>
      </w:pPr>
    </w:p>
    <w:p>
      <w:pPr>
        <w:ind w:left="160" w:hanging="154"/>
        <w:spacing w:after="0"/>
        <w:tabs>
          <w:tab w:leader="none" w:pos="160" w:val="left"/>
        </w:tabs>
        <w:numPr>
          <w:ilvl w:val="0"/>
          <w:numId w:val="6"/>
        </w:numPr>
        <w:rPr>
          <w:rFonts w:ascii="Arial" w:cs="Arial" w:eastAsia="Arial" w:hAnsi="Arial"/>
          <w:sz w:val="18"/>
          <w:szCs w:val="18"/>
          <w:color w:val="auto"/>
          <w:vertAlign w:val="superscript"/>
        </w:rPr>
      </w:pPr>
      <w:r>
        <w:rPr>
          <w:rFonts w:ascii="Arial" w:cs="Arial" w:eastAsia="Arial" w:hAnsi="Arial"/>
          <w:sz w:val="14"/>
          <w:szCs w:val="14"/>
          <w:color w:val="auto"/>
        </w:rPr>
        <w:t>Includes expenses related to workforce reduction such as severance, benefits and other related items.</w:t>
      </w: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Dropbox, Inc.</w:t>
      </w:r>
    </w:p>
    <w:p>
      <w:pPr>
        <w:spacing w:after="0" w:line="29"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Three Months Ended June 30, 2020</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Reconciliation of GAAP to Non-GAAP results</w:t>
      </w:r>
    </w:p>
    <w:p>
      <w:pPr>
        <w:spacing w:after="0" w:line="10"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(In millions, except for percentages, which may not foot due to rounding)</w:t>
      </w:r>
    </w:p>
    <w:p>
      <w:pPr>
        <w:spacing w:after="0" w:line="3"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(Unaudited)</w:t>
      </w:r>
    </w:p>
    <w:tbl>
      <w:tblPr>
        <w:tblLayout w:type="fixed"/>
        <w:tblInd w:w="540" w:type="dxa"/>
        <w:tblCellMar>
          <w:top w:w="0" w:type="dxa"/>
          <w:left w:w="0" w:type="dxa"/>
          <w:bottom w:w="0" w:type="dxa"/>
          <w:right w:w="0" w:type="dxa"/>
        </w:tblCellMar>
      </w:tblPr>
      <w:tr>
        <w:trPr>
          <w:trHeight w:val="206"/>
        </w:trPr>
        <w:tc>
          <w:tcPr>
            <w:tcW w:w="25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80" w:type="dxa"/>
            <w:vAlign w:val="bottom"/>
            <w:vMerge w:val="restart"/>
          </w:tcPr>
          <w:p>
            <w:pPr>
              <w:jc w:val="right"/>
              <w:ind w:right="331"/>
              <w:spacing w:after="0"/>
              <w:rPr>
                <w:sz w:val="20"/>
                <w:szCs w:val="20"/>
                <w:color w:val="auto"/>
              </w:rPr>
            </w:pPr>
            <w:r>
              <w:rPr>
                <w:rFonts w:ascii="Arial" w:cs="Arial" w:eastAsia="Arial" w:hAnsi="Arial"/>
                <w:sz w:val="18"/>
                <w:szCs w:val="18"/>
                <w:b w:val="1"/>
                <w:bCs w:val="1"/>
                <w:color w:val="auto"/>
              </w:rPr>
              <w:t>GAAP</w:t>
            </w:r>
          </w:p>
        </w:tc>
        <w:tc>
          <w:tcPr>
            <w:tcW w:w="120" w:type="dxa"/>
            <w:vAlign w:val="bottom"/>
            <w:vMerge w:val="restart"/>
          </w:tcPr>
          <w:p>
            <w:pPr>
              <w:spacing w:after="0"/>
              <w:rPr>
                <w:sz w:val="17"/>
                <w:szCs w:val="17"/>
                <w:color w:val="auto"/>
              </w:rPr>
            </w:pPr>
          </w:p>
        </w:tc>
        <w:tc>
          <w:tcPr>
            <w:tcW w:w="160" w:type="dxa"/>
            <w:vAlign w:val="bottom"/>
          </w:tcPr>
          <w:p>
            <w:pPr>
              <w:spacing w:after="0"/>
              <w:rPr>
                <w:sz w:val="17"/>
                <w:szCs w:val="17"/>
                <w:color w:val="auto"/>
              </w:rPr>
            </w:pPr>
          </w:p>
        </w:tc>
        <w:tc>
          <w:tcPr>
            <w:tcW w:w="1480" w:type="dxa"/>
            <w:vAlign w:val="bottom"/>
            <w:gridSpan w:val="2"/>
          </w:tcPr>
          <w:p>
            <w:pPr>
              <w:ind w:left="140"/>
              <w:spacing w:after="0" w:line="206" w:lineRule="exact"/>
              <w:rPr>
                <w:sz w:val="20"/>
                <w:szCs w:val="20"/>
                <w:color w:val="auto"/>
              </w:rPr>
            </w:pPr>
            <w:r>
              <w:rPr>
                <w:rFonts w:ascii="Arial" w:cs="Arial" w:eastAsia="Arial" w:hAnsi="Arial"/>
                <w:sz w:val="18"/>
                <w:szCs w:val="18"/>
                <w:b w:val="1"/>
                <w:bCs w:val="1"/>
                <w:color w:val="auto"/>
              </w:rPr>
              <w:t>Stock-based</w:t>
            </w:r>
          </w:p>
        </w:tc>
        <w:tc>
          <w:tcPr>
            <w:tcW w:w="1800" w:type="dxa"/>
            <w:vAlign w:val="bottom"/>
            <w:gridSpan w:val="5"/>
          </w:tcPr>
          <w:p>
            <w:pPr>
              <w:ind w:left="20"/>
              <w:spacing w:after="0" w:line="206" w:lineRule="exact"/>
              <w:rPr>
                <w:sz w:val="20"/>
                <w:szCs w:val="20"/>
                <w:color w:val="auto"/>
              </w:rPr>
            </w:pPr>
            <w:r>
              <w:rPr>
                <w:rFonts w:ascii="Arial" w:cs="Arial" w:eastAsia="Arial" w:hAnsi="Arial"/>
                <w:sz w:val="18"/>
                <w:szCs w:val="18"/>
                <w:b w:val="1"/>
                <w:bCs w:val="1"/>
                <w:color w:val="auto"/>
              </w:rPr>
              <w:t>Acquisition-related</w:t>
            </w:r>
          </w:p>
        </w:tc>
        <w:tc>
          <w:tcPr>
            <w:tcW w:w="1140" w:type="dxa"/>
            <w:vAlign w:val="bottom"/>
          </w:tcPr>
          <w:p>
            <w:pPr>
              <w:jc w:val="right"/>
              <w:ind w:right="51"/>
              <w:spacing w:after="0" w:line="206" w:lineRule="exact"/>
              <w:rPr>
                <w:sz w:val="20"/>
                <w:szCs w:val="20"/>
                <w:color w:val="auto"/>
              </w:rPr>
            </w:pPr>
            <w:r>
              <w:rPr>
                <w:rFonts w:ascii="Arial" w:cs="Arial" w:eastAsia="Arial" w:hAnsi="Arial"/>
                <w:sz w:val="18"/>
                <w:szCs w:val="18"/>
                <w:b w:val="1"/>
                <w:bCs w:val="1"/>
                <w:color w:val="auto"/>
              </w:rPr>
              <w:t>Intangibles</w:t>
            </w: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80" w:type="dxa"/>
            <w:vAlign w:val="bottom"/>
            <w:vMerge w:val="restart"/>
          </w:tcPr>
          <w:p>
            <w:pPr>
              <w:jc w:val="right"/>
              <w:ind w:right="151"/>
              <w:spacing w:after="0"/>
              <w:rPr>
                <w:sz w:val="20"/>
                <w:szCs w:val="20"/>
                <w:color w:val="auto"/>
              </w:rPr>
            </w:pPr>
            <w:r>
              <w:rPr>
                <w:rFonts w:ascii="Arial" w:cs="Arial" w:eastAsia="Arial" w:hAnsi="Arial"/>
                <w:sz w:val="18"/>
                <w:szCs w:val="18"/>
                <w:b w:val="1"/>
                <w:bCs w:val="1"/>
                <w:color w:val="auto"/>
                <w:w w:val="98"/>
              </w:rPr>
              <w:t>Non-GAAP</w:t>
            </w:r>
          </w:p>
        </w:tc>
        <w:tc>
          <w:tcPr>
            <w:tcW w:w="0" w:type="dxa"/>
            <w:vAlign w:val="bottom"/>
          </w:tcPr>
          <w:p>
            <w:pPr>
              <w:spacing w:after="0"/>
              <w:rPr>
                <w:sz w:val="1"/>
                <w:szCs w:val="1"/>
                <w:color w:val="auto"/>
              </w:rPr>
            </w:pPr>
          </w:p>
        </w:tc>
      </w:tr>
      <w:tr>
        <w:trPr>
          <w:trHeight w:val="226"/>
        </w:trPr>
        <w:tc>
          <w:tcPr>
            <w:tcW w:w="25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vMerge w:val="continue"/>
          </w:tcPr>
          <w:p>
            <w:pPr>
              <w:spacing w:after="0"/>
              <w:rPr>
                <w:sz w:val="19"/>
                <w:szCs w:val="19"/>
                <w:color w:val="auto"/>
              </w:rPr>
            </w:pPr>
          </w:p>
        </w:tc>
        <w:tc>
          <w:tcPr>
            <w:tcW w:w="120" w:type="dxa"/>
            <w:vAlign w:val="bottom"/>
            <w:tcBorders>
              <w:bottom w:val="single" w:sz="8" w:color="CCEEFF"/>
            </w:tcBorders>
            <w:vMerge w:val="continue"/>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ind w:right="171"/>
              <w:spacing w:after="0"/>
              <w:rPr>
                <w:sz w:val="20"/>
                <w:szCs w:val="20"/>
                <w:color w:val="auto"/>
              </w:rPr>
            </w:pPr>
            <w:r>
              <w:rPr>
                <w:rFonts w:ascii="Arial" w:cs="Arial" w:eastAsia="Arial" w:hAnsi="Arial"/>
                <w:sz w:val="18"/>
                <w:szCs w:val="18"/>
                <w:b w:val="1"/>
                <w:bCs w:val="1"/>
                <w:color w:val="auto"/>
                <w:w w:val="90"/>
              </w:rPr>
              <w:t>compensation</w:t>
            </w:r>
          </w:p>
        </w:tc>
        <w:tc>
          <w:tcPr>
            <w:tcW w:w="100" w:type="dxa"/>
            <w:vAlign w:val="bottom"/>
            <w:tcBorders>
              <w:bottom w:val="single" w:sz="8" w:color="CCEEFF"/>
            </w:tcBorders>
          </w:tcPr>
          <w:p>
            <w:pPr>
              <w:spacing w:after="0"/>
              <w:rPr>
                <w:sz w:val="19"/>
                <w:szCs w:val="19"/>
                <w:color w:val="auto"/>
              </w:rPr>
            </w:pPr>
          </w:p>
        </w:tc>
        <w:tc>
          <w:tcPr>
            <w:tcW w:w="1520" w:type="dxa"/>
            <w:vAlign w:val="bottom"/>
            <w:tcBorders>
              <w:bottom w:val="single" w:sz="8" w:color="auto"/>
            </w:tcBorders>
            <w:gridSpan w:val="3"/>
          </w:tcPr>
          <w:p>
            <w:pPr>
              <w:ind w:left="40"/>
              <w:spacing w:after="0"/>
              <w:rPr>
                <w:sz w:val="20"/>
                <w:szCs w:val="20"/>
                <w:color w:val="auto"/>
              </w:rPr>
            </w:pPr>
            <w:r>
              <w:rPr>
                <w:rFonts w:ascii="Arial" w:cs="Arial" w:eastAsia="Arial" w:hAnsi="Arial"/>
                <w:sz w:val="18"/>
                <w:szCs w:val="18"/>
                <w:b w:val="1"/>
                <w:bCs w:val="1"/>
                <w:color w:val="auto"/>
                <w:w w:val="86"/>
              </w:rPr>
              <w:t>and other expenses</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7"/>
              </w:rPr>
              <w:t>amortization</w:t>
            </w:r>
          </w:p>
        </w:tc>
        <w:tc>
          <w:tcPr>
            <w:tcW w:w="20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2500" w:type="dxa"/>
            <w:vAlign w:val="bottom"/>
            <w:shd w:val="clear" w:color="auto" w:fill="CCEEFF"/>
          </w:tcPr>
          <w:p>
            <w:pPr>
              <w:spacing w:after="0"/>
              <w:rPr>
                <w:sz w:val="20"/>
                <w:szCs w:val="20"/>
                <w:color w:val="auto"/>
              </w:rPr>
            </w:pPr>
            <w:r>
              <w:rPr>
                <w:rFonts w:ascii="Arial" w:cs="Arial" w:eastAsia="Arial" w:hAnsi="Arial"/>
                <w:sz w:val="18"/>
                <w:szCs w:val="18"/>
                <w:color w:val="auto"/>
              </w:rPr>
              <w:t>Cost of revenue</w:t>
            </w:r>
          </w:p>
        </w:tc>
        <w:tc>
          <w:tcPr>
            <w:tcW w:w="26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102.5</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(4.5)</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8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4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97.0</w:t>
            </w:r>
          </w:p>
        </w:tc>
        <w:tc>
          <w:tcPr>
            <w:tcW w:w="0" w:type="dxa"/>
            <w:vAlign w:val="bottom"/>
          </w:tcPr>
          <w:p>
            <w:pPr>
              <w:spacing w:after="0"/>
              <w:rPr>
                <w:sz w:val="1"/>
                <w:szCs w:val="1"/>
                <w:color w:val="auto"/>
              </w:rPr>
            </w:pPr>
          </w:p>
        </w:tc>
      </w:tr>
      <w:tr>
        <w:trPr>
          <w:trHeight w:val="225"/>
        </w:trPr>
        <w:tc>
          <w:tcPr>
            <w:tcW w:w="2500" w:type="dxa"/>
            <w:vAlign w:val="bottom"/>
          </w:tcPr>
          <w:p>
            <w:pPr>
              <w:spacing w:after="0"/>
              <w:rPr>
                <w:sz w:val="20"/>
                <w:szCs w:val="20"/>
                <w:color w:val="auto"/>
              </w:rPr>
            </w:pPr>
            <w:r>
              <w:rPr>
                <w:rFonts w:ascii="Arial" w:cs="Arial" w:eastAsia="Arial" w:hAnsi="Arial"/>
                <w:sz w:val="18"/>
                <w:szCs w:val="18"/>
                <w:i w:val="1"/>
                <w:iCs w:val="1"/>
                <w:color w:val="auto"/>
              </w:rPr>
              <w:t>Cost of revenue margin</w:t>
            </w:r>
          </w:p>
        </w:tc>
        <w:tc>
          <w:tcPr>
            <w:tcW w:w="2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21.9 %</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(0.9 %)</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40" w:type="dxa"/>
            <w:vAlign w:val="bottom"/>
            <w:gridSpan w:val="2"/>
          </w:tcPr>
          <w:p>
            <w:pPr>
              <w:jc w:val="right"/>
              <w:spacing w:after="0"/>
              <w:rPr>
                <w:sz w:val="20"/>
                <w:szCs w:val="20"/>
                <w:color w:val="auto"/>
              </w:rPr>
            </w:pPr>
            <w:r>
              <w:rPr>
                <w:rFonts w:ascii="Arial" w:cs="Arial" w:eastAsia="Arial" w:hAnsi="Arial"/>
                <w:sz w:val="18"/>
                <w:szCs w:val="18"/>
                <w:color w:val="auto"/>
              </w:rPr>
              <w:t>(0.2 %)</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20.8 %</w:t>
            </w:r>
          </w:p>
        </w:tc>
        <w:tc>
          <w:tcPr>
            <w:tcW w:w="0" w:type="dxa"/>
            <w:vAlign w:val="bottom"/>
          </w:tcPr>
          <w:p>
            <w:pPr>
              <w:spacing w:after="0"/>
              <w:rPr>
                <w:sz w:val="1"/>
                <w:szCs w:val="1"/>
                <w:color w:val="auto"/>
              </w:rPr>
            </w:pPr>
          </w:p>
        </w:tc>
      </w:tr>
      <w:tr>
        <w:trPr>
          <w:trHeight w:val="226"/>
        </w:trPr>
        <w:tc>
          <w:tcPr>
            <w:tcW w:w="2500" w:type="dxa"/>
            <w:vAlign w:val="bottom"/>
            <w:shd w:val="clear" w:color="auto" w:fill="CCEEFF"/>
          </w:tcPr>
          <w:p>
            <w:pPr>
              <w:spacing w:after="0"/>
              <w:rPr>
                <w:sz w:val="20"/>
                <w:szCs w:val="20"/>
                <w:color w:val="auto"/>
              </w:rPr>
            </w:pPr>
            <w:r>
              <w:rPr>
                <w:rFonts w:ascii="Arial" w:cs="Arial" w:eastAsia="Arial" w:hAnsi="Arial"/>
                <w:sz w:val="18"/>
                <w:szCs w:val="18"/>
                <w:color w:val="auto"/>
              </w:rPr>
              <w:t>Gross profit</w:t>
            </w:r>
          </w:p>
        </w:tc>
        <w:tc>
          <w:tcPr>
            <w:tcW w:w="26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364.9</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80" w:type="dxa"/>
            <w:vAlign w:val="bottom"/>
            <w:shd w:val="clear" w:color="auto" w:fill="CCEEFF"/>
          </w:tcPr>
          <w:p>
            <w:pPr>
              <w:jc w:val="right"/>
              <w:ind w:right="191"/>
              <w:spacing w:after="0"/>
              <w:rPr>
                <w:sz w:val="20"/>
                <w:szCs w:val="20"/>
                <w:color w:val="auto"/>
              </w:rPr>
            </w:pPr>
            <w:r>
              <w:rPr>
                <w:rFonts w:ascii="Arial" w:cs="Arial" w:eastAsia="Arial" w:hAnsi="Arial"/>
                <w:sz w:val="18"/>
                <w:szCs w:val="18"/>
                <w:color w:val="auto"/>
              </w:rPr>
              <w:t>4.5</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370.4</w:t>
            </w:r>
          </w:p>
        </w:tc>
        <w:tc>
          <w:tcPr>
            <w:tcW w:w="0" w:type="dxa"/>
            <w:vAlign w:val="bottom"/>
          </w:tcPr>
          <w:p>
            <w:pPr>
              <w:spacing w:after="0"/>
              <w:rPr>
                <w:sz w:val="1"/>
                <w:szCs w:val="1"/>
                <w:color w:val="auto"/>
              </w:rPr>
            </w:pPr>
          </w:p>
        </w:tc>
      </w:tr>
      <w:tr>
        <w:trPr>
          <w:trHeight w:val="225"/>
        </w:trPr>
        <w:tc>
          <w:tcPr>
            <w:tcW w:w="2500" w:type="dxa"/>
            <w:vAlign w:val="bottom"/>
          </w:tcPr>
          <w:p>
            <w:pPr>
              <w:spacing w:after="0"/>
              <w:rPr>
                <w:sz w:val="20"/>
                <w:szCs w:val="20"/>
                <w:color w:val="auto"/>
              </w:rPr>
            </w:pPr>
            <w:r>
              <w:rPr>
                <w:rFonts w:ascii="Arial" w:cs="Arial" w:eastAsia="Arial" w:hAnsi="Arial"/>
                <w:sz w:val="18"/>
                <w:szCs w:val="18"/>
                <w:i w:val="1"/>
                <w:iCs w:val="1"/>
                <w:color w:val="auto"/>
              </w:rPr>
              <w:t>Gross margin</w:t>
            </w:r>
          </w:p>
        </w:tc>
        <w:tc>
          <w:tcPr>
            <w:tcW w:w="2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78.1 %</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0.9 %</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280" w:type="dxa"/>
            <w:vAlign w:val="bottom"/>
            <w:gridSpan w:val="4"/>
          </w:tcPr>
          <w:p>
            <w:pPr>
              <w:jc w:val="right"/>
              <w:ind w:right="300"/>
              <w:spacing w:after="0"/>
              <w:rPr>
                <w:sz w:val="20"/>
                <w:szCs w:val="20"/>
                <w:color w:val="auto"/>
              </w:rPr>
            </w:pPr>
            <w:r>
              <w:rPr>
                <w:rFonts w:ascii="Arial" w:cs="Arial" w:eastAsia="Arial" w:hAnsi="Arial"/>
                <w:sz w:val="18"/>
                <w:szCs w:val="18"/>
                <w:color w:val="auto"/>
              </w:rPr>
              <w:t>— %</w:t>
            </w:r>
          </w:p>
        </w:tc>
        <w:tc>
          <w:tcPr>
            <w:tcW w:w="1140" w:type="dxa"/>
            <w:vAlign w:val="bottom"/>
          </w:tcPr>
          <w:p>
            <w:pPr>
              <w:jc w:val="right"/>
              <w:spacing w:after="0"/>
              <w:rPr>
                <w:sz w:val="20"/>
                <w:szCs w:val="20"/>
                <w:color w:val="auto"/>
              </w:rPr>
            </w:pPr>
            <w:r>
              <w:rPr>
                <w:rFonts w:ascii="Arial" w:cs="Arial" w:eastAsia="Arial" w:hAnsi="Arial"/>
                <w:sz w:val="18"/>
                <w:szCs w:val="18"/>
                <w:color w:val="auto"/>
              </w:rPr>
              <w:t>0.2</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79.2 %</w:t>
            </w:r>
          </w:p>
        </w:tc>
        <w:tc>
          <w:tcPr>
            <w:tcW w:w="0" w:type="dxa"/>
            <w:vAlign w:val="bottom"/>
          </w:tcPr>
          <w:p>
            <w:pPr>
              <w:spacing w:after="0"/>
              <w:rPr>
                <w:sz w:val="1"/>
                <w:szCs w:val="1"/>
                <w:color w:val="auto"/>
              </w:rPr>
            </w:pPr>
          </w:p>
        </w:tc>
      </w:tr>
      <w:tr>
        <w:trPr>
          <w:trHeight w:val="226"/>
        </w:trPr>
        <w:tc>
          <w:tcPr>
            <w:tcW w:w="2500" w:type="dxa"/>
            <w:vAlign w:val="bottom"/>
            <w:shd w:val="clear" w:color="auto" w:fill="CCEEFF"/>
          </w:tcPr>
          <w:p>
            <w:pPr>
              <w:spacing w:after="0"/>
              <w:rPr>
                <w:sz w:val="20"/>
                <w:szCs w:val="20"/>
                <w:color w:val="auto"/>
              </w:rPr>
            </w:pPr>
            <w:r>
              <w:rPr>
                <w:rFonts w:ascii="Arial" w:cs="Arial" w:eastAsia="Arial" w:hAnsi="Arial"/>
                <w:sz w:val="18"/>
                <w:szCs w:val="18"/>
                <w:color w:val="auto"/>
              </w:rPr>
              <w:t>Research and development</w:t>
            </w:r>
          </w:p>
        </w:tc>
        <w:tc>
          <w:tcPr>
            <w:tcW w:w="26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185.8</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8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(47.0)</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134.5</w:t>
            </w:r>
          </w:p>
        </w:tc>
        <w:tc>
          <w:tcPr>
            <w:tcW w:w="0" w:type="dxa"/>
            <w:vAlign w:val="bottom"/>
          </w:tcPr>
          <w:p>
            <w:pPr>
              <w:spacing w:after="0"/>
              <w:rPr>
                <w:sz w:val="1"/>
                <w:szCs w:val="1"/>
                <w:color w:val="auto"/>
              </w:rPr>
            </w:pPr>
          </w:p>
        </w:tc>
      </w:tr>
      <w:tr>
        <w:trPr>
          <w:trHeight w:val="225"/>
        </w:trPr>
        <w:tc>
          <w:tcPr>
            <w:tcW w:w="2500" w:type="dxa"/>
            <w:vAlign w:val="bottom"/>
          </w:tcPr>
          <w:p>
            <w:pPr>
              <w:spacing w:after="0"/>
              <w:rPr>
                <w:sz w:val="20"/>
                <w:szCs w:val="20"/>
                <w:color w:val="auto"/>
              </w:rPr>
            </w:pPr>
            <w:r>
              <w:rPr>
                <w:rFonts w:ascii="Arial" w:cs="Arial" w:eastAsia="Arial" w:hAnsi="Arial"/>
                <w:sz w:val="18"/>
                <w:szCs w:val="18"/>
                <w:i w:val="1"/>
                <w:iCs w:val="1"/>
                <w:color w:val="auto"/>
                <w:w w:val="88"/>
              </w:rPr>
              <w:t>Research and development margin</w:t>
            </w:r>
          </w:p>
        </w:tc>
        <w:tc>
          <w:tcPr>
            <w:tcW w:w="2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39.8 %</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(10.1 %)</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(0.9 %)</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28.8 %</w:t>
            </w:r>
          </w:p>
        </w:tc>
        <w:tc>
          <w:tcPr>
            <w:tcW w:w="0" w:type="dxa"/>
            <w:vAlign w:val="bottom"/>
          </w:tcPr>
          <w:p>
            <w:pPr>
              <w:spacing w:after="0"/>
              <w:rPr>
                <w:sz w:val="1"/>
                <w:szCs w:val="1"/>
                <w:color w:val="auto"/>
              </w:rPr>
            </w:pPr>
          </w:p>
        </w:tc>
      </w:tr>
      <w:tr>
        <w:trPr>
          <w:trHeight w:val="226"/>
        </w:trPr>
        <w:tc>
          <w:tcPr>
            <w:tcW w:w="2500" w:type="dxa"/>
            <w:vAlign w:val="bottom"/>
            <w:shd w:val="clear" w:color="auto" w:fill="CCEEFF"/>
          </w:tcPr>
          <w:p>
            <w:pPr>
              <w:spacing w:after="0"/>
              <w:rPr>
                <w:sz w:val="20"/>
                <w:szCs w:val="20"/>
                <w:color w:val="auto"/>
              </w:rPr>
            </w:pPr>
            <w:r>
              <w:rPr>
                <w:rFonts w:ascii="Arial" w:cs="Arial" w:eastAsia="Arial" w:hAnsi="Arial"/>
                <w:sz w:val="18"/>
                <w:szCs w:val="18"/>
                <w:color w:val="auto"/>
              </w:rPr>
              <w:t>Sales and marketing</w:t>
            </w:r>
          </w:p>
        </w:tc>
        <w:tc>
          <w:tcPr>
            <w:tcW w:w="26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102.8</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8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(9.5)</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91.9</w:t>
            </w:r>
          </w:p>
        </w:tc>
        <w:tc>
          <w:tcPr>
            <w:tcW w:w="0" w:type="dxa"/>
            <w:vAlign w:val="bottom"/>
          </w:tcPr>
          <w:p>
            <w:pPr>
              <w:spacing w:after="0"/>
              <w:rPr>
                <w:sz w:val="1"/>
                <w:szCs w:val="1"/>
                <w:color w:val="auto"/>
              </w:rPr>
            </w:pPr>
          </w:p>
        </w:tc>
      </w:tr>
      <w:tr>
        <w:trPr>
          <w:trHeight w:val="225"/>
        </w:trPr>
        <w:tc>
          <w:tcPr>
            <w:tcW w:w="2500" w:type="dxa"/>
            <w:vAlign w:val="bottom"/>
          </w:tcPr>
          <w:p>
            <w:pPr>
              <w:spacing w:after="0"/>
              <w:rPr>
                <w:sz w:val="20"/>
                <w:szCs w:val="20"/>
                <w:color w:val="auto"/>
              </w:rPr>
            </w:pPr>
            <w:r>
              <w:rPr>
                <w:rFonts w:ascii="Arial" w:cs="Arial" w:eastAsia="Arial" w:hAnsi="Arial"/>
                <w:sz w:val="18"/>
                <w:szCs w:val="18"/>
                <w:i w:val="1"/>
                <w:iCs w:val="1"/>
                <w:color w:val="auto"/>
              </w:rPr>
              <w:t>Sales and marketing margin</w:t>
            </w:r>
          </w:p>
        </w:tc>
        <w:tc>
          <w:tcPr>
            <w:tcW w:w="2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22.0 %</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(2.0 %)</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40" w:type="dxa"/>
            <w:vAlign w:val="bottom"/>
            <w:gridSpan w:val="2"/>
          </w:tcPr>
          <w:p>
            <w:pPr>
              <w:jc w:val="right"/>
              <w:spacing w:after="0"/>
              <w:rPr>
                <w:sz w:val="20"/>
                <w:szCs w:val="20"/>
                <w:color w:val="auto"/>
              </w:rPr>
            </w:pPr>
            <w:r>
              <w:rPr>
                <w:rFonts w:ascii="Arial" w:cs="Arial" w:eastAsia="Arial" w:hAnsi="Arial"/>
                <w:sz w:val="18"/>
                <w:szCs w:val="18"/>
                <w:color w:val="auto"/>
              </w:rPr>
              <w:t>(0.3 %)</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19.7 %</w:t>
            </w:r>
          </w:p>
        </w:tc>
        <w:tc>
          <w:tcPr>
            <w:tcW w:w="0" w:type="dxa"/>
            <w:vAlign w:val="bottom"/>
          </w:tcPr>
          <w:p>
            <w:pPr>
              <w:spacing w:after="0"/>
              <w:rPr>
                <w:sz w:val="1"/>
                <w:szCs w:val="1"/>
                <w:color w:val="auto"/>
              </w:rPr>
            </w:pPr>
          </w:p>
        </w:tc>
      </w:tr>
      <w:tr>
        <w:trPr>
          <w:trHeight w:val="226"/>
        </w:trPr>
        <w:tc>
          <w:tcPr>
            <w:tcW w:w="2500" w:type="dxa"/>
            <w:vAlign w:val="bottom"/>
            <w:shd w:val="clear" w:color="auto" w:fill="CCEEFF"/>
          </w:tcPr>
          <w:p>
            <w:pPr>
              <w:spacing w:after="0"/>
              <w:rPr>
                <w:sz w:val="20"/>
                <w:szCs w:val="20"/>
                <w:color w:val="auto"/>
              </w:rPr>
            </w:pPr>
            <w:r>
              <w:rPr>
                <w:rFonts w:ascii="Arial" w:cs="Arial" w:eastAsia="Arial" w:hAnsi="Arial"/>
                <w:sz w:val="18"/>
                <w:szCs w:val="18"/>
                <w:color w:val="auto"/>
              </w:rPr>
              <w:t>General and administrative</w:t>
            </w:r>
          </w:p>
        </w:tc>
        <w:tc>
          <w:tcPr>
            <w:tcW w:w="26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63.5</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8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(15.6)</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47.8</w:t>
            </w:r>
          </w:p>
        </w:tc>
        <w:tc>
          <w:tcPr>
            <w:tcW w:w="0" w:type="dxa"/>
            <w:vAlign w:val="bottom"/>
          </w:tcPr>
          <w:p>
            <w:pPr>
              <w:spacing w:after="0"/>
              <w:rPr>
                <w:sz w:val="1"/>
                <w:szCs w:val="1"/>
                <w:color w:val="auto"/>
              </w:rPr>
            </w:pPr>
          </w:p>
        </w:tc>
      </w:tr>
      <w:tr>
        <w:trPr>
          <w:trHeight w:val="174"/>
        </w:trPr>
        <w:tc>
          <w:tcPr>
            <w:tcW w:w="2500" w:type="dxa"/>
            <w:vAlign w:val="bottom"/>
          </w:tcPr>
          <w:p>
            <w:pPr>
              <w:spacing w:after="0" w:line="174" w:lineRule="exact"/>
              <w:rPr>
                <w:sz w:val="20"/>
                <w:szCs w:val="20"/>
                <w:color w:val="auto"/>
              </w:rPr>
            </w:pPr>
            <w:r>
              <w:rPr>
                <w:rFonts w:ascii="Arial" w:cs="Arial" w:eastAsia="Arial" w:hAnsi="Arial"/>
                <w:sz w:val="18"/>
                <w:szCs w:val="18"/>
                <w:i w:val="1"/>
                <w:iCs w:val="1"/>
                <w:color w:val="auto"/>
              </w:rPr>
              <w:t>General and administrative</w:t>
            </w:r>
          </w:p>
        </w:tc>
        <w:tc>
          <w:tcPr>
            <w:tcW w:w="260" w:type="dxa"/>
            <w:vAlign w:val="bottom"/>
          </w:tcPr>
          <w:p>
            <w:pPr>
              <w:spacing w:after="0"/>
              <w:rPr>
                <w:sz w:val="15"/>
                <w:szCs w:val="15"/>
                <w:color w:val="auto"/>
              </w:rPr>
            </w:pPr>
          </w:p>
        </w:tc>
        <w:tc>
          <w:tcPr>
            <w:tcW w:w="1080" w:type="dxa"/>
            <w:vAlign w:val="bottom"/>
            <w:vMerge w:val="restart"/>
          </w:tcPr>
          <w:p>
            <w:pPr>
              <w:jc w:val="right"/>
              <w:spacing w:after="0"/>
              <w:rPr>
                <w:sz w:val="20"/>
                <w:szCs w:val="20"/>
                <w:color w:val="auto"/>
              </w:rPr>
            </w:pPr>
            <w:r>
              <w:rPr>
                <w:rFonts w:ascii="Arial" w:cs="Arial" w:eastAsia="Arial" w:hAnsi="Arial"/>
                <w:sz w:val="18"/>
                <w:szCs w:val="18"/>
                <w:color w:val="auto"/>
              </w:rPr>
              <w:t>13.6 %</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80" w:type="dxa"/>
            <w:vAlign w:val="bottom"/>
            <w:vMerge w:val="restart"/>
          </w:tcPr>
          <w:p>
            <w:pPr>
              <w:jc w:val="right"/>
              <w:spacing w:after="0"/>
              <w:rPr>
                <w:sz w:val="20"/>
                <w:szCs w:val="20"/>
                <w:color w:val="auto"/>
              </w:rPr>
            </w:pPr>
            <w:r>
              <w:rPr>
                <w:rFonts w:ascii="Arial" w:cs="Arial" w:eastAsia="Arial" w:hAnsi="Arial"/>
                <w:sz w:val="18"/>
                <w:szCs w:val="18"/>
                <w:color w:val="auto"/>
              </w:rPr>
              <w:t>(3.4 %)</w:t>
            </w:r>
          </w:p>
        </w:tc>
        <w:tc>
          <w:tcPr>
            <w:tcW w:w="1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280" w:type="dxa"/>
            <w:vAlign w:val="bottom"/>
            <w:gridSpan w:val="4"/>
            <w:vMerge w:val="restart"/>
          </w:tcPr>
          <w:p>
            <w:pPr>
              <w:jc w:val="right"/>
              <w:ind w:right="360"/>
              <w:spacing w:after="0"/>
              <w:rPr>
                <w:sz w:val="20"/>
                <w:szCs w:val="20"/>
                <w:color w:val="auto"/>
              </w:rPr>
            </w:pPr>
            <w:r>
              <w:rPr>
                <w:rFonts w:ascii="Arial" w:cs="Arial" w:eastAsia="Arial" w:hAnsi="Arial"/>
                <w:sz w:val="18"/>
                <w:szCs w:val="18"/>
                <w:color w:val="auto"/>
              </w:rPr>
              <w:t>— %</w:t>
            </w:r>
          </w:p>
        </w:tc>
        <w:tc>
          <w:tcPr>
            <w:tcW w:w="1600" w:type="dxa"/>
            <w:vAlign w:val="bottom"/>
            <w:gridSpan w:val="4"/>
            <w:vMerge w:val="restart"/>
          </w:tcPr>
          <w:p>
            <w:pPr>
              <w:jc w:val="right"/>
              <w:ind w:right="280"/>
              <w:spacing w:after="0"/>
              <w:rPr>
                <w:sz w:val="20"/>
                <w:szCs w:val="20"/>
                <w:color w:val="auto"/>
              </w:rPr>
            </w:pPr>
            <w:r>
              <w:rPr>
                <w:rFonts w:ascii="Arial" w:cs="Arial" w:eastAsia="Arial" w:hAnsi="Arial"/>
                <w:sz w:val="18"/>
                <w:szCs w:val="18"/>
                <w:color w:val="auto"/>
              </w:rPr>
              <w:t>— %</w:t>
            </w:r>
          </w:p>
        </w:tc>
        <w:tc>
          <w:tcPr>
            <w:tcW w:w="1180" w:type="dxa"/>
            <w:vAlign w:val="bottom"/>
            <w:vMerge w:val="restart"/>
          </w:tcPr>
          <w:p>
            <w:pPr>
              <w:jc w:val="right"/>
              <w:spacing w:after="0"/>
              <w:rPr>
                <w:sz w:val="20"/>
                <w:szCs w:val="20"/>
                <w:color w:val="auto"/>
              </w:rPr>
            </w:pPr>
            <w:r>
              <w:rPr>
                <w:rFonts w:ascii="Arial" w:cs="Arial" w:eastAsia="Arial" w:hAnsi="Arial"/>
                <w:sz w:val="18"/>
                <w:szCs w:val="18"/>
                <w:color w:val="auto"/>
              </w:rPr>
              <w:t>10.2 %</w:t>
            </w:r>
          </w:p>
        </w:tc>
        <w:tc>
          <w:tcPr>
            <w:tcW w:w="0" w:type="dxa"/>
            <w:vAlign w:val="bottom"/>
          </w:tcPr>
          <w:p>
            <w:pPr>
              <w:spacing w:after="0"/>
              <w:rPr>
                <w:sz w:val="1"/>
                <w:szCs w:val="1"/>
                <w:color w:val="auto"/>
              </w:rPr>
            </w:pPr>
          </w:p>
        </w:tc>
      </w:tr>
      <w:tr>
        <w:trPr>
          <w:trHeight w:val="224"/>
        </w:trPr>
        <w:tc>
          <w:tcPr>
            <w:tcW w:w="2500" w:type="dxa"/>
            <w:vAlign w:val="bottom"/>
          </w:tcPr>
          <w:p>
            <w:pPr>
              <w:spacing w:after="0"/>
              <w:rPr>
                <w:sz w:val="20"/>
                <w:szCs w:val="20"/>
                <w:color w:val="auto"/>
              </w:rPr>
            </w:pPr>
            <w:r>
              <w:rPr>
                <w:rFonts w:ascii="Arial" w:cs="Arial" w:eastAsia="Arial" w:hAnsi="Arial"/>
                <w:sz w:val="18"/>
                <w:szCs w:val="18"/>
                <w:i w:val="1"/>
                <w:iCs w:val="1"/>
                <w:color w:val="auto"/>
              </w:rPr>
              <w:t>margin</w:t>
            </w:r>
          </w:p>
        </w:tc>
        <w:tc>
          <w:tcPr>
            <w:tcW w:w="260" w:type="dxa"/>
            <w:vAlign w:val="bottom"/>
          </w:tcPr>
          <w:p>
            <w:pPr>
              <w:spacing w:after="0"/>
              <w:rPr>
                <w:sz w:val="19"/>
                <w:szCs w:val="19"/>
                <w:color w:val="auto"/>
              </w:rPr>
            </w:pPr>
          </w:p>
        </w:tc>
        <w:tc>
          <w:tcPr>
            <w:tcW w:w="108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8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280" w:type="dxa"/>
            <w:vAlign w:val="bottom"/>
            <w:gridSpan w:val="4"/>
            <w:vMerge w:val="continue"/>
          </w:tcPr>
          <w:p>
            <w:pPr>
              <w:spacing w:after="0"/>
              <w:rPr>
                <w:sz w:val="19"/>
                <w:szCs w:val="19"/>
                <w:color w:val="auto"/>
              </w:rPr>
            </w:pPr>
          </w:p>
        </w:tc>
        <w:tc>
          <w:tcPr>
            <w:tcW w:w="1600" w:type="dxa"/>
            <w:vAlign w:val="bottom"/>
            <w:gridSpan w:val="4"/>
            <w:vMerge w:val="continue"/>
          </w:tcPr>
          <w:p>
            <w:pPr>
              <w:spacing w:after="0"/>
              <w:rPr>
                <w:sz w:val="19"/>
                <w:szCs w:val="19"/>
                <w:color w:val="auto"/>
              </w:rPr>
            </w:pPr>
          </w:p>
        </w:tc>
        <w:tc>
          <w:tcPr>
            <w:tcW w:w="118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2500" w:type="dxa"/>
            <w:vAlign w:val="bottom"/>
            <w:shd w:val="clear" w:color="auto" w:fill="CCEEFF"/>
          </w:tcPr>
          <w:p>
            <w:pPr>
              <w:spacing w:after="0"/>
              <w:rPr>
                <w:sz w:val="20"/>
                <w:szCs w:val="20"/>
                <w:color w:val="auto"/>
              </w:rPr>
            </w:pPr>
            <w:r>
              <w:rPr>
                <w:rFonts w:ascii="Arial" w:cs="Arial" w:eastAsia="Arial" w:hAnsi="Arial"/>
                <w:sz w:val="18"/>
                <w:szCs w:val="18"/>
                <w:color w:val="auto"/>
              </w:rPr>
              <w:t>Income from operations</w:t>
            </w:r>
          </w:p>
        </w:tc>
        <w:tc>
          <w:tcPr>
            <w:tcW w:w="26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12.8</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shd w:val="clear" w:color="auto" w:fill="CCEEFF"/>
          </w:tcPr>
          <w:p>
            <w:pPr>
              <w:jc w:val="right"/>
              <w:ind w:right="191"/>
              <w:spacing w:after="0"/>
              <w:rPr>
                <w:sz w:val="20"/>
                <w:szCs w:val="20"/>
                <w:color w:val="auto"/>
              </w:rPr>
            </w:pPr>
            <w:r>
              <w:rPr>
                <w:rFonts w:ascii="Arial" w:cs="Arial" w:eastAsia="Arial" w:hAnsi="Arial"/>
                <w:sz w:val="18"/>
                <w:szCs w:val="18"/>
                <w:color w:val="auto"/>
              </w:rPr>
              <w:t>76.6</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48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4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96.2</w:t>
            </w:r>
          </w:p>
        </w:tc>
        <w:tc>
          <w:tcPr>
            <w:tcW w:w="0" w:type="dxa"/>
            <w:vAlign w:val="bottom"/>
          </w:tcPr>
          <w:p>
            <w:pPr>
              <w:spacing w:after="0"/>
              <w:rPr>
                <w:sz w:val="1"/>
                <w:szCs w:val="1"/>
                <w:color w:val="auto"/>
              </w:rPr>
            </w:pPr>
          </w:p>
        </w:tc>
      </w:tr>
      <w:tr>
        <w:trPr>
          <w:trHeight w:val="225"/>
        </w:trPr>
        <w:tc>
          <w:tcPr>
            <w:tcW w:w="2500" w:type="dxa"/>
            <w:vAlign w:val="bottom"/>
          </w:tcPr>
          <w:p>
            <w:pPr>
              <w:spacing w:after="0"/>
              <w:rPr>
                <w:sz w:val="20"/>
                <w:szCs w:val="20"/>
                <w:color w:val="auto"/>
              </w:rPr>
            </w:pPr>
            <w:r>
              <w:rPr>
                <w:rFonts w:ascii="Arial" w:cs="Arial" w:eastAsia="Arial" w:hAnsi="Arial"/>
                <w:sz w:val="18"/>
                <w:szCs w:val="18"/>
                <w:i w:val="1"/>
                <w:iCs w:val="1"/>
                <w:color w:val="auto"/>
              </w:rPr>
              <w:t>Operating margin</w:t>
            </w:r>
          </w:p>
        </w:tc>
        <w:tc>
          <w:tcPr>
            <w:tcW w:w="2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2.7 %</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16.5 %</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0.9</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0.5</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20.6 %</w:t>
            </w:r>
          </w:p>
        </w:tc>
        <w:tc>
          <w:tcPr>
            <w:tcW w:w="0" w:type="dxa"/>
            <w:vAlign w:val="bottom"/>
          </w:tcPr>
          <w:p>
            <w:pPr>
              <w:spacing w:after="0"/>
              <w:rPr>
                <w:sz w:val="1"/>
                <w:szCs w:val="1"/>
                <w:color w:val="auto"/>
              </w:rPr>
            </w:pPr>
          </w:p>
        </w:tc>
      </w:tr>
    </w:tbl>
    <w:p>
      <w:pPr>
        <w:sectPr>
          <w:pgSz w:w="11900" w:h="16838" w:orient="portrait"/>
          <w:cols w:equalWidth="0" w:num="1">
            <w:col w:w="11240"/>
          </w:cols>
          <w:pgMar w:left="320" w:top="874" w:right="339" w:bottom="1440" w:gutter="0" w:footer="0" w:header="0"/>
        </w:sectPr>
      </w:pPr>
    </w:p>
    <w:bookmarkStart w:id="10" w:name="page11"/>
    <w:bookmarkEnd w:id="10"/>
    <w:p>
      <w:pPr>
        <w:jc w:val="center"/>
        <w:ind w:right="-13"/>
        <w:spacing w:after="0"/>
        <w:rPr>
          <w:sz w:val="20"/>
          <w:szCs w:val="20"/>
          <w:color w:val="auto"/>
        </w:rPr>
      </w:pPr>
      <w:r>
        <w:rPr>
          <w:rFonts w:ascii="Arial" w:cs="Arial" w:eastAsia="Arial" w:hAnsi="Arial"/>
          <w:sz w:val="19"/>
          <w:szCs w:val="19"/>
          <w:b w:val="1"/>
          <w:bCs w:val="1"/>
          <w:color w:val="auto"/>
        </w:rPr>
        <w:t>Dropbox, Inc.</w:t>
      </w:r>
    </w:p>
    <w:p>
      <w:pPr>
        <w:spacing w:after="0" w:line="29" w:lineRule="exact"/>
        <w:rPr>
          <w:sz w:val="20"/>
          <w:szCs w:val="20"/>
          <w:color w:val="auto"/>
        </w:rPr>
      </w:pPr>
    </w:p>
    <w:p>
      <w:pPr>
        <w:jc w:val="center"/>
        <w:ind w:right="-13"/>
        <w:spacing w:after="0"/>
        <w:rPr>
          <w:sz w:val="20"/>
          <w:szCs w:val="20"/>
          <w:color w:val="auto"/>
        </w:rPr>
      </w:pPr>
      <w:r>
        <w:rPr>
          <w:rFonts w:ascii="Arial" w:cs="Arial" w:eastAsia="Arial" w:hAnsi="Arial"/>
          <w:sz w:val="19"/>
          <w:szCs w:val="19"/>
          <w:b w:val="1"/>
          <w:bCs w:val="1"/>
          <w:color w:val="auto"/>
        </w:rPr>
        <w:t>Six Months Ended June 30, 2021</w:t>
      </w:r>
    </w:p>
    <w:p>
      <w:pPr>
        <w:spacing w:after="0" w:line="7" w:lineRule="exact"/>
        <w:rPr>
          <w:sz w:val="20"/>
          <w:szCs w:val="20"/>
          <w:color w:val="auto"/>
        </w:rPr>
      </w:pPr>
    </w:p>
    <w:p>
      <w:pPr>
        <w:jc w:val="center"/>
        <w:ind w:right="-13"/>
        <w:spacing w:after="0"/>
        <w:rPr>
          <w:sz w:val="20"/>
          <w:szCs w:val="20"/>
          <w:color w:val="auto"/>
        </w:rPr>
      </w:pPr>
      <w:r>
        <w:rPr>
          <w:rFonts w:ascii="Arial" w:cs="Arial" w:eastAsia="Arial" w:hAnsi="Arial"/>
          <w:sz w:val="19"/>
          <w:szCs w:val="19"/>
          <w:b w:val="1"/>
          <w:bCs w:val="1"/>
          <w:color w:val="auto"/>
        </w:rPr>
        <w:t>Reconciliation of GAAP to Non-GAAP results</w:t>
      </w:r>
    </w:p>
    <w:p>
      <w:pPr>
        <w:spacing w:after="0" w:line="10" w:lineRule="exact"/>
        <w:rPr>
          <w:sz w:val="20"/>
          <w:szCs w:val="20"/>
          <w:color w:val="auto"/>
        </w:rPr>
      </w:pPr>
    </w:p>
    <w:p>
      <w:pPr>
        <w:jc w:val="center"/>
        <w:ind w:right="-13"/>
        <w:spacing w:after="0"/>
        <w:rPr>
          <w:sz w:val="20"/>
          <w:szCs w:val="20"/>
          <w:color w:val="auto"/>
        </w:rPr>
      </w:pPr>
      <w:r>
        <w:rPr>
          <w:rFonts w:ascii="Arial" w:cs="Arial" w:eastAsia="Arial" w:hAnsi="Arial"/>
          <w:sz w:val="18"/>
          <w:szCs w:val="18"/>
          <w:i w:val="1"/>
          <w:iCs w:val="1"/>
          <w:color w:val="auto"/>
        </w:rPr>
        <w:t>(In millions, except for percentages, which may not foot due to rounding)</w:t>
      </w:r>
    </w:p>
    <w:p>
      <w:pPr>
        <w:spacing w:after="0" w:line="3" w:lineRule="exact"/>
        <w:rPr>
          <w:sz w:val="20"/>
          <w:szCs w:val="20"/>
          <w:color w:val="auto"/>
        </w:rPr>
      </w:pPr>
    </w:p>
    <w:p>
      <w:pPr>
        <w:jc w:val="center"/>
        <w:ind w:right="-13"/>
        <w:spacing w:after="0"/>
        <w:rPr>
          <w:sz w:val="20"/>
          <w:szCs w:val="20"/>
          <w:color w:val="auto"/>
        </w:rPr>
      </w:pPr>
      <w:r>
        <w:rPr>
          <w:rFonts w:ascii="Arial" w:cs="Arial" w:eastAsia="Arial" w:hAnsi="Arial"/>
          <w:sz w:val="18"/>
          <w:szCs w:val="18"/>
          <w:i w:val="1"/>
          <w:iCs w:val="1"/>
          <w:color w:val="auto"/>
        </w:rPr>
        <w:t>(Unaudited)</w:t>
      </w:r>
    </w:p>
    <w:tbl>
      <w:tblPr>
        <w:tblLayout w:type="fixed"/>
        <w:tblInd w:w="34" w:type="dxa"/>
        <w:tblCellMar>
          <w:top w:w="0" w:type="dxa"/>
          <w:left w:w="0" w:type="dxa"/>
          <w:bottom w:w="0" w:type="dxa"/>
          <w:right w:w="0" w:type="dxa"/>
        </w:tblCellMar>
      </w:tblPr>
      <w:tr>
        <w:trPr>
          <w:trHeight w:val="206"/>
        </w:trPr>
        <w:tc>
          <w:tcPr>
            <w:tcW w:w="1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80" w:type="dxa"/>
            <w:vAlign w:val="bottom"/>
            <w:gridSpan w:val="2"/>
            <w:vMerge w:val="restart"/>
          </w:tcPr>
          <w:p>
            <w:pPr>
              <w:ind w:left="100"/>
              <w:spacing w:after="0"/>
              <w:rPr>
                <w:sz w:val="20"/>
                <w:szCs w:val="20"/>
                <w:color w:val="auto"/>
              </w:rPr>
            </w:pPr>
            <w:r>
              <w:rPr>
                <w:rFonts w:ascii="Arial" w:cs="Arial" w:eastAsia="Arial" w:hAnsi="Arial"/>
                <w:sz w:val="18"/>
                <w:szCs w:val="18"/>
                <w:b w:val="1"/>
                <w:bCs w:val="1"/>
                <w:color w:val="auto"/>
              </w:rPr>
              <w:t>Stock-based</w:t>
            </w:r>
          </w:p>
        </w:tc>
        <w:tc>
          <w:tcPr>
            <w:tcW w:w="100" w:type="dxa"/>
            <w:vAlign w:val="bottom"/>
          </w:tcPr>
          <w:p>
            <w:pPr>
              <w:spacing w:after="0"/>
              <w:rPr>
                <w:sz w:val="17"/>
                <w:szCs w:val="17"/>
                <w:color w:val="auto"/>
              </w:rPr>
            </w:pPr>
          </w:p>
        </w:tc>
        <w:tc>
          <w:tcPr>
            <w:tcW w:w="1040" w:type="dxa"/>
            <w:vAlign w:val="bottom"/>
          </w:tcPr>
          <w:p>
            <w:pPr>
              <w:jc w:val="center"/>
              <w:spacing w:after="0" w:line="206" w:lineRule="exact"/>
              <w:rPr>
                <w:sz w:val="20"/>
                <w:szCs w:val="20"/>
                <w:color w:val="auto"/>
              </w:rPr>
            </w:pPr>
            <w:r>
              <w:rPr>
                <w:rFonts w:ascii="Arial" w:cs="Arial" w:eastAsia="Arial" w:hAnsi="Arial"/>
                <w:sz w:val="18"/>
                <w:szCs w:val="18"/>
                <w:b w:val="1"/>
                <w:bCs w:val="1"/>
                <w:color w:val="auto"/>
                <w:w w:val="88"/>
              </w:rPr>
              <w:t>Acquisition-</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vMerge w:val="restart"/>
          </w:tcPr>
          <w:p>
            <w:pPr>
              <w:jc w:val="right"/>
              <w:spacing w:after="0"/>
              <w:rPr>
                <w:sz w:val="20"/>
                <w:szCs w:val="20"/>
                <w:color w:val="auto"/>
              </w:rPr>
            </w:pPr>
            <w:r>
              <w:rPr>
                <w:rFonts w:ascii="Arial" w:cs="Arial" w:eastAsia="Arial" w:hAnsi="Arial"/>
                <w:sz w:val="18"/>
                <w:szCs w:val="18"/>
                <w:b w:val="1"/>
                <w:bCs w:val="1"/>
                <w:color w:val="auto"/>
                <w:w w:val="98"/>
              </w:rPr>
              <w:t>Intangibles</w:t>
            </w: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jc w:val="center"/>
              <w:spacing w:after="0" w:line="206" w:lineRule="exact"/>
              <w:rPr>
                <w:sz w:val="20"/>
                <w:szCs w:val="20"/>
                <w:color w:val="auto"/>
              </w:rPr>
            </w:pPr>
            <w:r>
              <w:rPr>
                <w:rFonts w:ascii="Arial" w:cs="Arial" w:eastAsia="Arial" w:hAnsi="Arial"/>
                <w:sz w:val="18"/>
                <w:szCs w:val="18"/>
                <w:b w:val="1"/>
                <w:bCs w:val="1"/>
                <w:color w:val="auto"/>
                <w:w w:val="94"/>
              </w:rPr>
              <w:t>Impairment</w:t>
            </w: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gridSpan w:val="2"/>
          </w:tcPr>
          <w:p>
            <w:pPr>
              <w:jc w:val="center"/>
              <w:ind w:right="260"/>
              <w:spacing w:after="0" w:line="206" w:lineRule="exact"/>
              <w:rPr>
                <w:sz w:val="20"/>
                <w:szCs w:val="20"/>
                <w:color w:val="auto"/>
              </w:rPr>
            </w:pPr>
            <w:r>
              <w:rPr>
                <w:rFonts w:ascii="Arial" w:cs="Arial" w:eastAsia="Arial" w:hAnsi="Arial"/>
                <w:sz w:val="18"/>
                <w:szCs w:val="18"/>
                <w:b w:val="1"/>
                <w:bCs w:val="1"/>
                <w:color w:val="auto"/>
                <w:w w:val="92"/>
              </w:rPr>
              <w:t>Workforce</w:t>
            </w: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3"/>
        </w:trPr>
        <w:tc>
          <w:tcPr>
            <w:tcW w:w="17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20" w:type="dxa"/>
            <w:vAlign w:val="bottom"/>
            <w:vMerge w:val="restart"/>
          </w:tcPr>
          <w:p>
            <w:pPr>
              <w:jc w:val="right"/>
              <w:ind w:right="231"/>
              <w:spacing w:after="0"/>
              <w:rPr>
                <w:sz w:val="20"/>
                <w:szCs w:val="20"/>
                <w:color w:val="auto"/>
              </w:rPr>
            </w:pPr>
            <w:r>
              <w:rPr>
                <w:rFonts w:ascii="Arial" w:cs="Arial" w:eastAsia="Arial" w:hAnsi="Arial"/>
                <w:sz w:val="18"/>
                <w:szCs w:val="18"/>
                <w:b w:val="1"/>
                <w:bCs w:val="1"/>
                <w:color w:val="auto"/>
              </w:rPr>
              <w:t>GAAP</w:t>
            </w:r>
          </w:p>
        </w:tc>
        <w:tc>
          <w:tcPr>
            <w:tcW w:w="80" w:type="dxa"/>
            <w:vAlign w:val="bottom"/>
            <w:vMerge w:val="restart"/>
          </w:tcPr>
          <w:p>
            <w:pPr>
              <w:spacing w:after="0"/>
              <w:rPr>
                <w:sz w:val="15"/>
                <w:szCs w:val="15"/>
                <w:color w:val="auto"/>
              </w:rPr>
            </w:pPr>
          </w:p>
        </w:tc>
        <w:tc>
          <w:tcPr>
            <w:tcW w:w="160" w:type="dxa"/>
            <w:vAlign w:val="bottom"/>
          </w:tcPr>
          <w:p>
            <w:pPr>
              <w:spacing w:after="0"/>
              <w:rPr>
                <w:sz w:val="15"/>
                <w:szCs w:val="15"/>
                <w:color w:val="auto"/>
              </w:rPr>
            </w:pPr>
          </w:p>
        </w:tc>
        <w:tc>
          <w:tcPr>
            <w:tcW w:w="138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1040" w:type="dxa"/>
            <w:vAlign w:val="bottom"/>
          </w:tcPr>
          <w:p>
            <w:pPr>
              <w:jc w:val="center"/>
              <w:spacing w:after="0" w:line="173" w:lineRule="exact"/>
              <w:rPr>
                <w:sz w:val="20"/>
                <w:szCs w:val="20"/>
                <w:color w:val="auto"/>
              </w:rPr>
            </w:pPr>
            <w:r>
              <w:rPr>
                <w:rFonts w:ascii="Arial" w:cs="Arial" w:eastAsia="Arial" w:hAnsi="Arial"/>
                <w:sz w:val="18"/>
                <w:szCs w:val="18"/>
                <w:b w:val="1"/>
                <w:bCs w:val="1"/>
                <w:color w:val="auto"/>
                <w:w w:val="89"/>
              </w:rPr>
              <w:t>related and</w:t>
            </w: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20" w:type="dxa"/>
            <w:vAlign w:val="bottom"/>
            <w:vMerge w:val="continue"/>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60" w:type="dxa"/>
            <w:vAlign w:val="bottom"/>
            <w:gridSpan w:val="4"/>
          </w:tcPr>
          <w:p>
            <w:pPr>
              <w:jc w:val="center"/>
              <w:ind w:right="380"/>
              <w:spacing w:after="0" w:line="173" w:lineRule="exact"/>
              <w:rPr>
                <w:sz w:val="20"/>
                <w:szCs w:val="20"/>
                <w:color w:val="auto"/>
              </w:rPr>
            </w:pPr>
            <w:r>
              <w:rPr>
                <w:rFonts w:ascii="Arial" w:cs="Arial" w:eastAsia="Arial" w:hAnsi="Arial"/>
                <w:sz w:val="18"/>
                <w:szCs w:val="18"/>
                <w:b w:val="1"/>
                <w:bCs w:val="1"/>
                <w:color w:val="auto"/>
                <w:w w:val="88"/>
              </w:rPr>
              <w:t>related to real</w:t>
            </w:r>
          </w:p>
        </w:tc>
        <w:tc>
          <w:tcPr>
            <w:tcW w:w="1200" w:type="dxa"/>
            <w:vAlign w:val="bottom"/>
            <w:gridSpan w:val="2"/>
          </w:tcPr>
          <w:p>
            <w:pPr>
              <w:jc w:val="center"/>
              <w:ind w:right="260"/>
              <w:spacing w:after="0" w:line="173" w:lineRule="exact"/>
              <w:rPr>
                <w:sz w:val="20"/>
                <w:szCs w:val="20"/>
                <w:color w:val="auto"/>
              </w:rPr>
            </w:pPr>
            <w:r>
              <w:rPr>
                <w:rFonts w:ascii="Arial" w:cs="Arial" w:eastAsia="Arial" w:hAnsi="Arial"/>
                <w:sz w:val="18"/>
                <w:szCs w:val="18"/>
                <w:b w:val="1"/>
                <w:bCs w:val="1"/>
                <w:color w:val="auto"/>
                <w:w w:val="90"/>
              </w:rPr>
              <w:t>reduction</w:t>
            </w:r>
          </w:p>
        </w:tc>
        <w:tc>
          <w:tcPr>
            <w:tcW w:w="100" w:type="dxa"/>
            <w:vAlign w:val="bottom"/>
          </w:tcPr>
          <w:p>
            <w:pPr>
              <w:spacing w:after="0"/>
              <w:rPr>
                <w:sz w:val="15"/>
                <w:szCs w:val="15"/>
                <w:color w:val="auto"/>
              </w:rPr>
            </w:pPr>
          </w:p>
        </w:tc>
        <w:tc>
          <w:tcPr>
            <w:tcW w:w="1020" w:type="dxa"/>
            <w:vAlign w:val="bottom"/>
            <w:vMerge w:val="restart"/>
          </w:tcPr>
          <w:p>
            <w:pPr>
              <w:jc w:val="right"/>
              <w:ind w:right="51"/>
              <w:spacing w:after="0"/>
              <w:rPr>
                <w:sz w:val="20"/>
                <w:szCs w:val="20"/>
                <w:color w:val="auto"/>
              </w:rPr>
            </w:pPr>
            <w:r>
              <w:rPr>
                <w:rFonts w:ascii="Arial" w:cs="Arial" w:eastAsia="Arial" w:hAnsi="Arial"/>
                <w:sz w:val="18"/>
                <w:szCs w:val="18"/>
                <w:b w:val="1"/>
                <w:bCs w:val="1"/>
                <w:color w:val="auto"/>
                <w:w w:val="92"/>
              </w:rPr>
              <w:t>Non-GAAP</w:t>
            </w:r>
          </w:p>
        </w:tc>
        <w:tc>
          <w:tcPr>
            <w:tcW w:w="0" w:type="dxa"/>
            <w:vAlign w:val="bottom"/>
          </w:tcPr>
          <w:p>
            <w:pPr>
              <w:spacing w:after="0"/>
              <w:rPr>
                <w:sz w:val="1"/>
                <w:szCs w:val="1"/>
                <w:color w:val="auto"/>
              </w:rPr>
            </w:pPr>
          </w:p>
        </w:tc>
      </w:tr>
      <w:tr>
        <w:trPr>
          <w:trHeight w:val="226"/>
        </w:trPr>
        <w:tc>
          <w:tcPr>
            <w:tcW w:w="17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vMerge w:val="continue"/>
          </w:tcPr>
          <w:p>
            <w:pPr>
              <w:spacing w:after="0"/>
              <w:rPr>
                <w:sz w:val="19"/>
                <w:szCs w:val="19"/>
                <w:color w:val="auto"/>
              </w:rPr>
            </w:pPr>
          </w:p>
        </w:tc>
        <w:tc>
          <w:tcPr>
            <w:tcW w:w="80" w:type="dxa"/>
            <w:vAlign w:val="bottom"/>
            <w:tcBorders>
              <w:bottom w:val="single" w:sz="8" w:color="CCEEFF"/>
            </w:tcBorders>
            <w:vMerge w:val="continue"/>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111"/>
              <w:spacing w:after="0"/>
              <w:rPr>
                <w:sz w:val="20"/>
                <w:szCs w:val="20"/>
                <w:color w:val="auto"/>
              </w:rPr>
            </w:pPr>
            <w:r>
              <w:rPr>
                <w:rFonts w:ascii="Arial" w:cs="Arial" w:eastAsia="Arial" w:hAnsi="Arial"/>
                <w:sz w:val="18"/>
                <w:szCs w:val="18"/>
                <w:b w:val="1"/>
                <w:bCs w:val="1"/>
                <w:color w:val="auto"/>
                <w:w w:val="86"/>
              </w:rPr>
              <w:t>compensation</w:t>
            </w:r>
          </w:p>
        </w:tc>
        <w:tc>
          <w:tcPr>
            <w:tcW w:w="10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gridSpan w:val="2"/>
          </w:tcPr>
          <w:p>
            <w:pPr>
              <w:jc w:val="center"/>
              <w:ind w:right="31"/>
              <w:spacing w:after="0"/>
              <w:rPr>
                <w:sz w:val="20"/>
                <w:szCs w:val="20"/>
                <w:color w:val="auto"/>
              </w:rPr>
            </w:pPr>
            <w:r>
              <w:rPr>
                <w:rFonts w:ascii="Arial" w:cs="Arial" w:eastAsia="Arial" w:hAnsi="Arial"/>
                <w:sz w:val="18"/>
                <w:szCs w:val="18"/>
                <w:b w:val="1"/>
                <w:bCs w:val="1"/>
                <w:color w:val="auto"/>
                <w:w w:val="83"/>
              </w:rPr>
              <w:t>other expenses</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3"/>
              </w:rPr>
              <w:t>amortization</w:t>
            </w:r>
          </w:p>
        </w:tc>
        <w:tc>
          <w:tcPr>
            <w:tcW w:w="20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1"/>
              </w:rPr>
              <w:t>estate assets</w:t>
            </w:r>
          </w:p>
        </w:tc>
        <w:tc>
          <w:tcPr>
            <w:tcW w:w="20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center"/>
              <w:ind w:right="91"/>
              <w:spacing w:after="0" w:line="225" w:lineRule="exact"/>
              <w:rPr>
                <w:sz w:val="20"/>
                <w:szCs w:val="20"/>
                <w:color w:val="auto"/>
              </w:rPr>
            </w:pPr>
            <w:r>
              <w:rPr>
                <w:rFonts w:ascii="Arial" w:cs="Arial" w:eastAsia="Arial" w:hAnsi="Arial"/>
                <w:sz w:val="18"/>
                <w:szCs w:val="18"/>
                <w:b w:val="1"/>
                <w:bCs w:val="1"/>
                <w:color w:val="auto"/>
                <w:w w:val="81"/>
              </w:rPr>
              <w:t>expense</w:t>
            </w:r>
            <w:r>
              <w:rPr>
                <w:rFonts w:ascii="Arial" w:cs="Arial" w:eastAsia="Arial" w:hAnsi="Arial"/>
                <w:sz w:val="23"/>
                <w:szCs w:val="23"/>
                <w:b w:val="1"/>
                <w:bCs w:val="1"/>
                <w:color w:val="auto"/>
                <w:w w:val="81"/>
                <w:vertAlign w:val="superscript"/>
              </w:rPr>
              <w:t>(1)</w:t>
            </w:r>
          </w:p>
        </w:tc>
        <w:tc>
          <w:tcPr>
            <w:tcW w:w="8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1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Cost of revenue</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216.4</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(11.3)</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4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40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(1.7)</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200.8</w:t>
            </w:r>
          </w:p>
        </w:tc>
        <w:tc>
          <w:tcPr>
            <w:tcW w:w="0" w:type="dxa"/>
            <w:vAlign w:val="bottom"/>
          </w:tcPr>
          <w:p>
            <w:pPr>
              <w:spacing w:after="0"/>
              <w:rPr>
                <w:sz w:val="1"/>
                <w:szCs w:val="1"/>
                <w:color w:val="auto"/>
              </w:rPr>
            </w:pPr>
          </w:p>
        </w:tc>
      </w:tr>
      <w:tr>
        <w:trPr>
          <w:trHeight w:val="174"/>
        </w:trPr>
        <w:tc>
          <w:tcPr>
            <w:tcW w:w="1700" w:type="dxa"/>
            <w:vAlign w:val="bottom"/>
          </w:tcPr>
          <w:p>
            <w:pPr>
              <w:ind w:left="20"/>
              <w:spacing w:after="0" w:line="174" w:lineRule="exact"/>
              <w:rPr>
                <w:sz w:val="20"/>
                <w:szCs w:val="20"/>
                <w:color w:val="auto"/>
              </w:rPr>
            </w:pPr>
            <w:r>
              <w:rPr>
                <w:rFonts w:ascii="Arial" w:cs="Arial" w:eastAsia="Arial" w:hAnsi="Arial"/>
                <w:sz w:val="18"/>
                <w:szCs w:val="18"/>
                <w:i w:val="1"/>
                <w:iCs w:val="1"/>
                <w:color w:val="auto"/>
              </w:rPr>
              <w:t>Cost of revenue</w:t>
            </w:r>
          </w:p>
        </w:tc>
        <w:tc>
          <w:tcPr>
            <w:tcW w:w="180" w:type="dxa"/>
            <w:vAlign w:val="bottom"/>
          </w:tcPr>
          <w:p>
            <w:pPr>
              <w:spacing w:after="0"/>
              <w:rPr>
                <w:sz w:val="15"/>
                <w:szCs w:val="15"/>
                <w:color w:val="auto"/>
              </w:rPr>
            </w:pPr>
          </w:p>
        </w:tc>
        <w:tc>
          <w:tcPr>
            <w:tcW w:w="920" w:type="dxa"/>
            <w:vAlign w:val="bottom"/>
            <w:vMerge w:val="restart"/>
          </w:tcPr>
          <w:p>
            <w:pPr>
              <w:jc w:val="right"/>
              <w:spacing w:after="0"/>
              <w:rPr>
                <w:sz w:val="20"/>
                <w:szCs w:val="20"/>
                <w:color w:val="auto"/>
              </w:rPr>
            </w:pPr>
            <w:r>
              <w:rPr>
                <w:rFonts w:ascii="Arial" w:cs="Arial" w:eastAsia="Arial" w:hAnsi="Arial"/>
                <w:sz w:val="18"/>
                <w:szCs w:val="18"/>
                <w:color w:val="auto"/>
              </w:rPr>
              <w:t>20.8 %</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80" w:type="dxa"/>
            <w:vAlign w:val="bottom"/>
            <w:vMerge w:val="restart"/>
          </w:tcPr>
          <w:p>
            <w:pPr>
              <w:jc w:val="right"/>
              <w:spacing w:after="0"/>
              <w:rPr>
                <w:sz w:val="20"/>
                <w:szCs w:val="20"/>
                <w:color w:val="auto"/>
              </w:rPr>
            </w:pPr>
            <w:r>
              <w:rPr>
                <w:rFonts w:ascii="Arial" w:cs="Arial" w:eastAsia="Arial" w:hAnsi="Arial"/>
                <w:sz w:val="18"/>
                <w:szCs w:val="18"/>
                <w:color w:val="auto"/>
              </w:rPr>
              <w:t>(1.1 %)</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40" w:type="dxa"/>
            <w:vAlign w:val="bottom"/>
            <w:vMerge w:val="restart"/>
          </w:tcPr>
          <w:p>
            <w:pPr>
              <w:jc w:val="right"/>
              <w:ind w:right="11"/>
              <w:spacing w:after="0"/>
              <w:rPr>
                <w:sz w:val="20"/>
                <w:szCs w:val="20"/>
                <w:color w:val="auto"/>
              </w:rPr>
            </w:pPr>
            <w:r>
              <w:rPr>
                <w:rFonts w:ascii="Arial" w:cs="Arial" w:eastAsia="Arial" w:hAnsi="Arial"/>
                <w:sz w:val="18"/>
                <w:szCs w:val="18"/>
                <w:color w:val="auto"/>
              </w:rPr>
              <w:t>—</w:t>
            </w:r>
          </w:p>
        </w:tc>
        <w:tc>
          <w:tcPr>
            <w:tcW w:w="180" w:type="dxa"/>
            <w:vAlign w:val="bottom"/>
            <w:vMerge w:val="restart"/>
          </w:tcPr>
          <w:p>
            <w:pPr>
              <w:jc w:val="right"/>
              <w:spacing w:after="0"/>
              <w:rPr>
                <w:sz w:val="20"/>
                <w:szCs w:val="20"/>
                <w:color w:val="auto"/>
              </w:rPr>
            </w:pPr>
            <w:r>
              <w:rPr>
                <w:rFonts w:ascii="Arial" w:cs="Arial" w:eastAsia="Arial" w:hAnsi="Arial"/>
                <w:sz w:val="18"/>
                <w:szCs w:val="18"/>
                <w:color w:val="auto"/>
                <w:w w:val="87"/>
              </w:rPr>
              <w:t>%</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20" w:type="dxa"/>
            <w:vAlign w:val="bottom"/>
            <w:gridSpan w:val="2"/>
            <w:vMerge w:val="restart"/>
          </w:tcPr>
          <w:p>
            <w:pPr>
              <w:jc w:val="right"/>
              <w:spacing w:after="0"/>
              <w:rPr>
                <w:sz w:val="20"/>
                <w:szCs w:val="20"/>
                <w:color w:val="auto"/>
              </w:rPr>
            </w:pPr>
            <w:r>
              <w:rPr>
                <w:rFonts w:ascii="Arial" w:cs="Arial" w:eastAsia="Arial" w:hAnsi="Arial"/>
                <w:sz w:val="18"/>
                <w:szCs w:val="18"/>
                <w:color w:val="auto"/>
              </w:rPr>
              <w:t>(0.2 %)</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200" w:type="dxa"/>
            <w:vAlign w:val="bottom"/>
            <w:vMerge w:val="restart"/>
          </w:tcPr>
          <w:p>
            <w:pPr>
              <w:jc w:val="right"/>
              <w:spacing w:after="0"/>
              <w:rPr>
                <w:sz w:val="20"/>
                <w:szCs w:val="20"/>
                <w:color w:val="auto"/>
              </w:rPr>
            </w:pPr>
            <w:r>
              <w:rPr>
                <w:rFonts w:ascii="Arial" w:cs="Arial" w:eastAsia="Arial" w:hAnsi="Arial"/>
                <w:sz w:val="18"/>
                <w:szCs w:val="18"/>
                <w:color w:val="auto"/>
                <w:w w:val="87"/>
              </w:rPr>
              <w:t>%</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20" w:type="dxa"/>
            <w:vAlign w:val="bottom"/>
            <w:vMerge w:val="restart"/>
          </w:tcPr>
          <w:p>
            <w:pPr>
              <w:jc w:val="right"/>
              <w:spacing w:after="0"/>
              <w:rPr>
                <w:sz w:val="20"/>
                <w:szCs w:val="20"/>
                <w:color w:val="auto"/>
              </w:rPr>
            </w:pPr>
            <w:r>
              <w:rPr>
                <w:rFonts w:ascii="Arial" w:cs="Arial" w:eastAsia="Arial" w:hAnsi="Arial"/>
                <w:sz w:val="18"/>
                <w:szCs w:val="18"/>
                <w:color w:val="auto"/>
              </w:rPr>
              <w:t>(0.2 %)</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vMerge w:val="restart"/>
          </w:tcPr>
          <w:p>
            <w:pPr>
              <w:jc w:val="right"/>
              <w:spacing w:after="0"/>
              <w:rPr>
                <w:sz w:val="20"/>
                <w:szCs w:val="20"/>
                <w:color w:val="auto"/>
              </w:rPr>
            </w:pPr>
            <w:r>
              <w:rPr>
                <w:rFonts w:ascii="Arial" w:cs="Arial" w:eastAsia="Arial" w:hAnsi="Arial"/>
                <w:sz w:val="18"/>
                <w:szCs w:val="18"/>
                <w:color w:val="auto"/>
              </w:rPr>
              <w:t>19.3 %</w:t>
            </w:r>
          </w:p>
        </w:tc>
        <w:tc>
          <w:tcPr>
            <w:tcW w:w="0" w:type="dxa"/>
            <w:vAlign w:val="bottom"/>
          </w:tcPr>
          <w:p>
            <w:pPr>
              <w:spacing w:after="0"/>
              <w:rPr>
                <w:sz w:val="1"/>
                <w:szCs w:val="1"/>
                <w:color w:val="auto"/>
              </w:rPr>
            </w:pPr>
          </w:p>
        </w:tc>
      </w:tr>
      <w:tr>
        <w:trPr>
          <w:trHeight w:val="224"/>
        </w:trPr>
        <w:tc>
          <w:tcPr>
            <w:tcW w:w="1700" w:type="dxa"/>
            <w:vAlign w:val="bottom"/>
          </w:tcPr>
          <w:p>
            <w:pPr>
              <w:ind w:left="20"/>
              <w:spacing w:after="0"/>
              <w:rPr>
                <w:sz w:val="20"/>
                <w:szCs w:val="20"/>
                <w:color w:val="auto"/>
              </w:rPr>
            </w:pPr>
            <w:r>
              <w:rPr>
                <w:rFonts w:ascii="Arial" w:cs="Arial" w:eastAsia="Arial" w:hAnsi="Arial"/>
                <w:sz w:val="18"/>
                <w:szCs w:val="18"/>
                <w:i w:val="1"/>
                <w:iCs w:val="1"/>
                <w:color w:val="auto"/>
              </w:rPr>
              <w:t>margin</w:t>
            </w:r>
          </w:p>
        </w:tc>
        <w:tc>
          <w:tcPr>
            <w:tcW w:w="180" w:type="dxa"/>
            <w:vAlign w:val="bottom"/>
          </w:tcPr>
          <w:p>
            <w:pPr>
              <w:spacing w:after="0"/>
              <w:rPr>
                <w:sz w:val="19"/>
                <w:szCs w:val="19"/>
                <w:color w:val="auto"/>
              </w:rPr>
            </w:pPr>
          </w:p>
        </w:tc>
        <w:tc>
          <w:tcPr>
            <w:tcW w:w="92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vMerge w:val="continue"/>
          </w:tcPr>
          <w:p>
            <w:pPr>
              <w:spacing w:after="0"/>
              <w:rPr>
                <w:sz w:val="19"/>
                <w:szCs w:val="19"/>
                <w:color w:val="auto"/>
              </w:rPr>
            </w:pPr>
          </w:p>
        </w:tc>
        <w:tc>
          <w:tcPr>
            <w:tcW w:w="18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gridSpan w:val="2"/>
            <w:vMerge w:val="continue"/>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vMerge w:val="continue"/>
          </w:tcPr>
          <w:p>
            <w:pPr>
              <w:spacing w:after="0"/>
              <w:rPr>
                <w:sz w:val="19"/>
                <w:szCs w:val="19"/>
                <w:color w:val="auto"/>
              </w:rPr>
            </w:pPr>
          </w:p>
        </w:tc>
        <w:tc>
          <w:tcPr>
            <w:tcW w:w="20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1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Gross profit</w:t>
            </w:r>
          </w:p>
        </w:tc>
        <w:tc>
          <w:tcPr>
            <w:tcW w:w="18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825.8</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191"/>
              <w:spacing w:after="0"/>
              <w:rPr>
                <w:sz w:val="20"/>
                <w:szCs w:val="20"/>
                <w:color w:val="auto"/>
              </w:rPr>
            </w:pPr>
            <w:r>
              <w:rPr>
                <w:rFonts w:ascii="Arial" w:cs="Arial" w:eastAsia="Arial" w:hAnsi="Arial"/>
                <w:sz w:val="18"/>
                <w:szCs w:val="18"/>
                <w:color w:val="auto"/>
              </w:rPr>
              <w:t>11.3</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2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191"/>
              <w:spacing w:after="0"/>
              <w:rPr>
                <w:sz w:val="20"/>
                <w:szCs w:val="20"/>
                <w:color w:val="auto"/>
              </w:rPr>
            </w:pPr>
            <w:r>
              <w:rPr>
                <w:rFonts w:ascii="Arial" w:cs="Arial" w:eastAsia="Arial" w:hAnsi="Arial"/>
                <w:sz w:val="18"/>
                <w:szCs w:val="18"/>
                <w:color w:val="auto"/>
              </w:rPr>
              <w:t>1.7</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841.4</w:t>
            </w:r>
          </w:p>
        </w:tc>
        <w:tc>
          <w:tcPr>
            <w:tcW w:w="0" w:type="dxa"/>
            <w:vAlign w:val="bottom"/>
          </w:tcPr>
          <w:p>
            <w:pPr>
              <w:spacing w:after="0"/>
              <w:rPr>
                <w:sz w:val="1"/>
                <w:szCs w:val="1"/>
                <w:color w:val="auto"/>
              </w:rPr>
            </w:pPr>
          </w:p>
        </w:tc>
      </w:tr>
      <w:tr>
        <w:trPr>
          <w:trHeight w:val="225"/>
        </w:trPr>
        <w:tc>
          <w:tcPr>
            <w:tcW w:w="1700" w:type="dxa"/>
            <w:vAlign w:val="bottom"/>
          </w:tcPr>
          <w:p>
            <w:pPr>
              <w:ind w:left="20"/>
              <w:spacing w:after="0"/>
              <w:rPr>
                <w:sz w:val="20"/>
                <w:szCs w:val="20"/>
                <w:color w:val="auto"/>
              </w:rPr>
            </w:pPr>
            <w:r>
              <w:rPr>
                <w:rFonts w:ascii="Arial" w:cs="Arial" w:eastAsia="Arial" w:hAnsi="Arial"/>
                <w:sz w:val="18"/>
                <w:szCs w:val="18"/>
                <w:i w:val="1"/>
                <w:iCs w:val="1"/>
                <w:color w:val="auto"/>
              </w:rPr>
              <w:t>Gross margin</w:t>
            </w:r>
          </w:p>
        </w:tc>
        <w:tc>
          <w:tcPr>
            <w:tcW w:w="1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79.2 %</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1.1 %</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60" w:type="dxa"/>
            <w:vAlign w:val="bottom"/>
            <w:gridSpan w:val="4"/>
          </w:tcPr>
          <w:p>
            <w:pPr>
              <w:jc w:val="right"/>
              <w:ind w:right="260"/>
              <w:spacing w:after="0"/>
              <w:rPr>
                <w:sz w:val="20"/>
                <w:szCs w:val="20"/>
                <w:color w:val="auto"/>
              </w:rPr>
            </w:pPr>
            <w:r>
              <w:rPr>
                <w:rFonts w:ascii="Arial" w:cs="Arial" w:eastAsia="Arial" w:hAnsi="Arial"/>
                <w:sz w:val="18"/>
                <w:szCs w:val="18"/>
                <w:color w:val="auto"/>
              </w:rPr>
              <w:t>— %</w:t>
            </w:r>
          </w:p>
        </w:tc>
        <w:tc>
          <w:tcPr>
            <w:tcW w:w="1020" w:type="dxa"/>
            <w:vAlign w:val="bottom"/>
          </w:tcPr>
          <w:p>
            <w:pPr>
              <w:jc w:val="right"/>
              <w:spacing w:after="0"/>
              <w:rPr>
                <w:sz w:val="20"/>
                <w:szCs w:val="20"/>
                <w:color w:val="auto"/>
              </w:rPr>
            </w:pPr>
            <w:r>
              <w:rPr>
                <w:rFonts w:ascii="Arial" w:cs="Arial" w:eastAsia="Arial" w:hAnsi="Arial"/>
                <w:sz w:val="18"/>
                <w:szCs w:val="18"/>
                <w:color w:val="auto"/>
              </w:rPr>
              <w:t>0.2</w:t>
            </w:r>
          </w:p>
        </w:tc>
        <w:tc>
          <w:tcPr>
            <w:tcW w:w="200" w:type="dxa"/>
            <w:vAlign w:val="bottom"/>
          </w:tcPr>
          <w:p>
            <w:pPr>
              <w:jc w:val="right"/>
              <w:spacing w:after="0"/>
              <w:rPr>
                <w:sz w:val="20"/>
                <w:szCs w:val="20"/>
                <w:color w:val="auto"/>
              </w:rPr>
            </w:pPr>
            <w:r>
              <w:rPr>
                <w:rFonts w:ascii="Arial" w:cs="Arial" w:eastAsia="Arial" w:hAnsi="Arial"/>
                <w:sz w:val="18"/>
                <w:szCs w:val="18"/>
                <w:color w:val="auto"/>
                <w:w w:val="87"/>
              </w:rPr>
              <w:t>%</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60" w:type="dxa"/>
            <w:vAlign w:val="bottom"/>
            <w:gridSpan w:val="4"/>
          </w:tcPr>
          <w:p>
            <w:pPr>
              <w:jc w:val="right"/>
              <w:ind w:right="280"/>
              <w:spacing w:after="0"/>
              <w:rPr>
                <w:sz w:val="20"/>
                <w:szCs w:val="20"/>
                <w:color w:val="auto"/>
              </w:rPr>
            </w:pPr>
            <w:r>
              <w:rPr>
                <w:rFonts w:ascii="Arial" w:cs="Arial" w:eastAsia="Arial" w:hAnsi="Arial"/>
                <w:sz w:val="18"/>
                <w:szCs w:val="18"/>
                <w:color w:val="auto"/>
              </w:rPr>
              <w:t>— %</w:t>
            </w:r>
          </w:p>
        </w:tc>
        <w:tc>
          <w:tcPr>
            <w:tcW w:w="1120" w:type="dxa"/>
            <w:vAlign w:val="bottom"/>
          </w:tcPr>
          <w:p>
            <w:pPr>
              <w:jc w:val="right"/>
              <w:spacing w:after="0"/>
              <w:rPr>
                <w:sz w:val="20"/>
                <w:szCs w:val="20"/>
                <w:color w:val="auto"/>
              </w:rPr>
            </w:pPr>
            <w:r>
              <w:rPr>
                <w:rFonts w:ascii="Arial" w:cs="Arial" w:eastAsia="Arial" w:hAnsi="Arial"/>
                <w:sz w:val="18"/>
                <w:szCs w:val="18"/>
                <w:color w:val="auto"/>
              </w:rPr>
              <w:t>0.2 %</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80.7 %</w:t>
            </w:r>
          </w:p>
        </w:tc>
        <w:tc>
          <w:tcPr>
            <w:tcW w:w="0" w:type="dxa"/>
            <w:vAlign w:val="bottom"/>
          </w:tcPr>
          <w:p>
            <w:pPr>
              <w:spacing w:after="0"/>
              <w:rPr>
                <w:sz w:val="1"/>
                <w:szCs w:val="1"/>
                <w:color w:val="auto"/>
              </w:rPr>
            </w:pPr>
          </w:p>
        </w:tc>
      </w:tr>
      <w:tr>
        <w:trPr>
          <w:trHeight w:val="174"/>
        </w:trPr>
        <w:tc>
          <w:tcPr>
            <w:tcW w:w="1700" w:type="dxa"/>
            <w:vAlign w:val="bottom"/>
            <w:shd w:val="clear" w:color="auto" w:fill="CCEEFF"/>
          </w:tcPr>
          <w:p>
            <w:pPr>
              <w:ind w:left="20"/>
              <w:spacing w:after="0" w:line="174" w:lineRule="exact"/>
              <w:rPr>
                <w:sz w:val="20"/>
                <w:szCs w:val="20"/>
                <w:color w:val="auto"/>
              </w:rPr>
            </w:pPr>
            <w:r>
              <w:rPr>
                <w:rFonts w:ascii="Arial" w:cs="Arial" w:eastAsia="Arial" w:hAnsi="Arial"/>
                <w:sz w:val="18"/>
                <w:szCs w:val="18"/>
                <w:color w:val="auto"/>
              </w:rPr>
              <w:t>Research and</w:t>
            </w:r>
          </w:p>
        </w:tc>
        <w:tc>
          <w:tcPr>
            <w:tcW w:w="180" w:type="dxa"/>
            <w:vAlign w:val="bottom"/>
            <w:shd w:val="clear" w:color="auto" w:fill="CCEEFF"/>
          </w:tcPr>
          <w:p>
            <w:pPr>
              <w:spacing w:after="0"/>
              <w:rPr>
                <w:sz w:val="15"/>
                <w:szCs w:val="15"/>
                <w:color w:val="auto"/>
              </w:rPr>
            </w:pPr>
          </w:p>
        </w:tc>
        <w:tc>
          <w:tcPr>
            <w:tcW w:w="920" w:type="dxa"/>
            <w:vAlign w:val="bottom"/>
            <w:vMerge w:val="restart"/>
            <w:shd w:val="clear" w:color="auto" w:fill="CCEEFF"/>
          </w:tcPr>
          <w:p>
            <w:pPr>
              <w:jc w:val="right"/>
              <w:ind w:right="131"/>
              <w:spacing w:after="0"/>
              <w:rPr>
                <w:sz w:val="20"/>
                <w:szCs w:val="20"/>
                <w:color w:val="auto"/>
              </w:rPr>
            </w:pPr>
            <w:r>
              <w:rPr>
                <w:rFonts w:ascii="Arial" w:cs="Arial" w:eastAsia="Arial" w:hAnsi="Arial"/>
                <w:sz w:val="18"/>
                <w:szCs w:val="18"/>
                <w:color w:val="auto"/>
              </w:rPr>
              <w:t>366.7</w:t>
            </w: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280" w:type="dxa"/>
            <w:vAlign w:val="bottom"/>
            <w:vMerge w:val="restart"/>
            <w:shd w:val="clear" w:color="auto" w:fill="CCEEFF"/>
          </w:tcPr>
          <w:p>
            <w:pPr>
              <w:jc w:val="right"/>
              <w:ind w:right="131"/>
              <w:spacing w:after="0"/>
              <w:rPr>
                <w:sz w:val="20"/>
                <w:szCs w:val="20"/>
                <w:color w:val="auto"/>
              </w:rPr>
            </w:pPr>
            <w:r>
              <w:rPr>
                <w:rFonts w:ascii="Arial" w:cs="Arial" w:eastAsia="Arial" w:hAnsi="Arial"/>
                <w:sz w:val="18"/>
                <w:szCs w:val="18"/>
                <w:color w:val="auto"/>
              </w:rPr>
              <w:t>(93.0)</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(9.3)</w:t>
            </w:r>
          </w:p>
        </w:tc>
        <w:tc>
          <w:tcPr>
            <w:tcW w:w="1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120" w:type="dxa"/>
            <w:vAlign w:val="bottom"/>
            <w:vMerge w:val="restart"/>
            <w:shd w:val="clear" w:color="auto" w:fill="CCEEFF"/>
          </w:tcPr>
          <w:p>
            <w:pPr>
              <w:jc w:val="right"/>
              <w:ind w:right="151"/>
              <w:spacing w:after="0"/>
              <w:rPr>
                <w:sz w:val="20"/>
                <w:szCs w:val="20"/>
                <w:color w:val="auto"/>
              </w:rPr>
            </w:pPr>
            <w:r>
              <w:rPr>
                <w:rFonts w:ascii="Arial" w:cs="Arial" w:eastAsia="Arial" w:hAnsi="Arial"/>
                <w:sz w:val="18"/>
                <w:szCs w:val="18"/>
                <w:color w:val="auto"/>
              </w:rPr>
              <w:t>(3.1)</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20" w:type="dxa"/>
            <w:vAlign w:val="bottom"/>
            <w:vMerge w:val="restart"/>
            <w:shd w:val="clear" w:color="auto" w:fill="CCEEFF"/>
          </w:tcPr>
          <w:p>
            <w:pPr>
              <w:jc w:val="right"/>
              <w:ind w:right="131"/>
              <w:spacing w:after="0"/>
              <w:rPr>
                <w:sz w:val="20"/>
                <w:szCs w:val="20"/>
                <w:color w:val="auto"/>
              </w:rPr>
            </w:pPr>
            <w:r>
              <w:rPr>
                <w:rFonts w:ascii="Arial" w:cs="Arial" w:eastAsia="Arial" w:hAnsi="Arial"/>
                <w:sz w:val="18"/>
                <w:szCs w:val="18"/>
                <w:color w:val="auto"/>
              </w:rPr>
              <w:t>261.3</w:t>
            </w:r>
          </w:p>
        </w:tc>
        <w:tc>
          <w:tcPr>
            <w:tcW w:w="0" w:type="dxa"/>
            <w:vAlign w:val="bottom"/>
          </w:tcPr>
          <w:p>
            <w:pPr>
              <w:spacing w:after="0"/>
              <w:rPr>
                <w:sz w:val="1"/>
                <w:szCs w:val="1"/>
                <w:color w:val="auto"/>
              </w:rPr>
            </w:pPr>
          </w:p>
        </w:tc>
      </w:tr>
      <w:tr>
        <w:trPr>
          <w:trHeight w:val="225"/>
        </w:trPr>
        <w:tc>
          <w:tcPr>
            <w:tcW w:w="1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development</w:t>
            </w:r>
          </w:p>
        </w:tc>
        <w:tc>
          <w:tcPr>
            <w:tcW w:w="180" w:type="dxa"/>
            <w:vAlign w:val="bottom"/>
            <w:shd w:val="clear" w:color="auto" w:fill="CCEEFF"/>
          </w:tcPr>
          <w:p>
            <w:pPr>
              <w:spacing w:after="0"/>
              <w:rPr>
                <w:sz w:val="19"/>
                <w:szCs w:val="19"/>
                <w:color w:val="auto"/>
              </w:rPr>
            </w:pPr>
          </w:p>
        </w:tc>
        <w:tc>
          <w:tcPr>
            <w:tcW w:w="92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8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40" w:type="dxa"/>
            <w:vAlign w:val="bottom"/>
            <w:vMerge w:val="continue"/>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20" w:type="dxa"/>
            <w:vAlign w:val="bottom"/>
            <w:vMerge w:val="continue"/>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20" w:type="dxa"/>
            <w:vAlign w:val="bottom"/>
            <w:vMerge w:val="continue"/>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2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2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4"/>
        </w:trPr>
        <w:tc>
          <w:tcPr>
            <w:tcW w:w="1700" w:type="dxa"/>
            <w:vAlign w:val="bottom"/>
          </w:tcPr>
          <w:p>
            <w:pPr>
              <w:ind w:left="20"/>
              <w:spacing w:after="0" w:line="174" w:lineRule="exact"/>
              <w:rPr>
                <w:sz w:val="20"/>
                <w:szCs w:val="20"/>
                <w:color w:val="auto"/>
              </w:rPr>
            </w:pPr>
            <w:r>
              <w:rPr>
                <w:rFonts w:ascii="Arial" w:cs="Arial" w:eastAsia="Arial" w:hAnsi="Arial"/>
                <w:sz w:val="18"/>
                <w:szCs w:val="18"/>
                <w:i w:val="1"/>
                <w:iCs w:val="1"/>
                <w:color w:val="auto"/>
              </w:rPr>
              <w:t>Research and</w:t>
            </w:r>
          </w:p>
        </w:tc>
        <w:tc>
          <w:tcPr>
            <w:tcW w:w="180" w:type="dxa"/>
            <w:vAlign w:val="bottom"/>
          </w:tcPr>
          <w:p>
            <w:pPr>
              <w:spacing w:after="0"/>
              <w:rPr>
                <w:sz w:val="15"/>
                <w:szCs w:val="15"/>
                <w:color w:val="auto"/>
              </w:rPr>
            </w:pPr>
          </w:p>
        </w:tc>
        <w:tc>
          <w:tcPr>
            <w:tcW w:w="920" w:type="dxa"/>
            <w:vAlign w:val="bottom"/>
            <w:vMerge w:val="restart"/>
          </w:tcPr>
          <w:p>
            <w:pPr>
              <w:jc w:val="right"/>
              <w:spacing w:after="0"/>
              <w:rPr>
                <w:sz w:val="20"/>
                <w:szCs w:val="20"/>
                <w:color w:val="auto"/>
              </w:rPr>
            </w:pPr>
            <w:r>
              <w:rPr>
                <w:rFonts w:ascii="Arial" w:cs="Arial" w:eastAsia="Arial" w:hAnsi="Arial"/>
                <w:sz w:val="18"/>
                <w:szCs w:val="18"/>
                <w:color w:val="auto"/>
              </w:rPr>
              <w:t>35.2 %</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80" w:type="dxa"/>
            <w:vAlign w:val="bottom"/>
            <w:vMerge w:val="restart"/>
          </w:tcPr>
          <w:p>
            <w:pPr>
              <w:jc w:val="right"/>
              <w:spacing w:after="0"/>
              <w:rPr>
                <w:sz w:val="20"/>
                <w:szCs w:val="20"/>
                <w:color w:val="auto"/>
              </w:rPr>
            </w:pPr>
            <w:r>
              <w:rPr>
                <w:rFonts w:ascii="Arial" w:cs="Arial" w:eastAsia="Arial" w:hAnsi="Arial"/>
                <w:sz w:val="18"/>
                <w:szCs w:val="18"/>
                <w:color w:val="auto"/>
              </w:rPr>
              <w:t>(8.9 %)</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20" w:type="dxa"/>
            <w:vAlign w:val="bottom"/>
            <w:gridSpan w:val="2"/>
            <w:vMerge w:val="restart"/>
          </w:tcPr>
          <w:p>
            <w:pPr>
              <w:jc w:val="right"/>
              <w:spacing w:after="0"/>
              <w:rPr>
                <w:sz w:val="20"/>
                <w:szCs w:val="20"/>
                <w:color w:val="auto"/>
              </w:rPr>
            </w:pPr>
            <w:r>
              <w:rPr>
                <w:rFonts w:ascii="Arial" w:cs="Arial" w:eastAsia="Arial" w:hAnsi="Arial"/>
                <w:sz w:val="18"/>
                <w:szCs w:val="18"/>
                <w:color w:val="auto"/>
              </w:rPr>
              <w:t>(0.9 %)</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2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200" w:type="dxa"/>
            <w:vAlign w:val="bottom"/>
            <w:vMerge w:val="restart"/>
          </w:tcPr>
          <w:p>
            <w:pPr>
              <w:jc w:val="right"/>
              <w:spacing w:after="0"/>
              <w:rPr>
                <w:sz w:val="20"/>
                <w:szCs w:val="20"/>
                <w:color w:val="auto"/>
              </w:rPr>
            </w:pPr>
            <w:r>
              <w:rPr>
                <w:rFonts w:ascii="Arial" w:cs="Arial" w:eastAsia="Arial" w:hAnsi="Arial"/>
                <w:sz w:val="18"/>
                <w:szCs w:val="18"/>
                <w:color w:val="auto"/>
                <w:w w:val="87"/>
              </w:rPr>
              <w:t>%</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200" w:type="dxa"/>
            <w:vAlign w:val="bottom"/>
            <w:vMerge w:val="restart"/>
          </w:tcPr>
          <w:p>
            <w:pPr>
              <w:jc w:val="right"/>
              <w:spacing w:after="0"/>
              <w:rPr>
                <w:sz w:val="20"/>
                <w:szCs w:val="20"/>
                <w:color w:val="auto"/>
              </w:rPr>
            </w:pPr>
            <w:r>
              <w:rPr>
                <w:rFonts w:ascii="Arial" w:cs="Arial" w:eastAsia="Arial" w:hAnsi="Arial"/>
                <w:sz w:val="18"/>
                <w:szCs w:val="18"/>
                <w:color w:val="auto"/>
                <w:w w:val="87"/>
              </w:rPr>
              <w:t>%</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20" w:type="dxa"/>
            <w:vAlign w:val="bottom"/>
            <w:vMerge w:val="restart"/>
          </w:tcPr>
          <w:p>
            <w:pPr>
              <w:jc w:val="right"/>
              <w:spacing w:after="0"/>
              <w:rPr>
                <w:sz w:val="20"/>
                <w:szCs w:val="20"/>
                <w:color w:val="auto"/>
              </w:rPr>
            </w:pPr>
            <w:r>
              <w:rPr>
                <w:rFonts w:ascii="Arial" w:cs="Arial" w:eastAsia="Arial" w:hAnsi="Arial"/>
                <w:sz w:val="18"/>
                <w:szCs w:val="18"/>
                <w:color w:val="auto"/>
              </w:rPr>
              <w:t>(0.3 %)</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vMerge w:val="restart"/>
          </w:tcPr>
          <w:p>
            <w:pPr>
              <w:jc w:val="right"/>
              <w:spacing w:after="0"/>
              <w:rPr>
                <w:sz w:val="20"/>
                <w:szCs w:val="20"/>
                <w:color w:val="auto"/>
              </w:rPr>
            </w:pPr>
            <w:r>
              <w:rPr>
                <w:rFonts w:ascii="Arial" w:cs="Arial" w:eastAsia="Arial" w:hAnsi="Arial"/>
                <w:sz w:val="18"/>
                <w:szCs w:val="18"/>
                <w:color w:val="auto"/>
              </w:rPr>
              <w:t>25.1 %</w:t>
            </w:r>
          </w:p>
        </w:tc>
        <w:tc>
          <w:tcPr>
            <w:tcW w:w="0" w:type="dxa"/>
            <w:vAlign w:val="bottom"/>
          </w:tcPr>
          <w:p>
            <w:pPr>
              <w:spacing w:after="0"/>
              <w:rPr>
                <w:sz w:val="1"/>
                <w:szCs w:val="1"/>
                <w:color w:val="auto"/>
              </w:rPr>
            </w:pPr>
          </w:p>
        </w:tc>
      </w:tr>
      <w:tr>
        <w:trPr>
          <w:trHeight w:val="224"/>
        </w:trPr>
        <w:tc>
          <w:tcPr>
            <w:tcW w:w="1700" w:type="dxa"/>
            <w:vAlign w:val="bottom"/>
          </w:tcPr>
          <w:p>
            <w:pPr>
              <w:ind w:left="20"/>
              <w:spacing w:after="0"/>
              <w:rPr>
                <w:sz w:val="20"/>
                <w:szCs w:val="20"/>
                <w:color w:val="auto"/>
              </w:rPr>
            </w:pPr>
            <w:r>
              <w:rPr>
                <w:rFonts w:ascii="Arial" w:cs="Arial" w:eastAsia="Arial" w:hAnsi="Arial"/>
                <w:sz w:val="18"/>
                <w:szCs w:val="18"/>
                <w:i w:val="1"/>
                <w:iCs w:val="1"/>
                <w:color w:val="auto"/>
              </w:rPr>
              <w:t>development margin</w:t>
            </w:r>
          </w:p>
        </w:tc>
        <w:tc>
          <w:tcPr>
            <w:tcW w:w="180" w:type="dxa"/>
            <w:vAlign w:val="bottom"/>
          </w:tcPr>
          <w:p>
            <w:pPr>
              <w:spacing w:after="0"/>
              <w:rPr>
                <w:sz w:val="19"/>
                <w:szCs w:val="19"/>
                <w:color w:val="auto"/>
              </w:rPr>
            </w:pPr>
          </w:p>
        </w:tc>
        <w:tc>
          <w:tcPr>
            <w:tcW w:w="92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20" w:type="dxa"/>
            <w:vAlign w:val="bottom"/>
            <w:gridSpan w:val="2"/>
            <w:vMerge w:val="continue"/>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vMerge w:val="continue"/>
          </w:tcPr>
          <w:p>
            <w:pPr>
              <w:spacing w:after="0"/>
              <w:rPr>
                <w:sz w:val="19"/>
                <w:szCs w:val="19"/>
                <w:color w:val="auto"/>
              </w:rPr>
            </w:pPr>
          </w:p>
        </w:tc>
        <w:tc>
          <w:tcPr>
            <w:tcW w:w="20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vMerge w:val="continue"/>
          </w:tcPr>
          <w:p>
            <w:pPr>
              <w:spacing w:after="0"/>
              <w:rPr>
                <w:sz w:val="19"/>
                <w:szCs w:val="19"/>
                <w:color w:val="auto"/>
              </w:rPr>
            </w:pPr>
          </w:p>
        </w:tc>
        <w:tc>
          <w:tcPr>
            <w:tcW w:w="20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1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Sales and marketing</w:t>
            </w:r>
          </w:p>
        </w:tc>
        <w:tc>
          <w:tcPr>
            <w:tcW w:w="18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203.5</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(13.1)</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2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(6.5)</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178.7</w:t>
            </w:r>
          </w:p>
        </w:tc>
        <w:tc>
          <w:tcPr>
            <w:tcW w:w="0" w:type="dxa"/>
            <w:vAlign w:val="bottom"/>
          </w:tcPr>
          <w:p>
            <w:pPr>
              <w:spacing w:after="0"/>
              <w:rPr>
                <w:sz w:val="1"/>
                <w:szCs w:val="1"/>
                <w:color w:val="auto"/>
              </w:rPr>
            </w:pPr>
          </w:p>
        </w:tc>
      </w:tr>
      <w:tr>
        <w:trPr>
          <w:trHeight w:val="174"/>
        </w:trPr>
        <w:tc>
          <w:tcPr>
            <w:tcW w:w="1700" w:type="dxa"/>
            <w:vAlign w:val="bottom"/>
          </w:tcPr>
          <w:p>
            <w:pPr>
              <w:ind w:left="20"/>
              <w:spacing w:after="0" w:line="174" w:lineRule="exact"/>
              <w:rPr>
                <w:sz w:val="20"/>
                <w:szCs w:val="20"/>
                <w:color w:val="auto"/>
              </w:rPr>
            </w:pPr>
            <w:r>
              <w:rPr>
                <w:rFonts w:ascii="Arial" w:cs="Arial" w:eastAsia="Arial" w:hAnsi="Arial"/>
                <w:sz w:val="18"/>
                <w:szCs w:val="18"/>
                <w:i w:val="1"/>
                <w:iCs w:val="1"/>
                <w:color w:val="auto"/>
              </w:rPr>
              <w:t>Sales and marketing</w:t>
            </w:r>
          </w:p>
        </w:tc>
        <w:tc>
          <w:tcPr>
            <w:tcW w:w="180" w:type="dxa"/>
            <w:vAlign w:val="bottom"/>
          </w:tcPr>
          <w:p>
            <w:pPr>
              <w:spacing w:after="0"/>
              <w:rPr>
                <w:sz w:val="15"/>
                <w:szCs w:val="15"/>
                <w:color w:val="auto"/>
              </w:rPr>
            </w:pPr>
          </w:p>
        </w:tc>
        <w:tc>
          <w:tcPr>
            <w:tcW w:w="920" w:type="dxa"/>
            <w:vAlign w:val="bottom"/>
            <w:vMerge w:val="restart"/>
          </w:tcPr>
          <w:p>
            <w:pPr>
              <w:jc w:val="right"/>
              <w:spacing w:after="0"/>
              <w:rPr>
                <w:sz w:val="20"/>
                <w:szCs w:val="20"/>
                <w:color w:val="auto"/>
              </w:rPr>
            </w:pPr>
            <w:r>
              <w:rPr>
                <w:rFonts w:ascii="Arial" w:cs="Arial" w:eastAsia="Arial" w:hAnsi="Arial"/>
                <w:sz w:val="18"/>
                <w:szCs w:val="18"/>
                <w:color w:val="auto"/>
              </w:rPr>
              <w:t>19.5 %</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80" w:type="dxa"/>
            <w:vAlign w:val="bottom"/>
            <w:vMerge w:val="restart"/>
          </w:tcPr>
          <w:p>
            <w:pPr>
              <w:jc w:val="right"/>
              <w:spacing w:after="0"/>
              <w:rPr>
                <w:sz w:val="20"/>
                <w:szCs w:val="20"/>
                <w:color w:val="auto"/>
              </w:rPr>
            </w:pPr>
            <w:r>
              <w:rPr>
                <w:rFonts w:ascii="Arial" w:cs="Arial" w:eastAsia="Arial" w:hAnsi="Arial"/>
                <w:sz w:val="18"/>
                <w:szCs w:val="18"/>
                <w:color w:val="auto"/>
              </w:rPr>
              <w:t>(1.3 %)</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20" w:type="dxa"/>
            <w:vAlign w:val="bottom"/>
            <w:gridSpan w:val="2"/>
            <w:vMerge w:val="restart"/>
          </w:tcPr>
          <w:p>
            <w:pPr>
              <w:jc w:val="right"/>
              <w:spacing w:after="0"/>
              <w:rPr>
                <w:sz w:val="20"/>
                <w:szCs w:val="20"/>
                <w:color w:val="auto"/>
              </w:rPr>
            </w:pPr>
            <w:r>
              <w:rPr>
                <w:rFonts w:ascii="Arial" w:cs="Arial" w:eastAsia="Arial" w:hAnsi="Arial"/>
                <w:sz w:val="18"/>
                <w:szCs w:val="18"/>
                <w:color w:val="auto"/>
              </w:rPr>
              <w:t>(0.2 %)</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20" w:type="dxa"/>
            <w:vAlign w:val="bottom"/>
            <w:gridSpan w:val="2"/>
            <w:vMerge w:val="restart"/>
          </w:tcPr>
          <w:p>
            <w:pPr>
              <w:jc w:val="right"/>
              <w:spacing w:after="0"/>
              <w:rPr>
                <w:sz w:val="20"/>
                <w:szCs w:val="20"/>
                <w:color w:val="auto"/>
              </w:rPr>
            </w:pPr>
            <w:r>
              <w:rPr>
                <w:rFonts w:ascii="Arial" w:cs="Arial" w:eastAsia="Arial" w:hAnsi="Arial"/>
                <w:sz w:val="18"/>
                <w:szCs w:val="18"/>
                <w:color w:val="auto"/>
              </w:rPr>
              <w:t>(0.3 %)</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200" w:type="dxa"/>
            <w:vAlign w:val="bottom"/>
            <w:vMerge w:val="restart"/>
          </w:tcPr>
          <w:p>
            <w:pPr>
              <w:jc w:val="right"/>
              <w:spacing w:after="0"/>
              <w:rPr>
                <w:sz w:val="20"/>
                <w:szCs w:val="20"/>
                <w:color w:val="auto"/>
              </w:rPr>
            </w:pPr>
            <w:r>
              <w:rPr>
                <w:rFonts w:ascii="Arial" w:cs="Arial" w:eastAsia="Arial" w:hAnsi="Arial"/>
                <w:sz w:val="18"/>
                <w:szCs w:val="18"/>
                <w:color w:val="auto"/>
                <w:w w:val="87"/>
              </w:rPr>
              <w:t>%</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20" w:type="dxa"/>
            <w:vAlign w:val="bottom"/>
            <w:vMerge w:val="restart"/>
          </w:tcPr>
          <w:p>
            <w:pPr>
              <w:jc w:val="right"/>
              <w:spacing w:after="0"/>
              <w:rPr>
                <w:sz w:val="20"/>
                <w:szCs w:val="20"/>
                <w:color w:val="auto"/>
              </w:rPr>
            </w:pPr>
            <w:r>
              <w:rPr>
                <w:rFonts w:ascii="Arial" w:cs="Arial" w:eastAsia="Arial" w:hAnsi="Arial"/>
                <w:sz w:val="18"/>
                <w:szCs w:val="18"/>
                <w:color w:val="auto"/>
              </w:rPr>
              <w:t>(0.6 %)</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vMerge w:val="restart"/>
          </w:tcPr>
          <w:p>
            <w:pPr>
              <w:jc w:val="right"/>
              <w:spacing w:after="0"/>
              <w:rPr>
                <w:sz w:val="20"/>
                <w:szCs w:val="20"/>
                <w:color w:val="auto"/>
              </w:rPr>
            </w:pPr>
            <w:r>
              <w:rPr>
                <w:rFonts w:ascii="Arial" w:cs="Arial" w:eastAsia="Arial" w:hAnsi="Arial"/>
                <w:sz w:val="18"/>
                <w:szCs w:val="18"/>
                <w:color w:val="auto"/>
              </w:rPr>
              <w:t>17.1 %</w:t>
            </w:r>
          </w:p>
        </w:tc>
        <w:tc>
          <w:tcPr>
            <w:tcW w:w="0" w:type="dxa"/>
            <w:vAlign w:val="bottom"/>
          </w:tcPr>
          <w:p>
            <w:pPr>
              <w:spacing w:after="0"/>
              <w:rPr>
                <w:sz w:val="1"/>
                <w:szCs w:val="1"/>
                <w:color w:val="auto"/>
              </w:rPr>
            </w:pPr>
          </w:p>
        </w:tc>
      </w:tr>
      <w:tr>
        <w:trPr>
          <w:trHeight w:val="224"/>
        </w:trPr>
        <w:tc>
          <w:tcPr>
            <w:tcW w:w="1700" w:type="dxa"/>
            <w:vAlign w:val="bottom"/>
          </w:tcPr>
          <w:p>
            <w:pPr>
              <w:ind w:left="20"/>
              <w:spacing w:after="0"/>
              <w:rPr>
                <w:sz w:val="20"/>
                <w:szCs w:val="20"/>
                <w:color w:val="auto"/>
              </w:rPr>
            </w:pPr>
            <w:r>
              <w:rPr>
                <w:rFonts w:ascii="Arial" w:cs="Arial" w:eastAsia="Arial" w:hAnsi="Arial"/>
                <w:sz w:val="18"/>
                <w:szCs w:val="18"/>
                <w:i w:val="1"/>
                <w:iCs w:val="1"/>
                <w:color w:val="auto"/>
              </w:rPr>
              <w:t>margin</w:t>
            </w:r>
          </w:p>
        </w:tc>
        <w:tc>
          <w:tcPr>
            <w:tcW w:w="180" w:type="dxa"/>
            <w:vAlign w:val="bottom"/>
          </w:tcPr>
          <w:p>
            <w:pPr>
              <w:spacing w:after="0"/>
              <w:rPr>
                <w:sz w:val="19"/>
                <w:szCs w:val="19"/>
                <w:color w:val="auto"/>
              </w:rPr>
            </w:pPr>
          </w:p>
        </w:tc>
        <w:tc>
          <w:tcPr>
            <w:tcW w:w="92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20" w:type="dxa"/>
            <w:vAlign w:val="bottom"/>
            <w:gridSpan w:val="2"/>
            <w:vMerge w:val="continue"/>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gridSpan w:val="2"/>
            <w:vMerge w:val="continue"/>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vMerge w:val="continue"/>
          </w:tcPr>
          <w:p>
            <w:pPr>
              <w:spacing w:after="0"/>
              <w:rPr>
                <w:sz w:val="19"/>
                <w:szCs w:val="19"/>
                <w:color w:val="auto"/>
              </w:rPr>
            </w:pPr>
          </w:p>
        </w:tc>
        <w:tc>
          <w:tcPr>
            <w:tcW w:w="20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74"/>
        </w:trPr>
        <w:tc>
          <w:tcPr>
            <w:tcW w:w="1700" w:type="dxa"/>
            <w:vAlign w:val="bottom"/>
            <w:shd w:val="clear" w:color="auto" w:fill="CCEEFF"/>
          </w:tcPr>
          <w:p>
            <w:pPr>
              <w:ind w:left="20"/>
              <w:spacing w:after="0" w:line="174" w:lineRule="exact"/>
              <w:rPr>
                <w:sz w:val="20"/>
                <w:szCs w:val="20"/>
                <w:color w:val="auto"/>
              </w:rPr>
            </w:pPr>
            <w:r>
              <w:rPr>
                <w:rFonts w:ascii="Arial" w:cs="Arial" w:eastAsia="Arial" w:hAnsi="Arial"/>
                <w:sz w:val="18"/>
                <w:szCs w:val="18"/>
                <w:color w:val="auto"/>
              </w:rPr>
              <w:t>General and</w:t>
            </w:r>
          </w:p>
        </w:tc>
        <w:tc>
          <w:tcPr>
            <w:tcW w:w="180" w:type="dxa"/>
            <w:vAlign w:val="bottom"/>
            <w:shd w:val="clear" w:color="auto" w:fill="CCEEFF"/>
          </w:tcPr>
          <w:p>
            <w:pPr>
              <w:spacing w:after="0"/>
              <w:rPr>
                <w:sz w:val="15"/>
                <w:szCs w:val="15"/>
                <w:color w:val="auto"/>
              </w:rPr>
            </w:pPr>
          </w:p>
        </w:tc>
        <w:tc>
          <w:tcPr>
            <w:tcW w:w="920" w:type="dxa"/>
            <w:vAlign w:val="bottom"/>
            <w:vMerge w:val="restart"/>
            <w:shd w:val="clear" w:color="auto" w:fill="CCEEFF"/>
          </w:tcPr>
          <w:p>
            <w:pPr>
              <w:jc w:val="right"/>
              <w:ind w:right="131"/>
              <w:spacing w:after="0"/>
              <w:rPr>
                <w:sz w:val="20"/>
                <w:szCs w:val="20"/>
                <w:color w:val="auto"/>
              </w:rPr>
            </w:pPr>
            <w:r>
              <w:rPr>
                <w:rFonts w:ascii="Arial" w:cs="Arial" w:eastAsia="Arial" w:hAnsi="Arial"/>
                <w:sz w:val="18"/>
                <w:szCs w:val="18"/>
                <w:color w:val="auto"/>
              </w:rPr>
              <w:t>111.4</w:t>
            </w: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280" w:type="dxa"/>
            <w:vAlign w:val="bottom"/>
            <w:vMerge w:val="restart"/>
            <w:shd w:val="clear" w:color="auto" w:fill="CCEEFF"/>
          </w:tcPr>
          <w:p>
            <w:pPr>
              <w:jc w:val="right"/>
              <w:ind w:right="131"/>
              <w:spacing w:after="0"/>
              <w:rPr>
                <w:sz w:val="20"/>
                <w:szCs w:val="20"/>
                <w:color w:val="auto"/>
              </w:rPr>
            </w:pPr>
            <w:r>
              <w:rPr>
                <w:rFonts w:ascii="Arial" w:cs="Arial" w:eastAsia="Arial" w:hAnsi="Arial"/>
                <w:sz w:val="18"/>
                <w:szCs w:val="18"/>
                <w:color w:val="auto"/>
              </w:rPr>
              <w:t>(24.4)</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120" w:type="dxa"/>
            <w:vAlign w:val="bottom"/>
            <w:vMerge w:val="restart"/>
            <w:shd w:val="clear" w:color="auto" w:fill="CCEEFF"/>
          </w:tcPr>
          <w:p>
            <w:pPr>
              <w:jc w:val="right"/>
              <w:ind w:right="151"/>
              <w:spacing w:after="0"/>
              <w:rPr>
                <w:sz w:val="20"/>
                <w:szCs w:val="20"/>
                <w:color w:val="auto"/>
              </w:rPr>
            </w:pPr>
            <w:r>
              <w:rPr>
                <w:rFonts w:ascii="Arial" w:cs="Arial" w:eastAsia="Arial" w:hAnsi="Arial"/>
                <w:sz w:val="18"/>
                <w:szCs w:val="18"/>
                <w:color w:val="auto"/>
              </w:rPr>
              <w:t>(2.4)</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20" w:type="dxa"/>
            <w:vAlign w:val="bottom"/>
            <w:vMerge w:val="restart"/>
            <w:shd w:val="clear" w:color="auto" w:fill="CCEEFF"/>
          </w:tcPr>
          <w:p>
            <w:pPr>
              <w:jc w:val="right"/>
              <w:ind w:right="131"/>
              <w:spacing w:after="0"/>
              <w:rPr>
                <w:sz w:val="20"/>
                <w:szCs w:val="20"/>
                <w:color w:val="auto"/>
              </w:rPr>
            </w:pPr>
            <w:r>
              <w:rPr>
                <w:rFonts w:ascii="Arial" w:cs="Arial" w:eastAsia="Arial" w:hAnsi="Arial"/>
                <w:sz w:val="18"/>
                <w:szCs w:val="18"/>
                <w:color w:val="auto"/>
              </w:rPr>
              <w:t>83.4</w:t>
            </w:r>
          </w:p>
        </w:tc>
        <w:tc>
          <w:tcPr>
            <w:tcW w:w="0" w:type="dxa"/>
            <w:vAlign w:val="bottom"/>
          </w:tcPr>
          <w:p>
            <w:pPr>
              <w:spacing w:after="0"/>
              <w:rPr>
                <w:sz w:val="1"/>
                <w:szCs w:val="1"/>
                <w:color w:val="auto"/>
              </w:rPr>
            </w:pPr>
          </w:p>
        </w:tc>
      </w:tr>
      <w:tr>
        <w:trPr>
          <w:trHeight w:val="225"/>
        </w:trPr>
        <w:tc>
          <w:tcPr>
            <w:tcW w:w="1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administrative</w:t>
            </w:r>
          </w:p>
        </w:tc>
        <w:tc>
          <w:tcPr>
            <w:tcW w:w="180" w:type="dxa"/>
            <w:vAlign w:val="bottom"/>
            <w:shd w:val="clear" w:color="auto" w:fill="CCEEFF"/>
          </w:tcPr>
          <w:p>
            <w:pPr>
              <w:spacing w:after="0"/>
              <w:rPr>
                <w:sz w:val="19"/>
                <w:szCs w:val="19"/>
                <w:color w:val="auto"/>
              </w:rPr>
            </w:pPr>
          </w:p>
        </w:tc>
        <w:tc>
          <w:tcPr>
            <w:tcW w:w="92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8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40" w:type="dxa"/>
            <w:vAlign w:val="bottom"/>
            <w:vMerge w:val="continue"/>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20" w:type="dxa"/>
            <w:vAlign w:val="bottom"/>
            <w:vMerge w:val="continue"/>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20" w:type="dxa"/>
            <w:vAlign w:val="bottom"/>
            <w:vMerge w:val="continue"/>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2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2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4"/>
        </w:trPr>
        <w:tc>
          <w:tcPr>
            <w:tcW w:w="1700" w:type="dxa"/>
            <w:vAlign w:val="bottom"/>
          </w:tcPr>
          <w:p>
            <w:pPr>
              <w:ind w:left="20"/>
              <w:spacing w:after="0" w:line="174" w:lineRule="exact"/>
              <w:rPr>
                <w:sz w:val="20"/>
                <w:szCs w:val="20"/>
                <w:color w:val="auto"/>
              </w:rPr>
            </w:pPr>
            <w:r>
              <w:rPr>
                <w:rFonts w:ascii="Arial" w:cs="Arial" w:eastAsia="Arial" w:hAnsi="Arial"/>
                <w:sz w:val="18"/>
                <w:szCs w:val="18"/>
                <w:i w:val="1"/>
                <w:iCs w:val="1"/>
                <w:color w:val="auto"/>
              </w:rPr>
              <w:t>General and</w:t>
            </w:r>
          </w:p>
        </w:tc>
        <w:tc>
          <w:tcPr>
            <w:tcW w:w="180" w:type="dxa"/>
            <w:vAlign w:val="bottom"/>
          </w:tcPr>
          <w:p>
            <w:pPr>
              <w:spacing w:after="0"/>
              <w:rPr>
                <w:sz w:val="15"/>
                <w:szCs w:val="15"/>
                <w:color w:val="auto"/>
              </w:rPr>
            </w:pPr>
          </w:p>
        </w:tc>
        <w:tc>
          <w:tcPr>
            <w:tcW w:w="920" w:type="dxa"/>
            <w:vAlign w:val="bottom"/>
            <w:vMerge w:val="restart"/>
          </w:tcPr>
          <w:p>
            <w:pPr>
              <w:jc w:val="right"/>
              <w:spacing w:after="0"/>
              <w:rPr>
                <w:sz w:val="20"/>
                <w:szCs w:val="20"/>
                <w:color w:val="auto"/>
              </w:rPr>
            </w:pPr>
            <w:r>
              <w:rPr>
                <w:rFonts w:ascii="Arial" w:cs="Arial" w:eastAsia="Arial" w:hAnsi="Arial"/>
                <w:sz w:val="18"/>
                <w:szCs w:val="18"/>
                <w:color w:val="auto"/>
              </w:rPr>
              <w:t>10.7 %</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80" w:type="dxa"/>
            <w:vAlign w:val="bottom"/>
            <w:vMerge w:val="restart"/>
          </w:tcPr>
          <w:p>
            <w:pPr>
              <w:jc w:val="right"/>
              <w:spacing w:after="0"/>
              <w:rPr>
                <w:sz w:val="20"/>
                <w:szCs w:val="20"/>
                <w:color w:val="auto"/>
              </w:rPr>
            </w:pPr>
            <w:r>
              <w:rPr>
                <w:rFonts w:ascii="Arial" w:cs="Arial" w:eastAsia="Arial" w:hAnsi="Arial"/>
                <w:sz w:val="18"/>
                <w:szCs w:val="18"/>
                <w:color w:val="auto"/>
              </w:rPr>
              <w:t>(2.3 %)</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20" w:type="dxa"/>
            <w:vAlign w:val="bottom"/>
            <w:gridSpan w:val="2"/>
            <w:vMerge w:val="restart"/>
          </w:tcPr>
          <w:p>
            <w:pPr>
              <w:jc w:val="right"/>
              <w:spacing w:after="0"/>
              <w:rPr>
                <w:sz w:val="20"/>
                <w:szCs w:val="20"/>
                <w:color w:val="auto"/>
              </w:rPr>
            </w:pPr>
            <w:r>
              <w:rPr>
                <w:rFonts w:ascii="Arial" w:cs="Arial" w:eastAsia="Arial" w:hAnsi="Arial"/>
                <w:sz w:val="18"/>
                <w:szCs w:val="18"/>
                <w:color w:val="auto"/>
              </w:rPr>
              <w:t>(0.1 %)</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2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200" w:type="dxa"/>
            <w:vAlign w:val="bottom"/>
            <w:vMerge w:val="restart"/>
          </w:tcPr>
          <w:p>
            <w:pPr>
              <w:jc w:val="right"/>
              <w:spacing w:after="0"/>
              <w:rPr>
                <w:sz w:val="20"/>
                <w:szCs w:val="20"/>
                <w:color w:val="auto"/>
              </w:rPr>
            </w:pPr>
            <w:r>
              <w:rPr>
                <w:rFonts w:ascii="Arial" w:cs="Arial" w:eastAsia="Arial" w:hAnsi="Arial"/>
                <w:sz w:val="18"/>
                <w:szCs w:val="18"/>
                <w:color w:val="auto"/>
                <w:w w:val="87"/>
              </w:rPr>
              <w:t>%</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200" w:type="dxa"/>
            <w:vAlign w:val="bottom"/>
            <w:vMerge w:val="restart"/>
          </w:tcPr>
          <w:p>
            <w:pPr>
              <w:jc w:val="right"/>
              <w:spacing w:after="0"/>
              <w:rPr>
                <w:sz w:val="20"/>
                <w:szCs w:val="20"/>
                <w:color w:val="auto"/>
              </w:rPr>
            </w:pPr>
            <w:r>
              <w:rPr>
                <w:rFonts w:ascii="Arial" w:cs="Arial" w:eastAsia="Arial" w:hAnsi="Arial"/>
                <w:sz w:val="18"/>
                <w:szCs w:val="18"/>
                <w:color w:val="auto"/>
                <w:w w:val="87"/>
              </w:rPr>
              <w:t>%</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20" w:type="dxa"/>
            <w:vAlign w:val="bottom"/>
            <w:vMerge w:val="restart"/>
          </w:tcPr>
          <w:p>
            <w:pPr>
              <w:jc w:val="right"/>
              <w:spacing w:after="0"/>
              <w:rPr>
                <w:sz w:val="20"/>
                <w:szCs w:val="20"/>
                <w:color w:val="auto"/>
              </w:rPr>
            </w:pPr>
            <w:r>
              <w:rPr>
                <w:rFonts w:ascii="Arial" w:cs="Arial" w:eastAsia="Arial" w:hAnsi="Arial"/>
                <w:sz w:val="18"/>
                <w:szCs w:val="18"/>
                <w:color w:val="auto"/>
              </w:rPr>
              <w:t>(0.2 %)</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vMerge w:val="restart"/>
          </w:tcPr>
          <w:p>
            <w:pPr>
              <w:jc w:val="right"/>
              <w:spacing w:after="0"/>
              <w:rPr>
                <w:sz w:val="20"/>
                <w:szCs w:val="20"/>
                <w:color w:val="auto"/>
              </w:rPr>
            </w:pPr>
            <w:r>
              <w:rPr>
                <w:rFonts w:ascii="Arial" w:cs="Arial" w:eastAsia="Arial" w:hAnsi="Arial"/>
                <w:sz w:val="18"/>
                <w:szCs w:val="18"/>
                <w:color w:val="auto"/>
              </w:rPr>
              <w:t>8.0 %</w:t>
            </w:r>
          </w:p>
        </w:tc>
        <w:tc>
          <w:tcPr>
            <w:tcW w:w="0" w:type="dxa"/>
            <w:vAlign w:val="bottom"/>
          </w:tcPr>
          <w:p>
            <w:pPr>
              <w:spacing w:after="0"/>
              <w:rPr>
                <w:sz w:val="1"/>
                <w:szCs w:val="1"/>
                <w:color w:val="auto"/>
              </w:rPr>
            </w:pPr>
          </w:p>
        </w:tc>
      </w:tr>
      <w:tr>
        <w:trPr>
          <w:trHeight w:val="224"/>
        </w:trPr>
        <w:tc>
          <w:tcPr>
            <w:tcW w:w="1700" w:type="dxa"/>
            <w:vAlign w:val="bottom"/>
          </w:tcPr>
          <w:p>
            <w:pPr>
              <w:ind w:left="20"/>
              <w:spacing w:after="0"/>
              <w:rPr>
                <w:sz w:val="20"/>
                <w:szCs w:val="20"/>
                <w:color w:val="auto"/>
              </w:rPr>
            </w:pPr>
            <w:r>
              <w:rPr>
                <w:rFonts w:ascii="Arial" w:cs="Arial" w:eastAsia="Arial" w:hAnsi="Arial"/>
                <w:sz w:val="18"/>
                <w:szCs w:val="18"/>
                <w:i w:val="1"/>
                <w:iCs w:val="1"/>
                <w:color w:val="auto"/>
                <w:w w:val="97"/>
              </w:rPr>
              <w:t>administrative margin</w:t>
            </w:r>
          </w:p>
        </w:tc>
        <w:tc>
          <w:tcPr>
            <w:tcW w:w="180" w:type="dxa"/>
            <w:vAlign w:val="bottom"/>
          </w:tcPr>
          <w:p>
            <w:pPr>
              <w:spacing w:after="0"/>
              <w:rPr>
                <w:sz w:val="19"/>
                <w:szCs w:val="19"/>
                <w:color w:val="auto"/>
              </w:rPr>
            </w:pPr>
          </w:p>
        </w:tc>
        <w:tc>
          <w:tcPr>
            <w:tcW w:w="92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20" w:type="dxa"/>
            <w:vAlign w:val="bottom"/>
            <w:gridSpan w:val="2"/>
            <w:vMerge w:val="continue"/>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vMerge w:val="continue"/>
          </w:tcPr>
          <w:p>
            <w:pPr>
              <w:spacing w:after="0"/>
              <w:rPr>
                <w:sz w:val="19"/>
                <w:szCs w:val="19"/>
                <w:color w:val="auto"/>
              </w:rPr>
            </w:pPr>
          </w:p>
        </w:tc>
        <w:tc>
          <w:tcPr>
            <w:tcW w:w="20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vMerge w:val="continue"/>
          </w:tcPr>
          <w:p>
            <w:pPr>
              <w:spacing w:after="0"/>
              <w:rPr>
                <w:sz w:val="19"/>
                <w:szCs w:val="19"/>
                <w:color w:val="auto"/>
              </w:rPr>
            </w:pPr>
          </w:p>
        </w:tc>
        <w:tc>
          <w:tcPr>
            <w:tcW w:w="20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74"/>
        </w:trPr>
        <w:tc>
          <w:tcPr>
            <w:tcW w:w="1700" w:type="dxa"/>
            <w:vAlign w:val="bottom"/>
            <w:shd w:val="clear" w:color="auto" w:fill="CCEEFF"/>
          </w:tcPr>
          <w:p>
            <w:pPr>
              <w:ind w:left="20"/>
              <w:spacing w:after="0" w:line="174" w:lineRule="exact"/>
              <w:rPr>
                <w:sz w:val="20"/>
                <w:szCs w:val="20"/>
                <w:color w:val="auto"/>
              </w:rPr>
            </w:pPr>
            <w:r>
              <w:rPr>
                <w:rFonts w:ascii="Arial" w:cs="Arial" w:eastAsia="Arial" w:hAnsi="Arial"/>
                <w:sz w:val="18"/>
                <w:szCs w:val="18"/>
                <w:color w:val="auto"/>
                <w:w w:val="97"/>
              </w:rPr>
              <w:t>Impairment related to</w:t>
            </w:r>
          </w:p>
        </w:tc>
        <w:tc>
          <w:tcPr>
            <w:tcW w:w="180" w:type="dxa"/>
            <w:vAlign w:val="bottom"/>
            <w:shd w:val="clear" w:color="auto" w:fill="CCEEFF"/>
          </w:tcPr>
          <w:p>
            <w:pPr>
              <w:spacing w:after="0"/>
              <w:rPr>
                <w:sz w:val="15"/>
                <w:szCs w:val="15"/>
                <w:color w:val="auto"/>
              </w:rPr>
            </w:pPr>
          </w:p>
        </w:tc>
        <w:tc>
          <w:tcPr>
            <w:tcW w:w="920" w:type="dxa"/>
            <w:vAlign w:val="bottom"/>
            <w:vMerge w:val="restart"/>
            <w:shd w:val="clear" w:color="auto" w:fill="CCEEFF"/>
          </w:tcPr>
          <w:p>
            <w:pPr>
              <w:jc w:val="right"/>
              <w:ind w:right="131"/>
              <w:spacing w:after="0"/>
              <w:rPr>
                <w:sz w:val="20"/>
                <w:szCs w:val="20"/>
                <w:color w:val="auto"/>
              </w:rPr>
            </w:pPr>
            <w:r>
              <w:rPr>
                <w:rFonts w:ascii="Arial" w:cs="Arial" w:eastAsia="Arial" w:hAnsi="Arial"/>
                <w:sz w:val="18"/>
                <w:szCs w:val="18"/>
                <w:color w:val="auto"/>
              </w:rPr>
              <w:t>17.3</w:t>
            </w: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380" w:type="dxa"/>
            <w:vAlign w:val="bottom"/>
            <w:gridSpan w:val="2"/>
            <w:vMerge w:val="restart"/>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5"/>
                <w:szCs w:val="15"/>
                <w:color w:val="auto"/>
              </w:rPr>
            </w:pPr>
          </w:p>
        </w:tc>
        <w:tc>
          <w:tcPr>
            <w:tcW w:w="1040" w:type="dxa"/>
            <w:vAlign w:val="bottom"/>
            <w:vMerge w:val="restart"/>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(17.3)</w:t>
            </w:r>
          </w:p>
        </w:tc>
        <w:tc>
          <w:tcPr>
            <w:tcW w:w="2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200" w:type="dxa"/>
            <w:vAlign w:val="bottom"/>
            <w:gridSpan w:val="2"/>
            <w:vMerge w:val="restart"/>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5"/>
                <w:szCs w:val="15"/>
                <w:color w:val="auto"/>
              </w:rPr>
            </w:pPr>
          </w:p>
        </w:tc>
        <w:tc>
          <w:tcPr>
            <w:tcW w:w="1020" w:type="dxa"/>
            <w:vAlign w:val="bottom"/>
            <w:vMerge w:val="restart"/>
            <w:shd w:val="clear" w:color="auto" w:fill="CCEEFF"/>
          </w:tcPr>
          <w:p>
            <w:pPr>
              <w:jc w:val="right"/>
              <w:ind w:right="13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5"/>
        </w:trPr>
        <w:tc>
          <w:tcPr>
            <w:tcW w:w="1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real estate assets</w:t>
            </w:r>
          </w:p>
        </w:tc>
        <w:tc>
          <w:tcPr>
            <w:tcW w:w="180" w:type="dxa"/>
            <w:vAlign w:val="bottom"/>
            <w:shd w:val="clear" w:color="auto" w:fill="CCEEFF"/>
          </w:tcPr>
          <w:p>
            <w:pPr>
              <w:spacing w:after="0"/>
              <w:rPr>
                <w:sz w:val="19"/>
                <w:szCs w:val="19"/>
                <w:color w:val="auto"/>
              </w:rPr>
            </w:pPr>
          </w:p>
        </w:tc>
        <w:tc>
          <w:tcPr>
            <w:tcW w:w="92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80" w:type="dxa"/>
            <w:vAlign w:val="bottom"/>
            <w:gridSpan w:val="2"/>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40" w:type="dxa"/>
            <w:vAlign w:val="bottom"/>
            <w:vMerge w:val="continue"/>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20" w:type="dxa"/>
            <w:vAlign w:val="bottom"/>
            <w:vMerge w:val="continue"/>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20" w:type="dxa"/>
            <w:vAlign w:val="bottom"/>
            <w:vMerge w:val="continue"/>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gridSpan w:val="2"/>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2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4"/>
        </w:trPr>
        <w:tc>
          <w:tcPr>
            <w:tcW w:w="1700" w:type="dxa"/>
            <w:vAlign w:val="bottom"/>
          </w:tcPr>
          <w:p>
            <w:pPr>
              <w:ind w:left="20"/>
              <w:spacing w:after="0" w:line="174" w:lineRule="exact"/>
              <w:rPr>
                <w:sz w:val="20"/>
                <w:szCs w:val="20"/>
                <w:color w:val="auto"/>
              </w:rPr>
            </w:pPr>
            <w:r>
              <w:rPr>
                <w:rFonts w:ascii="Arial" w:cs="Arial" w:eastAsia="Arial" w:hAnsi="Arial"/>
                <w:sz w:val="18"/>
                <w:szCs w:val="18"/>
                <w:i w:val="1"/>
                <w:iCs w:val="1"/>
                <w:color w:val="auto"/>
                <w:w w:val="97"/>
              </w:rPr>
              <w:t>Impairment related to</w:t>
            </w:r>
          </w:p>
        </w:tc>
        <w:tc>
          <w:tcPr>
            <w:tcW w:w="1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1700" w:type="dxa"/>
            <w:vAlign w:val="bottom"/>
          </w:tcPr>
          <w:p>
            <w:pPr>
              <w:ind w:left="20"/>
              <w:spacing w:after="0" w:line="173" w:lineRule="exact"/>
              <w:rPr>
                <w:sz w:val="20"/>
                <w:szCs w:val="20"/>
                <w:color w:val="auto"/>
              </w:rPr>
            </w:pPr>
            <w:r>
              <w:rPr>
                <w:rFonts w:ascii="Arial" w:cs="Arial" w:eastAsia="Arial" w:hAnsi="Arial"/>
                <w:sz w:val="18"/>
                <w:szCs w:val="18"/>
                <w:i w:val="1"/>
                <w:iCs w:val="1"/>
                <w:color w:val="auto"/>
              </w:rPr>
              <w:t>real estate assets</w:t>
            </w:r>
          </w:p>
        </w:tc>
        <w:tc>
          <w:tcPr>
            <w:tcW w:w="180" w:type="dxa"/>
            <w:vAlign w:val="bottom"/>
          </w:tcPr>
          <w:p>
            <w:pPr>
              <w:spacing w:after="0"/>
              <w:rPr>
                <w:sz w:val="15"/>
                <w:szCs w:val="15"/>
                <w:color w:val="auto"/>
              </w:rPr>
            </w:pPr>
          </w:p>
        </w:tc>
        <w:tc>
          <w:tcPr>
            <w:tcW w:w="920" w:type="dxa"/>
            <w:vAlign w:val="bottom"/>
            <w:vMerge w:val="restart"/>
          </w:tcPr>
          <w:p>
            <w:pPr>
              <w:jc w:val="right"/>
              <w:spacing w:after="0"/>
              <w:rPr>
                <w:sz w:val="20"/>
                <w:szCs w:val="20"/>
                <w:color w:val="auto"/>
              </w:rPr>
            </w:pPr>
            <w:r>
              <w:rPr>
                <w:rFonts w:ascii="Arial" w:cs="Arial" w:eastAsia="Arial" w:hAnsi="Arial"/>
                <w:sz w:val="18"/>
                <w:szCs w:val="18"/>
                <w:color w:val="auto"/>
              </w:rPr>
              <w:t>1.7 %</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80" w:type="dxa"/>
            <w:vAlign w:val="bottom"/>
            <w:gridSpan w:val="2"/>
            <w:vMerge w:val="restart"/>
          </w:tcPr>
          <w:p>
            <w:pPr>
              <w:ind w:left="820"/>
              <w:spacing w:after="0"/>
              <w:rPr>
                <w:sz w:val="20"/>
                <w:szCs w:val="20"/>
                <w:color w:val="auto"/>
              </w:rPr>
            </w:pPr>
            <w:r>
              <w:rPr>
                <w:rFonts w:ascii="Arial" w:cs="Arial" w:eastAsia="Arial" w:hAnsi="Arial"/>
                <w:sz w:val="18"/>
                <w:szCs w:val="18"/>
                <w:color w:val="auto"/>
              </w:rPr>
              <w:t>— %</w:t>
            </w:r>
          </w:p>
        </w:tc>
        <w:tc>
          <w:tcPr>
            <w:tcW w:w="100" w:type="dxa"/>
            <w:vAlign w:val="bottom"/>
          </w:tcPr>
          <w:p>
            <w:pPr>
              <w:spacing w:after="0"/>
              <w:rPr>
                <w:sz w:val="15"/>
                <w:szCs w:val="15"/>
                <w:color w:val="auto"/>
              </w:rPr>
            </w:pPr>
          </w:p>
        </w:tc>
        <w:tc>
          <w:tcPr>
            <w:tcW w:w="1460" w:type="dxa"/>
            <w:vAlign w:val="bottom"/>
            <w:gridSpan w:val="4"/>
            <w:vMerge w:val="restart"/>
          </w:tcPr>
          <w:p>
            <w:pPr>
              <w:jc w:val="right"/>
              <w:ind w:right="260"/>
              <w:spacing w:after="0"/>
              <w:rPr>
                <w:sz w:val="20"/>
                <w:szCs w:val="20"/>
                <w:color w:val="auto"/>
              </w:rPr>
            </w:pPr>
            <w:r>
              <w:rPr>
                <w:rFonts w:ascii="Arial" w:cs="Arial" w:eastAsia="Arial" w:hAnsi="Arial"/>
                <w:sz w:val="18"/>
                <w:szCs w:val="18"/>
                <w:color w:val="auto"/>
              </w:rPr>
              <w:t>— %</w:t>
            </w:r>
          </w:p>
        </w:tc>
        <w:tc>
          <w:tcPr>
            <w:tcW w:w="1420" w:type="dxa"/>
            <w:vAlign w:val="bottom"/>
            <w:gridSpan w:val="4"/>
            <w:vMerge w:val="restart"/>
          </w:tcPr>
          <w:p>
            <w:pPr>
              <w:jc w:val="right"/>
              <w:ind w:right="240"/>
              <w:spacing w:after="0"/>
              <w:rPr>
                <w:sz w:val="20"/>
                <w:szCs w:val="20"/>
                <w:color w:val="auto"/>
              </w:rPr>
            </w:pPr>
            <w:r>
              <w:rPr>
                <w:rFonts w:ascii="Arial" w:cs="Arial" w:eastAsia="Arial" w:hAnsi="Arial"/>
                <w:sz w:val="18"/>
                <w:szCs w:val="18"/>
                <w:color w:val="auto"/>
              </w:rPr>
              <w:t>— %</w:t>
            </w:r>
          </w:p>
        </w:tc>
        <w:tc>
          <w:tcPr>
            <w:tcW w:w="1220" w:type="dxa"/>
            <w:vAlign w:val="bottom"/>
            <w:gridSpan w:val="2"/>
            <w:vMerge w:val="restart"/>
          </w:tcPr>
          <w:p>
            <w:pPr>
              <w:jc w:val="right"/>
              <w:spacing w:after="0"/>
              <w:rPr>
                <w:sz w:val="20"/>
                <w:szCs w:val="20"/>
                <w:color w:val="auto"/>
              </w:rPr>
            </w:pPr>
            <w:r>
              <w:rPr>
                <w:rFonts w:ascii="Arial" w:cs="Arial" w:eastAsia="Arial" w:hAnsi="Arial"/>
                <w:sz w:val="18"/>
                <w:szCs w:val="18"/>
                <w:color w:val="auto"/>
              </w:rPr>
              <w:t>(1.7 %)</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0" w:type="dxa"/>
            <w:vAlign w:val="bottom"/>
            <w:gridSpan w:val="2"/>
            <w:vMerge w:val="restart"/>
          </w:tcPr>
          <w:p>
            <w:pPr>
              <w:ind w:left="660"/>
              <w:spacing w:after="0"/>
              <w:rPr>
                <w:sz w:val="20"/>
                <w:szCs w:val="20"/>
                <w:color w:val="auto"/>
              </w:rPr>
            </w:pPr>
            <w:r>
              <w:rPr>
                <w:rFonts w:ascii="Arial" w:cs="Arial" w:eastAsia="Arial" w:hAnsi="Arial"/>
                <w:sz w:val="18"/>
                <w:szCs w:val="18"/>
                <w:color w:val="auto"/>
              </w:rPr>
              <w:t>— %</w:t>
            </w:r>
          </w:p>
        </w:tc>
        <w:tc>
          <w:tcPr>
            <w:tcW w:w="100" w:type="dxa"/>
            <w:vAlign w:val="bottom"/>
          </w:tcPr>
          <w:p>
            <w:pPr>
              <w:spacing w:after="0"/>
              <w:rPr>
                <w:sz w:val="15"/>
                <w:szCs w:val="15"/>
                <w:color w:val="auto"/>
              </w:rPr>
            </w:pPr>
          </w:p>
        </w:tc>
        <w:tc>
          <w:tcPr>
            <w:tcW w:w="1020" w:type="dxa"/>
            <w:vAlign w:val="bottom"/>
            <w:vMerge w:val="restart"/>
          </w:tcPr>
          <w:p>
            <w:pPr>
              <w:jc w:val="right"/>
              <w:spacing w:after="0"/>
              <w:rPr>
                <w:sz w:val="20"/>
                <w:szCs w:val="20"/>
                <w:color w:val="auto"/>
              </w:rPr>
            </w:pPr>
            <w:r>
              <w:rPr>
                <w:rFonts w:ascii="Arial" w:cs="Arial" w:eastAsia="Arial" w:hAnsi="Arial"/>
                <w:sz w:val="18"/>
                <w:szCs w:val="18"/>
                <w:color w:val="auto"/>
              </w:rPr>
              <w:t>— %</w:t>
            </w:r>
          </w:p>
        </w:tc>
        <w:tc>
          <w:tcPr>
            <w:tcW w:w="0" w:type="dxa"/>
            <w:vAlign w:val="bottom"/>
          </w:tcPr>
          <w:p>
            <w:pPr>
              <w:spacing w:after="0"/>
              <w:rPr>
                <w:sz w:val="1"/>
                <w:szCs w:val="1"/>
                <w:color w:val="auto"/>
              </w:rPr>
            </w:pPr>
          </w:p>
        </w:tc>
      </w:tr>
      <w:tr>
        <w:trPr>
          <w:trHeight w:val="224"/>
        </w:trPr>
        <w:tc>
          <w:tcPr>
            <w:tcW w:w="1700" w:type="dxa"/>
            <w:vAlign w:val="bottom"/>
          </w:tcPr>
          <w:p>
            <w:pPr>
              <w:ind w:left="20"/>
              <w:spacing w:after="0"/>
              <w:rPr>
                <w:sz w:val="20"/>
                <w:szCs w:val="20"/>
                <w:color w:val="auto"/>
              </w:rPr>
            </w:pPr>
            <w:r>
              <w:rPr>
                <w:rFonts w:ascii="Arial" w:cs="Arial" w:eastAsia="Arial" w:hAnsi="Arial"/>
                <w:sz w:val="18"/>
                <w:szCs w:val="18"/>
                <w:i w:val="1"/>
                <w:iCs w:val="1"/>
                <w:color w:val="auto"/>
              </w:rPr>
              <w:t>margin</w:t>
            </w:r>
          </w:p>
        </w:tc>
        <w:tc>
          <w:tcPr>
            <w:tcW w:w="180" w:type="dxa"/>
            <w:vAlign w:val="bottom"/>
          </w:tcPr>
          <w:p>
            <w:pPr>
              <w:spacing w:after="0"/>
              <w:rPr>
                <w:sz w:val="19"/>
                <w:szCs w:val="19"/>
                <w:color w:val="auto"/>
              </w:rPr>
            </w:pPr>
          </w:p>
        </w:tc>
        <w:tc>
          <w:tcPr>
            <w:tcW w:w="92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80" w:type="dxa"/>
            <w:vAlign w:val="bottom"/>
            <w:gridSpan w:val="2"/>
            <w:vMerge w:val="continue"/>
          </w:tcPr>
          <w:p>
            <w:pPr>
              <w:spacing w:after="0"/>
              <w:rPr>
                <w:sz w:val="19"/>
                <w:szCs w:val="19"/>
                <w:color w:val="auto"/>
              </w:rPr>
            </w:pPr>
          </w:p>
        </w:tc>
        <w:tc>
          <w:tcPr>
            <w:tcW w:w="100" w:type="dxa"/>
            <w:vAlign w:val="bottom"/>
          </w:tcPr>
          <w:p>
            <w:pPr>
              <w:spacing w:after="0"/>
              <w:rPr>
                <w:sz w:val="19"/>
                <w:szCs w:val="19"/>
                <w:color w:val="auto"/>
              </w:rPr>
            </w:pPr>
          </w:p>
        </w:tc>
        <w:tc>
          <w:tcPr>
            <w:tcW w:w="1460" w:type="dxa"/>
            <w:vAlign w:val="bottom"/>
            <w:gridSpan w:val="4"/>
            <w:vMerge w:val="continue"/>
          </w:tcPr>
          <w:p>
            <w:pPr>
              <w:spacing w:after="0"/>
              <w:rPr>
                <w:sz w:val="19"/>
                <w:szCs w:val="19"/>
                <w:color w:val="auto"/>
              </w:rPr>
            </w:pPr>
          </w:p>
        </w:tc>
        <w:tc>
          <w:tcPr>
            <w:tcW w:w="1420" w:type="dxa"/>
            <w:vAlign w:val="bottom"/>
            <w:gridSpan w:val="4"/>
            <w:vMerge w:val="continue"/>
          </w:tcPr>
          <w:p>
            <w:pPr>
              <w:spacing w:after="0"/>
              <w:rPr>
                <w:sz w:val="19"/>
                <w:szCs w:val="19"/>
                <w:color w:val="auto"/>
              </w:rPr>
            </w:pPr>
          </w:p>
        </w:tc>
        <w:tc>
          <w:tcPr>
            <w:tcW w:w="1220" w:type="dxa"/>
            <w:vAlign w:val="bottom"/>
            <w:gridSpan w:val="2"/>
            <w:vMerge w:val="continue"/>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gridSpan w:val="2"/>
            <w:vMerge w:val="continue"/>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74"/>
        </w:trPr>
        <w:tc>
          <w:tcPr>
            <w:tcW w:w="1700" w:type="dxa"/>
            <w:vAlign w:val="bottom"/>
            <w:shd w:val="clear" w:color="auto" w:fill="CCEEFF"/>
          </w:tcPr>
          <w:p>
            <w:pPr>
              <w:ind w:left="20"/>
              <w:spacing w:after="0" w:line="174" w:lineRule="exact"/>
              <w:rPr>
                <w:sz w:val="20"/>
                <w:szCs w:val="20"/>
                <w:color w:val="auto"/>
              </w:rPr>
            </w:pPr>
            <w:r>
              <w:rPr>
                <w:rFonts w:ascii="Arial" w:cs="Arial" w:eastAsia="Arial" w:hAnsi="Arial"/>
                <w:sz w:val="18"/>
                <w:szCs w:val="18"/>
                <w:color w:val="auto"/>
              </w:rPr>
              <w:t>Income from</w:t>
            </w: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vMerge w:val="restart"/>
            <w:shd w:val="clear" w:color="auto" w:fill="CCEEFF"/>
          </w:tcPr>
          <w:p>
            <w:pPr>
              <w:jc w:val="right"/>
              <w:ind w:right="131"/>
              <w:spacing w:after="0"/>
              <w:rPr>
                <w:sz w:val="20"/>
                <w:szCs w:val="20"/>
                <w:color w:val="auto"/>
              </w:rPr>
            </w:pPr>
            <w:r>
              <w:rPr>
                <w:rFonts w:ascii="Arial" w:cs="Arial" w:eastAsia="Arial" w:hAnsi="Arial"/>
                <w:sz w:val="18"/>
                <w:szCs w:val="18"/>
                <w:color w:val="auto"/>
              </w:rPr>
              <w:t>126.9</w:t>
            </w:r>
          </w:p>
        </w:tc>
        <w:tc>
          <w:tcPr>
            <w:tcW w:w="80" w:type="dxa"/>
            <w:vAlign w:val="bottom"/>
            <w:shd w:val="clear" w:color="auto" w:fill="CCEEFF"/>
          </w:tcPr>
          <w:p>
            <w:pPr>
              <w:spacing w:after="0"/>
              <w:rPr>
                <w:sz w:val="15"/>
                <w:szCs w:val="15"/>
                <w:color w:val="auto"/>
              </w:rPr>
            </w:pP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vMerge w:val="restart"/>
            <w:shd w:val="clear" w:color="auto" w:fill="CCEEFF"/>
          </w:tcPr>
          <w:p>
            <w:pPr>
              <w:jc w:val="right"/>
              <w:ind w:right="191"/>
              <w:spacing w:after="0"/>
              <w:rPr>
                <w:sz w:val="20"/>
                <w:szCs w:val="20"/>
                <w:color w:val="auto"/>
              </w:rPr>
            </w:pPr>
            <w:r>
              <w:rPr>
                <w:rFonts w:ascii="Arial" w:cs="Arial" w:eastAsia="Arial" w:hAnsi="Arial"/>
                <w:sz w:val="18"/>
                <w:szCs w:val="18"/>
                <w:color w:val="auto"/>
              </w:rPr>
              <w:t>141.8</w:t>
            </w:r>
          </w:p>
        </w:tc>
        <w:tc>
          <w:tcPr>
            <w:tcW w:w="100" w:type="dxa"/>
            <w:vAlign w:val="bottom"/>
            <w:shd w:val="clear" w:color="auto" w:fill="CCEEFF"/>
          </w:tcPr>
          <w:p>
            <w:pPr>
              <w:spacing w:after="0"/>
              <w:rPr>
                <w:sz w:val="15"/>
                <w:szCs w:val="15"/>
                <w:color w:val="auto"/>
              </w:rPr>
            </w:pP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vMerge w:val="restart"/>
            <w:shd w:val="clear" w:color="auto" w:fill="CCEEFF"/>
          </w:tcPr>
          <w:p>
            <w:pPr>
              <w:jc w:val="right"/>
              <w:ind w:right="11"/>
              <w:spacing w:after="0"/>
              <w:rPr>
                <w:sz w:val="20"/>
                <w:szCs w:val="20"/>
                <w:color w:val="auto"/>
              </w:rPr>
            </w:pPr>
            <w:r>
              <w:rPr>
                <w:rFonts w:ascii="Arial" w:cs="Arial" w:eastAsia="Arial" w:hAnsi="Arial"/>
                <w:sz w:val="18"/>
                <w:szCs w:val="18"/>
                <w:color w:val="auto"/>
              </w:rPr>
              <w:t>12.4</w:t>
            </w:r>
          </w:p>
        </w:tc>
        <w:tc>
          <w:tcPr>
            <w:tcW w:w="420" w:type="dxa"/>
            <w:vAlign w:val="bottom"/>
            <w:gridSpan w:val="3"/>
            <w:vMerge w:val="restart"/>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0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5.9</w:t>
            </w:r>
          </w:p>
        </w:tc>
        <w:tc>
          <w:tcPr>
            <w:tcW w:w="400" w:type="dxa"/>
            <w:vAlign w:val="bottom"/>
            <w:gridSpan w:val="3"/>
            <w:vMerge w:val="restart"/>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0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17.3</w:t>
            </w:r>
          </w:p>
        </w:tc>
        <w:tc>
          <w:tcPr>
            <w:tcW w:w="440" w:type="dxa"/>
            <w:vAlign w:val="bottom"/>
            <w:gridSpan w:val="3"/>
            <w:vMerge w:val="restart"/>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120" w:type="dxa"/>
            <w:vAlign w:val="bottom"/>
            <w:vMerge w:val="restart"/>
            <w:shd w:val="clear" w:color="auto" w:fill="CCEEFF"/>
          </w:tcPr>
          <w:p>
            <w:pPr>
              <w:jc w:val="right"/>
              <w:ind w:right="191"/>
              <w:spacing w:after="0"/>
              <w:rPr>
                <w:sz w:val="20"/>
                <w:szCs w:val="20"/>
                <w:color w:val="auto"/>
              </w:rPr>
            </w:pPr>
            <w:r>
              <w:rPr>
                <w:rFonts w:ascii="Arial" w:cs="Arial" w:eastAsia="Arial" w:hAnsi="Arial"/>
                <w:sz w:val="18"/>
                <w:szCs w:val="18"/>
                <w:color w:val="auto"/>
              </w:rPr>
              <w:t>13.7</w:t>
            </w:r>
          </w:p>
        </w:tc>
        <w:tc>
          <w:tcPr>
            <w:tcW w:w="80" w:type="dxa"/>
            <w:vAlign w:val="bottom"/>
            <w:shd w:val="clear" w:color="auto" w:fill="CCEEFF"/>
          </w:tcPr>
          <w:p>
            <w:pPr>
              <w:spacing w:after="0"/>
              <w:rPr>
                <w:sz w:val="15"/>
                <w:szCs w:val="15"/>
                <w:color w:val="auto"/>
              </w:rPr>
            </w:pP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vMerge w:val="restart"/>
            <w:shd w:val="clear" w:color="auto" w:fill="CCEEFF"/>
          </w:tcPr>
          <w:p>
            <w:pPr>
              <w:jc w:val="right"/>
              <w:ind w:right="131"/>
              <w:spacing w:after="0"/>
              <w:rPr>
                <w:sz w:val="20"/>
                <w:szCs w:val="20"/>
                <w:color w:val="auto"/>
              </w:rPr>
            </w:pPr>
            <w:r>
              <w:rPr>
                <w:rFonts w:ascii="Arial" w:cs="Arial" w:eastAsia="Arial" w:hAnsi="Arial"/>
                <w:sz w:val="18"/>
                <w:szCs w:val="18"/>
                <w:color w:val="auto"/>
              </w:rPr>
              <w:t>318.0</w:t>
            </w:r>
          </w:p>
        </w:tc>
        <w:tc>
          <w:tcPr>
            <w:tcW w:w="0" w:type="dxa"/>
            <w:vAlign w:val="bottom"/>
          </w:tcPr>
          <w:p>
            <w:pPr>
              <w:spacing w:after="0"/>
              <w:rPr>
                <w:sz w:val="1"/>
                <w:szCs w:val="1"/>
                <w:color w:val="auto"/>
              </w:rPr>
            </w:pPr>
          </w:p>
        </w:tc>
      </w:tr>
      <w:tr>
        <w:trPr>
          <w:trHeight w:val="225"/>
        </w:trPr>
        <w:tc>
          <w:tcPr>
            <w:tcW w:w="1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operations</w:t>
            </w:r>
          </w:p>
        </w:tc>
        <w:tc>
          <w:tcPr>
            <w:tcW w:w="180" w:type="dxa"/>
            <w:vAlign w:val="bottom"/>
            <w:vMerge w:val="continue"/>
            <w:shd w:val="clear" w:color="auto" w:fill="CCEEFF"/>
          </w:tcPr>
          <w:p>
            <w:pPr>
              <w:spacing w:after="0"/>
              <w:rPr>
                <w:sz w:val="19"/>
                <w:szCs w:val="19"/>
                <w:color w:val="auto"/>
              </w:rPr>
            </w:pPr>
          </w:p>
        </w:tc>
        <w:tc>
          <w:tcPr>
            <w:tcW w:w="92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vMerge w:val="continue"/>
            <w:shd w:val="clear" w:color="auto" w:fill="CCEEFF"/>
          </w:tcPr>
          <w:p>
            <w:pPr>
              <w:spacing w:after="0"/>
              <w:rPr>
                <w:sz w:val="19"/>
                <w:szCs w:val="19"/>
                <w:color w:val="auto"/>
              </w:rPr>
            </w:pPr>
          </w:p>
        </w:tc>
        <w:tc>
          <w:tcPr>
            <w:tcW w:w="128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vMerge w:val="continue"/>
            <w:shd w:val="clear" w:color="auto" w:fill="CCEEFF"/>
          </w:tcPr>
          <w:p>
            <w:pPr>
              <w:spacing w:after="0"/>
              <w:rPr>
                <w:sz w:val="19"/>
                <w:szCs w:val="19"/>
                <w:color w:val="auto"/>
              </w:rPr>
            </w:pPr>
          </w:p>
        </w:tc>
        <w:tc>
          <w:tcPr>
            <w:tcW w:w="1040" w:type="dxa"/>
            <w:vAlign w:val="bottom"/>
            <w:vMerge w:val="continue"/>
            <w:shd w:val="clear" w:color="auto" w:fill="CCEEFF"/>
          </w:tcPr>
          <w:p>
            <w:pPr>
              <w:spacing w:after="0"/>
              <w:rPr>
                <w:sz w:val="19"/>
                <w:szCs w:val="19"/>
                <w:color w:val="auto"/>
              </w:rPr>
            </w:pPr>
          </w:p>
        </w:tc>
        <w:tc>
          <w:tcPr>
            <w:tcW w:w="420" w:type="dxa"/>
            <w:vAlign w:val="bottom"/>
            <w:gridSpan w:val="3"/>
            <w:vMerge w:val="continue"/>
            <w:shd w:val="clear" w:color="auto" w:fill="CCEEFF"/>
          </w:tcPr>
          <w:p>
            <w:pPr>
              <w:spacing w:after="0"/>
              <w:rPr>
                <w:sz w:val="19"/>
                <w:szCs w:val="19"/>
                <w:color w:val="auto"/>
              </w:rPr>
            </w:pPr>
          </w:p>
        </w:tc>
        <w:tc>
          <w:tcPr>
            <w:tcW w:w="1020" w:type="dxa"/>
            <w:vAlign w:val="bottom"/>
            <w:vMerge w:val="continue"/>
            <w:shd w:val="clear" w:color="auto" w:fill="CCEEFF"/>
          </w:tcPr>
          <w:p>
            <w:pPr>
              <w:spacing w:after="0"/>
              <w:rPr>
                <w:sz w:val="19"/>
                <w:szCs w:val="19"/>
                <w:color w:val="auto"/>
              </w:rPr>
            </w:pPr>
          </w:p>
        </w:tc>
        <w:tc>
          <w:tcPr>
            <w:tcW w:w="400" w:type="dxa"/>
            <w:vAlign w:val="bottom"/>
            <w:gridSpan w:val="3"/>
            <w:vMerge w:val="continue"/>
            <w:shd w:val="clear" w:color="auto" w:fill="CCEEFF"/>
          </w:tcPr>
          <w:p>
            <w:pPr>
              <w:spacing w:after="0"/>
              <w:rPr>
                <w:sz w:val="19"/>
                <w:szCs w:val="19"/>
                <w:color w:val="auto"/>
              </w:rPr>
            </w:pPr>
          </w:p>
        </w:tc>
        <w:tc>
          <w:tcPr>
            <w:tcW w:w="1020" w:type="dxa"/>
            <w:vAlign w:val="bottom"/>
            <w:vMerge w:val="continue"/>
            <w:shd w:val="clear" w:color="auto" w:fill="CCEEFF"/>
          </w:tcPr>
          <w:p>
            <w:pPr>
              <w:spacing w:after="0"/>
              <w:rPr>
                <w:sz w:val="19"/>
                <w:szCs w:val="19"/>
                <w:color w:val="auto"/>
              </w:rPr>
            </w:pPr>
          </w:p>
        </w:tc>
        <w:tc>
          <w:tcPr>
            <w:tcW w:w="440" w:type="dxa"/>
            <w:vAlign w:val="bottom"/>
            <w:gridSpan w:val="3"/>
            <w:vMerge w:val="continue"/>
            <w:shd w:val="clear" w:color="auto" w:fill="CCEEFF"/>
          </w:tcPr>
          <w:p>
            <w:pPr>
              <w:spacing w:after="0"/>
              <w:rPr>
                <w:sz w:val="19"/>
                <w:szCs w:val="19"/>
                <w:color w:val="auto"/>
              </w:rPr>
            </w:pPr>
          </w:p>
        </w:tc>
        <w:tc>
          <w:tcPr>
            <w:tcW w:w="112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vMerge w:val="continue"/>
            <w:shd w:val="clear" w:color="auto" w:fill="CCEEFF"/>
          </w:tcPr>
          <w:p>
            <w:pPr>
              <w:spacing w:after="0"/>
              <w:rPr>
                <w:sz w:val="19"/>
                <w:szCs w:val="19"/>
                <w:color w:val="auto"/>
              </w:rPr>
            </w:pPr>
          </w:p>
        </w:tc>
        <w:tc>
          <w:tcPr>
            <w:tcW w:w="102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1700" w:type="dxa"/>
            <w:vAlign w:val="bottom"/>
          </w:tcPr>
          <w:p>
            <w:pPr>
              <w:ind w:left="20"/>
              <w:spacing w:after="0"/>
              <w:rPr>
                <w:sz w:val="20"/>
                <w:szCs w:val="20"/>
                <w:color w:val="auto"/>
              </w:rPr>
            </w:pPr>
            <w:r>
              <w:rPr>
                <w:rFonts w:ascii="Arial" w:cs="Arial" w:eastAsia="Arial" w:hAnsi="Arial"/>
                <w:sz w:val="18"/>
                <w:szCs w:val="18"/>
                <w:i w:val="1"/>
                <w:iCs w:val="1"/>
                <w:color w:val="auto"/>
              </w:rPr>
              <w:t>Operating margin</w:t>
            </w:r>
          </w:p>
        </w:tc>
        <w:tc>
          <w:tcPr>
            <w:tcW w:w="1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12.2 %</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13.6 %</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1.2</w:t>
            </w:r>
          </w:p>
        </w:tc>
        <w:tc>
          <w:tcPr>
            <w:tcW w:w="180" w:type="dxa"/>
            <w:vAlign w:val="bottom"/>
          </w:tcPr>
          <w:p>
            <w:pPr>
              <w:jc w:val="right"/>
              <w:spacing w:after="0"/>
              <w:rPr>
                <w:sz w:val="20"/>
                <w:szCs w:val="20"/>
                <w:color w:val="auto"/>
              </w:rPr>
            </w:pPr>
            <w:r>
              <w:rPr>
                <w:rFonts w:ascii="Arial" w:cs="Arial" w:eastAsia="Arial" w:hAnsi="Arial"/>
                <w:sz w:val="18"/>
                <w:szCs w:val="18"/>
                <w:color w:val="auto"/>
                <w:w w:val="87"/>
              </w:rPr>
              <w:t>%</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0.6</w:t>
            </w:r>
          </w:p>
        </w:tc>
        <w:tc>
          <w:tcPr>
            <w:tcW w:w="200" w:type="dxa"/>
            <w:vAlign w:val="bottom"/>
          </w:tcPr>
          <w:p>
            <w:pPr>
              <w:jc w:val="right"/>
              <w:spacing w:after="0"/>
              <w:rPr>
                <w:sz w:val="20"/>
                <w:szCs w:val="20"/>
                <w:color w:val="auto"/>
              </w:rPr>
            </w:pPr>
            <w:r>
              <w:rPr>
                <w:rFonts w:ascii="Arial" w:cs="Arial" w:eastAsia="Arial" w:hAnsi="Arial"/>
                <w:sz w:val="18"/>
                <w:szCs w:val="18"/>
                <w:color w:val="auto"/>
                <w:w w:val="87"/>
              </w:rPr>
              <w:t>%</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1.7</w:t>
            </w:r>
          </w:p>
        </w:tc>
        <w:tc>
          <w:tcPr>
            <w:tcW w:w="200" w:type="dxa"/>
            <w:vAlign w:val="bottom"/>
          </w:tcPr>
          <w:p>
            <w:pPr>
              <w:jc w:val="right"/>
              <w:spacing w:after="0"/>
              <w:rPr>
                <w:sz w:val="20"/>
                <w:szCs w:val="20"/>
                <w:color w:val="auto"/>
              </w:rPr>
            </w:pPr>
            <w:r>
              <w:rPr>
                <w:rFonts w:ascii="Arial" w:cs="Arial" w:eastAsia="Arial" w:hAnsi="Arial"/>
                <w:sz w:val="18"/>
                <w:szCs w:val="18"/>
                <w:color w:val="auto"/>
                <w:w w:val="87"/>
              </w:rPr>
              <w:t>%</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1.3 %</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30.5 %</w:t>
            </w:r>
          </w:p>
        </w:tc>
        <w:tc>
          <w:tcPr>
            <w:tcW w:w="0" w:type="dxa"/>
            <w:vAlign w:val="bottom"/>
          </w:tcPr>
          <w:p>
            <w:pPr>
              <w:spacing w:after="0"/>
              <w:rPr>
                <w:sz w:val="1"/>
                <w:szCs w:val="1"/>
                <w:color w:val="auto"/>
              </w:rPr>
            </w:pPr>
          </w:p>
        </w:tc>
      </w:tr>
    </w:tbl>
    <w:p>
      <w:pPr>
        <w:spacing w:after="0" w:line="320" w:lineRule="exact"/>
        <w:rPr>
          <w:sz w:val="20"/>
          <w:szCs w:val="20"/>
          <w:color w:val="auto"/>
        </w:rPr>
      </w:pPr>
    </w:p>
    <w:p>
      <w:pPr>
        <w:ind w:left="154" w:hanging="154"/>
        <w:spacing w:after="0"/>
        <w:tabs>
          <w:tab w:leader="none" w:pos="154" w:val="left"/>
        </w:tabs>
        <w:numPr>
          <w:ilvl w:val="0"/>
          <w:numId w:val="7"/>
        </w:numPr>
        <w:rPr>
          <w:rFonts w:ascii="Arial" w:cs="Arial" w:eastAsia="Arial" w:hAnsi="Arial"/>
          <w:sz w:val="18"/>
          <w:szCs w:val="18"/>
          <w:color w:val="auto"/>
          <w:vertAlign w:val="superscript"/>
        </w:rPr>
      </w:pPr>
      <w:r>
        <w:rPr>
          <w:rFonts w:ascii="Arial" w:cs="Arial" w:eastAsia="Arial" w:hAnsi="Arial"/>
          <w:sz w:val="13"/>
          <w:szCs w:val="13"/>
          <w:color w:val="auto"/>
        </w:rPr>
        <w:t>Includes expenses related to workforce reduction such as severance, benefits and other related items.</w:t>
      </w:r>
    </w:p>
    <w:p>
      <w:pPr>
        <w:sectPr>
          <w:pgSz w:w="11900" w:h="16838" w:orient="portrait"/>
          <w:cols w:equalWidth="0" w:num="1">
            <w:col w:w="11214"/>
          </w:cols>
          <w:pgMar w:left="326" w:top="874" w:right="359" w:bottom="1440" w:gutter="0" w:footer="0" w:header="0"/>
        </w:sectPr>
      </w:pPr>
    </w:p>
    <w:bookmarkStart w:id="11" w:name="page12"/>
    <w:bookmarkEnd w:id="11"/>
    <w:p>
      <w:pPr>
        <w:jc w:val="center"/>
        <w:ind w:right="20"/>
        <w:spacing w:after="0"/>
        <w:rPr>
          <w:sz w:val="20"/>
          <w:szCs w:val="20"/>
          <w:color w:val="auto"/>
        </w:rPr>
      </w:pPr>
      <w:r>
        <w:rPr>
          <w:rFonts w:ascii="Arial" w:cs="Arial" w:eastAsia="Arial" w:hAnsi="Arial"/>
          <w:sz w:val="19"/>
          <w:szCs w:val="19"/>
          <w:b w:val="1"/>
          <w:bCs w:val="1"/>
          <w:color w:val="auto"/>
        </w:rPr>
        <w:t>Dropbox, Inc.</w:t>
      </w:r>
    </w:p>
    <w:p>
      <w:pPr>
        <w:spacing w:after="0" w:line="29" w:lineRule="exact"/>
        <w:rPr>
          <w:sz w:val="20"/>
          <w:szCs w:val="20"/>
          <w:color w:val="auto"/>
        </w:rPr>
      </w:pPr>
    </w:p>
    <w:p>
      <w:pPr>
        <w:jc w:val="center"/>
        <w:ind w:right="20"/>
        <w:spacing w:after="0"/>
        <w:rPr>
          <w:sz w:val="20"/>
          <w:szCs w:val="20"/>
          <w:color w:val="auto"/>
        </w:rPr>
      </w:pPr>
      <w:r>
        <w:rPr>
          <w:rFonts w:ascii="Arial" w:cs="Arial" w:eastAsia="Arial" w:hAnsi="Arial"/>
          <w:sz w:val="19"/>
          <w:szCs w:val="19"/>
          <w:b w:val="1"/>
          <w:bCs w:val="1"/>
          <w:color w:val="auto"/>
        </w:rPr>
        <w:t>Six Months Ended June 30, 2020</w:t>
      </w:r>
    </w:p>
    <w:p>
      <w:pPr>
        <w:spacing w:after="0" w:line="7" w:lineRule="exact"/>
        <w:rPr>
          <w:sz w:val="20"/>
          <w:szCs w:val="20"/>
          <w:color w:val="auto"/>
        </w:rPr>
      </w:pPr>
    </w:p>
    <w:p>
      <w:pPr>
        <w:jc w:val="center"/>
        <w:ind w:right="20"/>
        <w:spacing w:after="0"/>
        <w:rPr>
          <w:sz w:val="20"/>
          <w:szCs w:val="20"/>
          <w:color w:val="auto"/>
        </w:rPr>
      </w:pPr>
      <w:r>
        <w:rPr>
          <w:rFonts w:ascii="Arial" w:cs="Arial" w:eastAsia="Arial" w:hAnsi="Arial"/>
          <w:sz w:val="19"/>
          <w:szCs w:val="19"/>
          <w:b w:val="1"/>
          <w:bCs w:val="1"/>
          <w:color w:val="auto"/>
        </w:rPr>
        <w:t>Reconciliation of GAAP to Non-GAAP results</w:t>
      </w:r>
    </w:p>
    <w:p>
      <w:pPr>
        <w:spacing w:after="0" w:line="10" w:lineRule="exact"/>
        <w:rPr>
          <w:sz w:val="20"/>
          <w:szCs w:val="20"/>
          <w:color w:val="auto"/>
        </w:rPr>
      </w:pPr>
    </w:p>
    <w:p>
      <w:pPr>
        <w:jc w:val="center"/>
        <w:ind w:right="20"/>
        <w:spacing w:after="0"/>
        <w:rPr>
          <w:sz w:val="20"/>
          <w:szCs w:val="20"/>
          <w:color w:val="auto"/>
        </w:rPr>
      </w:pPr>
      <w:r>
        <w:rPr>
          <w:rFonts w:ascii="Arial" w:cs="Arial" w:eastAsia="Arial" w:hAnsi="Arial"/>
          <w:sz w:val="18"/>
          <w:szCs w:val="18"/>
          <w:i w:val="1"/>
          <w:iCs w:val="1"/>
          <w:color w:val="auto"/>
        </w:rPr>
        <w:t>(In millions, except for percentages, which may not foot due to rounding)</w:t>
      </w:r>
    </w:p>
    <w:p>
      <w:pPr>
        <w:spacing w:after="0" w:line="3" w:lineRule="exact"/>
        <w:rPr>
          <w:sz w:val="20"/>
          <w:szCs w:val="20"/>
          <w:color w:val="auto"/>
        </w:rPr>
      </w:pPr>
    </w:p>
    <w:p>
      <w:pPr>
        <w:jc w:val="center"/>
        <w:ind w:right="20"/>
        <w:spacing w:after="0"/>
        <w:rPr>
          <w:sz w:val="20"/>
          <w:szCs w:val="20"/>
          <w:color w:val="auto"/>
        </w:rPr>
      </w:pPr>
      <w:r>
        <w:rPr>
          <w:rFonts w:ascii="Arial" w:cs="Arial" w:eastAsia="Arial" w:hAnsi="Arial"/>
          <w:sz w:val="18"/>
          <w:szCs w:val="18"/>
          <w:i w:val="1"/>
          <w:iCs w:val="1"/>
          <w:color w:val="auto"/>
        </w:rPr>
        <w:t>(Unaudited)</w:t>
      </w:r>
    </w:p>
    <w:tbl>
      <w:tblPr>
        <w:tblLayout w:type="fixed"/>
        <w:tblInd w:w="0" w:type="dxa"/>
        <w:tblCellMar>
          <w:top w:w="0" w:type="dxa"/>
          <w:left w:w="0" w:type="dxa"/>
          <w:bottom w:w="0" w:type="dxa"/>
          <w:right w:w="0" w:type="dxa"/>
        </w:tblCellMar>
      </w:tblPr>
      <w:tr>
        <w:trPr>
          <w:trHeight w:val="206"/>
        </w:trPr>
        <w:tc>
          <w:tcPr>
            <w:tcW w:w="25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80" w:type="dxa"/>
            <w:vAlign w:val="bottom"/>
            <w:vMerge w:val="restart"/>
          </w:tcPr>
          <w:p>
            <w:pPr>
              <w:jc w:val="right"/>
              <w:ind w:right="351"/>
              <w:spacing w:after="0"/>
              <w:rPr>
                <w:sz w:val="20"/>
                <w:szCs w:val="20"/>
                <w:color w:val="auto"/>
              </w:rPr>
            </w:pPr>
            <w:r>
              <w:rPr>
                <w:rFonts w:ascii="Arial" w:cs="Arial" w:eastAsia="Arial" w:hAnsi="Arial"/>
                <w:sz w:val="18"/>
                <w:szCs w:val="18"/>
                <w:b w:val="1"/>
                <w:bCs w:val="1"/>
                <w:color w:val="auto"/>
              </w:rPr>
              <w:t>GAAP</w:t>
            </w:r>
          </w:p>
        </w:tc>
        <w:tc>
          <w:tcPr>
            <w:tcW w:w="100" w:type="dxa"/>
            <w:vAlign w:val="bottom"/>
            <w:vMerge w:val="restart"/>
          </w:tcPr>
          <w:p>
            <w:pPr>
              <w:spacing w:after="0"/>
              <w:rPr>
                <w:sz w:val="17"/>
                <w:szCs w:val="17"/>
                <w:color w:val="auto"/>
              </w:rPr>
            </w:pPr>
          </w:p>
        </w:tc>
        <w:tc>
          <w:tcPr>
            <w:tcW w:w="180" w:type="dxa"/>
            <w:vAlign w:val="bottom"/>
          </w:tcPr>
          <w:p>
            <w:pPr>
              <w:spacing w:after="0"/>
              <w:rPr>
                <w:sz w:val="17"/>
                <w:szCs w:val="17"/>
                <w:color w:val="auto"/>
              </w:rPr>
            </w:pPr>
          </w:p>
        </w:tc>
        <w:tc>
          <w:tcPr>
            <w:tcW w:w="1460" w:type="dxa"/>
            <w:vAlign w:val="bottom"/>
            <w:gridSpan w:val="2"/>
          </w:tcPr>
          <w:p>
            <w:pPr>
              <w:ind w:left="120"/>
              <w:spacing w:after="0" w:line="206" w:lineRule="exact"/>
              <w:rPr>
                <w:sz w:val="20"/>
                <w:szCs w:val="20"/>
                <w:color w:val="auto"/>
              </w:rPr>
            </w:pPr>
            <w:r>
              <w:rPr>
                <w:rFonts w:ascii="Arial" w:cs="Arial" w:eastAsia="Arial" w:hAnsi="Arial"/>
                <w:sz w:val="18"/>
                <w:szCs w:val="18"/>
                <w:b w:val="1"/>
                <w:bCs w:val="1"/>
                <w:color w:val="auto"/>
              </w:rPr>
              <w:t>Stock-based</w:t>
            </w:r>
          </w:p>
        </w:tc>
        <w:tc>
          <w:tcPr>
            <w:tcW w:w="1820" w:type="dxa"/>
            <w:vAlign w:val="bottom"/>
            <w:gridSpan w:val="5"/>
          </w:tcPr>
          <w:p>
            <w:pPr>
              <w:ind w:left="40"/>
              <w:spacing w:after="0" w:line="206" w:lineRule="exact"/>
              <w:rPr>
                <w:sz w:val="20"/>
                <w:szCs w:val="20"/>
                <w:color w:val="auto"/>
              </w:rPr>
            </w:pPr>
            <w:r>
              <w:rPr>
                <w:rFonts w:ascii="Arial" w:cs="Arial" w:eastAsia="Arial" w:hAnsi="Arial"/>
                <w:sz w:val="18"/>
                <w:szCs w:val="18"/>
                <w:b w:val="1"/>
                <w:bCs w:val="1"/>
                <w:color w:val="auto"/>
              </w:rPr>
              <w:t>Acquisition-related</w:t>
            </w:r>
          </w:p>
        </w:tc>
        <w:tc>
          <w:tcPr>
            <w:tcW w:w="1120" w:type="dxa"/>
            <w:vAlign w:val="bottom"/>
          </w:tcPr>
          <w:p>
            <w:pPr>
              <w:jc w:val="right"/>
              <w:ind w:right="51"/>
              <w:spacing w:after="0" w:line="206" w:lineRule="exact"/>
              <w:rPr>
                <w:sz w:val="20"/>
                <w:szCs w:val="20"/>
                <w:color w:val="auto"/>
              </w:rPr>
            </w:pPr>
            <w:r>
              <w:rPr>
                <w:rFonts w:ascii="Arial" w:cs="Arial" w:eastAsia="Arial" w:hAnsi="Arial"/>
                <w:sz w:val="18"/>
                <w:szCs w:val="18"/>
                <w:b w:val="1"/>
                <w:bCs w:val="1"/>
                <w:color w:val="auto"/>
              </w:rPr>
              <w:t>Intangibles</w:t>
            </w: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vMerge w:val="restart"/>
          </w:tcPr>
          <w:p>
            <w:pPr>
              <w:jc w:val="right"/>
              <w:ind w:right="151"/>
              <w:spacing w:after="0"/>
              <w:rPr>
                <w:sz w:val="20"/>
                <w:szCs w:val="20"/>
                <w:color w:val="auto"/>
              </w:rPr>
            </w:pPr>
            <w:r>
              <w:rPr>
                <w:rFonts w:ascii="Arial" w:cs="Arial" w:eastAsia="Arial" w:hAnsi="Arial"/>
                <w:sz w:val="18"/>
                <w:szCs w:val="18"/>
                <w:b w:val="1"/>
                <w:bCs w:val="1"/>
                <w:color w:val="auto"/>
                <w:w w:val="98"/>
              </w:rPr>
              <w:t>Non-GAAP</w:t>
            </w:r>
          </w:p>
        </w:tc>
        <w:tc>
          <w:tcPr>
            <w:tcW w:w="0" w:type="dxa"/>
            <w:vAlign w:val="bottom"/>
          </w:tcPr>
          <w:p>
            <w:pPr>
              <w:spacing w:after="0"/>
              <w:rPr>
                <w:sz w:val="1"/>
                <w:szCs w:val="1"/>
                <w:color w:val="auto"/>
              </w:rPr>
            </w:pPr>
          </w:p>
        </w:tc>
      </w:tr>
      <w:tr>
        <w:trPr>
          <w:trHeight w:val="226"/>
        </w:trPr>
        <w:tc>
          <w:tcPr>
            <w:tcW w:w="25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vMerge w:val="continue"/>
          </w:tcPr>
          <w:p>
            <w:pPr>
              <w:spacing w:after="0"/>
              <w:rPr>
                <w:sz w:val="19"/>
                <w:szCs w:val="19"/>
                <w:color w:val="auto"/>
              </w:rPr>
            </w:pPr>
          </w:p>
        </w:tc>
        <w:tc>
          <w:tcPr>
            <w:tcW w:w="100" w:type="dxa"/>
            <w:vAlign w:val="bottom"/>
            <w:tcBorders>
              <w:bottom w:val="single" w:sz="8" w:color="CCEEFF"/>
            </w:tcBorders>
            <w:vMerge w:val="continue"/>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ind w:right="171"/>
              <w:spacing w:after="0"/>
              <w:rPr>
                <w:sz w:val="20"/>
                <w:szCs w:val="20"/>
                <w:color w:val="auto"/>
              </w:rPr>
            </w:pPr>
            <w:r>
              <w:rPr>
                <w:rFonts w:ascii="Arial" w:cs="Arial" w:eastAsia="Arial" w:hAnsi="Arial"/>
                <w:sz w:val="18"/>
                <w:szCs w:val="18"/>
                <w:b w:val="1"/>
                <w:bCs w:val="1"/>
                <w:color w:val="auto"/>
                <w:w w:val="88"/>
              </w:rPr>
              <w:t>compensation</w:t>
            </w:r>
          </w:p>
        </w:tc>
        <w:tc>
          <w:tcPr>
            <w:tcW w:w="100" w:type="dxa"/>
            <w:vAlign w:val="bottom"/>
            <w:tcBorders>
              <w:bottom w:val="single" w:sz="8" w:color="CCEEFF"/>
            </w:tcBorders>
          </w:tcPr>
          <w:p>
            <w:pPr>
              <w:spacing w:after="0"/>
              <w:rPr>
                <w:sz w:val="19"/>
                <w:szCs w:val="19"/>
                <w:color w:val="auto"/>
              </w:rPr>
            </w:pPr>
          </w:p>
        </w:tc>
        <w:tc>
          <w:tcPr>
            <w:tcW w:w="1520" w:type="dxa"/>
            <w:vAlign w:val="bottom"/>
            <w:tcBorders>
              <w:bottom w:val="single" w:sz="8" w:color="auto"/>
            </w:tcBorders>
            <w:gridSpan w:val="3"/>
          </w:tcPr>
          <w:p>
            <w:pPr>
              <w:ind w:left="40"/>
              <w:spacing w:after="0"/>
              <w:rPr>
                <w:sz w:val="20"/>
                <w:szCs w:val="20"/>
                <w:color w:val="auto"/>
              </w:rPr>
            </w:pPr>
            <w:r>
              <w:rPr>
                <w:rFonts w:ascii="Arial" w:cs="Arial" w:eastAsia="Arial" w:hAnsi="Arial"/>
                <w:sz w:val="18"/>
                <w:szCs w:val="18"/>
                <w:b w:val="1"/>
                <w:bCs w:val="1"/>
                <w:color w:val="auto"/>
                <w:w w:val="86"/>
              </w:rPr>
              <w:t>and other expenses</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5"/>
              </w:rPr>
              <w:t>amortization</w:t>
            </w:r>
          </w:p>
        </w:tc>
        <w:tc>
          <w:tcPr>
            <w:tcW w:w="20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2500" w:type="dxa"/>
            <w:vAlign w:val="bottom"/>
            <w:shd w:val="clear" w:color="auto" w:fill="CCEEFF"/>
          </w:tcPr>
          <w:p>
            <w:pPr>
              <w:spacing w:after="0"/>
              <w:rPr>
                <w:sz w:val="20"/>
                <w:szCs w:val="20"/>
                <w:color w:val="auto"/>
              </w:rPr>
            </w:pPr>
            <w:r>
              <w:rPr>
                <w:rFonts w:ascii="Arial" w:cs="Arial" w:eastAsia="Arial" w:hAnsi="Arial"/>
                <w:sz w:val="18"/>
                <w:szCs w:val="18"/>
                <w:color w:val="auto"/>
              </w:rPr>
              <w:t>Cost of revenue</w:t>
            </w:r>
          </w:p>
        </w:tc>
        <w:tc>
          <w:tcPr>
            <w:tcW w:w="26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205.6</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(8.0)</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48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195.6</w:t>
            </w:r>
          </w:p>
        </w:tc>
        <w:tc>
          <w:tcPr>
            <w:tcW w:w="0" w:type="dxa"/>
            <w:vAlign w:val="bottom"/>
          </w:tcPr>
          <w:p>
            <w:pPr>
              <w:spacing w:after="0"/>
              <w:rPr>
                <w:sz w:val="1"/>
                <w:szCs w:val="1"/>
                <w:color w:val="auto"/>
              </w:rPr>
            </w:pPr>
          </w:p>
        </w:tc>
      </w:tr>
      <w:tr>
        <w:trPr>
          <w:trHeight w:val="225"/>
        </w:trPr>
        <w:tc>
          <w:tcPr>
            <w:tcW w:w="2500" w:type="dxa"/>
            <w:vAlign w:val="bottom"/>
          </w:tcPr>
          <w:p>
            <w:pPr>
              <w:spacing w:after="0"/>
              <w:rPr>
                <w:sz w:val="20"/>
                <w:szCs w:val="20"/>
                <w:color w:val="auto"/>
              </w:rPr>
            </w:pPr>
            <w:r>
              <w:rPr>
                <w:rFonts w:ascii="Arial" w:cs="Arial" w:eastAsia="Arial" w:hAnsi="Arial"/>
                <w:sz w:val="18"/>
                <w:szCs w:val="18"/>
                <w:i w:val="1"/>
                <w:iCs w:val="1"/>
                <w:color w:val="auto"/>
              </w:rPr>
              <w:t>Cost of revenue margin</w:t>
            </w:r>
          </w:p>
        </w:tc>
        <w:tc>
          <w:tcPr>
            <w:tcW w:w="2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22.3 %</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(0.9 %)</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(0.2 %)</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21.2 %</w:t>
            </w:r>
          </w:p>
        </w:tc>
        <w:tc>
          <w:tcPr>
            <w:tcW w:w="0" w:type="dxa"/>
            <w:vAlign w:val="bottom"/>
          </w:tcPr>
          <w:p>
            <w:pPr>
              <w:spacing w:after="0"/>
              <w:rPr>
                <w:sz w:val="1"/>
                <w:szCs w:val="1"/>
                <w:color w:val="auto"/>
              </w:rPr>
            </w:pPr>
          </w:p>
        </w:tc>
      </w:tr>
      <w:tr>
        <w:trPr>
          <w:trHeight w:val="226"/>
        </w:trPr>
        <w:tc>
          <w:tcPr>
            <w:tcW w:w="2500" w:type="dxa"/>
            <w:vAlign w:val="bottom"/>
            <w:shd w:val="clear" w:color="auto" w:fill="CCEEFF"/>
          </w:tcPr>
          <w:p>
            <w:pPr>
              <w:spacing w:after="0"/>
              <w:rPr>
                <w:sz w:val="20"/>
                <w:szCs w:val="20"/>
                <w:color w:val="auto"/>
              </w:rPr>
            </w:pPr>
            <w:r>
              <w:rPr>
                <w:rFonts w:ascii="Arial" w:cs="Arial" w:eastAsia="Arial" w:hAnsi="Arial"/>
                <w:sz w:val="18"/>
                <w:szCs w:val="18"/>
                <w:color w:val="auto"/>
              </w:rPr>
              <w:t>Gross profit</w:t>
            </w:r>
          </w:p>
        </w:tc>
        <w:tc>
          <w:tcPr>
            <w:tcW w:w="26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716.8</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60" w:type="dxa"/>
            <w:vAlign w:val="bottom"/>
            <w:shd w:val="clear" w:color="auto" w:fill="CCEEFF"/>
          </w:tcPr>
          <w:p>
            <w:pPr>
              <w:jc w:val="right"/>
              <w:ind w:right="191"/>
              <w:spacing w:after="0"/>
              <w:rPr>
                <w:sz w:val="20"/>
                <w:szCs w:val="20"/>
                <w:color w:val="auto"/>
              </w:rPr>
            </w:pPr>
            <w:r>
              <w:rPr>
                <w:rFonts w:ascii="Arial" w:cs="Arial" w:eastAsia="Arial" w:hAnsi="Arial"/>
                <w:sz w:val="18"/>
                <w:szCs w:val="18"/>
                <w:color w:val="auto"/>
              </w:rPr>
              <w:t>8.0</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726.8</w:t>
            </w:r>
          </w:p>
        </w:tc>
        <w:tc>
          <w:tcPr>
            <w:tcW w:w="0" w:type="dxa"/>
            <w:vAlign w:val="bottom"/>
          </w:tcPr>
          <w:p>
            <w:pPr>
              <w:spacing w:after="0"/>
              <w:rPr>
                <w:sz w:val="1"/>
                <w:szCs w:val="1"/>
                <w:color w:val="auto"/>
              </w:rPr>
            </w:pPr>
          </w:p>
        </w:tc>
      </w:tr>
      <w:tr>
        <w:trPr>
          <w:trHeight w:val="225"/>
        </w:trPr>
        <w:tc>
          <w:tcPr>
            <w:tcW w:w="2500" w:type="dxa"/>
            <w:vAlign w:val="bottom"/>
          </w:tcPr>
          <w:p>
            <w:pPr>
              <w:spacing w:after="0"/>
              <w:rPr>
                <w:sz w:val="20"/>
                <w:szCs w:val="20"/>
                <w:color w:val="auto"/>
              </w:rPr>
            </w:pPr>
            <w:r>
              <w:rPr>
                <w:rFonts w:ascii="Arial" w:cs="Arial" w:eastAsia="Arial" w:hAnsi="Arial"/>
                <w:sz w:val="18"/>
                <w:szCs w:val="18"/>
                <w:i w:val="1"/>
                <w:iCs w:val="1"/>
                <w:color w:val="auto"/>
              </w:rPr>
              <w:t>Gross margin</w:t>
            </w:r>
          </w:p>
        </w:tc>
        <w:tc>
          <w:tcPr>
            <w:tcW w:w="2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77.7 %</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0.9 %</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300" w:type="dxa"/>
            <w:vAlign w:val="bottom"/>
            <w:gridSpan w:val="4"/>
          </w:tcPr>
          <w:p>
            <w:pPr>
              <w:jc w:val="right"/>
              <w:ind w:right="320"/>
              <w:spacing w:after="0"/>
              <w:rPr>
                <w:sz w:val="20"/>
                <w:szCs w:val="20"/>
                <w:color w:val="auto"/>
              </w:rPr>
            </w:pPr>
            <w:r>
              <w:rPr>
                <w:rFonts w:ascii="Arial" w:cs="Arial" w:eastAsia="Arial" w:hAnsi="Arial"/>
                <w:sz w:val="18"/>
                <w:szCs w:val="18"/>
                <w:color w:val="auto"/>
              </w:rPr>
              <w:t>— %</w:t>
            </w:r>
          </w:p>
        </w:tc>
        <w:tc>
          <w:tcPr>
            <w:tcW w:w="1120" w:type="dxa"/>
            <w:vAlign w:val="bottom"/>
          </w:tcPr>
          <w:p>
            <w:pPr>
              <w:jc w:val="right"/>
              <w:spacing w:after="0"/>
              <w:rPr>
                <w:sz w:val="20"/>
                <w:szCs w:val="20"/>
                <w:color w:val="auto"/>
              </w:rPr>
            </w:pPr>
            <w:r>
              <w:rPr>
                <w:rFonts w:ascii="Arial" w:cs="Arial" w:eastAsia="Arial" w:hAnsi="Arial"/>
                <w:sz w:val="18"/>
                <w:szCs w:val="18"/>
                <w:color w:val="auto"/>
              </w:rPr>
              <w:t>0.2</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78.8 %</w:t>
            </w:r>
          </w:p>
        </w:tc>
        <w:tc>
          <w:tcPr>
            <w:tcW w:w="0" w:type="dxa"/>
            <w:vAlign w:val="bottom"/>
          </w:tcPr>
          <w:p>
            <w:pPr>
              <w:spacing w:after="0"/>
              <w:rPr>
                <w:sz w:val="1"/>
                <w:szCs w:val="1"/>
                <w:color w:val="auto"/>
              </w:rPr>
            </w:pPr>
          </w:p>
        </w:tc>
      </w:tr>
      <w:tr>
        <w:trPr>
          <w:trHeight w:val="226"/>
        </w:trPr>
        <w:tc>
          <w:tcPr>
            <w:tcW w:w="2500" w:type="dxa"/>
            <w:vAlign w:val="bottom"/>
            <w:shd w:val="clear" w:color="auto" w:fill="CCEEFF"/>
          </w:tcPr>
          <w:p>
            <w:pPr>
              <w:spacing w:after="0"/>
              <w:rPr>
                <w:sz w:val="20"/>
                <w:szCs w:val="20"/>
                <w:color w:val="auto"/>
              </w:rPr>
            </w:pPr>
            <w:r>
              <w:rPr>
                <w:rFonts w:ascii="Arial" w:cs="Arial" w:eastAsia="Arial" w:hAnsi="Arial"/>
                <w:sz w:val="18"/>
                <w:szCs w:val="18"/>
                <w:color w:val="auto"/>
              </w:rPr>
              <w:t>Research and development</w:t>
            </w:r>
          </w:p>
        </w:tc>
        <w:tc>
          <w:tcPr>
            <w:tcW w:w="26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367.6</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6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(84.2)</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w:t>
            </w:r>
          </w:p>
        </w:tc>
        <w:tc>
          <w:tcPr>
            <w:tcW w:w="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274.9</w:t>
            </w:r>
          </w:p>
        </w:tc>
        <w:tc>
          <w:tcPr>
            <w:tcW w:w="0" w:type="dxa"/>
            <w:vAlign w:val="bottom"/>
          </w:tcPr>
          <w:p>
            <w:pPr>
              <w:spacing w:after="0"/>
              <w:rPr>
                <w:sz w:val="1"/>
                <w:szCs w:val="1"/>
                <w:color w:val="auto"/>
              </w:rPr>
            </w:pPr>
          </w:p>
        </w:tc>
      </w:tr>
      <w:tr>
        <w:trPr>
          <w:trHeight w:val="225"/>
        </w:trPr>
        <w:tc>
          <w:tcPr>
            <w:tcW w:w="2500" w:type="dxa"/>
            <w:vAlign w:val="bottom"/>
          </w:tcPr>
          <w:p>
            <w:pPr>
              <w:spacing w:after="0"/>
              <w:rPr>
                <w:sz w:val="20"/>
                <w:szCs w:val="20"/>
                <w:color w:val="auto"/>
              </w:rPr>
            </w:pPr>
            <w:r>
              <w:rPr>
                <w:rFonts w:ascii="Arial" w:cs="Arial" w:eastAsia="Arial" w:hAnsi="Arial"/>
                <w:sz w:val="18"/>
                <w:szCs w:val="18"/>
                <w:i w:val="1"/>
                <w:iCs w:val="1"/>
                <w:color w:val="auto"/>
                <w:w w:val="88"/>
              </w:rPr>
              <w:t>Research and development margin</w:t>
            </w:r>
          </w:p>
        </w:tc>
        <w:tc>
          <w:tcPr>
            <w:tcW w:w="2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39.9 %</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(9.2 %)</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(0.9 %)</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29.8 %</w:t>
            </w:r>
          </w:p>
        </w:tc>
        <w:tc>
          <w:tcPr>
            <w:tcW w:w="0" w:type="dxa"/>
            <w:vAlign w:val="bottom"/>
          </w:tcPr>
          <w:p>
            <w:pPr>
              <w:spacing w:after="0"/>
              <w:rPr>
                <w:sz w:val="1"/>
                <w:szCs w:val="1"/>
                <w:color w:val="auto"/>
              </w:rPr>
            </w:pPr>
          </w:p>
        </w:tc>
      </w:tr>
      <w:tr>
        <w:trPr>
          <w:trHeight w:val="226"/>
        </w:trPr>
        <w:tc>
          <w:tcPr>
            <w:tcW w:w="2500" w:type="dxa"/>
            <w:vAlign w:val="bottom"/>
            <w:shd w:val="clear" w:color="auto" w:fill="CCEEFF"/>
          </w:tcPr>
          <w:p>
            <w:pPr>
              <w:spacing w:after="0"/>
              <w:rPr>
                <w:sz w:val="20"/>
                <w:szCs w:val="20"/>
                <w:color w:val="auto"/>
              </w:rPr>
            </w:pPr>
            <w:r>
              <w:rPr>
                <w:rFonts w:ascii="Arial" w:cs="Arial" w:eastAsia="Arial" w:hAnsi="Arial"/>
                <w:sz w:val="18"/>
                <w:szCs w:val="18"/>
                <w:color w:val="auto"/>
              </w:rPr>
              <w:t>Sales and marketing</w:t>
            </w:r>
          </w:p>
        </w:tc>
        <w:tc>
          <w:tcPr>
            <w:tcW w:w="26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207.1</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6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(16.2)</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188.2</w:t>
            </w:r>
          </w:p>
        </w:tc>
        <w:tc>
          <w:tcPr>
            <w:tcW w:w="0" w:type="dxa"/>
            <w:vAlign w:val="bottom"/>
          </w:tcPr>
          <w:p>
            <w:pPr>
              <w:spacing w:after="0"/>
              <w:rPr>
                <w:sz w:val="1"/>
                <w:szCs w:val="1"/>
                <w:color w:val="auto"/>
              </w:rPr>
            </w:pPr>
          </w:p>
        </w:tc>
      </w:tr>
      <w:tr>
        <w:trPr>
          <w:trHeight w:val="225"/>
        </w:trPr>
        <w:tc>
          <w:tcPr>
            <w:tcW w:w="2500" w:type="dxa"/>
            <w:vAlign w:val="bottom"/>
          </w:tcPr>
          <w:p>
            <w:pPr>
              <w:spacing w:after="0"/>
              <w:rPr>
                <w:sz w:val="20"/>
                <w:szCs w:val="20"/>
                <w:color w:val="auto"/>
              </w:rPr>
            </w:pPr>
            <w:r>
              <w:rPr>
                <w:rFonts w:ascii="Arial" w:cs="Arial" w:eastAsia="Arial" w:hAnsi="Arial"/>
                <w:sz w:val="18"/>
                <w:szCs w:val="18"/>
                <w:i w:val="1"/>
                <w:iCs w:val="1"/>
                <w:color w:val="auto"/>
              </w:rPr>
              <w:t>Sales and marketing margin</w:t>
            </w:r>
          </w:p>
        </w:tc>
        <w:tc>
          <w:tcPr>
            <w:tcW w:w="2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22.5 %</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(1.8 %)</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(0.3 %)</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20.4 %</w:t>
            </w:r>
          </w:p>
        </w:tc>
        <w:tc>
          <w:tcPr>
            <w:tcW w:w="0" w:type="dxa"/>
            <w:vAlign w:val="bottom"/>
          </w:tcPr>
          <w:p>
            <w:pPr>
              <w:spacing w:after="0"/>
              <w:rPr>
                <w:sz w:val="1"/>
                <w:szCs w:val="1"/>
                <w:color w:val="auto"/>
              </w:rPr>
            </w:pPr>
          </w:p>
        </w:tc>
      </w:tr>
      <w:tr>
        <w:trPr>
          <w:trHeight w:val="226"/>
        </w:trPr>
        <w:tc>
          <w:tcPr>
            <w:tcW w:w="2500" w:type="dxa"/>
            <w:vAlign w:val="bottom"/>
            <w:shd w:val="clear" w:color="auto" w:fill="CCEEFF"/>
          </w:tcPr>
          <w:p>
            <w:pPr>
              <w:spacing w:after="0"/>
              <w:rPr>
                <w:sz w:val="20"/>
                <w:szCs w:val="20"/>
                <w:color w:val="auto"/>
              </w:rPr>
            </w:pPr>
            <w:r>
              <w:rPr>
                <w:rFonts w:ascii="Arial" w:cs="Arial" w:eastAsia="Arial" w:hAnsi="Arial"/>
                <w:sz w:val="18"/>
                <w:szCs w:val="18"/>
                <w:color w:val="auto"/>
              </w:rPr>
              <w:t>General and administrative</w:t>
            </w:r>
          </w:p>
        </w:tc>
        <w:tc>
          <w:tcPr>
            <w:tcW w:w="26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102.5</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6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(8.0)</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94.4</w:t>
            </w:r>
          </w:p>
        </w:tc>
        <w:tc>
          <w:tcPr>
            <w:tcW w:w="0" w:type="dxa"/>
            <w:vAlign w:val="bottom"/>
          </w:tcPr>
          <w:p>
            <w:pPr>
              <w:spacing w:after="0"/>
              <w:rPr>
                <w:sz w:val="1"/>
                <w:szCs w:val="1"/>
                <w:color w:val="auto"/>
              </w:rPr>
            </w:pPr>
          </w:p>
        </w:tc>
      </w:tr>
      <w:tr>
        <w:trPr>
          <w:trHeight w:val="174"/>
        </w:trPr>
        <w:tc>
          <w:tcPr>
            <w:tcW w:w="2500" w:type="dxa"/>
            <w:vAlign w:val="bottom"/>
          </w:tcPr>
          <w:p>
            <w:pPr>
              <w:spacing w:after="0" w:line="174" w:lineRule="exact"/>
              <w:rPr>
                <w:sz w:val="20"/>
                <w:szCs w:val="20"/>
                <w:color w:val="auto"/>
              </w:rPr>
            </w:pPr>
            <w:r>
              <w:rPr>
                <w:rFonts w:ascii="Arial" w:cs="Arial" w:eastAsia="Arial" w:hAnsi="Arial"/>
                <w:sz w:val="18"/>
                <w:szCs w:val="18"/>
                <w:i w:val="1"/>
                <w:iCs w:val="1"/>
                <w:color w:val="auto"/>
              </w:rPr>
              <w:t>General and administrative</w:t>
            </w:r>
          </w:p>
        </w:tc>
        <w:tc>
          <w:tcPr>
            <w:tcW w:w="260" w:type="dxa"/>
            <w:vAlign w:val="bottom"/>
          </w:tcPr>
          <w:p>
            <w:pPr>
              <w:spacing w:after="0"/>
              <w:rPr>
                <w:sz w:val="15"/>
                <w:szCs w:val="15"/>
                <w:color w:val="auto"/>
              </w:rPr>
            </w:pPr>
          </w:p>
        </w:tc>
        <w:tc>
          <w:tcPr>
            <w:tcW w:w="1080" w:type="dxa"/>
            <w:vAlign w:val="bottom"/>
            <w:vMerge w:val="restart"/>
          </w:tcPr>
          <w:p>
            <w:pPr>
              <w:jc w:val="right"/>
              <w:spacing w:after="0"/>
              <w:rPr>
                <w:sz w:val="20"/>
                <w:szCs w:val="20"/>
                <w:color w:val="auto"/>
              </w:rPr>
            </w:pPr>
            <w:r>
              <w:rPr>
                <w:rFonts w:ascii="Arial" w:cs="Arial" w:eastAsia="Arial" w:hAnsi="Arial"/>
                <w:sz w:val="18"/>
                <w:szCs w:val="18"/>
                <w:color w:val="auto"/>
              </w:rPr>
              <w:t>11.1 %</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60" w:type="dxa"/>
            <w:vAlign w:val="bottom"/>
            <w:vMerge w:val="restart"/>
          </w:tcPr>
          <w:p>
            <w:pPr>
              <w:jc w:val="right"/>
              <w:spacing w:after="0"/>
              <w:rPr>
                <w:sz w:val="20"/>
                <w:szCs w:val="20"/>
                <w:color w:val="auto"/>
              </w:rPr>
            </w:pPr>
            <w:r>
              <w:rPr>
                <w:rFonts w:ascii="Arial" w:cs="Arial" w:eastAsia="Arial" w:hAnsi="Arial"/>
                <w:sz w:val="18"/>
                <w:szCs w:val="18"/>
                <w:color w:val="auto"/>
              </w:rPr>
              <w:t>(0.9 %)</w:t>
            </w:r>
          </w:p>
        </w:tc>
        <w:tc>
          <w:tcPr>
            <w:tcW w:w="1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300" w:type="dxa"/>
            <w:vAlign w:val="bottom"/>
            <w:gridSpan w:val="4"/>
            <w:vMerge w:val="restart"/>
          </w:tcPr>
          <w:p>
            <w:pPr>
              <w:jc w:val="right"/>
              <w:ind w:right="380"/>
              <w:spacing w:after="0"/>
              <w:rPr>
                <w:sz w:val="20"/>
                <w:szCs w:val="20"/>
                <w:color w:val="auto"/>
              </w:rPr>
            </w:pPr>
            <w:r>
              <w:rPr>
                <w:rFonts w:ascii="Arial" w:cs="Arial" w:eastAsia="Arial" w:hAnsi="Arial"/>
                <w:sz w:val="18"/>
                <w:szCs w:val="18"/>
                <w:color w:val="auto"/>
              </w:rPr>
              <w:t>— %</w:t>
            </w:r>
          </w:p>
        </w:tc>
        <w:tc>
          <w:tcPr>
            <w:tcW w:w="1600" w:type="dxa"/>
            <w:vAlign w:val="bottom"/>
            <w:gridSpan w:val="4"/>
            <w:vMerge w:val="restart"/>
          </w:tcPr>
          <w:p>
            <w:pPr>
              <w:jc w:val="right"/>
              <w:ind w:right="300"/>
              <w:spacing w:after="0"/>
              <w:rPr>
                <w:sz w:val="20"/>
                <w:szCs w:val="20"/>
                <w:color w:val="auto"/>
              </w:rPr>
            </w:pPr>
            <w:r>
              <w:rPr>
                <w:rFonts w:ascii="Arial" w:cs="Arial" w:eastAsia="Arial" w:hAnsi="Arial"/>
                <w:sz w:val="18"/>
                <w:szCs w:val="18"/>
                <w:color w:val="auto"/>
              </w:rPr>
              <w:t>— %</w:t>
            </w:r>
          </w:p>
        </w:tc>
        <w:tc>
          <w:tcPr>
            <w:tcW w:w="1180" w:type="dxa"/>
            <w:vAlign w:val="bottom"/>
            <w:vMerge w:val="restart"/>
          </w:tcPr>
          <w:p>
            <w:pPr>
              <w:jc w:val="right"/>
              <w:spacing w:after="0"/>
              <w:rPr>
                <w:sz w:val="20"/>
                <w:szCs w:val="20"/>
                <w:color w:val="auto"/>
              </w:rPr>
            </w:pPr>
            <w:r>
              <w:rPr>
                <w:rFonts w:ascii="Arial" w:cs="Arial" w:eastAsia="Arial" w:hAnsi="Arial"/>
                <w:sz w:val="18"/>
                <w:szCs w:val="18"/>
                <w:color w:val="auto"/>
              </w:rPr>
              <w:t>10.2 %</w:t>
            </w:r>
          </w:p>
        </w:tc>
        <w:tc>
          <w:tcPr>
            <w:tcW w:w="0" w:type="dxa"/>
            <w:vAlign w:val="bottom"/>
          </w:tcPr>
          <w:p>
            <w:pPr>
              <w:spacing w:after="0"/>
              <w:rPr>
                <w:sz w:val="1"/>
                <w:szCs w:val="1"/>
                <w:color w:val="auto"/>
              </w:rPr>
            </w:pPr>
          </w:p>
        </w:tc>
      </w:tr>
      <w:tr>
        <w:trPr>
          <w:trHeight w:val="224"/>
        </w:trPr>
        <w:tc>
          <w:tcPr>
            <w:tcW w:w="2500" w:type="dxa"/>
            <w:vAlign w:val="bottom"/>
          </w:tcPr>
          <w:p>
            <w:pPr>
              <w:spacing w:after="0"/>
              <w:rPr>
                <w:sz w:val="20"/>
                <w:szCs w:val="20"/>
                <w:color w:val="auto"/>
              </w:rPr>
            </w:pPr>
            <w:r>
              <w:rPr>
                <w:rFonts w:ascii="Arial" w:cs="Arial" w:eastAsia="Arial" w:hAnsi="Arial"/>
                <w:sz w:val="18"/>
                <w:szCs w:val="18"/>
                <w:i w:val="1"/>
                <w:iCs w:val="1"/>
                <w:color w:val="auto"/>
              </w:rPr>
              <w:t>margin</w:t>
            </w:r>
          </w:p>
        </w:tc>
        <w:tc>
          <w:tcPr>
            <w:tcW w:w="260" w:type="dxa"/>
            <w:vAlign w:val="bottom"/>
          </w:tcPr>
          <w:p>
            <w:pPr>
              <w:spacing w:after="0"/>
              <w:rPr>
                <w:sz w:val="19"/>
                <w:szCs w:val="19"/>
                <w:color w:val="auto"/>
              </w:rPr>
            </w:pPr>
          </w:p>
        </w:tc>
        <w:tc>
          <w:tcPr>
            <w:tcW w:w="108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6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300" w:type="dxa"/>
            <w:vAlign w:val="bottom"/>
            <w:gridSpan w:val="4"/>
            <w:vMerge w:val="continue"/>
          </w:tcPr>
          <w:p>
            <w:pPr>
              <w:spacing w:after="0"/>
              <w:rPr>
                <w:sz w:val="19"/>
                <w:szCs w:val="19"/>
                <w:color w:val="auto"/>
              </w:rPr>
            </w:pPr>
          </w:p>
        </w:tc>
        <w:tc>
          <w:tcPr>
            <w:tcW w:w="1600" w:type="dxa"/>
            <w:vAlign w:val="bottom"/>
            <w:gridSpan w:val="4"/>
            <w:vMerge w:val="continue"/>
          </w:tcPr>
          <w:p>
            <w:pPr>
              <w:spacing w:after="0"/>
              <w:rPr>
                <w:sz w:val="19"/>
                <w:szCs w:val="19"/>
                <w:color w:val="auto"/>
              </w:rPr>
            </w:pPr>
          </w:p>
        </w:tc>
        <w:tc>
          <w:tcPr>
            <w:tcW w:w="118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2500" w:type="dxa"/>
            <w:vAlign w:val="bottom"/>
            <w:shd w:val="clear" w:color="auto" w:fill="CCEEFF"/>
          </w:tcPr>
          <w:p>
            <w:pPr>
              <w:spacing w:after="0"/>
              <w:rPr>
                <w:sz w:val="20"/>
                <w:szCs w:val="20"/>
                <w:color w:val="auto"/>
              </w:rPr>
            </w:pPr>
            <w:r>
              <w:rPr>
                <w:rFonts w:ascii="Arial" w:cs="Arial" w:eastAsia="Arial" w:hAnsi="Arial"/>
                <w:sz w:val="18"/>
                <w:szCs w:val="18"/>
                <w:color w:val="auto"/>
              </w:rPr>
              <w:t>Income from operations</w:t>
            </w:r>
          </w:p>
        </w:tc>
        <w:tc>
          <w:tcPr>
            <w:tcW w:w="26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39.6</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shd w:val="clear" w:color="auto" w:fill="CCEEFF"/>
          </w:tcPr>
          <w:p>
            <w:pPr>
              <w:jc w:val="right"/>
              <w:ind w:right="191"/>
              <w:spacing w:after="0"/>
              <w:rPr>
                <w:sz w:val="20"/>
                <w:szCs w:val="20"/>
                <w:color w:val="auto"/>
              </w:rPr>
            </w:pPr>
            <w:r>
              <w:rPr>
                <w:rFonts w:ascii="Arial" w:cs="Arial" w:eastAsia="Arial" w:hAnsi="Arial"/>
                <w:sz w:val="18"/>
                <w:szCs w:val="18"/>
                <w:color w:val="auto"/>
              </w:rPr>
              <w:t>116.4</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w:t>
            </w:r>
          </w:p>
        </w:tc>
        <w:tc>
          <w:tcPr>
            <w:tcW w:w="5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48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169.3</w:t>
            </w:r>
          </w:p>
        </w:tc>
        <w:tc>
          <w:tcPr>
            <w:tcW w:w="0" w:type="dxa"/>
            <w:vAlign w:val="bottom"/>
          </w:tcPr>
          <w:p>
            <w:pPr>
              <w:spacing w:after="0"/>
              <w:rPr>
                <w:sz w:val="1"/>
                <w:szCs w:val="1"/>
                <w:color w:val="auto"/>
              </w:rPr>
            </w:pPr>
          </w:p>
        </w:tc>
      </w:tr>
      <w:tr>
        <w:trPr>
          <w:trHeight w:val="225"/>
        </w:trPr>
        <w:tc>
          <w:tcPr>
            <w:tcW w:w="2500" w:type="dxa"/>
            <w:vAlign w:val="bottom"/>
          </w:tcPr>
          <w:p>
            <w:pPr>
              <w:spacing w:after="0"/>
              <w:rPr>
                <w:sz w:val="20"/>
                <w:szCs w:val="20"/>
                <w:color w:val="auto"/>
              </w:rPr>
            </w:pPr>
            <w:r>
              <w:rPr>
                <w:rFonts w:ascii="Arial" w:cs="Arial" w:eastAsia="Arial" w:hAnsi="Arial"/>
                <w:sz w:val="18"/>
                <w:szCs w:val="18"/>
                <w:i w:val="1"/>
                <w:iCs w:val="1"/>
                <w:color w:val="auto"/>
              </w:rPr>
              <w:t>Operating margin</w:t>
            </w:r>
          </w:p>
        </w:tc>
        <w:tc>
          <w:tcPr>
            <w:tcW w:w="2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4.3 %</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12.6 %</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0.9</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0.5</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18.4 %</w:t>
            </w:r>
          </w:p>
        </w:tc>
        <w:tc>
          <w:tcPr>
            <w:tcW w:w="0" w:type="dxa"/>
            <w:vAlign w:val="bottom"/>
          </w:tcPr>
          <w:p>
            <w:pPr>
              <w:spacing w:after="0"/>
              <w:rPr>
                <w:sz w:val="1"/>
                <w:szCs w:val="1"/>
                <w:color w:val="auto"/>
              </w:rPr>
            </w:pPr>
          </w:p>
        </w:tc>
      </w:tr>
    </w:tbl>
    <w:p>
      <w:pPr>
        <w:sectPr>
          <w:pgSz w:w="11900" w:h="16838" w:orient="portrait"/>
          <w:cols w:equalWidth="0" w:num="1">
            <w:col w:w="10180"/>
          </w:cols>
          <w:pgMar w:left="860" w:top="874" w:right="859" w:bottom="1440" w:gutter="0" w:footer="0" w:header="0"/>
        </w:sectPr>
      </w:pPr>
    </w:p>
    <w:bookmarkStart w:id="12" w:name="page13"/>
    <w:bookmarkEnd w:id="12"/>
    <w:p>
      <w:pPr>
        <w:jc w:val="center"/>
        <w:ind w:right="-93"/>
        <w:spacing w:after="0"/>
        <w:rPr>
          <w:sz w:val="20"/>
          <w:szCs w:val="20"/>
          <w:color w:val="auto"/>
        </w:rPr>
      </w:pPr>
      <w:r>
        <w:rPr>
          <w:rFonts w:ascii="Arial" w:cs="Arial" w:eastAsia="Arial" w:hAnsi="Arial"/>
          <w:sz w:val="19"/>
          <w:szCs w:val="19"/>
          <w:b w:val="1"/>
          <w:bCs w:val="1"/>
          <w:color w:val="auto"/>
        </w:rPr>
        <w:t>Dropbox, Inc.</w:t>
      </w:r>
    </w:p>
    <w:p>
      <w:pPr>
        <w:spacing w:after="0" w:line="29" w:lineRule="exact"/>
        <w:rPr>
          <w:sz w:val="20"/>
          <w:szCs w:val="20"/>
          <w:color w:val="auto"/>
        </w:rPr>
      </w:pPr>
    </w:p>
    <w:p>
      <w:pPr>
        <w:jc w:val="center"/>
        <w:ind w:right="-93"/>
        <w:spacing w:after="0"/>
        <w:rPr>
          <w:sz w:val="20"/>
          <w:szCs w:val="20"/>
          <w:color w:val="auto"/>
        </w:rPr>
      </w:pPr>
      <w:r>
        <w:rPr>
          <w:rFonts w:ascii="Arial" w:cs="Arial" w:eastAsia="Arial" w:hAnsi="Arial"/>
          <w:sz w:val="19"/>
          <w:szCs w:val="19"/>
          <w:b w:val="1"/>
          <w:bCs w:val="1"/>
          <w:color w:val="auto"/>
        </w:rPr>
        <w:t>Three and Six Months Ended June 30, 2021 and 2020</w:t>
      </w:r>
    </w:p>
    <w:p>
      <w:pPr>
        <w:spacing w:after="0" w:line="7" w:lineRule="exact"/>
        <w:rPr>
          <w:sz w:val="20"/>
          <w:szCs w:val="20"/>
          <w:color w:val="auto"/>
        </w:rPr>
      </w:pPr>
    </w:p>
    <w:p>
      <w:pPr>
        <w:jc w:val="center"/>
        <w:ind w:right="-93"/>
        <w:spacing w:after="0"/>
        <w:rPr>
          <w:sz w:val="20"/>
          <w:szCs w:val="20"/>
          <w:color w:val="auto"/>
        </w:rPr>
      </w:pPr>
      <w:r>
        <w:rPr>
          <w:rFonts w:ascii="Arial" w:cs="Arial" w:eastAsia="Arial" w:hAnsi="Arial"/>
          <w:sz w:val="19"/>
          <w:szCs w:val="19"/>
          <w:b w:val="1"/>
          <w:bCs w:val="1"/>
          <w:color w:val="auto"/>
        </w:rPr>
        <w:t>Reconciliation of GAAP net income to Non-GAAP net income and Non-GAAP diluted net income per share</w:t>
      </w:r>
    </w:p>
    <w:p>
      <w:pPr>
        <w:spacing w:after="0" w:line="10" w:lineRule="exact"/>
        <w:rPr>
          <w:sz w:val="20"/>
          <w:szCs w:val="20"/>
          <w:color w:val="auto"/>
        </w:rPr>
      </w:pPr>
    </w:p>
    <w:p>
      <w:pPr>
        <w:jc w:val="center"/>
        <w:ind w:right="-93"/>
        <w:spacing w:after="0"/>
        <w:rPr>
          <w:sz w:val="20"/>
          <w:szCs w:val="20"/>
          <w:color w:val="auto"/>
        </w:rPr>
      </w:pPr>
      <w:r>
        <w:rPr>
          <w:rFonts w:ascii="Arial" w:cs="Arial" w:eastAsia="Arial" w:hAnsi="Arial"/>
          <w:sz w:val="18"/>
          <w:szCs w:val="18"/>
          <w:i w:val="1"/>
          <w:iCs w:val="1"/>
          <w:color w:val="auto"/>
        </w:rPr>
        <w:t>(In millions, except per share data)</w:t>
      </w:r>
    </w:p>
    <w:p>
      <w:pPr>
        <w:spacing w:after="0" w:line="3" w:lineRule="exact"/>
        <w:rPr>
          <w:sz w:val="20"/>
          <w:szCs w:val="20"/>
          <w:color w:val="auto"/>
        </w:rPr>
      </w:pPr>
    </w:p>
    <w:p>
      <w:pPr>
        <w:jc w:val="center"/>
        <w:ind w:right="-93"/>
        <w:spacing w:after="0"/>
        <w:rPr>
          <w:sz w:val="20"/>
          <w:szCs w:val="20"/>
          <w:color w:val="auto"/>
        </w:rPr>
      </w:pPr>
      <w:r>
        <w:rPr>
          <w:rFonts w:ascii="Arial" w:cs="Arial" w:eastAsia="Arial" w:hAnsi="Arial"/>
          <w:sz w:val="18"/>
          <w:szCs w:val="18"/>
          <w:i w:val="1"/>
          <w:iCs w:val="1"/>
          <w:color w:val="auto"/>
        </w:rPr>
        <w:t>(Unaudited)</w:t>
      </w:r>
    </w:p>
    <w:tbl>
      <w:tblPr>
        <w:tblLayout w:type="fixed"/>
        <w:tblInd w:w="154" w:type="dxa"/>
        <w:tblCellMar>
          <w:top w:w="0" w:type="dxa"/>
          <w:left w:w="0" w:type="dxa"/>
          <w:bottom w:w="0" w:type="dxa"/>
          <w:right w:w="0" w:type="dxa"/>
        </w:tblCellMar>
      </w:tblPr>
      <w:tr>
        <w:trPr>
          <w:trHeight w:val="206"/>
        </w:trPr>
        <w:tc>
          <w:tcPr>
            <w:tcW w:w="4260" w:type="dxa"/>
            <w:vAlign w:val="bottom"/>
          </w:tcPr>
          <w:p>
            <w:pPr>
              <w:spacing w:after="0"/>
              <w:rPr>
                <w:sz w:val="17"/>
                <w:szCs w:val="17"/>
                <w:color w:val="auto"/>
              </w:rPr>
            </w:pPr>
          </w:p>
        </w:tc>
        <w:tc>
          <w:tcPr>
            <w:tcW w:w="2740" w:type="dxa"/>
            <w:vAlign w:val="bottom"/>
            <w:gridSpan w:val="4"/>
          </w:tcPr>
          <w:p>
            <w:pPr>
              <w:jc w:val="right"/>
              <w:ind w:right="211"/>
              <w:spacing w:after="0" w:line="206" w:lineRule="exact"/>
              <w:rPr>
                <w:sz w:val="20"/>
                <w:szCs w:val="20"/>
                <w:color w:val="auto"/>
              </w:rPr>
            </w:pPr>
            <w:r>
              <w:rPr>
                <w:rFonts w:ascii="Arial" w:cs="Arial" w:eastAsia="Arial" w:hAnsi="Arial"/>
                <w:sz w:val="18"/>
                <w:szCs w:val="18"/>
                <w:b w:val="1"/>
                <w:bCs w:val="1"/>
                <w:color w:val="auto"/>
              </w:rPr>
              <w:t>Three Months Ended</w:t>
            </w:r>
          </w:p>
        </w:tc>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940" w:type="dxa"/>
            <w:vAlign w:val="bottom"/>
            <w:gridSpan w:val="4"/>
          </w:tcPr>
          <w:p>
            <w:pPr>
              <w:jc w:val="right"/>
              <w:ind w:right="871"/>
              <w:spacing w:after="0" w:line="206" w:lineRule="exact"/>
              <w:rPr>
                <w:sz w:val="20"/>
                <w:szCs w:val="20"/>
                <w:color w:val="auto"/>
              </w:rPr>
            </w:pPr>
            <w:r>
              <w:rPr>
                <w:rFonts w:ascii="Arial" w:cs="Arial" w:eastAsia="Arial" w:hAnsi="Arial"/>
                <w:sz w:val="18"/>
                <w:szCs w:val="18"/>
                <w:b w:val="1"/>
                <w:bCs w:val="1"/>
                <w:color w:val="auto"/>
              </w:rPr>
              <w:t>Six Months Ended</w:t>
            </w:r>
          </w:p>
        </w:tc>
        <w:tc>
          <w:tcPr>
            <w:tcW w:w="0" w:type="dxa"/>
            <w:vAlign w:val="bottom"/>
          </w:tcPr>
          <w:p>
            <w:pPr>
              <w:spacing w:after="0"/>
              <w:rPr>
                <w:sz w:val="1"/>
                <w:szCs w:val="1"/>
                <w:color w:val="auto"/>
              </w:rPr>
            </w:pPr>
          </w:p>
        </w:tc>
      </w:tr>
      <w:tr>
        <w:trPr>
          <w:trHeight w:val="226"/>
        </w:trPr>
        <w:tc>
          <w:tcPr>
            <w:tcW w:w="4260" w:type="dxa"/>
            <w:vAlign w:val="bottom"/>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1700" w:type="dxa"/>
            <w:vAlign w:val="bottom"/>
            <w:tcBorders>
              <w:bottom w:val="single" w:sz="8" w:color="auto"/>
            </w:tcBorders>
            <w:gridSpan w:val="3"/>
          </w:tcPr>
          <w:p>
            <w:pPr>
              <w:jc w:val="right"/>
              <w:ind w:right="691"/>
              <w:spacing w:after="0"/>
              <w:rPr>
                <w:sz w:val="20"/>
                <w:szCs w:val="20"/>
                <w:color w:val="auto"/>
              </w:rPr>
            </w:pPr>
            <w:r>
              <w:rPr>
                <w:rFonts w:ascii="Arial" w:cs="Arial" w:eastAsia="Arial" w:hAnsi="Arial"/>
                <w:sz w:val="18"/>
                <w:szCs w:val="18"/>
                <w:b w:val="1"/>
                <w:bCs w:val="1"/>
                <w:color w:val="auto"/>
              </w:rPr>
              <w:t>June 30,</w:t>
            </w:r>
          </w:p>
        </w:tc>
        <w:tc>
          <w:tcPr>
            <w:tcW w:w="54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780" w:type="dxa"/>
            <w:vAlign w:val="bottom"/>
            <w:tcBorders>
              <w:bottom w:val="single" w:sz="8" w:color="auto"/>
            </w:tcBorders>
            <w:gridSpan w:val="3"/>
          </w:tcPr>
          <w:p>
            <w:pPr>
              <w:jc w:val="right"/>
              <w:ind w:right="91"/>
              <w:spacing w:after="0"/>
              <w:rPr>
                <w:sz w:val="20"/>
                <w:szCs w:val="20"/>
                <w:color w:val="auto"/>
              </w:rPr>
            </w:pPr>
            <w:r>
              <w:rPr>
                <w:rFonts w:ascii="Arial" w:cs="Arial" w:eastAsia="Arial" w:hAnsi="Arial"/>
                <w:sz w:val="18"/>
                <w:szCs w:val="18"/>
                <w:b w:val="1"/>
                <w:bCs w:val="1"/>
                <w:color w:val="auto"/>
              </w:rPr>
              <w:t>June 30,</w:t>
            </w:r>
          </w:p>
        </w:tc>
        <w:tc>
          <w:tcPr>
            <w:tcW w:w="116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4260" w:type="dxa"/>
            <w:vAlign w:val="bottom"/>
            <w:tcBorders>
              <w:bottom w:val="single" w:sz="8" w:color="CCEEFF"/>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2021</w:t>
            </w:r>
          </w:p>
        </w:tc>
        <w:tc>
          <w:tcPr>
            <w:tcW w:w="56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2020</w:t>
            </w:r>
          </w:p>
        </w:tc>
        <w:tc>
          <w:tcPr>
            <w:tcW w:w="54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531"/>
              <w:spacing w:after="0"/>
              <w:rPr>
                <w:sz w:val="20"/>
                <w:szCs w:val="20"/>
                <w:color w:val="auto"/>
              </w:rPr>
            </w:pPr>
            <w:r>
              <w:rPr>
                <w:rFonts w:ascii="Arial" w:cs="Arial" w:eastAsia="Arial" w:hAnsi="Arial"/>
                <w:sz w:val="18"/>
                <w:szCs w:val="18"/>
                <w:b w:val="1"/>
                <w:bCs w:val="1"/>
                <w:color w:val="auto"/>
              </w:rPr>
              <w:t>2021</w:t>
            </w:r>
          </w:p>
        </w:tc>
        <w:tc>
          <w:tcPr>
            <w:tcW w:w="10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531"/>
              <w:spacing w:after="0"/>
              <w:rPr>
                <w:sz w:val="20"/>
                <w:szCs w:val="20"/>
                <w:color w:val="auto"/>
              </w:rPr>
            </w:pPr>
            <w:r>
              <w:rPr>
                <w:rFonts w:ascii="Arial" w:cs="Arial" w:eastAsia="Arial" w:hAnsi="Arial"/>
                <w:sz w:val="18"/>
                <w:szCs w:val="18"/>
                <w:b w:val="1"/>
                <w:bCs w:val="1"/>
                <w:color w:val="auto"/>
              </w:rPr>
              <w:t>2020</w:t>
            </w:r>
          </w:p>
        </w:tc>
        <w:tc>
          <w:tcPr>
            <w:tcW w:w="0" w:type="dxa"/>
            <w:vAlign w:val="bottom"/>
          </w:tcPr>
          <w:p>
            <w:pPr>
              <w:spacing w:after="0"/>
              <w:rPr>
                <w:sz w:val="1"/>
                <w:szCs w:val="1"/>
                <w:color w:val="auto"/>
              </w:rPr>
            </w:pPr>
          </w:p>
        </w:tc>
      </w:tr>
      <w:tr>
        <w:trPr>
          <w:trHeight w:val="219"/>
        </w:trPr>
        <w:tc>
          <w:tcPr>
            <w:tcW w:w="4260" w:type="dxa"/>
            <w:vAlign w:val="bottom"/>
            <w:shd w:val="clear" w:color="auto" w:fill="CCEEFF"/>
          </w:tcPr>
          <w:p>
            <w:pPr>
              <w:spacing w:after="0"/>
              <w:rPr>
                <w:sz w:val="20"/>
                <w:szCs w:val="20"/>
                <w:color w:val="auto"/>
              </w:rPr>
            </w:pPr>
            <w:r>
              <w:rPr>
                <w:rFonts w:ascii="Arial" w:cs="Arial" w:eastAsia="Arial" w:hAnsi="Arial"/>
                <w:sz w:val="18"/>
                <w:szCs w:val="18"/>
                <w:color w:val="auto"/>
              </w:rPr>
              <w:t>GAAP net income</w:t>
            </w:r>
          </w:p>
        </w:tc>
        <w:tc>
          <w:tcPr>
            <w:tcW w:w="1040" w:type="dxa"/>
            <w:vAlign w:val="bottom"/>
            <w:shd w:val="clear" w:color="auto" w:fill="CCEEFF"/>
          </w:tcPr>
          <w:p>
            <w:pPr>
              <w:jc w:val="right"/>
              <w:ind w:right="851"/>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88.0</w:t>
            </w:r>
          </w:p>
        </w:tc>
        <w:tc>
          <w:tcPr>
            <w:tcW w:w="10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851"/>
              <w:spacing w:after="0"/>
              <w:rPr>
                <w:sz w:val="20"/>
                <w:szCs w:val="20"/>
                <w:color w:val="auto"/>
              </w:rPr>
            </w:pPr>
            <w:r>
              <w:rPr>
                <w:rFonts w:ascii="Arial" w:cs="Arial" w:eastAsia="Arial" w:hAnsi="Arial"/>
                <w:sz w:val="18"/>
                <w:szCs w:val="18"/>
                <w:color w:val="auto"/>
                <w:w w:val="7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17.5</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1"/>
              <w:spacing w:after="0"/>
              <w:rPr>
                <w:sz w:val="20"/>
                <w:szCs w:val="20"/>
                <w:color w:val="auto"/>
              </w:rPr>
            </w:pPr>
            <w:r>
              <w:rPr>
                <w:rFonts w:ascii="Arial" w:cs="Arial" w:eastAsia="Arial" w:hAnsi="Arial"/>
                <w:sz w:val="18"/>
                <w:szCs w:val="18"/>
                <w:color w:val="auto"/>
                <w:w w:val="7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135.6</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251"/>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56.8</w:t>
            </w:r>
          </w:p>
        </w:tc>
        <w:tc>
          <w:tcPr>
            <w:tcW w:w="0" w:type="dxa"/>
            <w:vAlign w:val="bottom"/>
          </w:tcPr>
          <w:p>
            <w:pPr>
              <w:spacing w:after="0"/>
              <w:rPr>
                <w:sz w:val="1"/>
                <w:szCs w:val="1"/>
                <w:color w:val="auto"/>
              </w:rPr>
            </w:pPr>
          </w:p>
        </w:tc>
      </w:tr>
      <w:tr>
        <w:trPr>
          <w:trHeight w:val="225"/>
        </w:trPr>
        <w:tc>
          <w:tcPr>
            <w:tcW w:w="4260" w:type="dxa"/>
            <w:vAlign w:val="bottom"/>
          </w:tcPr>
          <w:p>
            <w:pPr>
              <w:spacing w:after="0"/>
              <w:rPr>
                <w:sz w:val="20"/>
                <w:szCs w:val="20"/>
                <w:color w:val="auto"/>
              </w:rPr>
            </w:pPr>
            <w:r>
              <w:rPr>
                <w:rFonts w:ascii="Arial" w:cs="Arial" w:eastAsia="Arial" w:hAnsi="Arial"/>
                <w:sz w:val="18"/>
                <w:szCs w:val="18"/>
                <w:color w:val="auto"/>
              </w:rPr>
              <w:t>Stock-based compensation</w:t>
            </w:r>
          </w:p>
        </w:tc>
        <w:tc>
          <w:tcPr>
            <w:tcW w:w="104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73.9</w:t>
            </w:r>
          </w:p>
        </w:tc>
        <w:tc>
          <w:tcPr>
            <w:tcW w:w="1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76.6</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141.8</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116.4</w:t>
            </w:r>
          </w:p>
        </w:tc>
        <w:tc>
          <w:tcPr>
            <w:tcW w:w="0" w:type="dxa"/>
            <w:vAlign w:val="bottom"/>
          </w:tcPr>
          <w:p>
            <w:pPr>
              <w:spacing w:after="0"/>
              <w:rPr>
                <w:sz w:val="1"/>
                <w:szCs w:val="1"/>
                <w:color w:val="auto"/>
              </w:rPr>
            </w:pPr>
          </w:p>
        </w:tc>
      </w:tr>
      <w:tr>
        <w:trPr>
          <w:trHeight w:val="226"/>
        </w:trPr>
        <w:tc>
          <w:tcPr>
            <w:tcW w:w="4260" w:type="dxa"/>
            <w:vAlign w:val="bottom"/>
            <w:shd w:val="clear" w:color="auto" w:fill="CCEEFF"/>
          </w:tcPr>
          <w:p>
            <w:pPr>
              <w:spacing w:after="0"/>
              <w:rPr>
                <w:sz w:val="20"/>
                <w:szCs w:val="20"/>
                <w:color w:val="auto"/>
              </w:rPr>
            </w:pPr>
            <w:r>
              <w:rPr>
                <w:rFonts w:ascii="Arial" w:cs="Arial" w:eastAsia="Arial" w:hAnsi="Arial"/>
                <w:sz w:val="18"/>
                <w:szCs w:val="18"/>
                <w:color w:val="auto"/>
              </w:rPr>
              <w:t>Acquisition-related and other expenses</w:t>
            </w:r>
          </w:p>
        </w:tc>
        <w:tc>
          <w:tcPr>
            <w:tcW w:w="104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w:t>
            </w:r>
          </w:p>
        </w:tc>
        <w:tc>
          <w:tcPr>
            <w:tcW w:w="1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w:t>
            </w:r>
          </w:p>
        </w:tc>
        <w:tc>
          <w:tcPr>
            <w:tcW w:w="0" w:type="dxa"/>
            <w:vAlign w:val="bottom"/>
          </w:tcPr>
          <w:p>
            <w:pPr>
              <w:spacing w:after="0"/>
              <w:rPr>
                <w:sz w:val="1"/>
                <w:szCs w:val="1"/>
                <w:color w:val="auto"/>
              </w:rPr>
            </w:pPr>
          </w:p>
        </w:tc>
      </w:tr>
      <w:tr>
        <w:trPr>
          <w:trHeight w:val="225"/>
        </w:trPr>
        <w:tc>
          <w:tcPr>
            <w:tcW w:w="4260" w:type="dxa"/>
            <w:vAlign w:val="bottom"/>
          </w:tcPr>
          <w:p>
            <w:pPr>
              <w:spacing w:after="0"/>
              <w:rPr>
                <w:sz w:val="20"/>
                <w:szCs w:val="20"/>
                <w:color w:val="auto"/>
              </w:rPr>
            </w:pPr>
            <w:r>
              <w:rPr>
                <w:rFonts w:ascii="Arial" w:cs="Arial" w:eastAsia="Arial" w:hAnsi="Arial"/>
                <w:sz w:val="18"/>
                <w:szCs w:val="18"/>
                <w:color w:val="auto"/>
              </w:rPr>
              <w:t>Amortization of acquired intangible assets</w:t>
            </w:r>
          </w:p>
        </w:tc>
        <w:tc>
          <w:tcPr>
            <w:tcW w:w="104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3.5</w:t>
            </w:r>
          </w:p>
        </w:tc>
        <w:tc>
          <w:tcPr>
            <w:tcW w:w="1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2.4</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5.9</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226"/>
        </w:trPr>
        <w:tc>
          <w:tcPr>
            <w:tcW w:w="4260" w:type="dxa"/>
            <w:vAlign w:val="bottom"/>
            <w:shd w:val="clear" w:color="auto" w:fill="CCEEFF"/>
          </w:tcPr>
          <w:p>
            <w:pPr>
              <w:spacing w:after="0"/>
              <w:rPr>
                <w:sz w:val="20"/>
                <w:szCs w:val="20"/>
                <w:color w:val="auto"/>
              </w:rPr>
            </w:pPr>
            <w:r>
              <w:rPr>
                <w:rFonts w:ascii="Arial" w:cs="Arial" w:eastAsia="Arial" w:hAnsi="Arial"/>
                <w:sz w:val="18"/>
                <w:szCs w:val="18"/>
                <w:color w:val="auto"/>
              </w:rPr>
              <w:t>Impairment related to real estate assets</w:t>
            </w:r>
          </w:p>
        </w:tc>
        <w:tc>
          <w:tcPr>
            <w:tcW w:w="1040" w:type="dxa"/>
            <w:vAlign w:val="bottom"/>
            <w:shd w:val="clear" w:color="auto" w:fill="CCEEFF"/>
          </w:tcPr>
          <w:p>
            <w:pPr>
              <w:spacing w:after="0"/>
              <w:rPr>
                <w:sz w:val="19"/>
                <w:szCs w:val="19"/>
                <w:color w:val="auto"/>
              </w:rPr>
            </w:pPr>
          </w:p>
        </w:tc>
        <w:tc>
          <w:tcPr>
            <w:tcW w:w="6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spacing w:after="0"/>
              <w:rPr>
                <w:sz w:val="19"/>
                <w:szCs w:val="19"/>
                <w:color w:val="auto"/>
              </w:rPr>
            </w:pP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17.3</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5"/>
        </w:trPr>
        <w:tc>
          <w:tcPr>
            <w:tcW w:w="4260" w:type="dxa"/>
            <w:vAlign w:val="bottom"/>
          </w:tcPr>
          <w:p>
            <w:pPr>
              <w:spacing w:after="0"/>
              <w:rPr>
                <w:sz w:val="20"/>
                <w:szCs w:val="20"/>
                <w:color w:val="auto"/>
              </w:rPr>
            </w:pPr>
            <w:r>
              <w:rPr>
                <w:rFonts w:ascii="Arial" w:cs="Arial" w:eastAsia="Arial" w:hAnsi="Arial"/>
                <w:sz w:val="18"/>
                <w:szCs w:val="18"/>
                <w:color w:val="auto"/>
              </w:rPr>
              <w:t>Workforce reduction expense</w:t>
            </w:r>
          </w:p>
        </w:tc>
        <w:tc>
          <w:tcPr>
            <w:tcW w:w="104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0.9</w:t>
            </w:r>
          </w:p>
        </w:tc>
        <w:tc>
          <w:tcPr>
            <w:tcW w:w="1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6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13.7</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6"/>
        </w:trPr>
        <w:tc>
          <w:tcPr>
            <w:tcW w:w="4260" w:type="dxa"/>
            <w:vAlign w:val="bottom"/>
            <w:shd w:val="clear" w:color="auto" w:fill="CCEEFF"/>
          </w:tcPr>
          <w:p>
            <w:pPr>
              <w:spacing w:after="0"/>
              <w:rPr>
                <w:sz w:val="20"/>
                <w:szCs w:val="20"/>
                <w:color w:val="auto"/>
              </w:rPr>
            </w:pPr>
            <w:r>
              <w:rPr>
                <w:rFonts w:ascii="Arial" w:cs="Arial" w:eastAsia="Arial" w:hAnsi="Arial"/>
                <w:sz w:val="18"/>
                <w:szCs w:val="18"/>
                <w:color w:val="auto"/>
              </w:rPr>
              <w:t>Net gains on equity investments</w:t>
            </w:r>
          </w:p>
        </w:tc>
        <w:tc>
          <w:tcPr>
            <w:tcW w:w="1040" w:type="dxa"/>
            <w:vAlign w:val="bottom"/>
            <w:shd w:val="clear" w:color="auto" w:fill="CCEEFF"/>
          </w:tcPr>
          <w:p>
            <w:pPr>
              <w:spacing w:after="0"/>
              <w:rPr>
                <w:sz w:val="19"/>
                <w:szCs w:val="19"/>
                <w:color w:val="auto"/>
              </w:rPr>
            </w:pPr>
          </w:p>
        </w:tc>
        <w:tc>
          <w:tcPr>
            <w:tcW w:w="6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(17.5)</w:t>
            </w:r>
          </w:p>
        </w:tc>
        <w:tc>
          <w:tcPr>
            <w:tcW w:w="0" w:type="dxa"/>
            <w:vAlign w:val="bottom"/>
          </w:tcPr>
          <w:p>
            <w:pPr>
              <w:spacing w:after="0"/>
              <w:rPr>
                <w:sz w:val="1"/>
                <w:szCs w:val="1"/>
                <w:color w:val="auto"/>
              </w:rPr>
            </w:pPr>
          </w:p>
        </w:tc>
      </w:tr>
      <w:tr>
        <w:trPr>
          <w:trHeight w:val="225"/>
        </w:trPr>
        <w:tc>
          <w:tcPr>
            <w:tcW w:w="426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Income tax effects of non-GAAP adjustments</w:t>
            </w:r>
          </w:p>
        </w:tc>
        <w:tc>
          <w:tcPr>
            <w:tcW w:w="104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(12.5)</w:t>
            </w:r>
          </w:p>
        </w:tc>
        <w:tc>
          <w:tcPr>
            <w:tcW w:w="100" w:type="dxa"/>
            <w:vAlign w:val="bottom"/>
            <w:tcBorders>
              <w:bottom w:val="single" w:sz="8" w:color="CCEEFF"/>
            </w:tcBorders>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(24.4)</w:t>
            </w:r>
          </w:p>
        </w:tc>
        <w:tc>
          <w:tcPr>
            <w:tcW w:w="10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w:t>
            </w:r>
          </w:p>
        </w:tc>
        <w:tc>
          <w:tcPr>
            <w:tcW w:w="0" w:type="dxa"/>
            <w:vAlign w:val="bottom"/>
          </w:tcPr>
          <w:p>
            <w:pPr>
              <w:spacing w:after="0"/>
              <w:rPr>
                <w:sz w:val="1"/>
                <w:szCs w:val="1"/>
                <w:color w:val="auto"/>
              </w:rPr>
            </w:pPr>
          </w:p>
        </w:tc>
      </w:tr>
      <w:tr>
        <w:trPr>
          <w:trHeight w:val="245"/>
        </w:trPr>
        <w:tc>
          <w:tcPr>
            <w:tcW w:w="42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Non-GAAP net income</w:t>
            </w:r>
          </w:p>
        </w:tc>
        <w:tc>
          <w:tcPr>
            <w:tcW w:w="1040" w:type="dxa"/>
            <w:vAlign w:val="bottom"/>
            <w:tcBorders>
              <w:bottom w:val="single" w:sz="8" w:color="auto"/>
            </w:tcBorders>
            <w:shd w:val="clear" w:color="auto" w:fill="CCEEFF"/>
          </w:tcPr>
          <w:p>
            <w:pPr>
              <w:jc w:val="right"/>
              <w:ind w:right="851"/>
              <w:spacing w:after="0"/>
              <w:rPr>
                <w:sz w:val="20"/>
                <w:szCs w:val="20"/>
                <w:color w:val="auto"/>
              </w:rPr>
            </w:pPr>
            <w:r>
              <w:rPr>
                <w:rFonts w:ascii="Arial" w:cs="Arial" w:eastAsia="Arial" w:hAnsi="Arial"/>
                <w:sz w:val="18"/>
                <w:szCs w:val="18"/>
                <w:color w:val="auto"/>
                <w:w w:val="79"/>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160.5</w:t>
            </w:r>
          </w:p>
        </w:tc>
        <w:tc>
          <w:tcPr>
            <w:tcW w:w="10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auto"/>
            </w:tcBorders>
            <w:shd w:val="clear" w:color="auto" w:fill="CCEEFF"/>
          </w:tcPr>
          <w:p>
            <w:pPr>
              <w:jc w:val="right"/>
              <w:ind w:right="851"/>
              <w:spacing w:after="0"/>
              <w:rPr>
                <w:sz w:val="20"/>
                <w:szCs w:val="20"/>
                <w:color w:val="auto"/>
              </w:rPr>
            </w:pPr>
            <w:r>
              <w:rPr>
                <w:rFonts w:ascii="Arial" w:cs="Arial" w:eastAsia="Arial" w:hAnsi="Arial"/>
                <w:sz w:val="18"/>
                <w:szCs w:val="18"/>
                <w:color w:val="auto"/>
                <w:w w:val="79"/>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93.2</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jc w:val="right"/>
              <w:ind w:right="171"/>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302.3</w:t>
            </w:r>
          </w:p>
        </w:tc>
        <w:tc>
          <w:tcPr>
            <w:tcW w:w="10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auto"/>
            </w:tcBorders>
            <w:shd w:val="clear" w:color="auto" w:fill="CCEEFF"/>
          </w:tcPr>
          <w:p>
            <w:pPr>
              <w:jc w:val="right"/>
              <w:ind w:right="251"/>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163.0</w:t>
            </w:r>
          </w:p>
        </w:tc>
        <w:tc>
          <w:tcPr>
            <w:tcW w:w="0" w:type="dxa"/>
            <w:vAlign w:val="bottom"/>
          </w:tcPr>
          <w:p>
            <w:pPr>
              <w:spacing w:after="0"/>
              <w:rPr>
                <w:sz w:val="1"/>
                <w:szCs w:val="1"/>
                <w:color w:val="auto"/>
              </w:rPr>
            </w:pPr>
          </w:p>
        </w:tc>
      </w:tr>
      <w:tr>
        <w:trPr>
          <w:trHeight w:val="20"/>
        </w:trPr>
        <w:tc>
          <w:tcPr>
            <w:tcW w:w="426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9"/>
        </w:trPr>
        <w:tc>
          <w:tcPr>
            <w:tcW w:w="4260" w:type="dxa"/>
            <w:vAlign w:val="bottom"/>
          </w:tcPr>
          <w:p>
            <w:pPr>
              <w:spacing w:after="0" w:line="199" w:lineRule="exact"/>
              <w:rPr>
                <w:sz w:val="20"/>
                <w:szCs w:val="20"/>
                <w:color w:val="auto"/>
              </w:rPr>
            </w:pPr>
            <w:r>
              <w:rPr>
                <w:rFonts w:ascii="Arial" w:cs="Arial" w:eastAsia="Arial" w:hAnsi="Arial"/>
                <w:sz w:val="18"/>
                <w:szCs w:val="18"/>
                <w:color w:val="auto"/>
              </w:rPr>
              <w:t>Non-GAAP diluted net income per share</w:t>
            </w:r>
          </w:p>
        </w:tc>
        <w:tc>
          <w:tcPr>
            <w:tcW w:w="1040" w:type="dxa"/>
            <w:vAlign w:val="bottom"/>
            <w:tcBorders>
              <w:bottom w:val="single" w:sz="8" w:color="auto"/>
            </w:tcBorders>
          </w:tcPr>
          <w:p>
            <w:pPr>
              <w:jc w:val="right"/>
              <w:ind w:right="851"/>
              <w:spacing w:after="0" w:line="199" w:lineRule="exact"/>
              <w:rPr>
                <w:sz w:val="20"/>
                <w:szCs w:val="20"/>
                <w:color w:val="auto"/>
              </w:rPr>
            </w:pPr>
            <w:r>
              <w:rPr>
                <w:rFonts w:ascii="Arial" w:cs="Arial" w:eastAsia="Arial" w:hAnsi="Arial"/>
                <w:sz w:val="18"/>
                <w:szCs w:val="18"/>
                <w:color w:val="auto"/>
                <w:w w:val="79"/>
              </w:rPr>
              <w:t>$</w:t>
            </w:r>
          </w:p>
        </w:tc>
        <w:tc>
          <w:tcPr>
            <w:tcW w:w="560" w:type="dxa"/>
            <w:vAlign w:val="bottom"/>
            <w:tcBorders>
              <w:bottom w:val="single" w:sz="8" w:color="auto"/>
            </w:tcBorders>
          </w:tcPr>
          <w:p>
            <w:pPr>
              <w:jc w:val="right"/>
              <w:spacing w:after="0" w:line="199" w:lineRule="exact"/>
              <w:rPr>
                <w:sz w:val="20"/>
                <w:szCs w:val="20"/>
                <w:color w:val="auto"/>
              </w:rPr>
            </w:pPr>
            <w:r>
              <w:rPr>
                <w:rFonts w:ascii="Arial" w:cs="Arial" w:eastAsia="Arial" w:hAnsi="Arial"/>
                <w:sz w:val="18"/>
                <w:szCs w:val="18"/>
                <w:color w:val="auto"/>
              </w:rPr>
              <w:t>0.40</w:t>
            </w:r>
          </w:p>
        </w:tc>
        <w:tc>
          <w:tcPr>
            <w:tcW w:w="100" w:type="dxa"/>
            <w:vAlign w:val="bottom"/>
          </w:tcPr>
          <w:p>
            <w:pPr>
              <w:spacing w:after="0"/>
              <w:rPr>
                <w:sz w:val="17"/>
                <w:szCs w:val="17"/>
                <w:color w:val="auto"/>
              </w:rPr>
            </w:pPr>
          </w:p>
        </w:tc>
        <w:tc>
          <w:tcPr>
            <w:tcW w:w="1040" w:type="dxa"/>
            <w:vAlign w:val="bottom"/>
            <w:tcBorders>
              <w:bottom w:val="single" w:sz="8" w:color="auto"/>
            </w:tcBorders>
          </w:tcPr>
          <w:p>
            <w:pPr>
              <w:jc w:val="right"/>
              <w:ind w:right="851"/>
              <w:spacing w:after="0" w:line="199" w:lineRule="exact"/>
              <w:rPr>
                <w:sz w:val="20"/>
                <w:szCs w:val="20"/>
                <w:color w:val="auto"/>
              </w:rPr>
            </w:pPr>
            <w:r>
              <w:rPr>
                <w:rFonts w:ascii="Arial" w:cs="Arial" w:eastAsia="Arial" w:hAnsi="Arial"/>
                <w:sz w:val="18"/>
                <w:szCs w:val="18"/>
                <w:color w:val="auto"/>
                <w:w w:val="79"/>
              </w:rPr>
              <w:t>$</w:t>
            </w:r>
          </w:p>
        </w:tc>
        <w:tc>
          <w:tcPr>
            <w:tcW w:w="540" w:type="dxa"/>
            <w:vAlign w:val="bottom"/>
            <w:tcBorders>
              <w:bottom w:val="single" w:sz="8" w:color="auto"/>
            </w:tcBorders>
          </w:tcPr>
          <w:p>
            <w:pPr>
              <w:jc w:val="right"/>
              <w:spacing w:after="0" w:line="199" w:lineRule="exact"/>
              <w:rPr>
                <w:sz w:val="20"/>
                <w:szCs w:val="20"/>
                <w:color w:val="auto"/>
              </w:rPr>
            </w:pPr>
            <w:r>
              <w:rPr>
                <w:rFonts w:ascii="Arial" w:cs="Arial" w:eastAsia="Arial" w:hAnsi="Arial"/>
                <w:sz w:val="18"/>
                <w:szCs w:val="18"/>
                <w:color w:val="auto"/>
              </w:rPr>
              <w:t>0.22</w:t>
            </w:r>
          </w:p>
        </w:tc>
        <w:tc>
          <w:tcPr>
            <w:tcW w:w="100" w:type="dxa"/>
            <w:vAlign w:val="bottom"/>
          </w:tcPr>
          <w:p>
            <w:pPr>
              <w:spacing w:after="0"/>
              <w:rPr>
                <w:sz w:val="17"/>
                <w:szCs w:val="17"/>
                <w:color w:val="auto"/>
              </w:rPr>
            </w:pPr>
          </w:p>
        </w:tc>
        <w:tc>
          <w:tcPr>
            <w:tcW w:w="360" w:type="dxa"/>
            <w:vAlign w:val="bottom"/>
            <w:tcBorders>
              <w:bottom w:val="single" w:sz="8" w:color="auto"/>
            </w:tcBorders>
          </w:tcPr>
          <w:p>
            <w:pPr>
              <w:jc w:val="right"/>
              <w:ind w:right="171"/>
              <w:spacing w:after="0" w:line="199" w:lineRule="exact"/>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tcPr>
          <w:p>
            <w:pPr>
              <w:jc w:val="right"/>
              <w:spacing w:after="0" w:line="199" w:lineRule="exact"/>
              <w:rPr>
                <w:sz w:val="20"/>
                <w:szCs w:val="20"/>
                <w:color w:val="auto"/>
              </w:rPr>
            </w:pPr>
            <w:r>
              <w:rPr>
                <w:rFonts w:ascii="Arial" w:cs="Arial" w:eastAsia="Arial" w:hAnsi="Arial"/>
                <w:sz w:val="18"/>
                <w:szCs w:val="18"/>
                <w:color w:val="auto"/>
              </w:rPr>
              <w:t>0.75</w:t>
            </w:r>
          </w:p>
        </w:tc>
        <w:tc>
          <w:tcPr>
            <w:tcW w:w="100" w:type="dxa"/>
            <w:vAlign w:val="bottom"/>
          </w:tcPr>
          <w:p>
            <w:pPr>
              <w:spacing w:after="0"/>
              <w:rPr>
                <w:sz w:val="17"/>
                <w:szCs w:val="17"/>
                <w:color w:val="auto"/>
              </w:rPr>
            </w:pPr>
          </w:p>
        </w:tc>
        <w:tc>
          <w:tcPr>
            <w:tcW w:w="440" w:type="dxa"/>
            <w:vAlign w:val="bottom"/>
            <w:tcBorders>
              <w:bottom w:val="single" w:sz="8" w:color="auto"/>
            </w:tcBorders>
          </w:tcPr>
          <w:p>
            <w:pPr>
              <w:jc w:val="right"/>
              <w:ind w:right="251"/>
              <w:spacing w:after="0" w:line="199" w:lineRule="exact"/>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tcPr>
          <w:p>
            <w:pPr>
              <w:jc w:val="right"/>
              <w:spacing w:after="0" w:line="199" w:lineRule="exact"/>
              <w:rPr>
                <w:sz w:val="20"/>
                <w:szCs w:val="20"/>
                <w:color w:val="auto"/>
              </w:rPr>
            </w:pPr>
            <w:r>
              <w:rPr>
                <w:rFonts w:ascii="Arial" w:cs="Arial" w:eastAsia="Arial" w:hAnsi="Arial"/>
                <w:sz w:val="18"/>
                <w:szCs w:val="18"/>
                <w:color w:val="auto"/>
              </w:rPr>
              <w:t>0.39</w:t>
            </w:r>
          </w:p>
        </w:tc>
        <w:tc>
          <w:tcPr>
            <w:tcW w:w="0" w:type="dxa"/>
            <w:vAlign w:val="bottom"/>
          </w:tcPr>
          <w:p>
            <w:pPr>
              <w:spacing w:after="0"/>
              <w:rPr>
                <w:sz w:val="1"/>
                <w:szCs w:val="1"/>
                <w:color w:val="auto"/>
              </w:rPr>
            </w:pPr>
          </w:p>
        </w:tc>
      </w:tr>
      <w:tr>
        <w:trPr>
          <w:trHeight w:val="20"/>
        </w:trPr>
        <w:tc>
          <w:tcPr>
            <w:tcW w:w="4260" w:type="dxa"/>
            <w:vAlign w:val="bottom"/>
            <w:tcBorders>
              <w:bottom w:val="single" w:sz="8" w:color="CCEEFF"/>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0"/>
        </w:trPr>
        <w:tc>
          <w:tcPr>
            <w:tcW w:w="4260" w:type="dxa"/>
            <w:vAlign w:val="bottom"/>
            <w:shd w:val="clear" w:color="auto" w:fill="CCEEFF"/>
          </w:tcPr>
          <w:p>
            <w:pPr>
              <w:spacing w:after="0" w:line="140" w:lineRule="exact"/>
              <w:rPr>
                <w:sz w:val="20"/>
                <w:szCs w:val="20"/>
                <w:color w:val="auto"/>
              </w:rPr>
            </w:pPr>
            <w:r>
              <w:rPr>
                <w:rFonts w:ascii="Arial" w:cs="Arial" w:eastAsia="Arial" w:hAnsi="Arial"/>
                <w:sz w:val="15"/>
                <w:szCs w:val="15"/>
                <w:color w:val="auto"/>
              </w:rPr>
              <w:t>Weighted-average shares used to compute Non-GAAP</w:t>
            </w:r>
          </w:p>
        </w:tc>
        <w:tc>
          <w:tcPr>
            <w:tcW w:w="1040" w:type="dxa"/>
            <w:vAlign w:val="bottom"/>
            <w:shd w:val="clear" w:color="auto" w:fill="CCEEFF"/>
          </w:tcPr>
          <w:p>
            <w:pPr>
              <w:spacing w:after="0"/>
              <w:rPr>
                <w:sz w:val="12"/>
                <w:szCs w:val="12"/>
                <w:color w:val="auto"/>
              </w:rPr>
            </w:pPr>
          </w:p>
        </w:tc>
        <w:tc>
          <w:tcPr>
            <w:tcW w:w="5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397.0</w:t>
            </w:r>
          </w:p>
        </w:tc>
        <w:tc>
          <w:tcPr>
            <w:tcW w:w="10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5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420.5</w:t>
            </w:r>
          </w:p>
        </w:tc>
        <w:tc>
          <w:tcPr>
            <w:tcW w:w="10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2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401.2</w:t>
            </w:r>
          </w:p>
        </w:tc>
        <w:tc>
          <w:tcPr>
            <w:tcW w:w="10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1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419.7</w:t>
            </w:r>
          </w:p>
        </w:tc>
        <w:tc>
          <w:tcPr>
            <w:tcW w:w="0" w:type="dxa"/>
            <w:vAlign w:val="bottom"/>
          </w:tcPr>
          <w:p>
            <w:pPr>
              <w:spacing w:after="0"/>
              <w:rPr>
                <w:sz w:val="1"/>
                <w:szCs w:val="1"/>
                <w:color w:val="auto"/>
              </w:rPr>
            </w:pPr>
          </w:p>
        </w:tc>
      </w:tr>
      <w:tr>
        <w:trPr>
          <w:trHeight w:val="218"/>
        </w:trPr>
        <w:tc>
          <w:tcPr>
            <w:tcW w:w="4260" w:type="dxa"/>
            <w:vAlign w:val="bottom"/>
            <w:tcBorders>
              <w:bottom w:val="single" w:sz="8" w:color="CCEEFF"/>
            </w:tcBorders>
            <w:shd w:val="clear" w:color="auto" w:fill="CCEEFF"/>
          </w:tcPr>
          <w:p>
            <w:pPr>
              <w:spacing w:after="0" w:line="198" w:lineRule="exact"/>
              <w:rPr>
                <w:sz w:val="20"/>
                <w:szCs w:val="20"/>
                <w:color w:val="auto"/>
              </w:rPr>
            </w:pPr>
            <w:r>
              <w:rPr>
                <w:rFonts w:ascii="Arial" w:cs="Arial" w:eastAsia="Arial" w:hAnsi="Arial"/>
                <w:sz w:val="18"/>
                <w:szCs w:val="18"/>
                <w:color w:val="auto"/>
              </w:rPr>
              <w:t>diluted net income per share</w:t>
            </w:r>
          </w:p>
        </w:tc>
        <w:tc>
          <w:tcPr>
            <w:tcW w:w="104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vMerge w:val="continue"/>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vMerge w:val="continue"/>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vMerge w:val="continue"/>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26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48" w:lineRule="exact"/>
        <w:rPr>
          <w:sz w:val="20"/>
          <w:szCs w:val="20"/>
          <w:color w:val="auto"/>
        </w:rPr>
      </w:pPr>
    </w:p>
    <w:p>
      <w:pPr>
        <w:jc w:val="center"/>
        <w:ind w:right="-93"/>
        <w:spacing w:after="0"/>
        <w:rPr>
          <w:sz w:val="20"/>
          <w:szCs w:val="20"/>
          <w:color w:val="auto"/>
        </w:rPr>
      </w:pPr>
      <w:r>
        <w:rPr>
          <w:rFonts w:ascii="Arial" w:cs="Arial" w:eastAsia="Arial" w:hAnsi="Arial"/>
          <w:sz w:val="19"/>
          <w:szCs w:val="19"/>
          <w:b w:val="1"/>
          <w:bCs w:val="1"/>
          <w:color w:val="auto"/>
        </w:rPr>
        <w:t>Dropbox, Inc.</w:t>
      </w:r>
    </w:p>
    <w:p>
      <w:pPr>
        <w:spacing w:after="0" w:line="29" w:lineRule="exact"/>
        <w:rPr>
          <w:sz w:val="20"/>
          <w:szCs w:val="20"/>
          <w:color w:val="auto"/>
        </w:rPr>
      </w:pPr>
    </w:p>
    <w:p>
      <w:pPr>
        <w:jc w:val="center"/>
        <w:ind w:right="-93"/>
        <w:spacing w:after="0"/>
        <w:rPr>
          <w:sz w:val="20"/>
          <w:szCs w:val="20"/>
          <w:color w:val="auto"/>
        </w:rPr>
      </w:pPr>
      <w:r>
        <w:rPr>
          <w:rFonts w:ascii="Arial" w:cs="Arial" w:eastAsia="Arial" w:hAnsi="Arial"/>
          <w:sz w:val="19"/>
          <w:szCs w:val="19"/>
          <w:b w:val="1"/>
          <w:bCs w:val="1"/>
          <w:color w:val="auto"/>
        </w:rPr>
        <w:t>Three and Six Months Ended June 30, 2021 and 2020</w:t>
      </w:r>
    </w:p>
    <w:p>
      <w:pPr>
        <w:spacing w:after="0" w:line="7" w:lineRule="exact"/>
        <w:rPr>
          <w:sz w:val="20"/>
          <w:szCs w:val="20"/>
          <w:color w:val="auto"/>
        </w:rPr>
      </w:pPr>
    </w:p>
    <w:p>
      <w:pPr>
        <w:jc w:val="center"/>
        <w:ind w:right="-93"/>
        <w:spacing w:after="0"/>
        <w:rPr>
          <w:sz w:val="20"/>
          <w:szCs w:val="20"/>
          <w:color w:val="auto"/>
        </w:rPr>
      </w:pPr>
      <w:r>
        <w:rPr>
          <w:rFonts w:ascii="Arial" w:cs="Arial" w:eastAsia="Arial" w:hAnsi="Arial"/>
          <w:sz w:val="19"/>
          <w:szCs w:val="19"/>
          <w:b w:val="1"/>
          <w:bCs w:val="1"/>
          <w:color w:val="auto"/>
        </w:rPr>
        <w:t>Reconciliation of free cash flow and supplemental cash flow disclosure</w:t>
      </w:r>
    </w:p>
    <w:p>
      <w:pPr>
        <w:spacing w:after="0" w:line="10" w:lineRule="exact"/>
        <w:rPr>
          <w:sz w:val="20"/>
          <w:szCs w:val="20"/>
          <w:color w:val="auto"/>
        </w:rPr>
      </w:pPr>
    </w:p>
    <w:p>
      <w:pPr>
        <w:jc w:val="center"/>
        <w:ind w:right="-93"/>
        <w:spacing w:after="0"/>
        <w:rPr>
          <w:sz w:val="20"/>
          <w:szCs w:val="20"/>
          <w:color w:val="auto"/>
        </w:rPr>
      </w:pPr>
      <w:r>
        <w:rPr>
          <w:rFonts w:ascii="Arial" w:cs="Arial" w:eastAsia="Arial" w:hAnsi="Arial"/>
          <w:sz w:val="18"/>
          <w:szCs w:val="18"/>
          <w:i w:val="1"/>
          <w:iCs w:val="1"/>
          <w:color w:val="auto"/>
        </w:rPr>
        <w:t>(In millions, except for percentages)</w:t>
      </w:r>
    </w:p>
    <w:p>
      <w:pPr>
        <w:spacing w:after="0" w:line="3" w:lineRule="exact"/>
        <w:rPr>
          <w:sz w:val="20"/>
          <w:szCs w:val="20"/>
          <w:color w:val="auto"/>
        </w:rPr>
      </w:pPr>
    </w:p>
    <w:p>
      <w:pPr>
        <w:jc w:val="center"/>
        <w:ind w:right="-93"/>
        <w:spacing w:after="0"/>
        <w:rPr>
          <w:sz w:val="20"/>
          <w:szCs w:val="20"/>
          <w:color w:val="auto"/>
        </w:rPr>
      </w:pPr>
      <w:r>
        <w:rPr>
          <w:rFonts w:ascii="Arial" w:cs="Arial" w:eastAsia="Arial" w:hAnsi="Arial"/>
          <w:sz w:val="18"/>
          <w:szCs w:val="18"/>
          <w:i w:val="1"/>
          <w:iCs w:val="1"/>
          <w:color w:val="auto"/>
        </w:rPr>
        <w:t>(Unaudited)</w:t>
      </w:r>
    </w:p>
    <w:tbl>
      <w:tblPr>
        <w:tblLayout w:type="fixed"/>
        <w:tblInd w:w="154" w:type="dxa"/>
        <w:tblCellMar>
          <w:top w:w="0" w:type="dxa"/>
          <w:left w:w="0" w:type="dxa"/>
          <w:bottom w:w="0" w:type="dxa"/>
          <w:right w:w="0" w:type="dxa"/>
        </w:tblCellMar>
      </w:tblPr>
      <w:tr>
        <w:trPr>
          <w:trHeight w:val="206"/>
        </w:trPr>
        <w:tc>
          <w:tcPr>
            <w:tcW w:w="4020" w:type="dxa"/>
            <w:vAlign w:val="bottom"/>
          </w:tcPr>
          <w:p>
            <w:pPr>
              <w:spacing w:after="0"/>
              <w:rPr>
                <w:sz w:val="17"/>
                <w:szCs w:val="17"/>
                <w:color w:val="auto"/>
              </w:rPr>
            </w:pPr>
          </w:p>
        </w:tc>
        <w:tc>
          <w:tcPr>
            <w:tcW w:w="2760" w:type="dxa"/>
            <w:vAlign w:val="bottom"/>
            <w:gridSpan w:val="4"/>
          </w:tcPr>
          <w:p>
            <w:pPr>
              <w:jc w:val="right"/>
              <w:ind w:right="171"/>
              <w:spacing w:after="0" w:line="206" w:lineRule="exact"/>
              <w:rPr>
                <w:sz w:val="20"/>
                <w:szCs w:val="20"/>
                <w:color w:val="auto"/>
              </w:rPr>
            </w:pPr>
            <w:r>
              <w:rPr>
                <w:rFonts w:ascii="Arial" w:cs="Arial" w:eastAsia="Arial" w:hAnsi="Arial"/>
                <w:sz w:val="18"/>
                <w:szCs w:val="18"/>
                <w:b w:val="1"/>
                <w:bCs w:val="1"/>
                <w:color w:val="auto"/>
              </w:rPr>
              <w:t>Three Months Ended</w:t>
            </w: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020" w:type="dxa"/>
            <w:vAlign w:val="bottom"/>
            <w:gridSpan w:val="3"/>
          </w:tcPr>
          <w:p>
            <w:pPr>
              <w:jc w:val="right"/>
              <w:spacing w:after="0" w:line="206" w:lineRule="exact"/>
              <w:rPr>
                <w:sz w:val="20"/>
                <w:szCs w:val="20"/>
                <w:color w:val="auto"/>
              </w:rPr>
            </w:pPr>
            <w:r>
              <w:rPr>
                <w:rFonts w:ascii="Arial" w:cs="Arial" w:eastAsia="Arial" w:hAnsi="Arial"/>
                <w:sz w:val="18"/>
                <w:szCs w:val="18"/>
                <w:b w:val="1"/>
                <w:bCs w:val="1"/>
                <w:color w:val="auto"/>
              </w:rPr>
              <w:t>Six Months Ended</w:t>
            </w: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6"/>
        </w:trPr>
        <w:tc>
          <w:tcPr>
            <w:tcW w:w="4020" w:type="dxa"/>
            <w:vAlign w:val="bottom"/>
          </w:tcPr>
          <w:p>
            <w:pPr>
              <w:spacing w:after="0"/>
              <w:rPr>
                <w:sz w:val="19"/>
                <w:szCs w:val="19"/>
                <w:color w:val="auto"/>
              </w:rPr>
            </w:pPr>
          </w:p>
        </w:tc>
        <w:tc>
          <w:tcPr>
            <w:tcW w:w="1020" w:type="dxa"/>
            <w:vAlign w:val="bottom"/>
            <w:tcBorders>
              <w:bottom w:val="single" w:sz="8" w:color="auto"/>
            </w:tcBorders>
          </w:tcPr>
          <w:p>
            <w:pPr>
              <w:spacing w:after="0"/>
              <w:rPr>
                <w:sz w:val="19"/>
                <w:szCs w:val="19"/>
                <w:color w:val="auto"/>
              </w:rPr>
            </w:pPr>
          </w:p>
        </w:tc>
        <w:tc>
          <w:tcPr>
            <w:tcW w:w="1740" w:type="dxa"/>
            <w:vAlign w:val="bottom"/>
            <w:tcBorders>
              <w:bottom w:val="single" w:sz="8" w:color="auto"/>
            </w:tcBorders>
            <w:gridSpan w:val="3"/>
          </w:tcPr>
          <w:p>
            <w:pPr>
              <w:jc w:val="right"/>
              <w:ind w:right="651"/>
              <w:spacing w:after="0"/>
              <w:rPr>
                <w:sz w:val="20"/>
                <w:szCs w:val="20"/>
                <w:color w:val="auto"/>
              </w:rPr>
            </w:pPr>
            <w:r>
              <w:rPr>
                <w:rFonts w:ascii="Arial" w:cs="Arial" w:eastAsia="Arial" w:hAnsi="Arial"/>
                <w:sz w:val="18"/>
                <w:szCs w:val="18"/>
                <w:b w:val="1"/>
                <w:bCs w:val="1"/>
                <w:color w:val="auto"/>
              </w:rPr>
              <w:t>June 30,</w:t>
            </w:r>
          </w:p>
        </w:tc>
        <w:tc>
          <w:tcPr>
            <w:tcW w:w="64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2020" w:type="dxa"/>
            <w:vAlign w:val="bottom"/>
            <w:tcBorders>
              <w:bottom w:val="single" w:sz="8" w:color="auto"/>
            </w:tcBorders>
            <w:gridSpan w:val="3"/>
          </w:tcPr>
          <w:p>
            <w:pPr>
              <w:jc w:val="right"/>
              <w:ind w:right="291"/>
              <w:spacing w:after="0"/>
              <w:rPr>
                <w:sz w:val="20"/>
                <w:szCs w:val="20"/>
                <w:color w:val="auto"/>
              </w:rPr>
            </w:pPr>
            <w:r>
              <w:rPr>
                <w:rFonts w:ascii="Arial" w:cs="Arial" w:eastAsia="Arial" w:hAnsi="Arial"/>
                <w:sz w:val="18"/>
                <w:szCs w:val="18"/>
                <w:b w:val="1"/>
                <w:bCs w:val="1"/>
                <w:color w:val="auto"/>
              </w:rPr>
              <w:t>June 30,</w:t>
            </w:r>
          </w:p>
        </w:tc>
        <w:tc>
          <w:tcPr>
            <w:tcW w:w="10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4020" w:type="dxa"/>
            <w:vAlign w:val="bottom"/>
            <w:tcBorders>
              <w:bottom w:val="single" w:sz="8" w:color="CCEEFF"/>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2021</w:t>
            </w:r>
          </w:p>
        </w:tc>
        <w:tc>
          <w:tcPr>
            <w:tcW w:w="64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2020</w:t>
            </w:r>
          </w:p>
        </w:tc>
        <w:tc>
          <w:tcPr>
            <w:tcW w:w="64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571"/>
              <w:spacing w:after="0"/>
              <w:rPr>
                <w:sz w:val="20"/>
                <w:szCs w:val="20"/>
                <w:color w:val="auto"/>
              </w:rPr>
            </w:pPr>
            <w:r>
              <w:rPr>
                <w:rFonts w:ascii="Arial" w:cs="Arial" w:eastAsia="Arial" w:hAnsi="Arial"/>
                <w:sz w:val="18"/>
                <w:szCs w:val="18"/>
                <w:b w:val="1"/>
                <w:bCs w:val="1"/>
                <w:color w:val="auto"/>
              </w:rPr>
              <w:t>2021</w:t>
            </w:r>
          </w:p>
        </w:tc>
        <w:tc>
          <w:tcPr>
            <w:tcW w:w="100" w:type="dxa"/>
            <w:vAlign w:val="bottom"/>
            <w:tcBorders>
              <w:bottom w:val="single" w:sz="8" w:color="CCEEFF"/>
            </w:tcBorders>
          </w:tcPr>
          <w:p>
            <w:pPr>
              <w:spacing w:after="0"/>
              <w:rPr>
                <w:sz w:val="19"/>
                <w:szCs w:val="19"/>
                <w:color w:val="auto"/>
              </w:rPr>
            </w:pPr>
          </w:p>
        </w:tc>
        <w:tc>
          <w:tcPr>
            <w:tcW w:w="6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571"/>
              <w:spacing w:after="0"/>
              <w:rPr>
                <w:sz w:val="20"/>
                <w:szCs w:val="20"/>
                <w:color w:val="auto"/>
              </w:rPr>
            </w:pPr>
            <w:r>
              <w:rPr>
                <w:rFonts w:ascii="Arial" w:cs="Arial" w:eastAsia="Arial" w:hAnsi="Arial"/>
                <w:sz w:val="18"/>
                <w:szCs w:val="18"/>
                <w:b w:val="1"/>
                <w:bCs w:val="1"/>
                <w:color w:val="auto"/>
                <w:w w:val="84"/>
              </w:rPr>
              <w:t>2020</w:t>
            </w:r>
          </w:p>
        </w:tc>
        <w:tc>
          <w:tcPr>
            <w:tcW w:w="0" w:type="dxa"/>
            <w:vAlign w:val="bottom"/>
          </w:tcPr>
          <w:p>
            <w:pPr>
              <w:spacing w:after="0"/>
              <w:rPr>
                <w:sz w:val="1"/>
                <w:szCs w:val="1"/>
                <w:color w:val="auto"/>
              </w:rPr>
            </w:pPr>
          </w:p>
        </w:tc>
      </w:tr>
      <w:tr>
        <w:trPr>
          <w:trHeight w:val="206"/>
        </w:trPr>
        <w:tc>
          <w:tcPr>
            <w:tcW w:w="4020" w:type="dxa"/>
            <w:vAlign w:val="bottom"/>
            <w:shd w:val="clear" w:color="auto" w:fill="CCEEFF"/>
          </w:tcPr>
          <w:p>
            <w:pPr>
              <w:spacing w:after="0" w:line="206" w:lineRule="exact"/>
              <w:rPr>
                <w:sz w:val="20"/>
                <w:szCs w:val="20"/>
                <w:color w:val="auto"/>
              </w:rPr>
            </w:pPr>
            <w:r>
              <w:rPr>
                <w:rFonts w:ascii="Arial" w:cs="Arial" w:eastAsia="Arial" w:hAnsi="Arial"/>
                <w:sz w:val="18"/>
                <w:szCs w:val="18"/>
                <w:b w:val="1"/>
                <w:bCs w:val="1"/>
                <w:color w:val="auto"/>
              </w:rPr>
              <w:t>Free cash flow reconciliation:</w:t>
            </w:r>
          </w:p>
        </w:tc>
        <w:tc>
          <w:tcPr>
            <w:tcW w:w="10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4020" w:type="dxa"/>
            <w:vAlign w:val="bottom"/>
          </w:tcPr>
          <w:p>
            <w:pPr>
              <w:spacing w:after="0"/>
              <w:rPr>
                <w:sz w:val="20"/>
                <w:szCs w:val="20"/>
                <w:color w:val="auto"/>
              </w:rPr>
            </w:pPr>
            <w:r>
              <w:rPr>
                <w:rFonts w:ascii="Arial" w:cs="Arial" w:eastAsia="Arial" w:hAnsi="Arial"/>
                <w:sz w:val="18"/>
                <w:szCs w:val="18"/>
                <w:color w:val="auto"/>
              </w:rPr>
              <w:t>Net cash provided by operating activities</w:t>
            </w:r>
          </w:p>
        </w:tc>
        <w:tc>
          <w:tcPr>
            <w:tcW w:w="1020" w:type="dxa"/>
            <w:vAlign w:val="bottom"/>
          </w:tcPr>
          <w:p>
            <w:pPr>
              <w:jc w:val="right"/>
              <w:ind w:right="831"/>
              <w:spacing w:after="0"/>
              <w:rPr>
                <w:sz w:val="20"/>
                <w:szCs w:val="20"/>
                <w:color w:val="auto"/>
              </w:rPr>
            </w:pPr>
            <w:r>
              <w:rPr>
                <w:rFonts w:ascii="Arial" w:cs="Arial" w:eastAsia="Arial" w:hAnsi="Arial"/>
                <w:sz w:val="18"/>
                <w:szCs w:val="18"/>
                <w:color w:val="auto"/>
                <w:w w:val="79"/>
              </w:rPr>
              <w:t>$</w:t>
            </w:r>
          </w:p>
        </w:tc>
        <w:tc>
          <w:tcPr>
            <w:tcW w:w="640" w:type="dxa"/>
            <w:vAlign w:val="bottom"/>
          </w:tcPr>
          <w:p>
            <w:pPr>
              <w:jc w:val="right"/>
              <w:ind w:right="131"/>
              <w:spacing w:after="0"/>
              <w:rPr>
                <w:sz w:val="20"/>
                <w:szCs w:val="20"/>
                <w:color w:val="auto"/>
              </w:rPr>
            </w:pPr>
            <w:r>
              <w:rPr>
                <w:rFonts w:ascii="Arial" w:cs="Arial" w:eastAsia="Arial" w:hAnsi="Arial"/>
                <w:sz w:val="18"/>
                <w:szCs w:val="18"/>
                <w:color w:val="auto"/>
                <w:w w:val="88"/>
              </w:rPr>
              <w:t>219.9</w:t>
            </w:r>
          </w:p>
        </w:tc>
        <w:tc>
          <w:tcPr>
            <w:tcW w:w="80" w:type="dxa"/>
            <w:vAlign w:val="bottom"/>
          </w:tcPr>
          <w:p>
            <w:pPr>
              <w:spacing w:after="0"/>
              <w:rPr>
                <w:sz w:val="19"/>
                <w:szCs w:val="19"/>
                <w:color w:val="auto"/>
              </w:rPr>
            </w:pPr>
          </w:p>
        </w:tc>
        <w:tc>
          <w:tcPr>
            <w:tcW w:w="1020" w:type="dxa"/>
            <w:vAlign w:val="bottom"/>
          </w:tcPr>
          <w:p>
            <w:pPr>
              <w:jc w:val="right"/>
              <w:ind w:right="831"/>
              <w:spacing w:after="0"/>
              <w:rPr>
                <w:sz w:val="20"/>
                <w:szCs w:val="20"/>
                <w:color w:val="auto"/>
              </w:rPr>
            </w:pPr>
            <w:r>
              <w:rPr>
                <w:rFonts w:ascii="Arial" w:cs="Arial" w:eastAsia="Arial" w:hAnsi="Arial"/>
                <w:sz w:val="18"/>
                <w:szCs w:val="18"/>
                <w:color w:val="auto"/>
                <w:w w:val="79"/>
              </w:rPr>
              <w:t>$</w:t>
            </w:r>
          </w:p>
        </w:tc>
        <w:tc>
          <w:tcPr>
            <w:tcW w:w="640" w:type="dxa"/>
            <w:vAlign w:val="bottom"/>
          </w:tcPr>
          <w:p>
            <w:pPr>
              <w:jc w:val="right"/>
              <w:ind w:right="131"/>
              <w:spacing w:after="0"/>
              <w:rPr>
                <w:sz w:val="20"/>
                <w:szCs w:val="20"/>
                <w:color w:val="auto"/>
              </w:rPr>
            </w:pPr>
            <w:r>
              <w:rPr>
                <w:rFonts w:ascii="Arial" w:cs="Arial" w:eastAsia="Arial" w:hAnsi="Arial"/>
                <w:sz w:val="18"/>
                <w:szCs w:val="18"/>
                <w:color w:val="auto"/>
                <w:w w:val="88"/>
              </w:rPr>
              <w:t>145.9</w:t>
            </w:r>
          </w:p>
        </w:tc>
        <w:tc>
          <w:tcPr>
            <w:tcW w:w="100" w:type="dxa"/>
            <w:vAlign w:val="bottom"/>
          </w:tcPr>
          <w:p>
            <w:pPr>
              <w:spacing w:after="0"/>
              <w:rPr>
                <w:sz w:val="19"/>
                <w:szCs w:val="19"/>
                <w:color w:val="auto"/>
              </w:rPr>
            </w:pPr>
          </w:p>
        </w:tc>
        <w:tc>
          <w:tcPr>
            <w:tcW w:w="380" w:type="dxa"/>
            <w:vAlign w:val="bottom"/>
          </w:tcPr>
          <w:p>
            <w:pPr>
              <w:jc w:val="right"/>
              <w:ind w:right="191"/>
              <w:spacing w:after="0"/>
              <w:rPr>
                <w:sz w:val="20"/>
                <w:szCs w:val="20"/>
                <w:color w:val="auto"/>
              </w:rPr>
            </w:pPr>
            <w:r>
              <w:rPr>
                <w:rFonts w:ascii="Arial" w:cs="Arial" w:eastAsia="Arial" w:hAnsi="Arial"/>
                <w:sz w:val="18"/>
                <w:szCs w:val="18"/>
                <w:color w:val="auto"/>
                <w:w w:val="79"/>
              </w:rPr>
              <w:t>$</w:t>
            </w:r>
          </w:p>
        </w:tc>
        <w:tc>
          <w:tcPr>
            <w:tcW w:w="1280" w:type="dxa"/>
            <w:vAlign w:val="bottom"/>
          </w:tcPr>
          <w:p>
            <w:pPr>
              <w:jc w:val="right"/>
              <w:ind w:right="131"/>
              <w:spacing w:after="0"/>
              <w:rPr>
                <w:sz w:val="20"/>
                <w:szCs w:val="20"/>
                <w:color w:val="auto"/>
              </w:rPr>
            </w:pPr>
            <w:r>
              <w:rPr>
                <w:rFonts w:ascii="Arial" w:cs="Arial" w:eastAsia="Arial" w:hAnsi="Arial"/>
                <w:sz w:val="18"/>
                <w:szCs w:val="18"/>
                <w:color w:val="auto"/>
              </w:rPr>
              <w:t>335.6</w:t>
            </w:r>
          </w:p>
        </w:tc>
        <w:tc>
          <w:tcPr>
            <w:tcW w:w="100" w:type="dxa"/>
            <w:vAlign w:val="bottom"/>
          </w:tcPr>
          <w:p>
            <w:pPr>
              <w:spacing w:after="0"/>
              <w:rPr>
                <w:sz w:val="19"/>
                <w:szCs w:val="19"/>
                <w:color w:val="auto"/>
              </w:rPr>
            </w:pPr>
          </w:p>
        </w:tc>
        <w:tc>
          <w:tcPr>
            <w:tcW w:w="640" w:type="dxa"/>
            <w:vAlign w:val="bottom"/>
          </w:tcPr>
          <w:p>
            <w:pPr>
              <w:jc w:val="right"/>
              <w:ind w:right="451"/>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ind w:right="131"/>
              <w:spacing w:after="0"/>
              <w:rPr>
                <w:sz w:val="20"/>
                <w:szCs w:val="20"/>
                <w:color w:val="auto"/>
              </w:rPr>
            </w:pPr>
            <w:r>
              <w:rPr>
                <w:rFonts w:ascii="Arial" w:cs="Arial" w:eastAsia="Arial" w:hAnsi="Arial"/>
                <w:sz w:val="18"/>
                <w:szCs w:val="18"/>
                <w:color w:val="auto"/>
              </w:rPr>
              <w:t>199.2</w:t>
            </w:r>
          </w:p>
        </w:tc>
        <w:tc>
          <w:tcPr>
            <w:tcW w:w="0" w:type="dxa"/>
            <w:vAlign w:val="bottom"/>
          </w:tcPr>
          <w:p>
            <w:pPr>
              <w:spacing w:after="0"/>
              <w:rPr>
                <w:sz w:val="1"/>
                <w:szCs w:val="1"/>
                <w:color w:val="auto"/>
              </w:rPr>
            </w:pPr>
          </w:p>
        </w:tc>
      </w:tr>
      <w:tr>
        <w:trPr>
          <w:trHeight w:val="226"/>
        </w:trPr>
        <w:tc>
          <w:tcPr>
            <w:tcW w:w="4020" w:type="dxa"/>
            <w:vAlign w:val="bottom"/>
            <w:shd w:val="clear" w:color="auto" w:fill="CCEEFF"/>
          </w:tcPr>
          <w:p>
            <w:pPr>
              <w:spacing w:after="0"/>
              <w:rPr>
                <w:sz w:val="20"/>
                <w:szCs w:val="20"/>
                <w:color w:val="auto"/>
              </w:rPr>
            </w:pPr>
            <w:r>
              <w:rPr>
                <w:rFonts w:ascii="Arial" w:cs="Arial" w:eastAsia="Arial" w:hAnsi="Arial"/>
                <w:sz w:val="18"/>
                <w:szCs w:val="18"/>
                <w:color w:val="auto"/>
              </w:rPr>
              <w:t>Less:</w:t>
            </w:r>
          </w:p>
        </w:tc>
        <w:tc>
          <w:tcPr>
            <w:tcW w:w="102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4020" w:type="dxa"/>
            <w:vAlign w:val="bottom"/>
            <w:tcBorders>
              <w:bottom w:val="single" w:sz="8" w:color="CCEEFF"/>
            </w:tcBorders>
          </w:tcPr>
          <w:p>
            <w:pPr>
              <w:ind w:left="200"/>
              <w:spacing w:after="0"/>
              <w:rPr>
                <w:sz w:val="20"/>
                <w:szCs w:val="20"/>
                <w:color w:val="auto"/>
              </w:rPr>
            </w:pPr>
            <w:r>
              <w:rPr>
                <w:rFonts w:ascii="Arial" w:cs="Arial" w:eastAsia="Arial" w:hAnsi="Arial"/>
                <w:sz w:val="18"/>
                <w:szCs w:val="18"/>
                <w:color w:val="auto"/>
              </w:rPr>
              <w:t>Capital expenditures</w:t>
            </w:r>
          </w:p>
        </w:tc>
        <w:tc>
          <w:tcPr>
            <w:tcW w:w="102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ind w:right="91"/>
              <w:spacing w:after="0"/>
              <w:rPr>
                <w:sz w:val="20"/>
                <w:szCs w:val="20"/>
                <w:color w:val="auto"/>
              </w:rPr>
            </w:pPr>
            <w:r>
              <w:rPr>
                <w:rFonts w:ascii="Arial" w:cs="Arial" w:eastAsia="Arial" w:hAnsi="Arial"/>
                <w:sz w:val="18"/>
                <w:szCs w:val="18"/>
                <w:color w:val="auto"/>
              </w:rPr>
              <w:t>(3.9)</w:t>
            </w:r>
          </w:p>
        </w:tc>
        <w:tc>
          <w:tcPr>
            <w:tcW w:w="80" w:type="dxa"/>
            <w:vAlign w:val="bottom"/>
            <w:tcBorders>
              <w:bottom w:val="single" w:sz="8" w:color="CCEEFF"/>
            </w:tcBorders>
          </w:tcPr>
          <w:p>
            <w:pPr>
              <w:spacing w:after="0"/>
              <w:rPr>
                <w:sz w:val="19"/>
                <w:szCs w:val="19"/>
                <w:color w:val="auto"/>
              </w:rPr>
            </w:pPr>
          </w:p>
        </w:tc>
        <w:tc>
          <w:tcPr>
            <w:tcW w:w="102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ind w:right="71"/>
              <w:spacing w:after="0"/>
              <w:rPr>
                <w:sz w:val="20"/>
                <w:szCs w:val="20"/>
                <w:color w:val="auto"/>
              </w:rPr>
            </w:pPr>
            <w:r>
              <w:rPr>
                <w:rFonts w:ascii="Arial" w:cs="Arial" w:eastAsia="Arial" w:hAnsi="Arial"/>
                <w:sz w:val="18"/>
                <w:szCs w:val="18"/>
                <w:color w:val="auto"/>
                <w:w w:val="97"/>
              </w:rPr>
              <w:t>(26.1)</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91"/>
              <w:spacing w:after="0"/>
              <w:rPr>
                <w:sz w:val="20"/>
                <w:szCs w:val="20"/>
                <w:color w:val="auto"/>
              </w:rPr>
            </w:pPr>
            <w:r>
              <w:rPr>
                <w:rFonts w:ascii="Arial" w:cs="Arial" w:eastAsia="Arial" w:hAnsi="Arial"/>
                <w:sz w:val="18"/>
                <w:szCs w:val="18"/>
                <w:color w:val="auto"/>
              </w:rPr>
              <w:t>(10.8)</w:t>
            </w:r>
          </w:p>
        </w:tc>
        <w:tc>
          <w:tcPr>
            <w:tcW w:w="100" w:type="dxa"/>
            <w:vAlign w:val="bottom"/>
            <w:tcBorders>
              <w:bottom w:val="single" w:sz="8" w:color="CCEEFF"/>
            </w:tcBorders>
          </w:tcPr>
          <w:p>
            <w:pPr>
              <w:spacing w:after="0"/>
              <w:rPr>
                <w:sz w:val="19"/>
                <w:szCs w:val="19"/>
                <w:color w:val="auto"/>
              </w:rPr>
            </w:pPr>
          </w:p>
        </w:tc>
        <w:tc>
          <w:tcPr>
            <w:tcW w:w="6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91"/>
              <w:spacing w:after="0"/>
              <w:rPr>
                <w:sz w:val="20"/>
                <w:szCs w:val="20"/>
                <w:color w:val="auto"/>
              </w:rPr>
            </w:pPr>
            <w:r>
              <w:rPr>
                <w:rFonts w:ascii="Arial" w:cs="Arial" w:eastAsia="Arial" w:hAnsi="Arial"/>
                <w:sz w:val="18"/>
                <w:szCs w:val="18"/>
                <w:color w:val="auto"/>
              </w:rPr>
              <w:t>(53.9)</w:t>
            </w:r>
          </w:p>
        </w:tc>
        <w:tc>
          <w:tcPr>
            <w:tcW w:w="0" w:type="dxa"/>
            <w:vAlign w:val="bottom"/>
          </w:tcPr>
          <w:p>
            <w:pPr>
              <w:spacing w:after="0"/>
              <w:rPr>
                <w:sz w:val="1"/>
                <w:szCs w:val="1"/>
                <w:color w:val="auto"/>
              </w:rPr>
            </w:pPr>
          </w:p>
        </w:tc>
      </w:tr>
      <w:tr>
        <w:trPr>
          <w:trHeight w:val="245"/>
        </w:trPr>
        <w:tc>
          <w:tcPr>
            <w:tcW w:w="40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Free cash flow</w:t>
            </w:r>
          </w:p>
        </w:tc>
        <w:tc>
          <w:tcPr>
            <w:tcW w:w="1020" w:type="dxa"/>
            <w:vAlign w:val="bottom"/>
            <w:tcBorders>
              <w:bottom w:val="single" w:sz="8" w:color="auto"/>
            </w:tcBorders>
            <w:shd w:val="clear" w:color="auto" w:fill="CCEEFF"/>
          </w:tcPr>
          <w:p>
            <w:pPr>
              <w:jc w:val="right"/>
              <w:ind w:right="831"/>
              <w:spacing w:after="0"/>
              <w:rPr>
                <w:sz w:val="20"/>
                <w:szCs w:val="20"/>
                <w:color w:val="auto"/>
              </w:rPr>
            </w:pPr>
            <w:r>
              <w:rPr>
                <w:rFonts w:ascii="Arial" w:cs="Arial" w:eastAsia="Arial" w:hAnsi="Arial"/>
                <w:sz w:val="18"/>
                <w:szCs w:val="18"/>
                <w:color w:val="auto"/>
                <w:w w:val="79"/>
              </w:rPr>
              <w:t>$</w:t>
            </w:r>
          </w:p>
        </w:tc>
        <w:tc>
          <w:tcPr>
            <w:tcW w:w="640" w:type="dxa"/>
            <w:vAlign w:val="bottom"/>
            <w:tcBorders>
              <w:bottom w:val="single" w:sz="8" w:color="auto"/>
            </w:tcBorders>
            <w:shd w:val="clear" w:color="auto" w:fill="CCEEFF"/>
          </w:tcPr>
          <w:p>
            <w:pPr>
              <w:jc w:val="right"/>
              <w:ind w:right="131"/>
              <w:spacing w:after="0"/>
              <w:rPr>
                <w:sz w:val="20"/>
                <w:szCs w:val="20"/>
                <w:color w:val="auto"/>
              </w:rPr>
            </w:pPr>
            <w:r>
              <w:rPr>
                <w:rFonts w:ascii="Arial" w:cs="Arial" w:eastAsia="Arial" w:hAnsi="Arial"/>
                <w:sz w:val="18"/>
                <w:szCs w:val="18"/>
                <w:color w:val="auto"/>
                <w:w w:val="88"/>
              </w:rPr>
              <w:t>216.0</w:t>
            </w:r>
          </w:p>
        </w:tc>
        <w:tc>
          <w:tcPr>
            <w:tcW w:w="8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auto"/>
            </w:tcBorders>
            <w:shd w:val="clear" w:color="auto" w:fill="CCEEFF"/>
          </w:tcPr>
          <w:p>
            <w:pPr>
              <w:jc w:val="right"/>
              <w:ind w:right="831"/>
              <w:spacing w:after="0"/>
              <w:rPr>
                <w:sz w:val="20"/>
                <w:szCs w:val="20"/>
                <w:color w:val="auto"/>
              </w:rPr>
            </w:pPr>
            <w:r>
              <w:rPr>
                <w:rFonts w:ascii="Arial" w:cs="Arial" w:eastAsia="Arial" w:hAnsi="Arial"/>
                <w:sz w:val="18"/>
                <w:szCs w:val="18"/>
                <w:color w:val="auto"/>
                <w:w w:val="79"/>
              </w:rPr>
              <w:t>$</w:t>
            </w:r>
          </w:p>
        </w:tc>
        <w:tc>
          <w:tcPr>
            <w:tcW w:w="640" w:type="dxa"/>
            <w:vAlign w:val="bottom"/>
            <w:tcBorders>
              <w:bottom w:val="single" w:sz="8" w:color="auto"/>
            </w:tcBorders>
            <w:shd w:val="clear" w:color="auto" w:fill="CCEEFF"/>
          </w:tcPr>
          <w:p>
            <w:pPr>
              <w:jc w:val="right"/>
              <w:ind w:right="131"/>
              <w:spacing w:after="0"/>
              <w:rPr>
                <w:sz w:val="20"/>
                <w:szCs w:val="20"/>
                <w:color w:val="auto"/>
              </w:rPr>
            </w:pPr>
            <w:r>
              <w:rPr>
                <w:rFonts w:ascii="Arial" w:cs="Arial" w:eastAsia="Arial" w:hAnsi="Arial"/>
                <w:sz w:val="18"/>
                <w:szCs w:val="18"/>
                <w:color w:val="auto"/>
                <w:w w:val="88"/>
              </w:rPr>
              <w:t>119.8</w:t>
            </w: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jc w:val="right"/>
              <w:ind w:right="191"/>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auto"/>
            </w:tcBorders>
            <w:shd w:val="clear" w:color="auto" w:fill="CCEEFF"/>
          </w:tcPr>
          <w:p>
            <w:pPr>
              <w:jc w:val="right"/>
              <w:ind w:right="131"/>
              <w:spacing w:after="0"/>
              <w:rPr>
                <w:sz w:val="20"/>
                <w:szCs w:val="20"/>
                <w:color w:val="auto"/>
              </w:rPr>
            </w:pPr>
            <w:r>
              <w:rPr>
                <w:rFonts w:ascii="Arial" w:cs="Arial" w:eastAsia="Arial" w:hAnsi="Arial"/>
                <w:sz w:val="18"/>
                <w:szCs w:val="18"/>
                <w:color w:val="auto"/>
              </w:rPr>
              <w:t>324.8</w:t>
            </w:r>
          </w:p>
        </w:tc>
        <w:tc>
          <w:tcPr>
            <w:tcW w:w="100" w:type="dxa"/>
            <w:vAlign w:val="bottom"/>
            <w:tcBorders>
              <w:bottom w:val="single" w:sz="8" w:color="CCEEFF"/>
            </w:tcBorders>
            <w:shd w:val="clear" w:color="auto" w:fill="CCEEFF"/>
          </w:tcPr>
          <w:p>
            <w:pPr>
              <w:spacing w:after="0"/>
              <w:rPr>
                <w:sz w:val="20"/>
                <w:szCs w:val="20"/>
                <w:color w:val="auto"/>
              </w:rPr>
            </w:pPr>
          </w:p>
        </w:tc>
        <w:tc>
          <w:tcPr>
            <w:tcW w:w="640" w:type="dxa"/>
            <w:vAlign w:val="bottom"/>
            <w:tcBorders>
              <w:bottom w:val="single" w:sz="8" w:color="auto"/>
            </w:tcBorders>
            <w:shd w:val="clear" w:color="auto" w:fill="CCEEFF"/>
          </w:tcPr>
          <w:p>
            <w:pPr>
              <w:jc w:val="right"/>
              <w:ind w:right="451"/>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CEEFF"/>
          </w:tcPr>
          <w:p>
            <w:pPr>
              <w:jc w:val="right"/>
              <w:ind w:right="131"/>
              <w:spacing w:after="0"/>
              <w:rPr>
                <w:sz w:val="20"/>
                <w:szCs w:val="20"/>
                <w:color w:val="auto"/>
              </w:rPr>
            </w:pPr>
            <w:r>
              <w:rPr>
                <w:rFonts w:ascii="Arial" w:cs="Arial" w:eastAsia="Arial" w:hAnsi="Arial"/>
                <w:sz w:val="18"/>
                <w:szCs w:val="18"/>
                <w:color w:val="auto"/>
              </w:rPr>
              <w:t>145.3</w:t>
            </w:r>
          </w:p>
        </w:tc>
        <w:tc>
          <w:tcPr>
            <w:tcW w:w="0" w:type="dxa"/>
            <w:vAlign w:val="bottom"/>
          </w:tcPr>
          <w:p>
            <w:pPr>
              <w:spacing w:after="0"/>
              <w:rPr>
                <w:sz w:val="1"/>
                <w:szCs w:val="1"/>
                <w:color w:val="auto"/>
              </w:rPr>
            </w:pPr>
          </w:p>
        </w:tc>
      </w:tr>
      <w:tr>
        <w:trPr>
          <w:trHeight w:val="20"/>
        </w:trPr>
        <w:tc>
          <w:tcPr>
            <w:tcW w:w="402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i w:val="1"/>
                <w:iCs w:val="1"/>
                <w:color w:val="auto"/>
              </w:rPr>
              <w:t>Free cash flow margin</w:t>
            </w: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8"/>
        </w:trPr>
        <w:tc>
          <w:tcPr>
            <w:tcW w:w="4020" w:type="dxa"/>
            <w:vAlign w:val="bottom"/>
            <w:vMerge w:val="continue"/>
          </w:tcPr>
          <w:p>
            <w:pPr>
              <w:spacing w:after="0"/>
              <w:rPr>
                <w:sz w:val="17"/>
                <w:szCs w:val="17"/>
                <w:color w:val="auto"/>
              </w:rPr>
            </w:pPr>
          </w:p>
        </w:tc>
        <w:tc>
          <w:tcPr>
            <w:tcW w:w="1020" w:type="dxa"/>
            <w:vAlign w:val="bottom"/>
          </w:tcPr>
          <w:p>
            <w:pPr>
              <w:spacing w:after="0"/>
              <w:rPr>
                <w:sz w:val="17"/>
                <w:szCs w:val="17"/>
                <w:color w:val="auto"/>
              </w:rPr>
            </w:pPr>
          </w:p>
        </w:tc>
        <w:tc>
          <w:tcPr>
            <w:tcW w:w="640" w:type="dxa"/>
            <w:vAlign w:val="bottom"/>
          </w:tcPr>
          <w:p>
            <w:pPr>
              <w:jc w:val="right"/>
              <w:spacing w:after="0" w:line="198" w:lineRule="exact"/>
              <w:rPr>
                <w:sz w:val="20"/>
                <w:szCs w:val="20"/>
                <w:color w:val="auto"/>
              </w:rPr>
            </w:pPr>
            <w:r>
              <w:rPr>
                <w:rFonts w:ascii="Arial" w:cs="Arial" w:eastAsia="Arial" w:hAnsi="Arial"/>
                <w:sz w:val="18"/>
                <w:szCs w:val="18"/>
                <w:color w:val="auto"/>
              </w:rPr>
              <w:t>40.7 %</w:t>
            </w:r>
          </w:p>
        </w:tc>
        <w:tc>
          <w:tcPr>
            <w:tcW w:w="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640" w:type="dxa"/>
            <w:vAlign w:val="bottom"/>
          </w:tcPr>
          <w:p>
            <w:pPr>
              <w:jc w:val="right"/>
              <w:spacing w:after="0" w:line="198" w:lineRule="exact"/>
              <w:rPr>
                <w:sz w:val="20"/>
                <w:szCs w:val="20"/>
                <w:color w:val="auto"/>
              </w:rPr>
            </w:pPr>
            <w:r>
              <w:rPr>
                <w:rFonts w:ascii="Arial" w:cs="Arial" w:eastAsia="Arial" w:hAnsi="Arial"/>
                <w:sz w:val="18"/>
                <w:szCs w:val="18"/>
                <w:color w:val="auto"/>
              </w:rPr>
              <w:t>25.6 %</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80" w:type="dxa"/>
            <w:vAlign w:val="bottom"/>
          </w:tcPr>
          <w:p>
            <w:pPr>
              <w:jc w:val="right"/>
              <w:spacing w:after="0" w:line="198" w:lineRule="exact"/>
              <w:rPr>
                <w:sz w:val="20"/>
                <w:szCs w:val="20"/>
                <w:color w:val="auto"/>
              </w:rPr>
            </w:pPr>
            <w:r>
              <w:rPr>
                <w:rFonts w:ascii="Arial" w:cs="Arial" w:eastAsia="Arial" w:hAnsi="Arial"/>
                <w:sz w:val="18"/>
                <w:szCs w:val="18"/>
                <w:color w:val="auto"/>
              </w:rPr>
              <w:t>31.2 %</w:t>
            </w: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20" w:type="dxa"/>
            <w:vAlign w:val="bottom"/>
          </w:tcPr>
          <w:p>
            <w:pPr>
              <w:jc w:val="right"/>
              <w:spacing w:after="0" w:line="198" w:lineRule="exact"/>
              <w:rPr>
                <w:sz w:val="20"/>
                <w:szCs w:val="20"/>
                <w:color w:val="auto"/>
              </w:rPr>
            </w:pPr>
            <w:r>
              <w:rPr>
                <w:rFonts w:ascii="Arial" w:cs="Arial" w:eastAsia="Arial" w:hAnsi="Arial"/>
                <w:sz w:val="18"/>
                <w:szCs w:val="18"/>
                <w:color w:val="auto"/>
              </w:rPr>
              <w:t>15.8 %</w:t>
            </w:r>
          </w:p>
        </w:tc>
        <w:tc>
          <w:tcPr>
            <w:tcW w:w="0" w:type="dxa"/>
            <w:vAlign w:val="bottom"/>
          </w:tcPr>
          <w:p>
            <w:pPr>
              <w:spacing w:after="0"/>
              <w:rPr>
                <w:sz w:val="1"/>
                <w:szCs w:val="1"/>
                <w:color w:val="auto"/>
              </w:rPr>
            </w:pPr>
          </w:p>
        </w:tc>
      </w:tr>
      <w:tr>
        <w:trPr>
          <w:trHeight w:val="226"/>
        </w:trPr>
        <w:tc>
          <w:tcPr>
            <w:tcW w:w="40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Supplemental disclosures:</w:t>
            </w:r>
          </w:p>
        </w:tc>
        <w:tc>
          <w:tcPr>
            <w:tcW w:w="102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4020" w:type="dxa"/>
            <w:vAlign w:val="bottom"/>
          </w:tcPr>
          <w:p>
            <w:pPr>
              <w:ind w:left="200"/>
              <w:spacing w:after="0" w:line="173" w:lineRule="exact"/>
              <w:rPr>
                <w:sz w:val="20"/>
                <w:szCs w:val="20"/>
                <w:color w:val="auto"/>
              </w:rPr>
            </w:pPr>
            <w:r>
              <w:rPr>
                <w:rFonts w:ascii="Arial" w:cs="Arial" w:eastAsia="Arial" w:hAnsi="Arial"/>
                <w:sz w:val="18"/>
                <w:szCs w:val="18"/>
                <w:color w:val="auto"/>
                <w:w w:val="98"/>
              </w:rPr>
              <w:t>Key employee holdback payments related to the</w:t>
            </w:r>
          </w:p>
        </w:tc>
        <w:tc>
          <w:tcPr>
            <w:tcW w:w="1020" w:type="dxa"/>
            <w:vAlign w:val="bottom"/>
            <w:vMerge w:val="restart"/>
          </w:tcPr>
          <w:p>
            <w:pPr>
              <w:jc w:val="right"/>
              <w:ind w:right="831"/>
              <w:spacing w:after="0"/>
              <w:rPr>
                <w:sz w:val="20"/>
                <w:szCs w:val="20"/>
                <w:color w:val="auto"/>
              </w:rPr>
            </w:pPr>
            <w:r>
              <w:rPr>
                <w:rFonts w:ascii="Arial" w:cs="Arial" w:eastAsia="Arial" w:hAnsi="Arial"/>
                <w:sz w:val="18"/>
                <w:szCs w:val="18"/>
                <w:color w:val="auto"/>
                <w:w w:val="79"/>
              </w:rPr>
              <w:t>$</w:t>
            </w:r>
          </w:p>
        </w:tc>
        <w:tc>
          <w:tcPr>
            <w:tcW w:w="640" w:type="dxa"/>
            <w:vAlign w:val="bottom"/>
            <w:vMerge w:val="restart"/>
          </w:tcPr>
          <w:p>
            <w:pPr>
              <w:jc w:val="right"/>
              <w:ind w:right="131"/>
              <w:spacing w:after="0"/>
              <w:rPr>
                <w:sz w:val="20"/>
                <w:szCs w:val="20"/>
                <w:color w:val="auto"/>
              </w:rPr>
            </w:pPr>
            <w:r>
              <w:rPr>
                <w:rFonts w:ascii="Arial" w:cs="Arial" w:eastAsia="Arial" w:hAnsi="Arial"/>
                <w:sz w:val="18"/>
                <w:szCs w:val="18"/>
                <w:color w:val="auto"/>
              </w:rPr>
              <w:t>4.0</w:t>
            </w:r>
          </w:p>
        </w:tc>
        <w:tc>
          <w:tcPr>
            <w:tcW w:w="80" w:type="dxa"/>
            <w:vAlign w:val="bottom"/>
          </w:tcPr>
          <w:p>
            <w:pPr>
              <w:spacing w:after="0"/>
              <w:rPr>
                <w:sz w:val="15"/>
                <w:szCs w:val="15"/>
                <w:color w:val="auto"/>
              </w:rPr>
            </w:pPr>
          </w:p>
        </w:tc>
        <w:tc>
          <w:tcPr>
            <w:tcW w:w="1020" w:type="dxa"/>
            <w:vAlign w:val="bottom"/>
            <w:vMerge w:val="restart"/>
          </w:tcPr>
          <w:p>
            <w:pPr>
              <w:jc w:val="right"/>
              <w:ind w:right="831"/>
              <w:spacing w:after="0"/>
              <w:rPr>
                <w:sz w:val="20"/>
                <w:szCs w:val="20"/>
                <w:color w:val="auto"/>
              </w:rPr>
            </w:pPr>
            <w:r>
              <w:rPr>
                <w:rFonts w:ascii="Arial" w:cs="Arial" w:eastAsia="Arial" w:hAnsi="Arial"/>
                <w:sz w:val="18"/>
                <w:szCs w:val="18"/>
                <w:color w:val="auto"/>
                <w:w w:val="79"/>
              </w:rPr>
              <w:t>$</w:t>
            </w:r>
          </w:p>
        </w:tc>
        <w:tc>
          <w:tcPr>
            <w:tcW w:w="640" w:type="dxa"/>
            <w:vAlign w:val="bottom"/>
            <w:vMerge w:val="restart"/>
          </w:tcPr>
          <w:p>
            <w:pPr>
              <w:jc w:val="right"/>
              <w:ind w:right="131"/>
              <w:spacing w:after="0"/>
              <w:rPr>
                <w:sz w:val="20"/>
                <w:szCs w:val="20"/>
                <w:color w:val="auto"/>
              </w:rPr>
            </w:pPr>
            <w:r>
              <w:rPr>
                <w:rFonts w:ascii="Arial" w:cs="Arial" w:eastAsia="Arial" w:hAnsi="Arial"/>
                <w:sz w:val="18"/>
                <w:szCs w:val="18"/>
                <w:color w:val="auto"/>
              </w:rPr>
              <w:t>4.0</w:t>
            </w:r>
          </w:p>
        </w:tc>
        <w:tc>
          <w:tcPr>
            <w:tcW w:w="100" w:type="dxa"/>
            <w:vAlign w:val="bottom"/>
          </w:tcPr>
          <w:p>
            <w:pPr>
              <w:spacing w:after="0"/>
              <w:rPr>
                <w:sz w:val="15"/>
                <w:szCs w:val="15"/>
                <w:color w:val="auto"/>
              </w:rPr>
            </w:pPr>
          </w:p>
        </w:tc>
        <w:tc>
          <w:tcPr>
            <w:tcW w:w="380" w:type="dxa"/>
            <w:vAlign w:val="bottom"/>
            <w:vMerge w:val="restart"/>
          </w:tcPr>
          <w:p>
            <w:pPr>
              <w:jc w:val="right"/>
              <w:ind w:right="191"/>
              <w:spacing w:after="0"/>
              <w:rPr>
                <w:sz w:val="20"/>
                <w:szCs w:val="20"/>
                <w:color w:val="auto"/>
              </w:rPr>
            </w:pPr>
            <w:r>
              <w:rPr>
                <w:rFonts w:ascii="Arial" w:cs="Arial" w:eastAsia="Arial" w:hAnsi="Arial"/>
                <w:sz w:val="18"/>
                <w:szCs w:val="18"/>
                <w:color w:val="auto"/>
                <w:w w:val="79"/>
              </w:rPr>
              <w:t>$</w:t>
            </w:r>
          </w:p>
        </w:tc>
        <w:tc>
          <w:tcPr>
            <w:tcW w:w="1280" w:type="dxa"/>
            <w:vAlign w:val="bottom"/>
            <w:vMerge w:val="restart"/>
          </w:tcPr>
          <w:p>
            <w:pPr>
              <w:jc w:val="right"/>
              <w:ind w:right="131"/>
              <w:spacing w:after="0"/>
              <w:rPr>
                <w:sz w:val="20"/>
                <w:szCs w:val="20"/>
                <w:color w:val="auto"/>
              </w:rPr>
            </w:pPr>
            <w:r>
              <w:rPr>
                <w:rFonts w:ascii="Arial" w:cs="Arial" w:eastAsia="Arial" w:hAnsi="Arial"/>
                <w:sz w:val="18"/>
                <w:szCs w:val="18"/>
                <w:color w:val="auto"/>
              </w:rPr>
              <w:t>8.0</w:t>
            </w:r>
          </w:p>
        </w:tc>
        <w:tc>
          <w:tcPr>
            <w:tcW w:w="100" w:type="dxa"/>
            <w:vAlign w:val="bottom"/>
          </w:tcPr>
          <w:p>
            <w:pPr>
              <w:spacing w:after="0"/>
              <w:rPr>
                <w:sz w:val="15"/>
                <w:szCs w:val="15"/>
                <w:color w:val="auto"/>
              </w:rPr>
            </w:pPr>
          </w:p>
        </w:tc>
        <w:tc>
          <w:tcPr>
            <w:tcW w:w="640" w:type="dxa"/>
            <w:vAlign w:val="bottom"/>
            <w:vMerge w:val="restart"/>
          </w:tcPr>
          <w:p>
            <w:pPr>
              <w:jc w:val="right"/>
              <w:ind w:right="451"/>
              <w:spacing w:after="0"/>
              <w:rPr>
                <w:sz w:val="20"/>
                <w:szCs w:val="20"/>
                <w:color w:val="auto"/>
              </w:rPr>
            </w:pPr>
            <w:r>
              <w:rPr>
                <w:rFonts w:ascii="Arial" w:cs="Arial" w:eastAsia="Arial" w:hAnsi="Arial"/>
                <w:sz w:val="18"/>
                <w:szCs w:val="18"/>
                <w:color w:val="auto"/>
                <w:w w:val="79"/>
              </w:rPr>
              <w:t>$</w:t>
            </w:r>
          </w:p>
        </w:tc>
        <w:tc>
          <w:tcPr>
            <w:tcW w:w="1020" w:type="dxa"/>
            <w:vAlign w:val="bottom"/>
            <w:vMerge w:val="restart"/>
          </w:tcPr>
          <w:p>
            <w:pPr>
              <w:jc w:val="right"/>
              <w:ind w:right="131"/>
              <w:spacing w:after="0"/>
              <w:rPr>
                <w:sz w:val="20"/>
                <w:szCs w:val="20"/>
                <w:color w:val="auto"/>
              </w:rPr>
            </w:pPr>
            <w:r>
              <w:rPr>
                <w:rFonts w:ascii="Arial" w:cs="Arial" w:eastAsia="Arial" w:hAnsi="Arial"/>
                <w:sz w:val="18"/>
                <w:szCs w:val="18"/>
                <w:color w:val="auto"/>
              </w:rPr>
              <w:t>20.2</w:t>
            </w:r>
          </w:p>
        </w:tc>
        <w:tc>
          <w:tcPr>
            <w:tcW w:w="0" w:type="dxa"/>
            <w:vAlign w:val="bottom"/>
          </w:tcPr>
          <w:p>
            <w:pPr>
              <w:spacing w:after="0"/>
              <w:rPr>
                <w:sz w:val="1"/>
                <w:szCs w:val="1"/>
                <w:color w:val="auto"/>
              </w:rPr>
            </w:pPr>
          </w:p>
        </w:tc>
      </w:tr>
      <w:tr>
        <w:trPr>
          <w:trHeight w:val="204"/>
        </w:trPr>
        <w:tc>
          <w:tcPr>
            <w:tcW w:w="4020" w:type="dxa"/>
            <w:vAlign w:val="bottom"/>
          </w:tcPr>
          <w:p>
            <w:pPr>
              <w:ind w:left="200"/>
              <w:spacing w:after="0" w:line="199" w:lineRule="exact"/>
              <w:rPr>
                <w:sz w:val="20"/>
                <w:szCs w:val="20"/>
                <w:color w:val="auto"/>
              </w:rPr>
            </w:pPr>
            <w:r>
              <w:rPr>
                <w:rFonts w:ascii="Arial" w:cs="Arial" w:eastAsia="Arial" w:hAnsi="Arial"/>
                <w:sz w:val="18"/>
                <w:szCs w:val="18"/>
                <w:color w:val="auto"/>
              </w:rPr>
              <w:t>acquisition of HelloSign</w:t>
            </w:r>
            <w:r>
              <w:rPr>
                <w:rFonts w:ascii="Arial" w:cs="Arial" w:eastAsia="Arial" w:hAnsi="Arial"/>
                <w:sz w:val="23"/>
                <w:szCs w:val="23"/>
                <w:color w:val="auto"/>
                <w:vertAlign w:val="superscript"/>
              </w:rPr>
              <w:t>(1)</w:t>
            </w:r>
          </w:p>
        </w:tc>
        <w:tc>
          <w:tcPr>
            <w:tcW w:w="1020" w:type="dxa"/>
            <w:vAlign w:val="bottom"/>
            <w:tcBorders>
              <w:bottom w:val="single" w:sz="8" w:color="auto"/>
            </w:tcBorders>
            <w:vMerge w:val="continue"/>
          </w:tcPr>
          <w:p>
            <w:pPr>
              <w:spacing w:after="0"/>
              <w:rPr>
                <w:sz w:val="17"/>
                <w:szCs w:val="17"/>
                <w:color w:val="auto"/>
              </w:rPr>
            </w:pPr>
          </w:p>
        </w:tc>
        <w:tc>
          <w:tcPr>
            <w:tcW w:w="640" w:type="dxa"/>
            <w:vAlign w:val="bottom"/>
            <w:tcBorders>
              <w:bottom w:val="single" w:sz="8" w:color="auto"/>
            </w:tcBorders>
            <w:vMerge w:val="continue"/>
          </w:tcPr>
          <w:p>
            <w:pPr>
              <w:spacing w:after="0"/>
              <w:rPr>
                <w:sz w:val="17"/>
                <w:szCs w:val="17"/>
                <w:color w:val="auto"/>
              </w:rPr>
            </w:pPr>
          </w:p>
        </w:tc>
        <w:tc>
          <w:tcPr>
            <w:tcW w:w="80" w:type="dxa"/>
            <w:vAlign w:val="bottom"/>
          </w:tcPr>
          <w:p>
            <w:pPr>
              <w:spacing w:after="0"/>
              <w:rPr>
                <w:sz w:val="17"/>
                <w:szCs w:val="17"/>
                <w:color w:val="auto"/>
              </w:rPr>
            </w:pPr>
          </w:p>
        </w:tc>
        <w:tc>
          <w:tcPr>
            <w:tcW w:w="1020" w:type="dxa"/>
            <w:vAlign w:val="bottom"/>
            <w:tcBorders>
              <w:bottom w:val="single" w:sz="8" w:color="auto"/>
            </w:tcBorders>
            <w:vMerge w:val="continue"/>
          </w:tcPr>
          <w:p>
            <w:pPr>
              <w:spacing w:after="0"/>
              <w:rPr>
                <w:sz w:val="17"/>
                <w:szCs w:val="17"/>
                <w:color w:val="auto"/>
              </w:rPr>
            </w:pPr>
          </w:p>
        </w:tc>
        <w:tc>
          <w:tcPr>
            <w:tcW w:w="640" w:type="dxa"/>
            <w:vAlign w:val="bottom"/>
            <w:tcBorders>
              <w:bottom w:val="single" w:sz="8" w:color="auto"/>
            </w:tcBorders>
            <w:vMerge w:val="continue"/>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Borders>
              <w:bottom w:val="single" w:sz="8" w:color="auto"/>
            </w:tcBorders>
            <w:vMerge w:val="continue"/>
          </w:tcPr>
          <w:p>
            <w:pPr>
              <w:spacing w:after="0"/>
              <w:rPr>
                <w:sz w:val="17"/>
                <w:szCs w:val="17"/>
                <w:color w:val="auto"/>
              </w:rPr>
            </w:pPr>
          </w:p>
        </w:tc>
        <w:tc>
          <w:tcPr>
            <w:tcW w:w="1280" w:type="dxa"/>
            <w:vAlign w:val="bottom"/>
            <w:tcBorders>
              <w:bottom w:val="single" w:sz="8" w:color="auto"/>
            </w:tcBorders>
            <w:vMerge w:val="continue"/>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Borders>
              <w:bottom w:val="single" w:sz="8" w:color="auto"/>
            </w:tcBorders>
            <w:vMerge w:val="continue"/>
          </w:tcPr>
          <w:p>
            <w:pPr>
              <w:spacing w:after="0"/>
              <w:rPr>
                <w:sz w:val="17"/>
                <w:szCs w:val="17"/>
                <w:color w:val="auto"/>
              </w:rPr>
            </w:pPr>
          </w:p>
        </w:tc>
        <w:tc>
          <w:tcPr>
            <w:tcW w:w="102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020" w:type="dxa"/>
            <w:vAlign w:val="bottom"/>
            <w:tcBorders>
              <w:bottom w:val="single" w:sz="8" w:color="CCEEFF"/>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9"/>
        </w:trPr>
        <w:tc>
          <w:tcPr>
            <w:tcW w:w="4020" w:type="dxa"/>
            <w:vAlign w:val="bottom"/>
            <w:shd w:val="clear" w:color="auto" w:fill="CCEEFF"/>
          </w:tcPr>
          <w:p>
            <w:pPr>
              <w:ind w:left="200"/>
              <w:spacing w:after="0" w:line="219" w:lineRule="exact"/>
              <w:rPr>
                <w:sz w:val="20"/>
                <w:szCs w:val="20"/>
                <w:color w:val="auto"/>
              </w:rPr>
            </w:pPr>
            <w:r>
              <w:rPr>
                <w:rFonts w:ascii="Arial" w:cs="Arial" w:eastAsia="Arial" w:hAnsi="Arial"/>
                <w:sz w:val="18"/>
                <w:szCs w:val="18"/>
                <w:color w:val="auto"/>
              </w:rPr>
              <w:t>Payments related to workforce reduction</w:t>
            </w:r>
            <w:r>
              <w:rPr>
                <w:rFonts w:ascii="Arial" w:cs="Arial" w:eastAsia="Arial" w:hAnsi="Arial"/>
                <w:sz w:val="23"/>
                <w:szCs w:val="23"/>
                <w:color w:val="auto"/>
                <w:vertAlign w:val="superscript"/>
              </w:rPr>
              <w:t>(2)</w:t>
            </w:r>
          </w:p>
        </w:tc>
        <w:tc>
          <w:tcPr>
            <w:tcW w:w="1020" w:type="dxa"/>
            <w:vAlign w:val="bottom"/>
            <w:shd w:val="clear" w:color="auto" w:fill="CCEEFF"/>
          </w:tcPr>
          <w:p>
            <w:pPr>
              <w:jc w:val="right"/>
              <w:ind w:right="831"/>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1.3</w:t>
            </w:r>
          </w:p>
        </w:tc>
        <w:tc>
          <w:tcPr>
            <w:tcW w:w="80" w:type="dxa"/>
            <w:vAlign w:val="bottom"/>
            <w:shd w:val="clear" w:color="auto" w:fill="CCEEFF"/>
          </w:tcPr>
          <w:p>
            <w:pPr>
              <w:spacing w:after="0"/>
              <w:rPr>
                <w:sz w:val="20"/>
                <w:szCs w:val="20"/>
                <w:color w:val="auto"/>
              </w:rPr>
            </w:pPr>
          </w:p>
        </w:tc>
        <w:tc>
          <w:tcPr>
            <w:tcW w:w="1020" w:type="dxa"/>
            <w:vAlign w:val="bottom"/>
            <w:shd w:val="clear" w:color="auto" w:fill="CCEEFF"/>
          </w:tcPr>
          <w:p>
            <w:pPr>
              <w:jc w:val="right"/>
              <w:ind w:right="831"/>
              <w:spacing w:after="0"/>
              <w:rPr>
                <w:sz w:val="20"/>
                <w:szCs w:val="20"/>
                <w:color w:val="auto"/>
              </w:rPr>
            </w:pPr>
            <w:r>
              <w:rPr>
                <w:rFonts w:ascii="Arial" w:cs="Arial" w:eastAsia="Arial" w:hAnsi="Arial"/>
                <w:sz w:val="18"/>
                <w:szCs w:val="18"/>
                <w:color w:val="auto"/>
                <w:w w:val="79"/>
              </w:rPr>
              <w:t>$</w:t>
            </w:r>
          </w:p>
        </w:tc>
        <w:tc>
          <w:tcPr>
            <w:tcW w:w="7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jc w:val="right"/>
              <w:ind w:right="191"/>
              <w:spacing w:after="0"/>
              <w:rPr>
                <w:sz w:val="20"/>
                <w:szCs w:val="20"/>
                <w:color w:val="auto"/>
              </w:rPr>
            </w:pPr>
            <w:r>
              <w:rPr>
                <w:rFonts w:ascii="Arial" w:cs="Arial" w:eastAsia="Arial" w:hAnsi="Arial"/>
                <w:sz w:val="18"/>
                <w:szCs w:val="18"/>
                <w:color w:val="auto"/>
                <w:w w:val="79"/>
              </w:rPr>
              <w:t>$</w:t>
            </w:r>
          </w:p>
        </w:tc>
        <w:tc>
          <w:tcPr>
            <w:tcW w:w="128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13.7</w:t>
            </w:r>
          </w:p>
        </w:tc>
        <w:tc>
          <w:tcPr>
            <w:tcW w:w="100" w:type="dxa"/>
            <w:vAlign w:val="bottom"/>
            <w:shd w:val="clear" w:color="auto" w:fill="CCEEFF"/>
          </w:tcPr>
          <w:p>
            <w:pPr>
              <w:spacing w:after="0"/>
              <w:rPr>
                <w:sz w:val="20"/>
                <w:szCs w:val="20"/>
                <w:color w:val="auto"/>
              </w:rPr>
            </w:pPr>
          </w:p>
        </w:tc>
        <w:tc>
          <w:tcPr>
            <w:tcW w:w="640" w:type="dxa"/>
            <w:vAlign w:val="bottom"/>
            <w:shd w:val="clear" w:color="auto" w:fill="CCEEFF"/>
          </w:tcPr>
          <w:p>
            <w:pPr>
              <w:jc w:val="right"/>
              <w:ind w:right="451"/>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402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9" w:lineRule="exact"/>
        <w:rPr>
          <w:sz w:val="20"/>
          <w:szCs w:val="20"/>
          <w:color w:val="auto"/>
        </w:rPr>
      </w:pPr>
    </w:p>
    <w:p>
      <w:pPr>
        <w:ind w:left="-6" w:firstLine="6"/>
        <w:spacing w:after="0" w:line="270" w:lineRule="auto"/>
        <w:tabs>
          <w:tab w:leader="none" w:pos="154" w:val="left"/>
        </w:tabs>
        <w:numPr>
          <w:ilvl w:val="0"/>
          <w:numId w:val="8"/>
        </w:numPr>
        <w:rPr>
          <w:rFonts w:ascii="Arial" w:cs="Arial" w:eastAsia="Arial" w:hAnsi="Arial"/>
          <w:sz w:val="18"/>
          <w:szCs w:val="18"/>
          <w:color w:val="auto"/>
          <w:vertAlign w:val="superscript"/>
        </w:rPr>
      </w:pPr>
      <w:r>
        <w:rPr>
          <w:rFonts w:ascii="Arial" w:cs="Arial" w:eastAsia="Arial" w:hAnsi="Arial"/>
          <w:sz w:val="14"/>
          <w:szCs w:val="14"/>
          <w:color w:val="auto"/>
        </w:rPr>
        <w:t>As part of our acquisition of HelloSign in 2019, we have employee holdback agreements with key HelloSign personnel consisting of $48.5 million in cash payments subject to ongoing employee service. The related expenses are recognized within research and development expenses over the required service period of three years. The payments began in the first quarter of 2020, and will be paid evenly in quarterly installments over the remaining required service period.</w:t>
      </w:r>
    </w:p>
    <w:p>
      <w:pPr>
        <w:spacing w:after="0" w:line="198" w:lineRule="exact"/>
        <w:rPr>
          <w:rFonts w:ascii="Arial" w:cs="Arial" w:eastAsia="Arial" w:hAnsi="Arial"/>
          <w:sz w:val="18"/>
          <w:szCs w:val="18"/>
          <w:color w:val="auto"/>
          <w:vertAlign w:val="superscript"/>
        </w:rPr>
      </w:pPr>
    </w:p>
    <w:p>
      <w:pPr>
        <w:ind w:left="154" w:hanging="154"/>
        <w:spacing w:after="0"/>
        <w:tabs>
          <w:tab w:leader="none" w:pos="154" w:val="left"/>
        </w:tabs>
        <w:numPr>
          <w:ilvl w:val="0"/>
          <w:numId w:val="8"/>
        </w:numPr>
        <w:rPr>
          <w:rFonts w:ascii="Arial" w:cs="Arial" w:eastAsia="Arial" w:hAnsi="Arial"/>
          <w:sz w:val="18"/>
          <w:szCs w:val="18"/>
          <w:color w:val="auto"/>
          <w:vertAlign w:val="superscript"/>
        </w:rPr>
      </w:pPr>
      <w:r>
        <w:rPr>
          <w:rFonts w:ascii="Arial" w:cs="Arial" w:eastAsia="Arial" w:hAnsi="Arial"/>
          <w:sz w:val="14"/>
          <w:szCs w:val="14"/>
          <w:color w:val="auto"/>
        </w:rPr>
        <w:t>Includes payments made related to workforce reduction such as severance, benefits, and other related items.</w:t>
      </w:r>
    </w:p>
    <w:p>
      <w:pPr>
        <w:sectPr>
          <w:pgSz w:w="11900" w:h="16838" w:orient="portrait"/>
          <w:cols w:equalWidth="0" w:num="1">
            <w:col w:w="11154"/>
          </w:cols>
          <w:pgMar w:left="326" w:top="874" w:right="419" w:bottom="1440" w:gutter="0" w:footer="0" w:header="0"/>
        </w:sectPr>
      </w:pPr>
    </w:p>
    <w:bookmarkStart w:id="13" w:name="page14"/>
    <w:bookmarkEnd w:id="13"/>
    <w:p>
      <w:pPr>
        <w:spacing w:after="0"/>
        <w:rPr>
          <w:sz w:val="20"/>
          <w:szCs w:val="20"/>
          <w:color w:val="auto"/>
        </w:rPr>
      </w:pPr>
      <w:r>
        <w:rPr>
          <w:rFonts w:ascii="Arial" w:cs="Arial" w:eastAsia="Arial" w:hAnsi="Arial"/>
          <w:sz w:val="18"/>
          <w:szCs w:val="18"/>
          <w:b w:val="1"/>
          <w:bCs w:val="1"/>
          <w:color w:val="auto"/>
        </w:rPr>
        <w:t>About Non-GAAP Financial Measures</w:t>
      </w:r>
    </w:p>
    <w:p>
      <w:pPr>
        <w:spacing w:after="0" w:line="251" w:lineRule="exact"/>
        <w:rPr>
          <w:sz w:val="20"/>
          <w:szCs w:val="20"/>
          <w:color w:val="auto"/>
        </w:rPr>
      </w:pPr>
    </w:p>
    <w:p>
      <w:pPr>
        <w:spacing w:after="0" w:line="296" w:lineRule="auto"/>
        <w:rPr>
          <w:sz w:val="20"/>
          <w:szCs w:val="20"/>
          <w:color w:val="auto"/>
        </w:rPr>
      </w:pPr>
      <w:r>
        <w:rPr>
          <w:rFonts w:ascii="Arial" w:cs="Arial" w:eastAsia="Arial" w:hAnsi="Arial"/>
          <w:sz w:val="15"/>
          <w:szCs w:val="15"/>
          <w:color w:val="auto"/>
        </w:rPr>
        <w:t>To provide investors and others with additional information regarding Dropbox's results, we have disclosed the following non-GAAP financial measures: revenue growth and Total ARR growth excluding foreign exchange effect, which we refer to as on a constant currency basis, non-GAAP cost of revenue, non-GAAP gross profit, non-GAAP operating expenses (including research and development, sales and marketing and general and administrative), non-GAAP income from operations, non-GAAP net income, free cash flow ("FCF") and non-GAAP diluted net income per share. Dropbox has provided a reconciliation of each non-GAAP financial measure used in this earnings release to the most directly comparable GAAP financial measure. Non-GAAP cost of revenue, gross profit, operating expenses, income from operations, and net income differ from GAAP in that they exclude stock-based compensation expense, amortization of acquired intangible assets, other acquisition-related expenses, which include third-party diligence costs and expenses related to key employee holdback agreements, impairment charges related to real estate assets, and expenses related to our reduction in force. Non-GAAP net income also excludes net gains and losses on equity investments, and includes the income tax effect of the aforementioned adjustments. FCF differs from GAAP net cash provided by operating activities in that it treats capital expenditures as a reduction to net cash provided by operating activities. Free cash flow margin is calculated as FCF divided by revenue. For periods that we are in a GAAP net income position, the weighted average shares used in the computation are the same as the shares used in our non-GAAP diluted net income per share computation. In order to present revenue on a constant currency basis for the quarter ended</w:t>
      </w:r>
    </w:p>
    <w:p>
      <w:pPr>
        <w:spacing w:after="0" w:line="8" w:lineRule="exact"/>
        <w:rPr>
          <w:sz w:val="20"/>
          <w:szCs w:val="20"/>
          <w:color w:val="auto"/>
        </w:rPr>
      </w:pPr>
    </w:p>
    <w:p>
      <w:pPr>
        <w:ind w:right="100"/>
        <w:spacing w:after="0" w:line="323" w:lineRule="auto"/>
        <w:rPr>
          <w:sz w:val="20"/>
          <w:szCs w:val="20"/>
          <w:color w:val="auto"/>
        </w:rPr>
      </w:pPr>
      <w:r>
        <w:rPr>
          <w:rFonts w:ascii="Arial" w:cs="Arial" w:eastAsia="Arial" w:hAnsi="Arial"/>
          <w:sz w:val="15"/>
          <w:szCs w:val="15"/>
          <w:color w:val="auto"/>
        </w:rPr>
        <w:t>June 30, 2021, Dropbox calculates constant currency revenue growth rates by applying the prior period weighted average exchange rates to current period results. Dropbox calculates constant currency Total ARR growth rates by applying the current period rate to prior period results. Dropbox presents constant currency information to provide a framework for assessing how our underlying business performed excluding the effect of foreign currency rate fluctuations.</w:t>
      </w:r>
    </w:p>
    <w:p>
      <w:pPr>
        <w:spacing w:after="0" w:line="169" w:lineRule="exact"/>
        <w:rPr>
          <w:sz w:val="20"/>
          <w:szCs w:val="20"/>
          <w:color w:val="auto"/>
        </w:rPr>
      </w:pPr>
    </w:p>
    <w:p>
      <w:pPr>
        <w:ind w:right="60"/>
        <w:spacing w:after="0" w:line="249" w:lineRule="auto"/>
        <w:rPr>
          <w:sz w:val="20"/>
          <w:szCs w:val="20"/>
          <w:color w:val="auto"/>
        </w:rPr>
      </w:pPr>
      <w:r>
        <w:rPr>
          <w:rFonts w:ascii="Arial" w:cs="Arial" w:eastAsia="Arial" w:hAnsi="Arial"/>
          <w:sz w:val="18"/>
          <w:szCs w:val="18"/>
          <w:color w:val="auto"/>
        </w:rPr>
        <w:t>Dropbox's management uses these non-GAAP financial measures to understand and compare operating results across accounting periods, for internal budgeting and forecasting purposes, for short and long-term operating plans, and to evaluate Dropbox's financial performance and the ability to generate cash from operations. Management believes these non-GAAP financial measures reflect Dropbox's ongoing business in a manner that allows for meaningful period-to-period comparisons and analysis of trends in Dropbox's business, as they exclude expenses that are not reflective of ongoing operating results. Management also believes that these non-GAAP financial measures provide useful supplemental information to investors and others in understanding and evaluating Dropbox's operating results and future prospects in the same manner as management and in comparing financial results across accounting periods and to those of peer companies.</w:t>
      </w:r>
    </w:p>
    <w:p>
      <w:pPr>
        <w:spacing w:after="0" w:line="223" w:lineRule="exact"/>
        <w:rPr>
          <w:sz w:val="20"/>
          <w:szCs w:val="20"/>
          <w:color w:val="auto"/>
        </w:rPr>
      </w:pPr>
    </w:p>
    <w:p>
      <w:pPr>
        <w:ind w:right="180"/>
        <w:spacing w:after="0" w:line="256" w:lineRule="auto"/>
        <w:rPr>
          <w:sz w:val="20"/>
          <w:szCs w:val="20"/>
          <w:color w:val="auto"/>
        </w:rPr>
      </w:pPr>
      <w:r>
        <w:rPr>
          <w:rFonts w:ascii="Arial" w:cs="Arial" w:eastAsia="Arial" w:hAnsi="Arial"/>
          <w:sz w:val="18"/>
          <w:szCs w:val="18"/>
          <w:color w:val="auto"/>
        </w:rPr>
        <w:t>We believe that the non-GAAP financial measures, non-GAAP cost of revenue, gross profit, operating expenses, income from operations, net income, and diluted net income per share are meaningful to investors because they help identify underlying trends in our business that could otherwise be masked by the effect of the expenses that we exclude.</w:t>
      </w:r>
    </w:p>
    <w:p>
      <w:pPr>
        <w:spacing w:after="0" w:line="214" w:lineRule="exact"/>
        <w:rPr>
          <w:sz w:val="20"/>
          <w:szCs w:val="20"/>
          <w:color w:val="auto"/>
        </w:rPr>
      </w:pPr>
    </w:p>
    <w:p>
      <w:pPr>
        <w:ind w:right="20"/>
        <w:spacing w:after="0" w:line="309" w:lineRule="auto"/>
        <w:rPr>
          <w:sz w:val="20"/>
          <w:szCs w:val="20"/>
          <w:color w:val="auto"/>
        </w:rPr>
      </w:pPr>
      <w:r>
        <w:rPr>
          <w:rFonts w:ascii="Arial" w:cs="Arial" w:eastAsia="Arial" w:hAnsi="Arial"/>
          <w:sz w:val="15"/>
          <w:szCs w:val="15"/>
          <w:color w:val="auto"/>
        </w:rPr>
        <w:t>We believe that FCF is an indicator of our liquidity over the long term, and provides useful information regarding cash provided by operating activities and cash used for investments in property and equipment required to maintain and grow our business. FCF is presented for supplemental informational purposes only and should not be considered a substitute for financial information presented in accordance with GAAP. FCF has limitations as an analytical tool, and it should not be considered in isolation or as a substitute for analysis of other GAAP financial measures, such as net cash provided by operating activities. Some of the limitations of FCF are that FCF does not reflect our future contractual commitments, excludes investments made to acquire assets under finance leases, includes capital expenditures, and may be calculated differently by other companies in our industry, limiting its usefulness as a comparative measure.</w:t>
      </w:r>
    </w:p>
    <w:p>
      <w:pPr>
        <w:spacing w:after="0" w:line="182" w:lineRule="exact"/>
        <w:rPr>
          <w:sz w:val="20"/>
          <w:szCs w:val="20"/>
          <w:color w:val="auto"/>
        </w:rPr>
      </w:pPr>
    </w:p>
    <w:p>
      <w:pPr>
        <w:ind w:right="20"/>
        <w:spacing w:after="0" w:line="305" w:lineRule="auto"/>
        <w:rPr>
          <w:sz w:val="20"/>
          <w:szCs w:val="20"/>
          <w:color w:val="auto"/>
        </w:rPr>
      </w:pPr>
      <w:r>
        <w:rPr>
          <w:rFonts w:ascii="Arial" w:cs="Arial" w:eastAsia="Arial" w:hAnsi="Arial"/>
          <w:sz w:val="15"/>
          <w:szCs w:val="15"/>
          <w:color w:val="auto"/>
        </w:rPr>
        <w:t>The use of non-GAAP cost of revenue, gross profit, operating expenses, income from operations, net income, free cash flow, and diluted net income per share measures has certain limitations as they do not reflect all items of income, expense, and cash expenditures, as applicable, that affect Dropbox's operations. Dropbox mitigates these limitations by reconciling the non-GAAP financial measures to the most comparable GAAP financial measures. Additionally, we have provided supplemental disclosures in our reconciliation of net cash provided by operating activities to free cash flow to include expenses related to reduction in workforce and key employee holdback payments related to the acquisition of HelloSign. These non-GAAP financial measures should be considered in addition to, not as a substitute for or in isolation from, measures prepared in accordance with GAAP. Further, these non-GAAP measures may differ from the non-GAAP information used by other companies, including peer companies, and therefore comparability may be limited. Management encourages investors and others to review Dropbox's financial information in its entirety and not rely on a single financial measure.</w:t>
      </w:r>
    </w:p>
    <w:p>
      <w:pPr>
        <w:sectPr>
          <w:pgSz w:w="11900" w:h="16838" w:orient="portrait"/>
          <w:cols w:equalWidth="0" w:num="1">
            <w:col w:w="11220"/>
          </w:cols>
          <w:pgMar w:left="320" w:top="878" w:right="359" w:bottom="1440" w:gutter="0" w:footer="0" w:header="0"/>
        </w:sectPr>
      </w:pPr>
    </w:p>
    <w:bookmarkStart w:id="14" w:name="page15"/>
    <w:bookmarkEnd w:id="14"/>
    <w:p>
      <w:pPr>
        <w:spacing w:after="0"/>
        <w:rPr>
          <w:sz w:val="20"/>
          <w:szCs w:val="20"/>
          <w:color w:val="auto"/>
        </w:rPr>
      </w:pPr>
      <w:r>
        <w:rPr>
          <w:rFonts w:ascii="Arial" w:cs="Arial" w:eastAsia="Arial" w:hAnsi="Arial"/>
          <w:sz w:val="18"/>
          <w:szCs w:val="18"/>
          <w:b w:val="1"/>
          <w:bCs w:val="1"/>
          <w:color w:val="auto"/>
        </w:rPr>
        <w:t>Contacts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Investors:</w:t>
      </w:r>
    </w:p>
    <w:p>
      <w:pPr>
        <w:spacing w:after="0" w:line="6" w:lineRule="exact"/>
        <w:rPr>
          <w:sz w:val="20"/>
          <w:szCs w:val="20"/>
          <w:color w:val="auto"/>
        </w:rPr>
      </w:pPr>
    </w:p>
    <w:p>
      <w:pPr>
        <w:spacing w:after="0"/>
        <w:rPr>
          <w:sz w:val="20"/>
          <w:szCs w:val="20"/>
          <w:color w:val="auto"/>
        </w:rPr>
      </w:pPr>
      <w:r>
        <w:rPr>
          <w:rFonts w:ascii="Arial" w:cs="Arial" w:eastAsia="Arial" w:hAnsi="Arial"/>
          <w:sz w:val="18"/>
          <w:szCs w:val="18"/>
          <w:color w:val="auto"/>
        </w:rPr>
        <w:t>Kern Kapoor</w:t>
      </w:r>
    </w:p>
    <w:p>
      <w:pPr>
        <w:spacing w:after="0" w:line="6" w:lineRule="exact"/>
        <w:rPr>
          <w:sz w:val="20"/>
          <w:szCs w:val="20"/>
          <w:color w:val="auto"/>
        </w:rPr>
      </w:pPr>
    </w:p>
    <w:p>
      <w:pPr>
        <w:spacing w:after="0"/>
        <w:rPr>
          <w:sz w:val="20"/>
          <w:szCs w:val="20"/>
          <w:color w:val="auto"/>
        </w:rPr>
      </w:pPr>
      <w:r>
        <w:rPr>
          <w:rFonts w:ascii="Arial" w:cs="Arial" w:eastAsia="Arial" w:hAnsi="Arial"/>
          <w:sz w:val="18"/>
          <w:szCs w:val="18"/>
          <w:color w:val="auto"/>
        </w:rPr>
        <w:t>ir@dropbox.com</w:t>
      </w:r>
    </w:p>
    <w:p>
      <w:pPr>
        <w:spacing w:after="0" w:line="6" w:lineRule="exact"/>
        <w:rPr>
          <w:sz w:val="20"/>
          <w:szCs w:val="20"/>
          <w:color w:val="auto"/>
        </w:rPr>
      </w:pPr>
    </w:p>
    <w:p>
      <w:pPr>
        <w:spacing w:after="0"/>
        <w:rPr>
          <w:sz w:val="20"/>
          <w:szCs w:val="20"/>
          <w:color w:val="auto"/>
        </w:rPr>
      </w:pPr>
      <w:r>
        <w:rPr>
          <w:rFonts w:ascii="Arial" w:cs="Arial" w:eastAsia="Arial" w:hAnsi="Arial"/>
          <w:sz w:val="18"/>
          <w:szCs w:val="18"/>
          <w:color w:val="auto"/>
        </w:rPr>
        <w:t>or</w:t>
      </w:r>
    </w:p>
    <w:p>
      <w:pPr>
        <w:spacing w:after="0" w:line="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Media:</w:t>
      </w:r>
    </w:p>
    <w:p>
      <w:pPr>
        <w:spacing w:after="0" w:line="6" w:lineRule="exact"/>
        <w:rPr>
          <w:sz w:val="20"/>
          <w:szCs w:val="20"/>
          <w:color w:val="auto"/>
        </w:rPr>
      </w:pPr>
    </w:p>
    <w:p>
      <w:pPr>
        <w:spacing w:after="0"/>
        <w:rPr>
          <w:sz w:val="20"/>
          <w:szCs w:val="20"/>
          <w:color w:val="auto"/>
        </w:rPr>
      </w:pPr>
      <w:r>
        <w:rPr>
          <w:rFonts w:ascii="Arial" w:cs="Arial" w:eastAsia="Arial" w:hAnsi="Arial"/>
          <w:sz w:val="18"/>
          <w:szCs w:val="18"/>
          <w:color w:val="auto"/>
        </w:rPr>
        <w:t>Tessa Chen</w:t>
      </w:r>
    </w:p>
    <w:p>
      <w:pPr>
        <w:spacing w:after="0" w:line="6" w:lineRule="exact"/>
        <w:rPr>
          <w:sz w:val="20"/>
          <w:szCs w:val="20"/>
          <w:color w:val="auto"/>
        </w:rPr>
      </w:pPr>
    </w:p>
    <w:p>
      <w:pPr>
        <w:spacing w:after="0"/>
        <w:rPr>
          <w:sz w:val="20"/>
          <w:szCs w:val="20"/>
          <w:color w:val="auto"/>
        </w:rPr>
      </w:pPr>
      <w:r>
        <w:rPr>
          <w:rFonts w:ascii="Arial" w:cs="Arial" w:eastAsia="Arial" w:hAnsi="Arial"/>
          <w:sz w:val="15"/>
          <w:szCs w:val="15"/>
          <w:color w:val="auto"/>
        </w:rPr>
        <w:t>press@dropbox.com</w:t>
      </w:r>
    </w:p>
    <w:sectPr>
      <w:pgSz w:w="11900" w:h="16838" w:orient="portrait"/>
      <w:cols w:equalWidth="0" w:num="1">
        <w:col w:w="10139"/>
      </w:cols>
      <w:pgMar w:left="320" w:top="878"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38E1F29"/>
    <w:multiLevelType w:val="hybridMultilevel"/>
    <w:lvl w:ilvl="0">
      <w:lvlJc w:val="left"/>
      <w:lvlText w:val="☐"/>
      <w:numFmt w:val="bullet"/>
      <w:start w:val="1"/>
    </w:lvl>
  </w:abstractNum>
  <w:abstractNum w:abstractNumId="1">
    <w:nsid w:val="46E87CCD"/>
    <w:multiLevelType w:val="hybridMultilevel"/>
    <w:lvl w:ilvl="0">
      <w:lvlJc w:val="left"/>
      <w:lvlText w:val="(%1)"/>
      <w:numFmt w:val="decimal"/>
    </w:lvl>
    <w:lvl w:ilvl="1">
      <w:lvlJc w:val="left"/>
      <w:lvlText w:val="•"/>
      <w:numFmt w:val="bullet"/>
      <w:start w:val="1"/>
    </w:lvl>
  </w:abstractNum>
  <w:abstractNum w:abstractNumId="2">
    <w:nsid w:val="3D1B58BA"/>
    <w:multiLevelType w:val="hybridMultilevel"/>
    <w:lvl w:ilvl="0">
      <w:lvlJc w:val="left"/>
      <w:lvlText w:val="•"/>
      <w:numFmt w:val="bullet"/>
      <w:start w:val="1"/>
    </w:lvl>
  </w:abstractNum>
  <w:abstractNum w:abstractNumId="3">
    <w:nsid w:val="507ED7AB"/>
    <w:multiLevelType w:val="hybridMultilevel"/>
    <w:lvl w:ilvl="0">
      <w:lvlJc w:val="left"/>
      <w:lvlText w:val="(%1)"/>
      <w:numFmt w:val="decimal"/>
      <w:start w:val="1"/>
    </w:lvl>
  </w:abstractNum>
  <w:abstractNum w:abstractNumId="4">
    <w:nsid w:val="2EB141F2"/>
    <w:multiLevelType w:val="hybridMultilevel"/>
    <w:lvl w:ilvl="0">
      <w:lvlJc w:val="left"/>
      <w:lvlText w:val="(%1)"/>
      <w:numFmt w:val="decimal"/>
      <w:start w:val="2"/>
    </w:lvl>
  </w:abstractNum>
  <w:abstractNum w:abstractNumId="5">
    <w:nsid w:val="41B71EFB"/>
    <w:multiLevelType w:val="hybridMultilevel"/>
    <w:lvl w:ilvl="0">
      <w:lvlJc w:val="left"/>
      <w:lvlText w:val="(%1)"/>
      <w:numFmt w:val="decimal"/>
      <w:start w:val="1"/>
    </w:lvl>
  </w:abstractNum>
  <w:abstractNum w:abstractNumId="6">
    <w:nsid w:val="79E2A9E3"/>
    <w:multiLevelType w:val="hybridMultilevel"/>
    <w:lvl w:ilvl="0">
      <w:lvlJc w:val="left"/>
      <w:lvlText w:val="(%1)"/>
      <w:numFmt w:val="decimal"/>
      <w:start w:val="1"/>
    </w:lvl>
  </w:abstractNum>
  <w:abstractNum w:abstractNumId="7">
    <w:nsid w:val="7545E146"/>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2021-08-05T16:07:14Z</dcterms:created>
  <dcterms:modified xsi:type="dcterms:W3CDTF">2021-08-05T16:07:14Z</dcterms:modified>
</cp:coreProperties>
</file>